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440" w:right="3020" w:hanging="405"/>
        <w:spacing w:after="0" w:line="308" w:lineRule="auto"/>
        <w:tabs>
          <w:tab w:leader="none" w:pos="4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2014</w:t>
      </w: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280" w:type="dxa"/>
            <w:vAlign w:val="bottom"/>
            <w:gridSpan w:val="2"/>
          </w:tcPr>
          <w:p>
            <w:pPr>
              <w:ind w:left="100"/>
              <w:spacing w:after="0"/>
              <w:rPr>
                <w:sz w:val="20"/>
                <w:szCs w:val="20"/>
                <w:color w:val="auto"/>
              </w:rPr>
            </w:pPr>
            <w:r>
              <w:rPr>
                <w:rFonts w:ascii="Arial" w:cs="Arial" w:eastAsia="Arial" w:hAnsi="Arial"/>
                <w:sz w:val="16"/>
                <w:szCs w:val="16"/>
                <w:b w:val="1"/>
                <w:bCs w:val="1"/>
                <w:color w:val="auto"/>
                <w:w w:val="96"/>
              </w:rPr>
              <w:t>For the transition period from</w:t>
            </w:r>
          </w:p>
        </w:tc>
        <w:tc>
          <w:tcPr>
            <w:tcW w:w="1740" w:type="dxa"/>
            <w:vAlign w:val="bottom"/>
            <w:gridSpan w:val="2"/>
          </w:tcPr>
          <w:p>
            <w:pPr>
              <w:ind w:left="800"/>
              <w:spacing w:after="0"/>
              <w:rPr>
                <w:sz w:val="20"/>
                <w:szCs w:val="20"/>
                <w:color w:val="auto"/>
              </w:rPr>
            </w:pPr>
            <w:r>
              <w:rPr>
                <w:rFonts w:ascii="Arial" w:cs="Arial" w:eastAsia="Arial" w:hAnsi="Arial"/>
                <w:sz w:val="16"/>
                <w:szCs w:val="16"/>
                <w:b w:val="1"/>
                <w:bCs w:val="1"/>
                <w:color w:val="auto"/>
              </w:rPr>
              <w:t>to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3"/>
        </w:trPr>
        <w:tc>
          <w:tcPr>
            <w:tcW w:w="1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91"/>
              </w:rPr>
              <w:t>Commission file number 1-11593</w:t>
            </w: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65"/>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100" w:type="dxa"/>
            <w:vAlign w:val="bottom"/>
            <w:gridSpan w:val="5"/>
          </w:tcPr>
          <w:p>
            <w:pPr>
              <w:jc w:val="right"/>
              <w:ind w:right="461"/>
              <w:spacing w:after="0" w:line="165" w:lineRule="exact"/>
              <w:rPr>
                <w:sz w:val="20"/>
                <w:szCs w:val="20"/>
                <w:color w:val="auto"/>
              </w:rPr>
            </w:pPr>
            <w:r>
              <w:rPr>
                <w:rFonts w:ascii="Arial" w:cs="Arial" w:eastAsia="Arial" w:hAnsi="Arial"/>
                <w:sz w:val="16"/>
                <w:szCs w:val="16"/>
                <w:color w:val="auto"/>
              </w:rPr>
              <w:t>______________________________________________________________</w:t>
            </w:r>
          </w:p>
        </w:tc>
        <w:tc>
          <w:tcPr>
            <w:tcW w:w="1260" w:type="dxa"/>
            <w:vAlign w:val="bottom"/>
          </w:tcPr>
          <w:p>
            <w:pPr>
              <w:spacing w:after="0"/>
              <w:rPr>
                <w:sz w:val="14"/>
                <w:szCs w:val="14"/>
                <w:color w:val="auto"/>
              </w:rPr>
            </w:pPr>
          </w:p>
        </w:tc>
      </w:tr>
      <w:tr>
        <w:trPr>
          <w:trHeight w:val="493"/>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gridSpan w:val="5"/>
          </w:tcPr>
          <w:p>
            <w:pPr>
              <w:jc w:val="center"/>
              <w:spacing w:after="0"/>
              <w:rPr>
                <w:sz w:val="20"/>
                <w:szCs w:val="20"/>
                <w:color w:val="auto"/>
              </w:rPr>
            </w:pPr>
            <w:r>
              <w:rPr>
                <w:rFonts w:ascii="Arial" w:cs="Arial" w:eastAsia="Arial" w:hAnsi="Arial"/>
                <w:sz w:val="40"/>
                <w:szCs w:val="40"/>
                <w:b w:val="1"/>
                <w:bCs w:val="1"/>
                <w:color w:val="auto"/>
                <w:w w:val="90"/>
              </w:rPr>
              <w:t>The Scotts Miracle-Gro Company</w:t>
            </w:r>
          </w:p>
        </w:tc>
        <w:tc>
          <w:tcPr>
            <w:tcW w:w="1260" w:type="dxa"/>
            <w:vAlign w:val="bottom"/>
          </w:tcPr>
          <w:p>
            <w:pPr>
              <w:spacing w:after="0"/>
              <w:rPr>
                <w:sz w:val="24"/>
                <w:szCs w:val="24"/>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4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1"/>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center"/>
              <w:ind w:right="1159"/>
              <w:spacing w:after="0"/>
              <w:rPr>
                <w:sz w:val="20"/>
                <w:szCs w:val="20"/>
                <w:color w:val="auto"/>
              </w:rPr>
            </w:pPr>
            <w:r>
              <w:rPr>
                <w:rFonts w:ascii="Arial" w:cs="Arial" w:eastAsia="Arial" w:hAnsi="Arial"/>
                <w:sz w:val="16"/>
                <w:szCs w:val="16"/>
                <w:b w:val="1"/>
                <w:bCs w:val="1"/>
                <w:color w:val="auto"/>
                <w:w w:val="93"/>
              </w:rPr>
              <w:t>Ohio</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gridSpan w:val="2"/>
          </w:tcPr>
          <w:p>
            <w:pPr>
              <w:jc w:val="right"/>
              <w:ind w:right="939"/>
              <w:spacing w:after="0"/>
              <w:rPr>
                <w:sz w:val="20"/>
                <w:szCs w:val="20"/>
                <w:color w:val="auto"/>
              </w:rPr>
            </w:pPr>
            <w:r>
              <w:rPr>
                <w:rFonts w:ascii="Arial" w:cs="Arial" w:eastAsia="Arial" w:hAnsi="Arial"/>
                <w:sz w:val="16"/>
                <w:szCs w:val="16"/>
                <w:b w:val="1"/>
                <w:bCs w:val="1"/>
                <w:color w:val="auto"/>
                <w:w w:val="98"/>
              </w:rPr>
              <w:t>31-1414921</w:t>
            </w: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3"/>
              </w:rPr>
              <w:t>(State or other jurisdiction of</w:t>
            </w:r>
          </w:p>
        </w:tc>
        <w:tc>
          <w:tcPr>
            <w:tcW w:w="280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4"/>
              </w:rPr>
              <w:t>incorporation or organization)</w:t>
            </w:r>
          </w:p>
        </w:tc>
        <w:tc>
          <w:tcPr>
            <w:tcW w:w="280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49"/>
        </w:trPr>
        <w:tc>
          <w:tcPr>
            <w:tcW w:w="4020" w:type="dxa"/>
            <w:vAlign w:val="bottom"/>
            <w:gridSpan w:val="4"/>
          </w:tcPr>
          <w:p>
            <w:pPr>
              <w:jc w:val="center"/>
              <w:ind w:left="961"/>
              <w:spacing w:after="0"/>
              <w:rPr>
                <w:sz w:val="20"/>
                <w:szCs w:val="20"/>
                <w:color w:val="auto"/>
              </w:rPr>
            </w:pPr>
            <w:r>
              <w:rPr>
                <w:rFonts w:ascii="Arial" w:cs="Arial" w:eastAsia="Arial" w:hAnsi="Arial"/>
                <w:sz w:val="16"/>
                <w:szCs w:val="16"/>
                <w:b w:val="1"/>
                <w:bCs w:val="1"/>
                <w:color w:val="auto"/>
                <w:w w:val="88"/>
              </w:rPr>
              <w:t>14111 Scottslawn Road,</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0"/>
        </w:trPr>
        <w:tc>
          <w:tcPr>
            <w:tcW w:w="4020" w:type="dxa"/>
            <w:vAlign w:val="bottom"/>
            <w:gridSpan w:val="4"/>
          </w:tcPr>
          <w:p>
            <w:pPr>
              <w:jc w:val="center"/>
              <w:ind w:left="941"/>
              <w:spacing w:after="0"/>
              <w:rPr>
                <w:sz w:val="20"/>
                <w:szCs w:val="20"/>
                <w:color w:val="auto"/>
              </w:rPr>
            </w:pPr>
            <w:r>
              <w:rPr>
                <w:rFonts w:ascii="Arial" w:cs="Arial" w:eastAsia="Arial" w:hAnsi="Arial"/>
                <w:sz w:val="16"/>
                <w:szCs w:val="16"/>
                <w:b w:val="1"/>
                <w:bCs w:val="1"/>
                <w:color w:val="auto"/>
                <w:w w:val="94"/>
              </w:rPr>
              <w:t>Marysville, Ohio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gridSpan w:val="2"/>
          </w:tcPr>
          <w:p>
            <w:pPr>
              <w:jc w:val="right"/>
              <w:ind w:right="1119"/>
              <w:spacing w:after="0"/>
              <w:rPr>
                <w:sz w:val="20"/>
                <w:szCs w:val="20"/>
                <w:color w:val="auto"/>
              </w:rPr>
            </w:pPr>
            <w:r>
              <w:rPr>
                <w:rFonts w:ascii="Arial" w:cs="Arial" w:eastAsia="Arial" w:hAnsi="Arial"/>
                <w:sz w:val="16"/>
                <w:szCs w:val="16"/>
                <w:b w:val="1"/>
                <w:bCs w:val="1"/>
                <w:color w:val="auto"/>
              </w:rPr>
              <w:t>43041</w:t>
            </w:r>
          </w:p>
        </w:tc>
      </w:tr>
      <w:tr>
        <w:trPr>
          <w:trHeight w:val="222"/>
        </w:trPr>
        <w:tc>
          <w:tcPr>
            <w:tcW w:w="4020" w:type="dxa"/>
            <w:vAlign w:val="bottom"/>
            <w:gridSpan w:val="4"/>
          </w:tcPr>
          <w:p>
            <w:pPr>
              <w:jc w:val="center"/>
              <w:ind w:left="9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gridSpan w:val="2"/>
          </w:tcPr>
          <w:p>
            <w:pPr>
              <w:jc w:val="center"/>
              <w:ind w:right="859"/>
              <w:spacing w:after="0"/>
              <w:rPr>
                <w:sz w:val="20"/>
                <w:szCs w:val="20"/>
                <w:color w:val="auto"/>
              </w:rPr>
            </w:pPr>
            <w:r>
              <w:rPr>
                <w:rFonts w:ascii="Arial" w:cs="Arial" w:eastAsia="Arial" w:hAnsi="Arial"/>
                <w:sz w:val="14"/>
                <w:szCs w:val="14"/>
                <w:b w:val="1"/>
                <w:bCs w:val="1"/>
                <w:color w:val="auto"/>
                <w:w w:val="95"/>
              </w:rPr>
              <w:t>(Zip Code)</w:t>
            </w: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937-644-0011</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0"/>
        </w:trPr>
        <w:tc>
          <w:tcPr>
            <w:tcW w:w="1940" w:type="dxa"/>
            <w:vAlign w:val="bottom"/>
          </w:tcPr>
          <w:p>
            <w:pPr>
              <w:spacing w:after="0"/>
              <w:rPr>
                <w:sz w:val="24"/>
                <w:szCs w:val="24"/>
                <w:color w:val="auto"/>
              </w:rPr>
            </w:pPr>
          </w:p>
        </w:tc>
        <w:tc>
          <w:tcPr>
            <w:tcW w:w="2080" w:type="dxa"/>
            <w:vAlign w:val="bottom"/>
            <w:gridSpan w:val="3"/>
          </w:tcPr>
          <w:p>
            <w:pPr>
              <w:jc w:val="center"/>
              <w:ind w:right="839"/>
              <w:spacing w:after="0"/>
              <w:rPr>
                <w:sz w:val="20"/>
                <w:szCs w:val="20"/>
                <w:color w:val="auto"/>
              </w:rPr>
            </w:pPr>
            <w:r>
              <w:rPr>
                <w:rFonts w:ascii="Arial" w:cs="Arial" w:eastAsia="Arial" w:hAnsi="Arial"/>
                <w:sz w:val="14"/>
                <w:szCs w:val="14"/>
                <w:b w:val="1"/>
                <w:bCs w:val="1"/>
                <w:color w:val="auto"/>
                <w:w w:val="93"/>
              </w:rPr>
              <w:t>Title of Each Class</w:t>
            </w:r>
          </w:p>
        </w:tc>
        <w:tc>
          <w:tcPr>
            <w:tcW w:w="280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264"/>
        </w:trPr>
        <w:tc>
          <w:tcPr>
            <w:tcW w:w="4020" w:type="dxa"/>
            <w:vAlign w:val="bottom"/>
            <w:gridSpan w:val="4"/>
          </w:tcPr>
          <w:p>
            <w:pPr>
              <w:jc w:val="center"/>
              <w:ind w:left="961"/>
              <w:spacing w:after="0"/>
              <w:rPr>
                <w:sz w:val="20"/>
                <w:szCs w:val="20"/>
                <w:color w:val="auto"/>
              </w:rPr>
            </w:pPr>
            <w:r>
              <w:rPr>
                <w:rFonts w:ascii="Arial" w:cs="Arial" w:eastAsia="Arial" w:hAnsi="Arial"/>
                <w:sz w:val="18"/>
                <w:szCs w:val="18"/>
                <w:color w:val="auto"/>
                <w:w w:val="90"/>
              </w:rPr>
              <w:t>Common Shares, without par value</w:t>
            </w:r>
          </w:p>
        </w:tc>
        <w:tc>
          <w:tcPr>
            <w:tcW w:w="2800" w:type="dxa"/>
            <w:vAlign w:val="bottom"/>
          </w:tcPr>
          <w:p>
            <w:pPr>
              <w:spacing w:after="0"/>
              <w:rPr>
                <w:sz w:val="22"/>
                <w:szCs w:val="22"/>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2"/>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3"/>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89"/>
              </w:rPr>
              <w:t>None</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6"/>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00" w:type="dxa"/>
            <w:vAlign w:val="bottom"/>
            <w:gridSpan w:val="5"/>
          </w:tcPr>
          <w:p>
            <w:pPr>
              <w:jc w:val="center"/>
              <w:spacing w:after="0"/>
              <w:rPr>
                <w:sz w:val="20"/>
                <w:szCs w:val="20"/>
                <w:color w:val="auto"/>
              </w:rPr>
            </w:pPr>
            <w:r>
              <w:rPr>
                <w:rFonts w:ascii="Arial" w:cs="Arial" w:eastAsia="Arial" w:hAnsi="Arial"/>
                <w:sz w:val="16"/>
                <w:szCs w:val="16"/>
                <w:color w:val="auto"/>
                <w:w w:val="91"/>
              </w:rPr>
              <w:t>______________________________________________________________</w:t>
            </w:r>
          </w:p>
        </w:tc>
        <w:tc>
          <w:tcPr>
            <w:tcW w:w="1260" w:type="dxa"/>
            <w:vAlign w:val="bottom"/>
          </w:tcPr>
          <w:p>
            <w:pPr>
              <w:spacing w:after="0"/>
              <w:rPr>
                <w:sz w:val="17"/>
                <w:szCs w:val="17"/>
                <w:color w:val="auto"/>
              </w:rPr>
            </w:pPr>
          </w:p>
        </w:tc>
      </w:tr>
      <w:tr>
        <w:trPr>
          <w:trHeight w:val="315"/>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jc w:val="right"/>
              <w:ind w:right="81"/>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26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7"/>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26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2180" w:space="720"/>
            <w:col w:w="3960" w:space="720"/>
            <w:col w:w="2940" w:space="720"/>
            <w:col w:w="180"/>
          </w:cols>
          <w:pgMar w:left="240" w:top="229" w:right="2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2180" w:space="720"/>
            <w:col w:w="140" w:space="120"/>
            <w:col w:w="3700" w:space="720"/>
            <w:col w:w="2940" w:space="720"/>
            <w:col w:w="180"/>
          </w:cols>
          <w:pgMar w:left="240" w:top="229"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7" w:lineRule="exact"/>
        <w:rPr>
          <w:sz w:val="24"/>
          <w:szCs w:val="24"/>
          <w:color w:val="auto"/>
        </w:rPr>
      </w:pPr>
    </w:p>
    <w:p>
      <w:pPr>
        <w:sectPr>
          <w:pgSz w:w="11900" w:h="16838" w:orient="portrait"/>
          <w:cols w:equalWidth="0" w:num="5">
            <w:col w:w="7020" w:space="160"/>
            <w:col w:w="220" w:space="80"/>
            <w:col w:w="160" w:space="160"/>
            <w:col w:w="200" w:space="80"/>
            <w:col w:w="3340"/>
          </w:cols>
          <w:pgMar w:left="240" w:top="229" w:right="239" w:bottom="1440" w:gutter="0" w:footer="0" w:header="0"/>
          <w:type w:val="continuous"/>
        </w:sectPr>
      </w:pPr>
    </w:p>
    <w:p>
      <w:pPr>
        <w:ind w:firstLine="324"/>
        <w:spacing w:after="0" w:line="310" w:lineRule="auto"/>
        <w:rPr>
          <w:sz w:val="20"/>
          <w:szCs w:val="20"/>
          <w:color w:val="auto"/>
        </w:rPr>
      </w:pPr>
      <w:r>
        <w:rPr>
          <w:rFonts w:ascii="Arial" w:cs="Arial" w:eastAsia="Arial" w:hAnsi="Arial"/>
          <w:sz w:val="15"/>
          <w:szCs w:val="15"/>
          <w:color w:val="auto"/>
        </w:rPr>
        <w:t>The aggregate market value of Common Shares (the only common equity of the registrant) held by non-affiliates (for this purpose, executive officers and directors of the registrant are considered affiliates) as of March 28, 2014 (the last business day of the most recently completed second quarter) was approximately $2,702,677,743.</w:t>
      </w:r>
    </w:p>
    <w:p>
      <w:pPr>
        <w:spacing w:after="0" w:line="4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There were 60,823,568 Common Shares of the registrant outstanding as of November 14, 2014.</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for the registrant’s 2015 Annual Meeting of Shareholders are incorporated by reference into Part III of this Annual Report on Form 10-K.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provides a brief description of the business conducted by The Scotts Miracle-Gro Company (“Scotts Miracle-Gro” and, together with its subsidiaries, the “Company,” “we” or “us”), including general developments in the Company’s business during the fiscal year ended September 30, 2014 (“fiscal 2014”). For additional information on recent business developments, see “ITEM 7. MANAGEMENT’S DISCUSSION AND ANALYSIS OF FINANCIAL CONDITION AND RESULTS OF OPERATIONS” of this Annual Report on Form 10-K.</w:t>
      </w:r>
    </w:p>
    <w:p>
      <w:pPr>
        <w:spacing w:after="0" w:line="133" w:lineRule="exact"/>
        <w:rPr>
          <w:sz w:val="20"/>
          <w:szCs w:val="20"/>
          <w:color w:val="auto"/>
        </w:rPr>
      </w:pPr>
    </w:p>
    <w:p>
      <w:pPr>
        <w:jc w:val="both"/>
        <w:ind w:firstLine="432"/>
        <w:spacing w:after="0" w:line="204" w:lineRule="auto"/>
        <w:rPr>
          <w:sz w:val="20"/>
          <w:szCs w:val="20"/>
          <w:color w:val="auto"/>
        </w:rPr>
      </w:pPr>
      <w:r>
        <w:rPr>
          <w:rFonts w:ascii="Arial" w:cs="Arial" w:eastAsia="Arial" w:hAnsi="Arial"/>
          <w:sz w:val="17"/>
          <w:szCs w:val="17"/>
          <w:color w:val="auto"/>
        </w:rPr>
        <w:t>We are a leading manufacturer and marketer of branded consumer lawn and garden products. Our products are marketed under some of the most recognized brand names in the industry. In North America, key brands include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Turf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lawn and grass seed products; Miracle-Gro</w:t>
      </w:r>
      <w:r>
        <w:rPr>
          <w:rFonts w:ascii="Arial" w:cs="Arial" w:eastAsia="Arial" w:hAnsi="Arial"/>
          <w:sz w:val="24"/>
          <w:szCs w:val="24"/>
          <w:color w:val="auto"/>
          <w:vertAlign w:val="superscript"/>
        </w:rPr>
        <w:t>®</w:t>
      </w:r>
      <w:r>
        <w:rPr>
          <w:rFonts w:ascii="Arial" w:cs="Arial" w:eastAsia="Arial" w:hAnsi="Arial"/>
          <w:sz w:val="17"/>
          <w:szCs w:val="17"/>
          <w:color w:val="auto"/>
        </w:rPr>
        <w:t>, Nature's Care</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Liquafeed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Osmocote</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gardening and landscape products; and Ortho</w:t>
      </w:r>
      <w:r>
        <w:rPr>
          <w:rFonts w:ascii="Arial" w:cs="Arial" w:eastAsia="Arial" w:hAnsi="Arial"/>
          <w:sz w:val="24"/>
          <w:szCs w:val="24"/>
          <w:color w:val="auto"/>
          <w:vertAlign w:val="superscript"/>
        </w:rPr>
        <w:t>®</w:t>
      </w:r>
      <w:r>
        <w:rPr>
          <w:rFonts w:ascii="Arial" w:cs="Arial" w:eastAsia="Arial" w:hAnsi="Arial"/>
          <w:sz w:val="17"/>
          <w:szCs w:val="17"/>
          <w:color w:val="auto"/>
        </w:rPr>
        <w:t>, Roundup</w:t>
      </w:r>
      <w:r>
        <w:rPr>
          <w:rFonts w:ascii="Arial" w:cs="Arial" w:eastAsia="Arial" w:hAnsi="Arial"/>
          <w:sz w:val="24"/>
          <w:szCs w:val="24"/>
          <w:color w:val="auto"/>
          <w:vertAlign w:val="superscript"/>
        </w:rPr>
        <w:t>®2</w:t>
      </w:r>
      <w:r>
        <w:rPr>
          <w:rFonts w:ascii="Arial" w:cs="Arial" w:eastAsia="Arial" w:hAnsi="Arial"/>
          <w:sz w:val="12"/>
          <w:szCs w:val="12"/>
          <w:color w:val="auto"/>
        </w:rPr>
        <w:t>,</w:t>
      </w:r>
      <w:r>
        <w:rPr>
          <w:rFonts w:ascii="Arial" w:cs="Arial" w:eastAsia="Arial" w:hAnsi="Arial"/>
          <w:sz w:val="17"/>
          <w:szCs w:val="17"/>
          <w:color w:val="auto"/>
        </w:rPr>
        <w:t xml:space="preserve"> Home Defense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branded insect control, weed control and rodent control products. In the United Kingdom, key brands include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plant fertilizers; Roundup</w:t>
      </w:r>
      <w:r>
        <w:rPr>
          <w:rFonts w:ascii="Arial" w:cs="Arial" w:eastAsia="Arial" w:hAnsi="Arial"/>
          <w:sz w:val="24"/>
          <w:szCs w:val="24"/>
          <w:color w:val="auto"/>
          <w:vertAlign w:val="superscript"/>
        </w:rPr>
        <w:t>®2</w:t>
      </w:r>
      <w:r>
        <w:rPr>
          <w:rFonts w:ascii="Arial" w:cs="Arial" w:eastAsia="Arial" w:hAnsi="Arial"/>
          <w:sz w:val="17"/>
          <w:szCs w:val="17"/>
          <w:color w:val="auto"/>
        </w:rPr>
        <w:t>, Weedol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Pathclear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herbicides; EverGreen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lawn fertilizers; and Levington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gardening and landscape products. Other significant brands in Europe include Roundup</w:t>
      </w:r>
      <w:r>
        <w:rPr>
          <w:rFonts w:ascii="Arial" w:cs="Arial" w:eastAsia="Arial" w:hAnsi="Arial"/>
          <w:sz w:val="24"/>
          <w:szCs w:val="24"/>
          <w:color w:val="auto"/>
          <w:vertAlign w:val="superscript"/>
        </w:rPr>
        <w:t>®2</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Fertiligène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France; Roundup</w:t>
      </w:r>
      <w:r>
        <w:rPr>
          <w:rFonts w:ascii="Arial" w:cs="Arial" w:eastAsia="Arial" w:hAnsi="Arial"/>
          <w:sz w:val="24"/>
          <w:szCs w:val="24"/>
          <w:color w:val="auto"/>
          <w:vertAlign w:val="superscript"/>
        </w:rPr>
        <w:t>®2</w:t>
      </w:r>
      <w:r>
        <w:rPr>
          <w:rFonts w:ascii="Arial" w:cs="Arial" w:eastAsia="Arial" w:hAnsi="Arial"/>
          <w:sz w:val="17"/>
          <w:szCs w:val="17"/>
          <w:color w:val="auto"/>
        </w:rPr>
        <w:t>, Celaflor</w:t>
      </w:r>
      <w:r>
        <w:rPr>
          <w:rFonts w:ascii="Arial" w:cs="Arial" w:eastAsia="Arial" w:hAnsi="Arial"/>
          <w:sz w:val="24"/>
          <w:szCs w:val="24"/>
          <w:color w:val="auto"/>
          <w:vertAlign w:val="superscript"/>
        </w:rPr>
        <w:t>®</w:t>
      </w:r>
      <w:r>
        <w:rPr>
          <w:rFonts w:ascii="Arial" w:cs="Arial" w:eastAsia="Arial" w:hAnsi="Arial"/>
          <w:sz w:val="17"/>
          <w:szCs w:val="17"/>
          <w:color w:val="auto"/>
        </w:rPr>
        <w:t>, Nexa Lotte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Substral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Germany and Austria; and Roundup</w:t>
      </w:r>
      <w:r>
        <w:rPr>
          <w:rFonts w:ascii="Arial" w:cs="Arial" w:eastAsia="Arial" w:hAnsi="Arial"/>
          <w:sz w:val="24"/>
          <w:szCs w:val="24"/>
          <w:color w:val="auto"/>
          <w:vertAlign w:val="superscript"/>
        </w:rPr>
        <w:t>®2</w:t>
      </w:r>
      <w:r>
        <w:rPr>
          <w:rFonts w:ascii="Arial" w:cs="Arial" w:eastAsia="Arial" w:hAnsi="Arial"/>
          <w:sz w:val="17"/>
          <w:szCs w:val="17"/>
          <w:color w:val="auto"/>
        </w:rPr>
        <w:t>, ASEF</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Substral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Belgium, the Netherlands and Luxembourg. We also operate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which provides residential and commercial lawn care, tree and shrub care and pest control services in the United States.</w:t>
      </w:r>
    </w:p>
    <w:p>
      <w:pPr>
        <w:spacing w:after="0" w:line="15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heritage is tied to the 1995 merger of The Scotts Company, which traces its roots to a company founded by O.M. Scott in Marysville, Ohio in 1868, and Stern’s Miracle-Gro Products, Inc., which was formed by Horace Hagedorn and Otto Stern on Long Island, New York in 1951. Scotts Miracle-Gro is an Ohio corporation.</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consumers’ lawn and garden environments. In fiscal 2014, we advanced a number of key initiatives which focused on: (1) margin improvement and savings initiatives in the core business; and (2) investment in growth opportunities adjacent to the core business as well as expansion into the urban and indoor consumer category. After a late start to the lawn and garden season which negatively impacted our first half results, improved consumer engagement and our initiatives came together in the second half of the year to lift full year results. We also continued our long-term focus on innovation and global expansion.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17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Consumer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p>
      <w:pPr>
        <w:spacing w:after="0" w:line="9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This division of reportable segments is consistent with how the segments report to and are managed by our Chief Executive Officer (the chief operating decision-maker of the Company). Financial information about these segments for each of the three fiscal years ended September 30, 2014, 2013, and 2012 is presented in “NOTE 21. SEGMENT INFORMATION” of the Notes to Consolidated Financial Statements included in this Annual Report on Form 10-K.</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80" w:hanging="145"/>
        <w:spacing w:after="0"/>
        <w:tabs>
          <w:tab w:leader="none" w:pos="18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Osmocote® is a registered trademark of Everris International B.V., a subsidiary of Israel Chemicals Ltd.</w:t>
      </w:r>
    </w:p>
    <w:p>
      <w:pPr>
        <w:spacing w:after="0" w:line="50" w:lineRule="exact"/>
        <w:rPr>
          <w:sz w:val="20"/>
          <w:szCs w:val="20"/>
          <w:color w:val="auto"/>
        </w:rPr>
      </w:pPr>
    </w:p>
    <w:p>
      <w:pPr>
        <w:ind w:left="5660" w:right="1900" w:hanging="5625"/>
        <w:spacing w:after="0" w:line="224" w:lineRule="auto"/>
        <w:tabs>
          <w:tab w:leader="none" w:pos="179"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Roundup® is a registered trademark of Monsanto Technology LLC, a company affiliated with Monsanto Company (“Monsanto”) 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our Global Consumer segment, we manufacture and market consumer lawn and garden products in the following categories:</w:t>
      </w:r>
    </w:p>
    <w:p>
      <w:pPr>
        <w:spacing w:after="0" w:line="171" w:lineRule="exact"/>
        <w:rPr>
          <w:sz w:val="20"/>
          <w:szCs w:val="20"/>
          <w:color w:val="auto"/>
        </w:rPr>
      </w:pPr>
    </w:p>
    <w:p>
      <w:pPr>
        <w:jc w:val="both"/>
        <w:ind w:firstLine="878"/>
        <w:spacing w:after="0" w:line="210" w:lineRule="auto"/>
        <w:rPr>
          <w:sz w:val="20"/>
          <w:szCs w:val="20"/>
          <w:color w:val="auto"/>
        </w:rPr>
      </w:pPr>
      <w:r>
        <w:rPr>
          <w:rFonts w:ascii="Arial" w:cs="Arial" w:eastAsia="Arial" w:hAnsi="Arial"/>
          <w:sz w:val="17"/>
          <w:szCs w:val="17"/>
          <w:i w:val="1"/>
          <w:iCs w:val="1"/>
          <w:color w:val="auto"/>
        </w:rPr>
        <w:t xml:space="preserve">Lawn Care: </w:t>
      </w:r>
      <w:r>
        <w:rPr>
          <w:rFonts w:ascii="Arial" w:cs="Arial" w:eastAsia="Arial" w:hAnsi="Arial"/>
          <w:sz w:val="17"/>
          <w:szCs w:val="17"/>
          <w:color w:val="auto"/>
        </w:rPr>
        <w:t>The lawn care category is designed to help consumers obtain and enjoy the lawn they want. In the United States, products within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include lawn fertilizer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Turf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grass seed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Turf Builder</w:t>
      </w:r>
      <w:r>
        <w:rPr>
          <w:rFonts w:ascii="Arial" w:cs="Arial" w:eastAsia="Arial" w:hAnsi="Arial"/>
          <w:sz w:val="24"/>
          <w:szCs w:val="24"/>
          <w:color w:val="auto"/>
          <w:vertAlign w:val="superscript"/>
        </w:rPr>
        <w:t>®</w:t>
      </w:r>
      <w:r>
        <w:rPr>
          <w:rFonts w:ascii="Arial" w:cs="Arial" w:eastAsia="Arial" w:hAnsi="Arial"/>
          <w:sz w:val="17"/>
          <w:szCs w:val="17"/>
          <w:color w:val="auto"/>
        </w:rPr>
        <w:t>, EZ Seed</w:t>
      </w:r>
      <w:r>
        <w:rPr>
          <w:rFonts w:ascii="Arial" w:cs="Arial" w:eastAsia="Arial" w:hAnsi="Arial"/>
          <w:sz w:val="24"/>
          <w:szCs w:val="24"/>
          <w:color w:val="auto"/>
          <w:vertAlign w:val="superscript"/>
        </w:rPr>
        <w:t>®</w:t>
      </w:r>
      <w:r>
        <w:rPr>
          <w:rFonts w:ascii="Arial" w:cs="Arial" w:eastAsia="Arial" w:hAnsi="Arial"/>
          <w:sz w:val="17"/>
          <w:szCs w:val="17"/>
          <w:color w:val="auto"/>
        </w:rPr>
        <w:t>, Water Smart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PatchMaster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and lawn-related weed, pest and disease control products primarily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including sub-brands such as GrubEx</w:t>
      </w:r>
      <w:r>
        <w:rPr>
          <w:rFonts w:ascii="Arial" w:cs="Arial" w:eastAsia="Arial" w:hAnsi="Arial"/>
          <w:sz w:val="24"/>
          <w:szCs w:val="24"/>
          <w:color w:val="auto"/>
          <w:vertAlign w:val="superscript"/>
        </w:rPr>
        <w:t>®</w:t>
      </w:r>
      <w:r>
        <w:rPr>
          <w:rFonts w:ascii="Arial" w:cs="Arial" w:eastAsia="Arial" w:hAnsi="Arial"/>
          <w:sz w:val="17"/>
          <w:szCs w:val="17"/>
          <w:color w:val="auto"/>
        </w:rPr>
        <w:t>. A similar range of products is marketed in Europe under a variety of brands such as EverGreen</w:t>
      </w:r>
      <w:r>
        <w:rPr>
          <w:rFonts w:ascii="Arial" w:cs="Arial" w:eastAsia="Arial" w:hAnsi="Arial"/>
          <w:sz w:val="24"/>
          <w:szCs w:val="24"/>
          <w:color w:val="auto"/>
          <w:vertAlign w:val="superscript"/>
        </w:rPr>
        <w:t>®</w:t>
      </w:r>
      <w:r>
        <w:rPr>
          <w:rFonts w:ascii="Arial" w:cs="Arial" w:eastAsia="Arial" w:hAnsi="Arial"/>
          <w:sz w:val="17"/>
          <w:szCs w:val="17"/>
          <w:color w:val="auto"/>
        </w:rPr>
        <w:t>, Fertiligène</w:t>
      </w:r>
      <w:r>
        <w:rPr>
          <w:rFonts w:ascii="Arial" w:cs="Arial" w:eastAsia="Arial" w:hAnsi="Arial"/>
          <w:sz w:val="24"/>
          <w:szCs w:val="24"/>
          <w:color w:val="auto"/>
          <w:vertAlign w:val="superscript"/>
        </w:rPr>
        <w:t>®</w:t>
      </w:r>
      <w:r>
        <w:rPr>
          <w:rFonts w:ascii="Arial" w:cs="Arial" w:eastAsia="Arial" w:hAnsi="Arial"/>
          <w:sz w:val="17"/>
          <w:szCs w:val="17"/>
          <w:color w:val="auto"/>
        </w:rPr>
        <w:t>, Substral</w:t>
      </w:r>
      <w:r>
        <w:rPr>
          <w:rFonts w:ascii="Arial" w:cs="Arial" w:eastAsia="Arial" w:hAnsi="Arial"/>
          <w:sz w:val="24"/>
          <w:szCs w:val="24"/>
          <w:color w:val="auto"/>
          <w:vertAlign w:val="superscript"/>
        </w:rPr>
        <w:t>®</w:t>
      </w:r>
      <w:r>
        <w:rPr>
          <w:rFonts w:ascii="Arial" w:cs="Arial" w:eastAsia="Arial" w:hAnsi="Arial"/>
          <w:sz w:val="17"/>
          <w:szCs w:val="17"/>
          <w:color w:val="auto"/>
        </w:rPr>
        <w:t>, Miracle-Gro Patch Magic</w:t>
      </w:r>
      <w:r>
        <w:rPr>
          <w:rFonts w:ascii="Arial" w:cs="Arial" w:eastAsia="Arial" w:hAnsi="Arial"/>
          <w:sz w:val="24"/>
          <w:szCs w:val="24"/>
          <w:color w:val="auto"/>
          <w:vertAlign w:val="superscript"/>
        </w:rPr>
        <w:t>®</w:t>
      </w:r>
      <w:r>
        <w:rPr>
          <w:rFonts w:ascii="Arial" w:cs="Arial" w:eastAsia="Arial" w:hAnsi="Arial"/>
          <w:sz w:val="17"/>
          <w:szCs w:val="17"/>
          <w:color w:val="auto"/>
        </w:rPr>
        <w:t>, Weedol</w:t>
      </w:r>
      <w:r>
        <w:rPr>
          <w:rFonts w:ascii="Arial" w:cs="Arial" w:eastAsia="Arial" w:hAnsi="Arial"/>
          <w:sz w:val="24"/>
          <w:szCs w:val="24"/>
          <w:color w:val="auto"/>
          <w:vertAlign w:val="superscript"/>
        </w:rPr>
        <w:t>®</w:t>
      </w:r>
      <w:r>
        <w:rPr>
          <w:rFonts w:ascii="Arial" w:cs="Arial" w:eastAsia="Arial" w:hAnsi="Arial"/>
          <w:sz w:val="17"/>
          <w:szCs w:val="17"/>
          <w:color w:val="auto"/>
        </w:rPr>
        <w:t>, Pathclear</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Celaflor</w:t>
      </w:r>
      <w:r>
        <w:rPr>
          <w:rFonts w:ascii="Arial" w:cs="Arial" w:eastAsia="Arial" w:hAnsi="Arial"/>
          <w:sz w:val="24"/>
          <w:szCs w:val="24"/>
          <w:color w:val="auto"/>
          <w:vertAlign w:val="superscript"/>
        </w:rPr>
        <w:t>®</w:t>
      </w:r>
      <w:r>
        <w:rPr>
          <w:rFonts w:ascii="Arial" w:cs="Arial" w:eastAsia="Arial" w:hAnsi="Arial"/>
          <w:sz w:val="17"/>
          <w:szCs w:val="17"/>
          <w:color w:val="auto"/>
        </w:rPr>
        <w:t>. The lawn care category also includes spreaders and other durables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including Turf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EdgeGuard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spreaders, Snap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spreaders and Handy Green</w:t>
      </w:r>
      <w:r>
        <w:rPr>
          <w:rFonts w:ascii="Arial" w:cs="Arial" w:eastAsia="Arial" w:hAnsi="Arial"/>
          <w:sz w:val="24"/>
          <w:szCs w:val="24"/>
          <w:color w:val="auto"/>
          <w:vertAlign w:val="superscript"/>
        </w:rPr>
        <w:t>®</w:t>
      </w:r>
      <w:r>
        <w:rPr>
          <w:rFonts w:ascii="Arial" w:cs="Arial" w:eastAsia="Arial" w:hAnsi="Arial"/>
          <w:sz w:val="17"/>
          <w:szCs w:val="17"/>
          <w:color w:val="auto"/>
        </w:rPr>
        <w:t>II handheld spreaders. In addition, in 2015, we will begin to market outdoor cleaners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OxiClean</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brand name.</w:t>
      </w:r>
    </w:p>
    <w:p>
      <w:pPr>
        <w:spacing w:after="0" w:line="55" w:lineRule="exact"/>
        <w:rPr>
          <w:sz w:val="20"/>
          <w:szCs w:val="20"/>
          <w:color w:val="auto"/>
        </w:rPr>
      </w:pPr>
    </w:p>
    <w:p>
      <w:pPr>
        <w:jc w:val="both"/>
        <w:ind w:firstLine="878"/>
        <w:spacing w:after="0" w:line="212" w:lineRule="auto"/>
        <w:rPr>
          <w:sz w:val="20"/>
          <w:szCs w:val="20"/>
          <w:color w:val="auto"/>
        </w:rPr>
      </w:pPr>
      <w:r>
        <w:rPr>
          <w:rFonts w:ascii="Arial" w:cs="Arial" w:eastAsia="Arial" w:hAnsi="Arial"/>
          <w:sz w:val="17"/>
          <w:szCs w:val="17"/>
          <w:i w:val="1"/>
          <w:iCs w:val="1"/>
          <w:color w:val="auto"/>
        </w:rPr>
        <w:t xml:space="preserve">Gardening and Landscape: </w:t>
      </w:r>
      <w:r>
        <w:rPr>
          <w:rFonts w:ascii="Arial" w:cs="Arial" w:eastAsia="Arial" w:hAnsi="Arial"/>
          <w:sz w:val="17"/>
          <w:szCs w:val="17"/>
          <w:color w:val="auto"/>
        </w:rPr>
        <w:t>The gardening and landscape category is designed to help consumers grow and enjoy flower and vegetable gardens</w:t>
      </w:r>
      <w:r>
        <w:rPr>
          <w:rFonts w:ascii="Arial" w:cs="Arial" w:eastAsia="Arial" w:hAnsi="Arial"/>
          <w:sz w:val="17"/>
          <w:szCs w:val="17"/>
          <w:i w:val="1"/>
          <w:iCs w:val="1"/>
          <w:color w:val="auto"/>
        </w:rPr>
        <w:t xml:space="preserve"> </w:t>
      </w:r>
      <w:r>
        <w:rPr>
          <w:rFonts w:ascii="Arial" w:cs="Arial" w:eastAsia="Arial" w:hAnsi="Arial"/>
          <w:sz w:val="17"/>
          <w:szCs w:val="17"/>
          <w:color w:val="auto"/>
        </w:rPr>
        <w:t>and beautify landscaped areas. In the United States, products within this category include a complete line of water soluble plant foods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such as LiquaFeed</w:t>
      </w:r>
      <w:r>
        <w:rPr>
          <w:rFonts w:ascii="Arial" w:cs="Arial" w:eastAsia="Arial" w:hAnsi="Arial"/>
          <w:sz w:val="24"/>
          <w:szCs w:val="24"/>
          <w:color w:val="auto"/>
          <w:vertAlign w:val="superscript"/>
        </w:rPr>
        <w:t>®</w:t>
      </w:r>
      <w:r>
        <w:rPr>
          <w:rFonts w:ascii="Arial" w:cs="Arial" w:eastAsia="Arial" w:hAnsi="Arial"/>
          <w:sz w:val="17"/>
          <w:szCs w:val="17"/>
          <w:color w:val="auto"/>
        </w:rPr>
        <w:t>, continuous-release plant foods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Osmocote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and sub-brands of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such as Shake ‘N Feed</w:t>
      </w:r>
      <w:r>
        <w:rPr>
          <w:rFonts w:ascii="Arial" w:cs="Arial" w:eastAsia="Arial" w:hAnsi="Arial"/>
          <w:sz w:val="24"/>
          <w:szCs w:val="24"/>
          <w:color w:val="auto"/>
          <w:vertAlign w:val="superscript"/>
        </w:rPr>
        <w:t>®</w:t>
      </w:r>
      <w:r>
        <w:rPr>
          <w:rFonts w:ascii="Arial" w:cs="Arial" w:eastAsia="Arial" w:hAnsi="Arial"/>
          <w:sz w:val="17"/>
          <w:szCs w:val="17"/>
          <w:color w:val="auto"/>
        </w:rPr>
        <w:t>; potting mixes and garden soils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Hyponex</w:t>
      </w:r>
      <w:r>
        <w:rPr>
          <w:rFonts w:ascii="Arial" w:cs="Arial" w:eastAsia="Arial" w:hAnsi="Arial"/>
          <w:sz w:val="24"/>
          <w:szCs w:val="24"/>
          <w:color w:val="auto"/>
          <w:vertAlign w:val="superscript"/>
        </w:rPr>
        <w:t>®</w:t>
      </w:r>
      <w:r>
        <w:rPr>
          <w:rFonts w:ascii="Arial" w:cs="Arial" w:eastAsia="Arial" w:hAnsi="Arial"/>
          <w:sz w:val="17"/>
          <w:szCs w:val="17"/>
          <w:color w:val="auto"/>
        </w:rPr>
        <w:t>, Earthgro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SuperSoil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mulch and decorative groundcover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including the sub-brands Nature Scapes</w:t>
      </w:r>
      <w:r>
        <w:rPr>
          <w:rFonts w:ascii="Arial" w:cs="Arial" w:eastAsia="Arial" w:hAnsi="Arial"/>
          <w:sz w:val="24"/>
          <w:szCs w:val="24"/>
          <w:color w:val="auto"/>
          <w:vertAlign w:val="superscript"/>
        </w:rPr>
        <w:t>®</w:t>
      </w:r>
      <w:r>
        <w:rPr>
          <w:rFonts w:ascii="Arial" w:cs="Arial" w:eastAsia="Arial" w:hAnsi="Arial"/>
          <w:sz w:val="17"/>
          <w:szCs w:val="17"/>
          <w:color w:val="auto"/>
        </w:rPr>
        <w:t>, Earthgro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Hyponex by Scotts</w:t>
      </w:r>
      <w:r>
        <w:rPr>
          <w:rFonts w:ascii="Arial" w:cs="Arial" w:eastAsia="Arial" w:hAnsi="Arial"/>
          <w:sz w:val="24"/>
          <w:szCs w:val="24"/>
          <w:color w:val="auto"/>
          <w:vertAlign w:val="superscript"/>
        </w:rPr>
        <w:t>®</w:t>
      </w:r>
      <w:r>
        <w:rPr>
          <w:rFonts w:ascii="Arial" w:cs="Arial" w:eastAsia="Arial" w:hAnsi="Arial"/>
          <w:sz w:val="17"/>
          <w:szCs w:val="17"/>
          <w:color w:val="auto"/>
        </w:rPr>
        <w:t>; landscape weed prevention products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plant-related pest and disease control products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organic garden products under the Miracle-Gro Organic Choice</w:t>
      </w:r>
      <w:r>
        <w:rPr>
          <w:rFonts w:ascii="Arial" w:cs="Arial" w:eastAsia="Arial" w:hAnsi="Arial"/>
          <w:sz w:val="24"/>
          <w:szCs w:val="24"/>
          <w:color w:val="auto"/>
          <w:vertAlign w:val="superscript"/>
        </w:rPr>
        <w:t>®</w:t>
      </w:r>
      <w:r>
        <w:rPr>
          <w:rFonts w:ascii="Arial" w:cs="Arial" w:eastAsia="Arial" w:hAnsi="Arial"/>
          <w:sz w:val="17"/>
          <w:szCs w:val="17"/>
          <w:color w:val="auto"/>
        </w:rPr>
        <w:t>, Nature's Care</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Whitney Farms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and live goods and seeding solutions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Gro-ables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sub-brand. Internationally, similar products are marketed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Fertiligène</w:t>
      </w:r>
      <w:r>
        <w:rPr>
          <w:rFonts w:ascii="Arial" w:cs="Arial" w:eastAsia="Arial" w:hAnsi="Arial"/>
          <w:sz w:val="24"/>
          <w:szCs w:val="24"/>
          <w:color w:val="auto"/>
          <w:vertAlign w:val="superscript"/>
        </w:rPr>
        <w:t>®</w:t>
      </w:r>
      <w:r>
        <w:rPr>
          <w:rFonts w:ascii="Arial" w:cs="Arial" w:eastAsia="Arial" w:hAnsi="Arial"/>
          <w:sz w:val="17"/>
          <w:szCs w:val="17"/>
          <w:color w:val="auto"/>
        </w:rPr>
        <w:t>, Substral</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Celaflor</w:t>
      </w:r>
      <w:r>
        <w:rPr>
          <w:rFonts w:ascii="Arial" w:cs="Arial" w:eastAsia="Arial" w:hAnsi="Arial"/>
          <w:sz w:val="24"/>
          <w:szCs w:val="24"/>
          <w:color w:val="auto"/>
          <w:vertAlign w:val="superscript"/>
        </w:rPr>
        <w:t>®</w:t>
      </w:r>
      <w:r>
        <w:rPr>
          <w:rFonts w:ascii="Arial" w:cs="Arial" w:eastAsia="Arial" w:hAnsi="Arial"/>
          <w:sz w:val="17"/>
          <w:szCs w:val="17"/>
          <w:color w:val="auto"/>
        </w:rPr>
        <w:t>, ASEF</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Scotts EcoSense</w:t>
      </w:r>
      <w:r>
        <w:rPr>
          <w:rFonts w:ascii="Arial" w:cs="Arial" w:eastAsia="Arial" w:hAnsi="Arial"/>
          <w:sz w:val="24"/>
          <w:szCs w:val="24"/>
          <w:color w:val="auto"/>
          <w:vertAlign w:val="superscript"/>
        </w:rPr>
        <w:t>®</w:t>
      </w:r>
      <w:r>
        <w:rPr>
          <w:rFonts w:ascii="Arial" w:cs="Arial" w:eastAsia="Arial" w:hAnsi="Arial"/>
          <w:sz w:val="17"/>
          <w:szCs w:val="17"/>
          <w:color w:val="auto"/>
        </w:rPr>
        <w:t>, Naturen</w:t>
      </w:r>
      <w:r>
        <w:rPr>
          <w:rFonts w:ascii="Arial" w:cs="Arial" w:eastAsia="Arial" w:hAnsi="Arial"/>
          <w:sz w:val="24"/>
          <w:szCs w:val="24"/>
          <w:color w:val="auto"/>
          <w:vertAlign w:val="superscript"/>
        </w:rPr>
        <w:t>®</w:t>
      </w:r>
      <w:r>
        <w:rPr>
          <w:rFonts w:ascii="Arial" w:cs="Arial" w:eastAsia="Arial" w:hAnsi="Arial"/>
          <w:sz w:val="17"/>
          <w:szCs w:val="17"/>
          <w:color w:val="auto"/>
        </w:rPr>
        <w:t>, and Miracle-Gro Organic Choice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w:t>
      </w:r>
    </w:p>
    <w:p>
      <w:pPr>
        <w:spacing w:after="0" w:line="55"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16"/>
          <w:szCs w:val="16"/>
          <w:i w:val="1"/>
          <w:iCs w:val="1"/>
          <w:color w:val="auto"/>
        </w:rPr>
        <w:t xml:space="preserve">Controls: </w:t>
      </w:r>
      <w:r>
        <w:rPr>
          <w:rFonts w:ascii="Arial" w:cs="Arial" w:eastAsia="Arial" w:hAnsi="Arial"/>
          <w:sz w:val="16"/>
          <w:szCs w:val="16"/>
          <w:color w:val="auto"/>
        </w:rPr>
        <w:t>The controls category is designed to help consumers protect their homes from pests and maintain external home areas.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insect control products are marketed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Ortho Max</w:t>
      </w:r>
      <w:r>
        <w:rPr>
          <w:rFonts w:ascii="Arial" w:cs="Arial" w:eastAsia="Arial" w:hAnsi="Arial"/>
          <w:sz w:val="22"/>
          <w:szCs w:val="22"/>
          <w:color w:val="auto"/>
          <w:vertAlign w:val="superscript"/>
        </w:rPr>
        <w:t>®</w:t>
      </w:r>
      <w:r>
        <w:rPr>
          <w:rFonts w:ascii="Arial" w:cs="Arial" w:eastAsia="Arial" w:hAnsi="Arial"/>
          <w:sz w:val="16"/>
          <w:szCs w:val="16"/>
          <w:color w:val="auto"/>
        </w:rPr>
        <w:t>, Home Defense Max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Bug B Gon Max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sub-brands; rodent control products are marketed under the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selective weed control products are marketed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Weed B Gon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 and non-selective weed control products are marketed under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Groundclear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Internationally, products within this category are marketed under the Nexa Lotte</w:t>
      </w:r>
      <w:r>
        <w:rPr>
          <w:rFonts w:ascii="Arial" w:cs="Arial" w:eastAsia="Arial" w:hAnsi="Arial"/>
          <w:sz w:val="22"/>
          <w:szCs w:val="22"/>
          <w:color w:val="auto"/>
          <w:vertAlign w:val="superscript"/>
        </w:rPr>
        <w:t>®</w:t>
      </w:r>
      <w:r>
        <w:rPr>
          <w:rFonts w:ascii="Arial" w:cs="Arial" w:eastAsia="Arial" w:hAnsi="Arial"/>
          <w:sz w:val="16"/>
          <w:szCs w:val="16"/>
          <w:color w:val="auto"/>
        </w:rPr>
        <w:t>, Fertiligène</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Home Defence</w:t>
      </w:r>
      <w:r>
        <w:rPr>
          <w:rFonts w:ascii="Arial" w:cs="Arial" w:eastAsia="Arial" w:hAnsi="Arial"/>
          <w:sz w:val="22"/>
          <w:szCs w:val="22"/>
          <w:color w:val="auto"/>
          <w:vertAlign w:val="superscript"/>
        </w:rPr>
        <w:t>®</w:t>
      </w:r>
      <w:r>
        <w:rPr>
          <w:rFonts w:ascii="Arial" w:cs="Arial" w:eastAsia="Arial" w:hAnsi="Arial"/>
          <w:sz w:val="16"/>
          <w:szCs w:val="16"/>
          <w:color w:val="auto"/>
        </w:rPr>
        <w:t>, Weedol</w:t>
      </w:r>
      <w:r>
        <w:rPr>
          <w:rFonts w:ascii="Arial" w:cs="Arial" w:eastAsia="Arial" w:hAnsi="Arial"/>
          <w:sz w:val="22"/>
          <w:szCs w:val="22"/>
          <w:color w:val="auto"/>
          <w:vertAlign w:val="superscript"/>
        </w:rPr>
        <w:t>®</w:t>
      </w:r>
      <w:r>
        <w:rPr>
          <w:rFonts w:ascii="Arial" w:cs="Arial" w:eastAsia="Arial" w:hAnsi="Arial"/>
          <w:sz w:val="16"/>
          <w:szCs w:val="16"/>
          <w:color w:val="auto"/>
        </w:rPr>
        <w:t>, Pathclear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w:t>
      </w:r>
    </w:p>
    <w:p>
      <w:pPr>
        <w:spacing w:after="0" w:line="52"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7"/>
          <w:szCs w:val="17"/>
          <w:color w:val="auto"/>
        </w:rPr>
        <w:t>Since 1999, we have served as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in the consumer lawn and garden market within the United States and other specified countries, including Australia, Austria, Belgium, Canada, France, Germany, the Netherlands and the United Kingdom. Under the terms of the Amended and Restated Exclusive Agency and Marketing Agreement (the “Marketing Agreement”) between the Company and Monsanto, we are jointly responsible with Monsanto for developing global consumer and trade marketing programs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We have responsibility for manufacturing conversion (in North America), distribution and logistics, and selling and marketing support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Monsanto continues to own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and provides significant oversight of the brand. In addition, Monsanto continues to own and operate the agricultural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 additional details regarding the Marketing Agreement, see “ITEM 1A. RISK FACTORS — If Monsanto were to terminate the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we would lose a substantial source of future earnings and overhead expense absorption” of this Annual Report on Form 10-K and “NOTE 6. MARKETING AGREEMENT” of the Notes to Consolidated Financial Statements included in this Annual Report on Form 10-K.</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p>
    <w:p>
      <w:pPr>
        <w:jc w:val="both"/>
        <w:ind w:firstLine="432"/>
        <w:spacing w:after="0" w:line="203" w:lineRule="auto"/>
        <w:rPr>
          <w:sz w:val="20"/>
          <w:szCs w:val="20"/>
          <w:color w:val="auto"/>
        </w:rPr>
      </w:pPr>
      <w:r>
        <w:rPr>
          <w:rFonts w:ascii="Arial" w:cs="Arial" w:eastAsia="Arial" w:hAnsi="Arial"/>
          <w:sz w:val="17"/>
          <w:szCs w:val="17"/>
          <w:color w:val="auto"/>
        </w:rPr>
        <w:t>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provides residential and commercial lawn care, tree and shrub care and pest control services in the United States through periodic applications of fertilizer and control products. As of September 30, 2014,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had 84 Company-operated locations as well as 95 locations operated by independent franchisees. Also, on October 16, 2014,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entered into a definitive agreement to acquire the assets of Action Pest Control, Inc. (“Action Pest”), a residential pest control provider in the Midwest.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OxiClean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Church &amp; Dwight Co., Inc.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94" w:lineRule="exact"/>
        <w:rPr>
          <w:sz w:val="20"/>
          <w:szCs w:val="20"/>
          <w:color w:val="auto"/>
        </w:rPr>
      </w:pPr>
    </w:p>
    <w:p>
      <w:pPr>
        <w:jc w:val="both"/>
        <w:ind w:firstLine="432"/>
        <w:spacing w:after="0" w:line="197" w:lineRule="auto"/>
        <w:rPr>
          <w:sz w:val="20"/>
          <w:szCs w:val="20"/>
          <w:color w:val="auto"/>
        </w:rPr>
      </w:pPr>
      <w:r>
        <w:rPr>
          <w:rFonts w:ascii="Arial" w:cs="Arial" w:eastAsia="Arial" w:hAnsi="Arial"/>
          <w:sz w:val="18"/>
          <w:szCs w:val="18"/>
          <w:color w:val="auto"/>
        </w:rPr>
        <w:t>On October 14, 2013, we acquired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rodent control business from Bell Laboratories, Inc., located in Madison, Wisconsin, for $60.0 million in an all-cash transaction. The acquisition included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as well as a long-term partnership to bring innovative technologies to the consumer rodent control market.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products are sold at home centers and mass retailers, as well as grocery, drug and general merchandise stores across the United States and Canada, in addition to Europe and Australia.</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fourth quarter of fiscal 2014, we obtained control of the operations of AeroGrow International, Inc. (“AeroGrow”) through our increased involvement, influence, and working capital loan of $4.5 million provided in July 2014. AeroGrow is a developer, marketer, direct-seller, and wholesaler of advanced indoor garden systems designed for consumer use in gardening, cooking, healthy eating, and home and office décor markets. AeroGrow operates primarily in the United States and Canada, as well as select countries in Europe, Asia and Australia.</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fourth quarter of fiscal 2014, we also completed an acquisition of the U.K. based Solus Garden and Leisure Limited (“Solus”) within our Global Consumer segment for $7.4 million. Solus is a supplier of garden and leisure products, offering a diverse mix of brands.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30, 2014, our wholly-owned subsidiary, Scotts Canada Ltd., acquired Fafard &amp; Brothers Ltd. (“Fafard”) for $59.8 million. In continuous operation since 1940 and based in Saint-Bonaventure, Quebec, Canada, Fafard is a producer of peat moss and growing media products for consumer and professional markets, including peat-based and bark-based mixes, composts and premium soils. Fafard serves customers primarily across Ontario, Quebec and New Brunswick.</w:t>
      </w:r>
    </w:p>
    <w:p>
      <w:pPr>
        <w:spacing w:after="0" w:line="133"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On October 16, 2014,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entered into a definitive agreement to acquire the assets of Action Pest, a residential and commercial pest control provider in the Midwest for $22.7 million. The transaction, which is expected to close by January 2015, would represent our first acquisition of a home pest control business.</w:t>
      </w:r>
    </w:p>
    <w:p>
      <w:pPr>
        <w:spacing w:after="0" w:line="150" w:lineRule="exact"/>
        <w:rPr>
          <w:sz w:val="20"/>
          <w:szCs w:val="20"/>
          <w:color w:val="auto"/>
        </w:rPr>
      </w:pPr>
    </w:p>
    <w:p>
      <w:pPr>
        <w:jc w:val="both"/>
        <w:ind w:right="20" w:firstLine="432"/>
        <w:spacing w:after="0" w:line="216" w:lineRule="auto"/>
        <w:rPr>
          <w:sz w:val="20"/>
          <w:szCs w:val="20"/>
          <w:color w:val="auto"/>
        </w:rPr>
      </w:pPr>
      <w:r>
        <w:rPr>
          <w:rFonts w:ascii="Arial" w:cs="Arial" w:eastAsia="Arial" w:hAnsi="Arial"/>
          <w:sz w:val="18"/>
          <w:szCs w:val="18"/>
          <w:color w:val="auto"/>
        </w:rPr>
        <w:t>In addition, over the past five years we have completed several smaller acquisitions within our controls, growing media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14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past five years, we have completed several divestitures including the wind down of our Smith &amp; Hawken business completed in the first quarter of fiscal 2010 and the February 28, 2011 sale of our Global Professional (“Global Pro”) business to Israel Chemicals Ltd. (“ICL”) for $270 million. In the fourth quarter of fiscal 2012, we completed the wind down of our professional seed business. In the second quarter of fiscal 2014, we completed the sale of our wild bird food business in the United States and Canada for $4.1 million in cash and an estimated $1.0 million in future earn-out payments. We have classified our results of operations for all periods presented in this Annual Report of Form 10-K to reflect these businesses as discontinued operations during the applicable periods. See “NOTE 2. DISCONTINUED OPERATIONS” of the Notes to Consolidated Financial Statements included in this Annual Report on Form 10-K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sell our consumer products primarily to home centers, mass merchandisers, warehouse clubs, large hardware chains, independent hardware stores, nurseries, garden centers and food and drug stores through both a direct sales force and our network of brokers and distributors. In addition, during fiscal 2014, we employed approximately 2,200 full-time and seasonal in-store associates within the United States to help our retail partners merchandise their lawn and garden departments directly to consumers of our products.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majority of shipments to customers are made via common carriers or through distributors in the United States and through a network of public warehouses and distributors in Europe. We primarily utilize third parties to manage the key distribution centers for our Global Consumer business in North America, which are strategically located across the United States and Canada. The primary distribution centers for our Global Consumer business internationally are located in the United Kingdom, France, Germany, Austria and Australia and are also managed by third-party logistics providers. Growing media products are generally shipped direct-to-store without passing through a distribution center.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purchase raw materials for our products from various sources. We are subject to market risk as a result of the fluctuating prices of raw materials such as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season to secure pre-determined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prices. We also hedge certain commodities, particularly diesel, gasoline and urea, to improve predictability and control costs. Sufficient raw materials were available during fiscal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Licenses</w:t>
      </w:r>
    </w:p>
    <w:p>
      <w:pPr>
        <w:spacing w:after="0" w:line="94" w:lineRule="exact"/>
        <w:rPr>
          <w:sz w:val="20"/>
          <w:szCs w:val="20"/>
          <w:color w:val="auto"/>
        </w:rPr>
      </w:pPr>
    </w:p>
    <w:p>
      <w:pPr>
        <w:jc w:val="both"/>
        <w:ind w:firstLine="432"/>
        <w:spacing w:after="0" w:line="205" w:lineRule="auto"/>
        <w:rPr>
          <w:sz w:val="20"/>
          <w:szCs w:val="20"/>
          <w:color w:val="auto"/>
        </w:rPr>
      </w:pPr>
      <w:r>
        <w:rPr>
          <w:rFonts w:ascii="Arial" w:cs="Arial" w:eastAsia="Arial" w:hAnsi="Arial"/>
          <w:sz w:val="18"/>
          <w:szCs w:val="18"/>
          <w:color w:val="auto"/>
        </w:rPr>
        <w:t>We consider our trademarks, patents and licenses to be key competitive advantages. We pursue a vigorous trademark protection strategy consisting of registration and maintenance of key trademarks and proactive monitoring and enforcement activities to protect against infringement. The Scotts</w:t>
      </w:r>
      <w:r>
        <w:rPr>
          <w:rFonts w:ascii="Arial" w:cs="Arial" w:eastAsia="Arial" w:hAnsi="Arial"/>
          <w:sz w:val="25"/>
          <w:szCs w:val="25"/>
          <w:color w:val="auto"/>
          <w:vertAlign w:val="superscript"/>
        </w:rPr>
        <w:t>®</w:t>
      </w:r>
      <w:r>
        <w:rPr>
          <w:rFonts w:ascii="Arial" w:cs="Arial" w:eastAsia="Arial" w:hAnsi="Arial"/>
          <w:sz w:val="18"/>
          <w:szCs w:val="18"/>
          <w:color w:val="auto"/>
        </w:rPr>
        <w:t>, Miracle-Gro</w:t>
      </w:r>
      <w:r>
        <w:rPr>
          <w:rFonts w:ascii="Arial" w:cs="Arial" w:eastAsia="Arial" w:hAnsi="Arial"/>
          <w:sz w:val="25"/>
          <w:szCs w:val="25"/>
          <w:color w:val="auto"/>
          <w:vertAlign w:val="superscript"/>
        </w:rPr>
        <w:t>®</w:t>
      </w:r>
      <w:r>
        <w:rPr>
          <w:rFonts w:ascii="Arial" w:cs="Arial" w:eastAsia="Arial" w:hAnsi="Arial"/>
          <w:sz w:val="18"/>
          <w:szCs w:val="18"/>
          <w:color w:val="auto"/>
        </w:rPr>
        <w:t>, Ortho</w:t>
      </w:r>
      <w:r>
        <w:rPr>
          <w:rFonts w:ascii="Arial" w:cs="Arial" w:eastAsia="Arial" w:hAnsi="Arial"/>
          <w:sz w:val="25"/>
          <w:szCs w:val="25"/>
          <w:color w:val="auto"/>
          <w:vertAlign w:val="superscript"/>
        </w:rPr>
        <w:t>®</w:t>
      </w:r>
      <w:r>
        <w:rPr>
          <w:rFonts w:ascii="Arial" w:cs="Arial" w:eastAsia="Arial" w:hAnsi="Arial"/>
          <w:sz w:val="18"/>
          <w:szCs w:val="18"/>
          <w:color w:val="auto"/>
        </w:rPr>
        <w:t>,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Tomcat</w:t>
      </w:r>
      <w:r>
        <w:rPr>
          <w:rFonts w:ascii="Arial" w:cs="Arial" w:eastAsia="Arial" w:hAnsi="Arial"/>
          <w:sz w:val="25"/>
          <w:szCs w:val="25"/>
          <w:color w:val="auto"/>
          <w:vertAlign w:val="superscript"/>
        </w:rPr>
        <w:t>®</w:t>
      </w:r>
      <w:r>
        <w:rPr>
          <w:rFonts w:ascii="Arial" w:cs="Arial" w:eastAsia="Arial" w:hAnsi="Arial"/>
          <w:sz w:val="18"/>
          <w:szCs w:val="18"/>
          <w:color w:val="auto"/>
        </w:rPr>
        <w:t>, Hyponex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Earthgro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25"/>
          <w:szCs w:val="25"/>
          <w:color w:val="auto"/>
          <w:vertAlign w:val="superscript"/>
        </w:rPr>
        <w:t>®</w:t>
      </w:r>
      <w:r>
        <w:rPr>
          <w:rFonts w:ascii="Arial" w:cs="Arial" w:eastAsia="Arial" w:hAnsi="Arial"/>
          <w:sz w:val="18"/>
          <w:szCs w:val="18"/>
          <w:color w:val="auto"/>
        </w:rPr>
        <w:t>, EZ Seed</w:t>
      </w:r>
      <w:r>
        <w:rPr>
          <w:rFonts w:ascii="Arial" w:cs="Arial" w:eastAsia="Arial" w:hAnsi="Arial"/>
          <w:sz w:val="25"/>
          <w:szCs w:val="25"/>
          <w:color w:val="auto"/>
          <w:vertAlign w:val="superscript"/>
        </w:rPr>
        <w:t>®</w:t>
      </w:r>
      <w:r>
        <w:rPr>
          <w:rFonts w:ascii="Arial" w:cs="Arial" w:eastAsia="Arial" w:hAnsi="Arial"/>
          <w:sz w:val="18"/>
          <w:szCs w:val="18"/>
          <w:color w:val="auto"/>
        </w:rPr>
        <w:t>, Snap</w:t>
      </w:r>
      <w:r>
        <w:rPr>
          <w:rFonts w:ascii="Arial" w:cs="Arial" w:eastAsia="Arial" w:hAnsi="Arial"/>
          <w:sz w:val="25"/>
          <w:szCs w:val="25"/>
          <w:color w:val="auto"/>
          <w:vertAlign w:val="superscript"/>
        </w:rPr>
        <w:t>®</w:t>
      </w:r>
      <w:r>
        <w:rPr>
          <w:rFonts w:ascii="Arial" w:cs="Arial" w:eastAsia="Arial" w:hAnsi="Arial"/>
          <w:sz w:val="18"/>
          <w:szCs w:val="18"/>
          <w:color w:val="auto"/>
        </w:rPr>
        <w:t>, Organic Choice</w:t>
      </w:r>
      <w:r>
        <w:rPr>
          <w:rFonts w:ascii="Arial" w:cs="Arial" w:eastAsia="Arial" w:hAnsi="Arial"/>
          <w:sz w:val="25"/>
          <w:szCs w:val="25"/>
          <w:color w:val="auto"/>
          <w:vertAlign w:val="superscript"/>
        </w:rPr>
        <w:t>®</w:t>
      </w:r>
      <w:r>
        <w:rPr>
          <w:rFonts w:ascii="Arial" w:cs="Arial" w:eastAsia="Arial" w:hAnsi="Arial"/>
          <w:sz w:val="18"/>
          <w:szCs w:val="18"/>
          <w:color w:val="auto"/>
        </w:rPr>
        <w:t>, Nature's Care</w:t>
      </w:r>
      <w:r>
        <w:rPr>
          <w:rFonts w:ascii="Arial" w:cs="Arial" w:eastAsia="Arial" w:hAnsi="Arial"/>
          <w:sz w:val="25"/>
          <w:szCs w:val="25"/>
          <w:color w:val="auto"/>
          <w:vertAlign w:val="superscript"/>
        </w:rPr>
        <w:t>®</w:t>
      </w:r>
      <w:r>
        <w:rPr>
          <w:rFonts w:ascii="Arial" w:cs="Arial" w:eastAsia="Arial" w:hAnsi="Arial"/>
          <w:sz w:val="18"/>
          <w:szCs w:val="18"/>
          <w:color w:val="auto"/>
        </w:rPr>
        <w:t>, Home Defense Max</w:t>
      </w:r>
      <w:r>
        <w:rPr>
          <w:rFonts w:ascii="Arial" w:cs="Arial" w:eastAsia="Arial" w:hAnsi="Arial"/>
          <w:sz w:val="25"/>
          <w:szCs w:val="25"/>
          <w:color w:val="auto"/>
          <w:vertAlign w:val="superscript"/>
        </w:rPr>
        <w:t>®</w:t>
      </w:r>
      <w:r>
        <w:rPr>
          <w:rFonts w:ascii="Arial" w:cs="Arial" w:eastAsia="Arial" w:hAnsi="Arial"/>
          <w:sz w:val="18"/>
          <w:szCs w:val="18"/>
          <w:color w:val="auto"/>
        </w:rPr>
        <w:t>, Nature Scapes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Weed B Gon Max</w:t>
      </w:r>
      <w:r>
        <w:rPr>
          <w:rFonts w:ascii="Arial" w:cs="Arial" w:eastAsia="Arial" w:hAnsi="Arial"/>
          <w:sz w:val="25"/>
          <w:szCs w:val="25"/>
          <w:color w:val="auto"/>
          <w:vertAlign w:val="superscript"/>
        </w:rPr>
        <w:t>®</w:t>
      </w:r>
      <w:r>
        <w:rPr>
          <w:rFonts w:ascii="Arial" w:cs="Arial" w:eastAsia="Arial" w:hAnsi="Arial"/>
          <w:sz w:val="18"/>
          <w:szCs w:val="18"/>
          <w:color w:val="auto"/>
        </w:rPr>
        <w:t>, are registered in the United States and/or internationally and are considered material to our business.</w:t>
      </w:r>
    </w:p>
    <w:p>
      <w:pPr>
        <w:spacing w:after="0" w:line="1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actively develop and maintain an extensive portfolio of utility and design patents covering subject matters such as fertilizer, chemical and growing media compositions and processes; grass seed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either of our business segments or the business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business is highly seasonal, with more than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Approximately 89.8% of our worldwide net sales in fiscal 2014 were made by our Global Consumer segment. Our three largest customers are reported within the Global Consumer segment and are the only customers that individually represent more than 10% of reported consolidated net sales. Approximately 68% of our Global Consumer segment net sales in fiscal 2014 were made to Home Depot, Lowe’s and Walmart. We face strong competition for the business of these significant customers. The loss of any of these customers or a substantial decrease in the volume or profitability of our business with any of these customers could have a material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markets in which we sell our products are highly competitive. In the United States lawn and garden and pest control markets, our products compete against private-label as well as branded products. Primary competitors include Spectrum Brands Holdings, Inc., Bayer AG, Central Garden &amp; Pet Company, Enforcer Products, Inc., Kellogg Garden Products, Oldcastle Retail, Inc. and Lebanon Seaboard Corporation. In addition, we face competition from regional competitors who compete primarily on the basis of price for commodity growing media products.</w:t>
      </w:r>
    </w:p>
    <w:p>
      <w:pPr>
        <w:spacing w:after="0" w:line="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Internationally, we face strong competition in the lawn and garden market, particularly in Europe. Our competitors in the European Union include Bayer AG, Compo AcquiCo SARL, Westland Horticulture and a variety of local companies.</w:t>
      </w:r>
    </w:p>
    <w:p>
      <w:pPr>
        <w:spacing w:after="0" w:line="116" w:lineRule="exact"/>
        <w:rPr>
          <w:sz w:val="20"/>
          <w:szCs w:val="20"/>
          <w:color w:val="auto"/>
        </w:rPr>
      </w:pPr>
    </w:p>
    <w:p>
      <w:pPr>
        <w:jc w:val="both"/>
        <w:ind w:firstLine="432"/>
        <w:spacing w:after="0" w:line="203" w:lineRule="auto"/>
        <w:rPr>
          <w:sz w:val="20"/>
          <w:szCs w:val="20"/>
          <w:color w:val="auto"/>
        </w:rPr>
      </w:pPr>
      <w:r>
        <w:rPr>
          <w:rFonts w:ascii="Arial" w:cs="Arial" w:eastAsia="Arial" w:hAnsi="Arial"/>
          <w:sz w:val="18"/>
          <w:szCs w:val="18"/>
          <w:color w:val="auto"/>
        </w:rPr>
        <w:t>We have the second largest market share position in the fragmented U.S. lawn care service market. We compete against TruGreen</w:t>
      </w:r>
      <w:r>
        <w:rPr>
          <w:rFonts w:ascii="Arial" w:cs="Arial" w:eastAsia="Arial" w:hAnsi="Arial"/>
          <w:sz w:val="25"/>
          <w:szCs w:val="25"/>
          <w:color w:val="auto"/>
          <w:vertAlign w:val="superscript"/>
        </w:rPr>
        <w:t>®</w:t>
      </w:r>
      <w:r>
        <w:rPr>
          <w:rFonts w:ascii="Arial" w:cs="Arial" w:eastAsia="Arial" w:hAnsi="Arial"/>
          <w:sz w:val="18"/>
          <w:szCs w:val="18"/>
          <w:color w:val="auto"/>
        </w:rPr>
        <w:t>, which has a substantially larger share of this market than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as well as numerous regional and local lawn care service operations and national and regional franchisors.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$48.4 million, $46.4 million and $50.1 million in fiscal 2014, fiscal 2013 and fiscal 2012, respectively, including product registration costs of $12.6 million, $12.4 million and $14.0 million, respectively. In addition to the benefits of our own research and development, we actively seek ways to leverage the research and development activities of our suppliers and other business partners.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Local, state, federal and foreign laws and regulations affect the manufacture, sale and application of our products in several ways. For example, in the United States, products containing pesticides must comply with the Federal Insecticide, Fungicide, and Rodenticide Act of 1947, as amended (“FIFRA”), and be registered with the U.S. Environmental Protection Agency (the “U.S. EPA”) and similar state agencies before they can be sold or distributed. Fertilizer and growing media products are subject to state and foreign labeling regulations. Our manufacturing operations are subject to waste, water and air quality permitting and other regulatory requirements of federal, state and foreign agencies. Our grass seed products are regulated by the Federal Seed Act and various state regulations. Most states require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locations and/or technicians to comply with strict licensing requirements prior to applying many of our products. The failure to comply with any of these laws or regulations could have an adverse effect on our business.</w:t>
      </w:r>
    </w:p>
    <w:p>
      <w:pPr>
        <w:spacing w:after="0" w:line="11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more information regarding how compliance with federal, state, local and foreign laws and regulations may affect us, see “ITEM 1A. RISK FACTORS — Compliance with environmental and other public health regulations or changes in such regulations or regulatory enforcement priorities could increase our costs of doing business or limit our ability to market all of our products” of this Annual Report on Form 10-K.</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subject to various environmental proceedings, the majority of which are for site remediation. At September 30, 2014, $5.4 million was accrued for such environmental matters. During fiscal 2014, fiscal 2013 and fiscal 2012, we expensed $3.1 million, $0.4 million and $0.8 million, respectively, for such environmental matters. We had no material capital expenditures during the last three fiscal years related to environmental or regulatory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2014, we employed approximately 6,700 employees. During peak sales and production periods, we employ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8,550 employees, including seasonal and temporary labor.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certain information concerning our international revenues and long-lived assets, see “NOTE 21. SEGMENT INFORMATION” of the Notes to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 The SEC maintains a website that contains electronic filings by Scotts Miracle-Gro and other issuers at www.sec.gov. In addition, the public may read and copy any materials Scotts Miracle-Gro files with the SEC at the SEC’s Public Reference Room at 100 F Street, N.E., Washington, D.C. 20549. The public may obtain information on the operation of the Public Reference Room by calling the SEC at 1-800-SEC-0330.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This Annual Report on Form 10-K, including the exhibits hereto and the information incorporated by reference herein, as well as our 2014 Annual Report to Shareholders (our “2014 Annual Report”), contain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the common shares of Scotts Miracle-Gro (the “Common Shares”).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Annual Report on Form 10-K and our 2014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that we make in this Annual Report on Form 10-K and our 2014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1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pesticide products in their current form in the EU. In addition, in Canada, regulations have been adopted by several provinces that substantially restrict our ability to market and sell certain of our consumer pesticide products.</w:t>
      </w:r>
    </w:p>
    <w:p>
      <w:pPr>
        <w:spacing w:after="0" w:line="14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continuing evaluations.</w:t>
      </w:r>
    </w:p>
    <w:p>
      <w:pPr>
        <w:spacing w:after="0" w:line="12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Most states require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locations and/or technicians to comply with strict licensing requirements prior to applying many of our products.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and the United Kingdom, our peat extraction efforts are also the subject of regulation.</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or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consumers and our retail customers, which may materially and adversely affect our business operations, decrease sales and increase costs.</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in order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or cash flows may be materially adversely affected.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as a means to hedge our variable interest rate exposure on debt instruments as well as foreign currency forward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or cash flows. Our inability to continue to develop and grow brands with leading market positions, maintain our relationships with key retailers and deliver high quality products on a reliable basis at competitive prices could have a material adverse effect on us.</w:t>
      </w:r>
    </w:p>
    <w:p>
      <w:pPr>
        <w:spacing w:after="0" w:line="20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w:t>
      </w:r>
    </w:p>
    <w:p>
      <w:pPr>
        <w:spacing w:after="0" w:line="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future success depends, in part, upon our ability to improve our existing product lines and products and to develop, manufacture and market new product lines and products to meet evolving consumer needs, as well as our ability to leverage new mediums such as digital media and social networks to reach existing and potential consumers. We cannot be certain that we will be successful in the development, manufacturing and marketing of new product lines and products or product innovations which satisfy consumer needs or achieve market acceptance, or that we will develop and market new product lines and products or product innovations in a timely manner. If we fail to successfully develop, manufacture and market new product lines and products or develop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products or innovations do not achieve market acceptance.</w:t>
      </w:r>
    </w:p>
    <w:p>
      <w:pPr>
        <w:spacing w:after="0" w:line="12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 further exacerbating the risks to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ongoing investment in new product lines and products and technologies is inherently risky, and could disrupt our ongoing businesses.</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21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Global Consumer net sales represented approximately 89.8% of our worldwide net sales in fiscal 2014. Our top three retail customers together accounted for 68% of our Global Consumer segment fiscal 2014 net sales and 55% of our outstanding accounts receivable as of September 30, 2014. The loss of, or reduction in orders from, our top three retail customers, Home Depot, Lowe’s, Walmart, or any other significant customer could have a material adverse effect on our business, financial condition, results of operations or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or cash flows.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key retailers whose bargaining strength is strong. To the extent such concentration continues to occur, our net sales and income from operations may be increasingly sensitive to deterioration in the financial condition of, or other adverse developments involving our relationship with, one or more of our customers. In addition, our business may be negatively affected by changes in the policies of our retailers, such as inventory destocking, limitations on access to shelf space, price demands and other conditions.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service delays to our customers.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continue to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experiences other financial distress, we could experience disruptions in production, which could have a material adverse effect on our financial condition, results of operations or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retail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Adverse weather conditions could adversely impact financial results.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Weather conditions in North America and Europe can have a significant impact on the timing of sales in the spring selling season and overall annual sales. An abnormally wet and/or cold spring throughout North America or Europe, abnormally dry periods or droughts, and other severe weather conditions or events could adversely affect fertilizer, pesticide and insecticide sales and, therefore, our financial condition, results of operations or cash flows.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2014, we had $784.3 million of debt. Our inability to meet restrictive financial and non-financial covenants associated with that debt could adversely affect our financial condition.</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ability to make payments on our indebtedness, fund planned capital expenditures and acquisitions, pay dividends and make repurchases of our Common Shares depends on our ability to generate cash in the future. This, to some extent, is subject to general economic, financial, competitive, legislative, regulatory and other factors that are beyond our control. We cannot ensure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credit facility and the indenture governing our 6.625% Senior Notes due 2020 (the “6.625% Senior Notes”) contain restrictive covenants and cross-default provisions. In addition, our credit facility requires us to maintain specified financial ratios. Our ability to comply with those covenants and satisfy those financial ratios can be affected by events beyond our control. A breach of any of those financial ratio covenants or other covenants could result in a default. Upon the occurrence of such an event of default, the lenders could elect to declare all of the outstanding indebtedness immediately due and payable and terminate all commitments to extend further credit. We cannot ensure that our lenders would waive a default or that we could pay the indebtedness in full if it were accelerated.</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Subject to compliance with certain covenants under our credit facility and the indenture governing our 6.625% Senior Notes, we may incur additional debt in the future. If we incur additional debt, the risks described above could intensify.</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could adversely affect our cost of financing and the market price of our 6.625% Senior Notes.</w:t>
      </w:r>
    </w:p>
    <w:p>
      <w:pPr>
        <w:spacing w:after="0" w:line="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Credit rating agencies rate the 6.625% Senior Notes and the Company based on factors that include our operating results, actions that we take, their view of the general outlook for our industry and their view of the general outlook for the economy. Actions taken by the rating agencies can include maintaining, upgrading or downgrading the current rating or placing us on a watch list for possible future downgrading. Downgrading the credit rating of our 6.625% Senior Notes or placing us on a watch list for possible future ratings actions could increase our cost of financing, limit our access to the capital markets and have an adverse effect on the market price of the 6.625% Senior Notes.</w:t>
      </w:r>
    </w:p>
    <w:p>
      <w:pPr>
        <w:spacing w:after="0" w:line="21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1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benefit expenses could increase or decrease. The assumptions we use may differ from actual results, which could have a significant impact on our pension and postretirement liabilities and related costs and funding requirements.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2014, sales outside of the United States accounted for 18.1% of our total net sales. Accordingly, we are subject to risks associated with operating in foreign countries, including:</w:t>
      </w:r>
    </w:p>
    <w:p>
      <w:pPr>
        <w:spacing w:after="0" w:line="127" w:lineRule="exact"/>
        <w:rPr>
          <w:sz w:val="20"/>
          <w:szCs w:val="20"/>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or cash flows in the future.</w:t>
      </w:r>
    </w:p>
    <w:p>
      <w:pPr>
        <w:spacing w:after="0" w:line="2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3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state, local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0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From time to time, tax proposals are introduced or considered by the U.S. Congress or the legislative bodies in state, local and foreign jurisdictions that could also affect our tax rate, the carrying value of our deferred tax assets, or our other tax liabilities. Our tax liabilities are also affected by the amounts we charge for inventory, services, licenses, funding and other items in intercompany transactions. We are subject to ongoing tax audits in various jurisdictions such as the current IRS examination of our federal tax return for the fiscal year ended September 30, 2011. Regarding the foreign jurisdictions, an audit is currently underway in France for fiscal years 2010 through 2012. In regard to the U.S. state and local audits, the tax periods under examination are limited to fiscal years 2009 through 2012. In connection with these audits, tax authorities may disagree with our intercompany charges, cross-jurisdictional transfer pricing or other matters and assess additional taxes. We regularly assess the likely outcomes of these audits in order to determine the appropriateness of our tax provision. As a result, the ultimate resolution of these tax audits, changes in tax laws or tax rates, and the ability to utilize our deferred tax assets could materially affect our tax provision, net income and cash flows in future periods.</w:t>
      </w:r>
    </w:p>
    <w:p>
      <w:pPr>
        <w:spacing w:after="0" w:line="20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3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 Additionally, an operational failure or breach of security from increasingly sophisticated cyber threats could lead to the loss or disclosure of both our and our retail customers' financial, product, and other confidential information, as well as personally identifiable information about our employees or customers, result in regulatory or other legal proceedings, and have a material adverse effect on our business and reputation.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or results of operations.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providing certain products or services under our recognized brand names, which could have a material adverse effect on our business, financial condition or results of operations.</w:t>
      </w:r>
    </w:p>
    <w:p>
      <w:pPr>
        <w:spacing w:after="0" w:line="220" w:lineRule="exact"/>
        <w:rPr>
          <w:sz w:val="20"/>
          <w:szCs w:val="20"/>
          <w:color w:val="auto"/>
        </w:rPr>
      </w:pPr>
    </w:p>
    <w:p>
      <w:pPr>
        <w:jc w:val="both"/>
        <w:ind w:firstLine="216"/>
        <w:spacing w:after="0" w:line="216" w:lineRule="auto"/>
        <w:rPr>
          <w:sz w:val="20"/>
          <w:szCs w:val="20"/>
          <w:color w:val="auto"/>
        </w:rPr>
      </w:pPr>
      <w:r>
        <w:rPr>
          <w:rFonts w:ascii="Arial" w:cs="Arial" w:eastAsia="Arial" w:hAnsi="Arial"/>
          <w:sz w:val="18"/>
          <w:szCs w:val="18"/>
          <w:b w:val="1"/>
          <w:bCs w:val="1"/>
          <w:i w:val="1"/>
          <w:iCs w:val="1"/>
          <w:color w:val="auto"/>
        </w:rPr>
        <w:t>If Monsanto were to terminate the Marketing Agreement for consumer Roundup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products, we would lose a substantial source of future earnings and overhead expense absorption.</w:t>
      </w:r>
    </w:p>
    <w:p>
      <w:pPr>
        <w:spacing w:after="0" w:line="6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If we were to commit a serious default under the Marketing Agreement with Monsanto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Monsanto may have the right to terminate the Marketing Agreement. If Monsanto were to terminate the Marketing Agreement for cause, we would not be entitled to any termination fee. Monsanto may also be able to terminate the Marketing Agreement within a given region, including North America, without paying us a termination fee if unit volume sales to consumers in that region decline: (i) over a cumulative three-fiscal-year period; or (ii) by more than 5% for each of two consecutive years. If the Marketing Agreement was terminated for any reason, we would also lose all, or a substantial portion, of the significant source of earnings and overhead expense absorption the Marketing Agreement provides. For additional information regarding the Marketing Agreement, see “NOTE 6. MARKETING AGREEMENT” of the Notes to Consolidated Financial Statements included in this Annual Report on Form 10-K.</w:t>
      </w:r>
    </w:p>
    <w:p>
      <w:pPr>
        <w:spacing w:after="0" w:line="20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3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14, 2014.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1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payment of quarterly cash dividends on and repurchase of our Common Shares pursuant to our stock purchase program are subject to, among other things, our financial position and results of operations, available cash and cash flow, capital requirements, and other factors. We have, over the past few years, increased the rate of cash dividends on, and repurchased shares of,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3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Common Shares. For example, in the fourth quarter of fiscal 2010, we doubled the amount of our quarterly cash dividend, and our Board of Directors authorized the repurchase of up to $500 million of Common Shares through September 30, 2014. In fiscal 2011, we increased the amount of our quarterly cash dividend by an additional 20% and our Board of Directors authorized the repurchase of up to an additional $200 million of our Common Shares through September 30, 2014. We increased the amount of our quarterly cash dividend again in fiscal 2012. In the fourth quarter of fiscal 2013, we increased the amount of our quarterly cash dividend by an additional 35%. In the fourth quarter of fiscal 2014, we announced a special one-time cash dividend of $2 per share on the Company's Common Shares; a new share repurchase authorization, expiring by the end of fiscal 2019, to repurchase up to $500 million of the Company’s Common Shares, which replaced the then existing authorization, which expired on September 30, 2014; and a 3% increase in the Company’s recurring quarterly cash dividend to $0.45 per share.</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215"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b w:val="1"/>
          <w:bCs w:val="1"/>
          <w:i w:val="1"/>
          <w:iCs w:val="1"/>
          <w:color w:val="auto"/>
        </w:rPr>
        <w:t>Acquisitions and investments could result in operating difficulties, dilution, and other harmful consequences that may adversely impact our business and results of operations.</w:t>
      </w:r>
    </w:p>
    <w:p>
      <w:pPr>
        <w:spacing w:after="0" w:line="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7" w:lineRule="exact"/>
        <w:rPr>
          <w:sz w:val="20"/>
          <w:szCs w:val="20"/>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 and other administrative systems, and coordination of product, engineering, and sales and marketing functions.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225" w:lineRule="exact"/>
        <w:rPr>
          <w:rFonts w:ascii="Arial" w:cs="Arial" w:eastAsia="Arial" w:hAnsi="Arial"/>
          <w:sz w:val="18"/>
          <w:szCs w:val="18"/>
          <w:color w:val="auto"/>
        </w:rPr>
      </w:pPr>
    </w:p>
    <w:p>
      <w:pPr>
        <w:jc w:val="both"/>
        <w:ind w:left="820" w:right="20" w:hanging="407"/>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81"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170"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16"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w:t>
      </w:r>
    </w:p>
    <w:p>
      <w:pPr>
        <w:spacing w:after="0" w:line="9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Also, the anticipated benefits of many of our acquisitions may not materialize.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9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evaluates as necessary the potential disposition of assets and businesses that may no longer help it meet its objectives. When the Company decides to sell assets or a business, it may encounter difficulty in finding buyers or alternative exit strategies on acceptable terms in a timely manner, which could delay the accomplishment of its strategic objectives. Alternatively, the Company may dispose of a business at a price or on terms that are less than it had anticipated. After reaching an agreement with a buyer or seller for the disposition of a business, the Company is subject to satisfaction of pre-closing conditions, which may prevent the Company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the Company’s control could affect its future financial results.</w:t>
      </w:r>
    </w:p>
    <w:p>
      <w:pPr>
        <w:spacing w:after="0" w:line="194" w:lineRule="exact"/>
        <w:rPr>
          <w:sz w:val="20"/>
          <w:szCs w:val="20"/>
          <w:color w:val="auto"/>
        </w:rPr>
      </w:pPr>
    </w:p>
    <w:p>
      <w:pPr>
        <w:ind w:right="600" w:firstLine="243"/>
        <w:spacing w:after="0" w:line="334" w:lineRule="auto"/>
        <w:rPr>
          <w:sz w:val="20"/>
          <w:szCs w:val="20"/>
          <w:color w:val="auto"/>
        </w:rPr>
      </w:pPr>
      <w:r>
        <w:rPr>
          <w:rFonts w:ascii="Arial" w:cs="Arial" w:eastAsia="Arial" w:hAnsi="Arial"/>
          <w:sz w:val="16"/>
          <w:szCs w:val="16"/>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and results of operations.</w:t>
      </w:r>
    </w:p>
    <w:p>
      <w:pPr>
        <w:spacing w:after="0" w:line="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involved in legal proceedings and are subject to investigations, inspections, audits, inquiries and similar actions by governmental authorities, arising in the course of our business (see the discussion of Legal Proceedings in Part I, Item 3 of this Annual Report on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From time to time, the Company is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Additionally, defending against these legal proceedings may involve significant expense and diversion of management’s attention and resources.</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corporate headquarters are located in Marysville, Ohio, where we own approximately 616 acres of land and lease approximately 114 acres of land. We lease a property in Ecully, France which serves as the headquarters of our European operations. In addition, we own and lease numerous industrial, commercial and office properties located in North America, Europe, Australia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u w:val="single" w:color="auto"/>
          <w:color w:val="auto"/>
        </w:rPr>
        <w:t>Global Consumer</w:t>
      </w:r>
      <w:r>
        <w:rPr>
          <w:rFonts w:ascii="Arial" w:cs="Arial" w:eastAsia="Arial" w:hAnsi="Arial"/>
          <w:sz w:val="18"/>
          <w:szCs w:val="18"/>
          <w:color w:val="auto"/>
        </w:rPr>
        <w:t>. There are 48 Company-owned properties and 69 leased properties in our Global Consumer segment. These properties are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countries:</w:t>
      </w:r>
    </w:p>
    <w:p>
      <w:pPr>
        <w:spacing w:after="0" w:line="32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810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Owned</w:t>
            </w:r>
          </w:p>
        </w:tc>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Leased</w:t>
            </w:r>
          </w:p>
        </w:tc>
        <w:tc>
          <w:tcPr>
            <w:tcW w:w="0" w:type="dxa"/>
            <w:vAlign w:val="bottom"/>
          </w:tcPr>
          <w:p>
            <w:pPr>
              <w:spacing w:after="0"/>
              <w:rPr>
                <w:sz w:val="1"/>
                <w:szCs w:val="1"/>
                <w:color w:val="auto"/>
              </w:rPr>
            </w:pPr>
          </w:p>
        </w:tc>
      </w:tr>
      <w:tr>
        <w:trPr>
          <w:trHeight w:val="27"/>
        </w:trPr>
        <w:tc>
          <w:tcPr>
            <w:tcW w:w="8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5"/>
                <w:szCs w:val="25"/>
                <w:color w:val="auto"/>
                <w:vertAlign w:val="superscript"/>
              </w:rPr>
              <w:t>(1)</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57"/>
        </w:trPr>
        <w:tc>
          <w:tcPr>
            <w:tcW w:w="8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(1) - Rest of world includes Australia, Austria, Belgium, China, Germany, Mexico, and Poland</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own or lease 57 manufacturing properties, three distribution properties and three research and development properties in the United States. We own or lease nine manufacturing properties in the United Kingdom, nine manufacturing properties in Canada, two manufacturing properties in France, and one manufacturing property in China. We also lease three distribution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properties and own one research and development property in the United Kingdom, lease one distribution property in Mexico, and lease one research and development property in France. Most of the manufacturing properties in our Global Consumer segment, which include growing media properties and peat harvesting properties, have production lines, warehouses, offices and field processing areas.</w:t>
      </w:r>
    </w:p>
    <w:p>
      <w:pPr>
        <w:spacing w:after="0" w:line="127" w:lineRule="exact"/>
        <w:rPr>
          <w:sz w:val="20"/>
          <w:szCs w:val="20"/>
          <w:color w:val="auto"/>
        </w:rPr>
      </w:pPr>
    </w:p>
    <w:p>
      <w:pPr>
        <w:jc w:val="both"/>
        <w:ind w:right="20" w:firstLine="405"/>
        <w:spacing w:after="0" w:line="216" w:lineRule="auto"/>
        <w:rPr>
          <w:sz w:val="20"/>
          <w:szCs w:val="20"/>
          <w:color w:val="auto"/>
        </w:rPr>
      </w:pPr>
      <w:r>
        <w:rPr>
          <w:rFonts w:ascii="Arial" w:cs="Arial" w:eastAsia="Arial" w:hAnsi="Arial"/>
          <w:sz w:val="18"/>
          <w:szCs w:val="18"/>
          <w:i w:val="1"/>
          <w:iCs w:val="1"/>
          <w:u w:val="single" w:color="auto"/>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Company-operated Scotts LawnService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consist of 89 leased properties located in the United States. F</w:t>
      </w:r>
      <w:r>
        <w:rPr>
          <w:rFonts w:ascii="Arial" w:cs="Arial" w:eastAsia="Arial" w:hAnsi="Arial"/>
          <w:sz w:val="18"/>
          <w:szCs w:val="18"/>
          <w:color w:val="222222"/>
        </w:rPr>
        <w:t>ive of these</w:t>
      </w:r>
      <w:r>
        <w:rPr>
          <w:rFonts w:ascii="Arial" w:cs="Arial" w:eastAsia="Arial" w:hAnsi="Arial"/>
          <w:sz w:val="18"/>
          <w:szCs w:val="18"/>
          <w:i w:val="1"/>
          <w:iCs w:val="1"/>
          <w:color w:val="auto"/>
        </w:rPr>
        <w:t xml:space="preserve"> </w:t>
      </w:r>
      <w:r>
        <w:rPr>
          <w:rFonts w:ascii="Arial" w:cs="Arial" w:eastAsia="Arial" w:hAnsi="Arial"/>
          <w:sz w:val="18"/>
          <w:szCs w:val="18"/>
          <w:color w:val="222222"/>
        </w:rPr>
        <w:t>properties are not operational.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3.  </w:t>
      </w:r>
      <w:r>
        <w:rPr>
          <w:rFonts w:ascii="Arial" w:cs="Arial" w:eastAsia="Arial" w:hAnsi="Arial"/>
          <w:sz w:val="18"/>
          <w:szCs w:val="18"/>
          <w:b w:val="1"/>
          <w:bCs w:val="1"/>
          <w:i w:val="1"/>
          <w:iCs w:val="1"/>
          <w:u w:val="single" w:color="auto"/>
          <w:color w:val="auto"/>
        </w:rPr>
        <w:t>LEGAL PROCEEDINGS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As noted in the discussion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of this Annual Report on Form 10-K, we are involved in several pending environmental and regulatory matters. We believe that our assessment of contingencies is reasonable and that the related reserves, in the aggregate, are adequate; however, there can be no assurance that the final resolution of these matters will not have a material effect on our financial condition, results of operations or cash flows.</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been named as a defendant in a number of cases alleging injuries that the lawsuits claim resulted from exposure to asbestos-containing products, apparently based on our historic use of vermiculite in certain of our products. In many of these cases, the complaints are not specific about the plaintiffs’ contacts with us or our products. The cases vary, but complaints in these cases generally seek unspecified monetary damages (actual, compensatory, consequential and punitive) from multiple defendants. We believe that the claims against us are without merit and are vigorously defending against them. It is not currently possible to reasonably estimate a probable loss, if any, associated with the cases and, accordingly, no reserves have been recorded in our consolidated financial statements. We are reviewing agreements and policies that may provide insurance coverage or indemnity as to these claims and are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our financial condition, results of operations or cash flows.</w:t>
      </w:r>
    </w:p>
    <w:p>
      <w:pPr>
        <w:spacing w:after="0" w:line="12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we have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punitive, and treble); reimbursement, restitution, and disgorgement for benefits unjustly conferred; injunctive and declaratory relief; pre-judgment and post-judgment interest; and costs and attorneys' fees. The Company disputes the plaintiffs' assertions and intends to vigorously defend the consolidated action. Given the early stages of the action, it is not currently possible to reasonably estimate a probable loss, if any, associated with the action and, accordingly, no reserves have been recorded in our consolidated financial statements with respect to the action. There can be no assurance that this action, whether as a result of an adverse outcome or as a result of significant defense costs, will not have a material adverse effect on our financial condition, results of operations or cash flows.</w:t>
      </w:r>
    </w:p>
    <w:p>
      <w:pPr>
        <w:spacing w:after="0" w:line="12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effect on our financial condition, results of operations or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4. </w:t>
      </w:r>
      <w:r>
        <w:rPr>
          <w:rFonts w:ascii="Arial" w:cs="Arial" w:eastAsia="Arial" w:hAnsi="Arial"/>
          <w:sz w:val="18"/>
          <w:szCs w:val="18"/>
          <w:b w:val="1"/>
          <w:bCs w:val="1"/>
          <w:i w:val="1"/>
          <w:iCs w:val="1"/>
          <w:u w:val="single" w:color="auto"/>
          <w:color w:val="auto"/>
        </w:rPr>
        <w:t>MINE SAFETY DISCLOSURE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SUPPLEMENTAL ITEM. </w:t>
      </w:r>
      <w:r>
        <w:rPr>
          <w:rFonts w:ascii="Arial" w:cs="Arial" w:eastAsia="Arial" w:hAnsi="Arial"/>
          <w:sz w:val="18"/>
          <w:szCs w:val="18"/>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executive officers of Scotts Miracle-Gro, their positions and, as of November 14, 2014, their ages and years with Scotts Miracle-Gro (and its predecessors)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4"/>
                <w:szCs w:val="14"/>
                <w:color w:val="auto"/>
              </w:rPr>
            </w:pPr>
          </w:p>
        </w:tc>
        <w:tc>
          <w:tcPr>
            <w:tcW w:w="672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Position(s) Held</w:t>
            </w:r>
          </w:p>
        </w:tc>
        <w:tc>
          <w:tcPr>
            <w:tcW w:w="100" w:type="dxa"/>
            <w:vAlign w:val="bottom"/>
            <w:vMerge w:val="restart"/>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Hagedorn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Barry W. Sanders</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R. Coleman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C. Lukemire</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North American Operations</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Ivan C. Smith</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Executive Vice President, General Counsel, Corporate Secretary and Chief Compliance</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Denise S. Stump</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Global Human Resources and Chief Ethics Officer</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executive severance agreements or other arrangements.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171"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7"/>
          <w:szCs w:val="17"/>
          <w:i w:val="1"/>
          <w:iCs w:val="1"/>
          <w:color w:val="auto"/>
        </w:rPr>
        <w:t xml:space="preserve">Mr. Hagedorn </w:t>
      </w:r>
      <w:r>
        <w:rPr>
          <w:rFonts w:ascii="Arial" w:cs="Arial" w:eastAsia="Arial" w:hAnsi="Arial"/>
          <w:sz w:val="17"/>
          <w:szCs w:val="17"/>
          <w:color w:val="auto"/>
        </w:rPr>
        <w:t>was named Chairman of the Board of Scotts Miracle-Gro’s predecessor in January 2003 and named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Scotts Miracle-Gro’s predecessor in May 2001. He also served as President of Scotts Miracle-Gro (or its predecessor) from November 2006 until October 2008 and from April 2000 until December 2005. Mr. Hagedorn serves on Scotts Miracle-Gro’s Board of Directors, a position he has held with Scotts Miracle-Gro (or its predecessor) since 1995. Mr. Hagedorn is the brother of Katherine Hagedorn Littlefield, a director of Scotts Miracle-Gro.</w:t>
      </w:r>
    </w:p>
    <w:p>
      <w:pPr>
        <w:spacing w:after="0" w:line="117" w:lineRule="exact"/>
        <w:rPr>
          <w:sz w:val="20"/>
          <w:szCs w:val="20"/>
          <w:color w:val="auto"/>
        </w:rPr>
      </w:pPr>
    </w:p>
    <w:p>
      <w:pPr>
        <w:jc w:val="both"/>
        <w:ind w:firstLine="891"/>
        <w:spacing w:after="0" w:line="293" w:lineRule="auto"/>
        <w:rPr>
          <w:sz w:val="20"/>
          <w:szCs w:val="20"/>
          <w:color w:val="auto"/>
        </w:rPr>
      </w:pPr>
      <w:r>
        <w:rPr>
          <w:rFonts w:ascii="Arial" w:cs="Arial" w:eastAsia="Arial" w:hAnsi="Arial"/>
          <w:sz w:val="16"/>
          <w:szCs w:val="16"/>
          <w:i w:val="1"/>
          <w:iCs w:val="1"/>
          <w:color w:val="auto"/>
        </w:rPr>
        <w:t xml:space="preserve">Mr. Sanders </w:t>
      </w:r>
      <w:r>
        <w:rPr>
          <w:rFonts w:ascii="Arial" w:cs="Arial" w:eastAsia="Arial" w:hAnsi="Arial"/>
          <w:sz w:val="16"/>
          <w:szCs w:val="16"/>
          <w:color w:val="auto"/>
        </w:rPr>
        <w:t>was named President of Scotts Miracle-Gro in October 2010 and named Chief Operating Officer of Scotts Miracle-Gro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2012. In these positions, Mr. Sanders oversees all business unit and operating functions at the Company. Prior to his appointment as President, Mr. Sanders had served as the Executive Vice President, Global Consumer of Scotts Miracle-Gro since June 2010. Previously, he served as Executive Vice President, North America of Scotts Miracle-Gro from October 2007 until June 2010. He served as Executive Vice President of Global Technology and Operations of Scotts Miracle-Gro from January to October 2007, where he was responsible for the Company’s supply chain and information systems, as well as research and development efforts. Before January 2007, he led the North American and global supply chain organizations as well as the North American sales force.</w:t>
      </w:r>
    </w:p>
    <w:p>
      <w:pPr>
        <w:spacing w:after="0" w:line="111" w:lineRule="exact"/>
        <w:rPr>
          <w:sz w:val="20"/>
          <w:szCs w:val="20"/>
          <w:color w:val="auto"/>
        </w:rPr>
      </w:pPr>
    </w:p>
    <w:p>
      <w:pPr>
        <w:jc w:val="both"/>
        <w:ind w:firstLine="891"/>
        <w:spacing w:after="0" w:line="276" w:lineRule="auto"/>
        <w:rPr>
          <w:sz w:val="20"/>
          <w:szCs w:val="20"/>
          <w:color w:val="auto"/>
        </w:rPr>
      </w:pPr>
      <w:r>
        <w:rPr>
          <w:rFonts w:ascii="Arial" w:cs="Arial" w:eastAsia="Arial" w:hAnsi="Arial"/>
          <w:sz w:val="17"/>
          <w:szCs w:val="17"/>
          <w:i w:val="1"/>
          <w:iCs w:val="1"/>
          <w:color w:val="auto"/>
        </w:rPr>
        <w:t xml:space="preserve">Mr. Coleman </w:t>
      </w:r>
      <w:r>
        <w:rPr>
          <w:rFonts w:ascii="Arial" w:cs="Arial" w:eastAsia="Arial" w:hAnsi="Arial"/>
          <w:sz w:val="17"/>
          <w:szCs w:val="17"/>
          <w:color w:val="auto"/>
        </w:rPr>
        <w:t>was named Executive Vice President and Chief Financial Officer of Scotts Miracle-Gro on April 15, 2014. Prior to his appointment</w:t>
      </w:r>
      <w:r>
        <w:rPr>
          <w:rFonts w:ascii="Arial" w:cs="Arial" w:eastAsia="Arial" w:hAnsi="Arial"/>
          <w:sz w:val="17"/>
          <w:szCs w:val="17"/>
          <w:i w:val="1"/>
          <w:iCs w:val="1"/>
          <w:color w:val="auto"/>
        </w:rPr>
        <w:t xml:space="preserve"> </w:t>
      </w:r>
      <w:r>
        <w:rPr>
          <w:rFonts w:ascii="Arial" w:cs="Arial" w:eastAsia="Arial" w:hAnsi="Arial"/>
          <w:sz w:val="17"/>
          <w:szCs w:val="17"/>
          <w:color w:val="auto"/>
        </w:rPr>
        <w:t>as Executive Vice President and Chief Financial Officer, Mr. Coleman had served as Senior Vice President, Global Finance Operations and Enterprise Performance Management Analytics for The Scotts Company LLC (“Scotts LLC”), a wholly-owned subsidiary of Scotts Miracle-Gro, since January 2011. Previously, Mr. Coleman served as Senior Vice President, North America Finance of Scotts LLC from November 2007 until January 2011. Mr. Coleman also previously served as interim principal financial officer of Scotts Miracle-Gro between February 2013 and March 2013.</w:t>
      </w:r>
    </w:p>
    <w:p>
      <w:pPr>
        <w:spacing w:after="0" w:line="119" w:lineRule="exact"/>
        <w:rPr>
          <w:sz w:val="20"/>
          <w:szCs w:val="20"/>
          <w:color w:val="auto"/>
        </w:rPr>
      </w:pPr>
    </w:p>
    <w:p>
      <w:pPr>
        <w:jc w:val="both"/>
        <w:ind w:firstLine="891"/>
        <w:spacing w:after="0" w:line="271" w:lineRule="auto"/>
        <w:rPr>
          <w:sz w:val="20"/>
          <w:szCs w:val="20"/>
          <w:color w:val="auto"/>
        </w:rPr>
      </w:pPr>
      <w:r>
        <w:rPr>
          <w:rFonts w:ascii="Arial" w:cs="Arial" w:eastAsia="Arial" w:hAnsi="Arial"/>
          <w:sz w:val="17"/>
          <w:szCs w:val="17"/>
          <w:i w:val="1"/>
          <w:iCs w:val="1"/>
          <w:color w:val="auto"/>
        </w:rPr>
        <w:t xml:space="preserve">Mr. Lukemire </w:t>
      </w:r>
      <w:r>
        <w:rPr>
          <w:rFonts w:ascii="Arial" w:cs="Arial" w:eastAsia="Arial" w:hAnsi="Arial"/>
          <w:sz w:val="17"/>
          <w:szCs w:val="17"/>
          <w:color w:val="auto"/>
        </w:rPr>
        <w:t>was named Executive Vice President, North American Operations of Scotts Miracle-Gro in April 2014 and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overseeing all aspects of the Company’s core North America business. Prior to this appointment, Mr. Lukemire had served as Executive Vice President, Business Execution of Scotts Miracle-Gro since May 2013 and was responsible for leading the Company’s global supply chain, research and development, business transformation and environmental health and safety efforts. Previously, Mr. Lukemire served as President, U.S. Consumer Regions of Scotts Miracle-Gro from October 2011 until May 2013. Prior to October 2011, he had served as Regional President for the Southeast region since May 2009, responsible for leading the Company's business development, marketing and sales efforts in the southeastern U.S., and eventually led the entire North American sales function. Previously, Mr. Lukemire was Executive Vice President, Global Technology and Operations from June 2008 until May 2009, responsible for global supply chain, global research and development and global business information services.</w:t>
      </w:r>
    </w:p>
    <w:p>
      <w:pPr>
        <w:spacing w:after="0" w:line="125"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i w:val="1"/>
          <w:iCs w:val="1"/>
          <w:color w:val="auto"/>
        </w:rPr>
        <w:t xml:space="preserve">Mr. Smith </w:t>
      </w:r>
      <w:r>
        <w:rPr>
          <w:rFonts w:ascii="Arial" w:cs="Arial" w:eastAsia="Arial" w:hAnsi="Arial"/>
          <w:sz w:val="18"/>
          <w:szCs w:val="18"/>
          <w:color w:val="auto"/>
        </w:rPr>
        <w:t>was named Executive Vice President, General Counsel and Corporate Secretary of Scotts Miracle-Gro in July 2013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Officer of Scotts Miracle-Gro in October 2013. Prior to July 2013, he had served as Vice President, Global Consumer Legal and Assistant General Counsel of Scotts LLC since October 2011. Mr. Smith served as Vice President, North America Legal and Assistant General Counsel from April 2009 to September 2011 and as Vice President, Litigation of Scotts LLC from October 2007 to March 2009.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i w:val="1"/>
          <w:iCs w:val="1"/>
          <w:color w:val="auto"/>
        </w:rPr>
        <w:t xml:space="preserve">Ms. Stump </w:t>
      </w:r>
      <w:r>
        <w:rPr>
          <w:rFonts w:ascii="Arial" w:cs="Arial" w:eastAsia="Arial" w:hAnsi="Arial"/>
          <w:sz w:val="18"/>
          <w:szCs w:val="18"/>
          <w:color w:val="auto"/>
        </w:rPr>
        <w:t>was named Executive Vice President, Global Human Resources of Scotts Miracle-Gro (or its predecessor) in February 2003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Ethics Officer of Scotts Miracle-Gro in October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both"/>
        <w:ind w:left="980" w:hanging="971"/>
        <w:spacing w:after="0" w:line="261"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4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Common Shares trade on the New York Stock Exchange under the symbol “SMG.” The quarterly high and low sale prices for the fiscal years ended September 30, 2014 and September 30, 2013 were as follows:</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Sale Prices</w:t>
            </w:r>
          </w:p>
        </w:tc>
        <w:tc>
          <w:tcPr>
            <w:tcW w:w="1360" w:type="dxa"/>
            <w:vAlign w:val="bottom"/>
            <w:tcBorders>
              <w:bottom w:val="single" w:sz="8" w:color="auto"/>
            </w:tcBorders>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gridSpan w:val="2"/>
          </w:tcPr>
          <w:p>
            <w:pPr>
              <w:ind w:left="340"/>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22"/>
                <w:szCs w:val="22"/>
                <w:color w:val="auto"/>
              </w:rPr>
            </w:pPr>
          </w:p>
        </w:tc>
        <w:tc>
          <w:tcPr>
            <w:tcW w:w="1360" w:type="dxa"/>
            <w:vAlign w:val="bottom"/>
          </w:tcPr>
          <w:p>
            <w:pPr>
              <w:jc w:val="right"/>
              <w:ind w:right="752"/>
              <w:spacing w:after="0"/>
              <w:rPr>
                <w:sz w:val="20"/>
                <w:szCs w:val="20"/>
                <w:color w:val="auto"/>
              </w:rPr>
            </w:pPr>
            <w:r>
              <w:rPr>
                <w:rFonts w:ascii="Arial" w:cs="Arial" w:eastAsia="Arial" w:hAnsi="Arial"/>
                <w:sz w:val="14"/>
                <w:szCs w:val="14"/>
                <w:b w:val="1"/>
                <w:bCs w:val="1"/>
                <w:color w:val="auto"/>
              </w:rPr>
              <w:t>Low</w:t>
            </w:r>
          </w:p>
        </w:tc>
      </w:tr>
      <w:tr>
        <w:trPr>
          <w:trHeight w:val="250"/>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2014</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50.51</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53.21</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53.97</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50.97</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FISCAL 2013</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39.64</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42.64</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42.01</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47.87</w:t>
            </w:r>
          </w:p>
        </w:tc>
      </w:tr>
    </w:tbl>
    <w:p>
      <w:pPr>
        <w:spacing w:after="0" w:line="22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August 9, 2012, Scotts Miracle-Gro announced that its Board of Directors had increased the quarterly cash dividend to $0.325 per Common Share, which was paid in September of fiscal 2012 and December, March and June of fiscal 2013. On August 6, 2013, Scotts Miracle-Gro announced that its Board of Directors had increased the quarterly cash dividend to $0.4375 per Common Share, which was paid in September of fiscal 2013 and December, March and June of fiscal 2014. On August 11, 2014, Scotts Miracle-Gro announced that its Board of Directors had further increased the quarterly cash dividend to $0.45 per Common Share, which was paid in September of fiscal 2014. The Board also authorized a special one-time cash dividend of $2.00 per share on the Common Shares, which was paid on September 17, 2014.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restricted dividend payments to an aggregate of $125 million annually through fiscal 2013 and restricts future dividend payments to an aggregate of $150 million in fiscal 2014 and 2015 and $175 million for fiscal 2016 and each fiscal year thereafter if our leverage ratio, after giving effect to any such annual dividend payment, exceeds 3.00. Our leverage ratio was 2.18 at September 30, 2014. See “NOTE 10. DEBT” of the Notes to Consolidated Financial Statements included in this Annual Report on Form 10-K for further discussion regarding the restrictions on dividend payments.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November 14, 2014, there were approximately 29,000 shareholders, including holders of record and our estimate of beneficial holders.</w:t>
      </w:r>
    </w:p>
    <w:p>
      <w:pPr>
        <w:spacing w:after="0" w:line="1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2014:</w:t>
      </w:r>
    </w:p>
    <w:p>
      <w:pPr>
        <w:spacing w:after="0" w:line="146"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12"/>
        </w:trPr>
        <w:tc>
          <w:tcPr>
            <w:tcW w:w="4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6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Shares Purchased</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95"/>
        </w:trPr>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Paid per</w:t>
            </w:r>
          </w:p>
        </w:tc>
        <w:tc>
          <w:tcPr>
            <w:tcW w:w="1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1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line="20" w:lineRule="exact"/>
              <w:rPr>
                <w:sz w:val="1"/>
                <w:szCs w:val="1"/>
                <w:color w:val="auto"/>
              </w:rPr>
            </w:pPr>
          </w:p>
        </w:tc>
      </w:tr>
      <w:tr>
        <w:trPr>
          <w:trHeight w:val="149"/>
        </w:trPr>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29 through July 26, 2014</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54.58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207,363,017</w:t>
            </w:r>
          </w:p>
        </w:tc>
        <w:tc>
          <w:tcPr>
            <w:tcW w:w="0" w:type="dxa"/>
            <w:vAlign w:val="bottom"/>
          </w:tcPr>
          <w:p>
            <w:pPr>
              <w:spacing w:after="0"/>
              <w:rPr>
                <w:sz w:val="1"/>
                <w:szCs w:val="1"/>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July 27 through August 23, 2014</w:t>
            </w:r>
          </w:p>
        </w:tc>
        <w:tc>
          <w:tcPr>
            <w:tcW w:w="1680" w:type="dxa"/>
            <w:vAlign w:val="bottom"/>
          </w:tcPr>
          <w:p>
            <w:pPr>
              <w:jc w:val="right"/>
              <w:ind w:right="39"/>
              <w:spacing w:after="0"/>
              <w:rPr>
                <w:sz w:val="20"/>
                <w:szCs w:val="20"/>
                <w:color w:val="auto"/>
              </w:rPr>
            </w:pPr>
            <w:r>
              <w:rPr>
                <w:rFonts w:ascii="Arial" w:cs="Arial" w:eastAsia="Arial" w:hAnsi="Arial"/>
                <w:sz w:val="18"/>
                <w:szCs w:val="18"/>
                <w:color w:val="auto"/>
              </w:rPr>
              <w:t>164,821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21"/>
                <w:szCs w:val="21"/>
                <w:color w:val="auto"/>
              </w:rPr>
            </w:pPr>
          </w:p>
        </w:tc>
        <w:tc>
          <w:tcPr>
            <w:tcW w:w="1660" w:type="dxa"/>
            <w:vAlign w:val="bottom"/>
          </w:tcPr>
          <w:p>
            <w:pPr>
              <w:jc w:val="right"/>
              <w:ind w:right="22"/>
              <w:spacing w:after="0"/>
              <w:rPr>
                <w:sz w:val="20"/>
                <w:szCs w:val="20"/>
                <w:color w:val="auto"/>
              </w:rPr>
            </w:pPr>
            <w:r>
              <w:rPr>
                <w:rFonts w:ascii="Arial" w:cs="Arial" w:eastAsia="Arial" w:hAnsi="Arial"/>
                <w:sz w:val="18"/>
                <w:szCs w:val="18"/>
                <w:color w:val="auto"/>
              </w:rPr>
              <w:t>164,460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
              <w:spacing w:after="0"/>
              <w:rPr>
                <w:sz w:val="20"/>
                <w:szCs w:val="20"/>
                <w:color w:val="auto"/>
              </w:rPr>
            </w:pPr>
            <w:r>
              <w:rPr>
                <w:rFonts w:ascii="Arial" w:cs="Arial" w:eastAsia="Arial" w:hAnsi="Arial"/>
                <w:sz w:val="18"/>
                <w:szCs w:val="18"/>
                <w:color w:val="auto"/>
              </w:rPr>
              <w:t>197,825,679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24 through September 30, 2014</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331,766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57.76</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329,517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178,790,098</w:t>
            </w:r>
          </w:p>
        </w:tc>
        <w:tc>
          <w:tcPr>
            <w:tcW w:w="0" w:type="dxa"/>
            <w:vAlign w:val="bottom"/>
          </w:tcPr>
          <w:p>
            <w:pPr>
              <w:spacing w:after="0"/>
              <w:rPr>
                <w:sz w:val="1"/>
                <w:szCs w:val="1"/>
                <w:color w:val="auto"/>
              </w:rPr>
            </w:pP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496,588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493,977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 Common Shares purchased during the quarter were purchased in open market transactions. The total number of Common Shares purchased during the quarter includes 2,610 Common Shares purchased by the trustee of the rabbi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660"/>
        <w:spacing w:after="0" w:line="339" w:lineRule="auto"/>
        <w:rPr>
          <w:sz w:val="20"/>
          <w:szCs w:val="20"/>
          <w:color w:val="auto"/>
        </w:rPr>
      </w:pPr>
      <w:r>
        <w:rPr>
          <w:rFonts w:ascii="Arial" w:cs="Arial" w:eastAsia="Arial" w:hAnsi="Arial"/>
          <w:sz w:val="16"/>
          <w:szCs w:val="16"/>
          <w:color w:val="auto"/>
        </w:rPr>
        <w:t>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8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7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August 10, 2010, Scotts Miracle-Gro announced that its Board of Directors authorized the repurchase of up to $500 million of Common Shares over a four-year period through September 30, 2014. On May 5, 2011, Scotts Miracle-Gro announced that its Board of Directors authorized the repurchase of up to an additional $200 million of Common Shares, resulting in authority to repurchase up to a total of $700 million of Common Shares through September 30, 2014. On August 11, 2014, Scotts Miracle-Gro announced that its Board of Directors authorized the repurchase of up to $500 million of Common Shares over a five-year period (starting November 1, 2014 through September 30, 2019). The dollar amounts in the “Approximate Dollar Value” column reflect the remaining amounts that were available for repurchase under the $700 million authorized repurchase program, which expired on September 30, 2014.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4120" w:type="dxa"/>
            <w:vAlign w:val="bottom"/>
            <w:gridSpan w:val="4"/>
          </w:tcPr>
          <w:p>
            <w:pPr>
              <w:ind w:left="300"/>
              <w:spacing w:after="0"/>
              <w:rPr>
                <w:sz w:val="20"/>
                <w:szCs w:val="20"/>
                <w:color w:val="auto"/>
              </w:rPr>
            </w:pPr>
            <w:r>
              <w:rPr>
                <w:rFonts w:ascii="Arial" w:cs="Arial" w:eastAsia="Arial" w:hAnsi="Arial"/>
                <w:sz w:val="18"/>
                <w:szCs w:val="18"/>
                <w:b w:val="1"/>
                <w:bCs w:val="1"/>
                <w:i w:val="1"/>
                <w:iCs w:val="1"/>
                <w:color w:val="auto"/>
              </w:rPr>
              <w:t>SELECTED FINANCIAL DATA</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Five-Year Summary</w:t>
            </w:r>
            <w:r>
              <w:rPr>
                <w:rFonts w:ascii="Arial" w:cs="Arial" w:eastAsia="Arial" w:hAnsi="Arial"/>
                <w:sz w:val="25"/>
                <w:szCs w:val="25"/>
                <w:b w:val="1"/>
                <w:bCs w:val="1"/>
                <w:color w:val="auto"/>
                <w:w w:val="91"/>
                <w:vertAlign w:val="superscript"/>
              </w:rPr>
              <w:t>(1)</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3"/>
              </w:rPr>
              <w:t>Year Ended September 30,</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520" w:type="dxa"/>
            <w:vAlign w:val="bottom"/>
            <w:gridSpan w:val="5"/>
          </w:tcPr>
          <w:p>
            <w:pPr>
              <w:jc w:val="right"/>
              <w:ind w:right="651"/>
              <w:spacing w:after="0"/>
              <w:rPr>
                <w:sz w:val="20"/>
                <w:szCs w:val="20"/>
                <w:color w:val="auto"/>
              </w:rPr>
            </w:pPr>
            <w:r>
              <w:rPr>
                <w:rFonts w:ascii="Arial" w:cs="Arial" w:eastAsia="Arial" w:hAnsi="Arial"/>
                <w:sz w:val="14"/>
                <w:szCs w:val="14"/>
                <w:b w:val="1"/>
                <w:bCs w:val="1"/>
                <w:color w:val="auto"/>
              </w:rPr>
              <w:t>(In millions, except per share amounts)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2,841.3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2,773.7</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2,770.5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2,718.1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2,789.8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1,031.4</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956.6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1,013.8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314.6</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310.5</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241.2</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301.8</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165.4</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111.6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157.5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166.2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106.5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167.9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166.5</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161.1</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106.5</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167.9</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gridSpan w:val="7"/>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ADJUSTED OPERATING RESULTS</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Adjusted income from operations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365.6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330.8</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256.5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346.2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Adjusted 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206.0</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123.3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187.4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Adjusted income attributable to controlling interest from</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206.3</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172.6</w:t>
            </w:r>
          </w:p>
        </w:tc>
        <w:tc>
          <w:tcPr>
            <w:tcW w:w="54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123.3</w:t>
            </w:r>
          </w:p>
        </w:tc>
        <w:tc>
          <w:tcPr>
            <w:tcW w:w="36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187.4</w:t>
            </w:r>
          </w:p>
        </w:tc>
        <w:tc>
          <w:tcPr>
            <w:tcW w:w="34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4420" w:type="dxa"/>
            <w:vAlign w:val="bottom"/>
            <w:gridSpan w:val="6"/>
          </w:tcPr>
          <w:p>
            <w:pPr>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390.3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371.2</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566.4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523.9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0"/>
        </w:trPr>
        <w:tc>
          <w:tcPr>
            <w:tcW w:w="380" w:type="dxa"/>
            <w:vAlign w:val="bottom"/>
            <w:shd w:val="clear" w:color="auto" w:fill="CCEEFF"/>
          </w:tcPr>
          <w:p>
            <w:pPr>
              <w:spacing w:after="0"/>
              <w:rPr>
                <w:sz w:val="23"/>
                <w:szCs w:val="23"/>
                <w:color w:val="auto"/>
              </w:rPr>
            </w:pPr>
          </w:p>
        </w:tc>
        <w:tc>
          <w:tcPr>
            <w:tcW w:w="4420" w:type="dxa"/>
            <w:vAlign w:val="bottom"/>
            <w:gridSpan w:val="6"/>
            <w:shd w:val="clear" w:color="auto" w:fill="CCEEFF"/>
          </w:tcPr>
          <w:p>
            <w:pPr>
              <w:spacing w:after="0" w:line="270" w:lineRule="exact"/>
              <w:rPr>
                <w:sz w:val="20"/>
                <w:szCs w:val="20"/>
                <w:color w:val="auto"/>
              </w:rPr>
            </w:pPr>
            <w:r>
              <w:rPr>
                <w:rFonts w:ascii="Arial" w:cs="Arial" w:eastAsia="Arial" w:hAnsi="Arial"/>
                <w:sz w:val="18"/>
                <w:szCs w:val="18"/>
                <w:color w:val="auto"/>
              </w:rPr>
              <w:t>Current ratio</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Property, plant and equipment, net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437.0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422.3</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427.4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394.7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2,058.3</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2,074.4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2,052.2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2,164.0</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4420" w:type="dxa"/>
            <w:vAlign w:val="bottom"/>
            <w:gridSpan w:val="6"/>
          </w:tcPr>
          <w:p>
            <w:pPr>
              <w:spacing w:after="0" w:line="270" w:lineRule="exact"/>
              <w:rPr>
                <w:sz w:val="20"/>
                <w:szCs w:val="20"/>
                <w:color w:val="auto"/>
              </w:rPr>
            </w:pPr>
            <w:r>
              <w:rPr>
                <w:rFonts w:ascii="Arial" w:cs="Arial" w:eastAsia="Arial" w:hAnsi="Arial"/>
                <w:sz w:val="18"/>
                <w:szCs w:val="18"/>
                <w:color w:val="auto"/>
              </w:rPr>
              <w:t>Total debt to total book capitalization</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23"/>
                <w:szCs w:val="23"/>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44.5%</w:t>
            </w:r>
          </w:p>
        </w:tc>
        <w:tc>
          <w:tcPr>
            <w:tcW w:w="960" w:type="dxa"/>
            <w:vAlign w:val="bottom"/>
          </w:tcPr>
          <w:p>
            <w:pPr>
              <w:jc w:val="right"/>
              <w:spacing w:after="0"/>
              <w:rPr>
                <w:sz w:val="20"/>
                <w:szCs w:val="20"/>
                <w:color w:val="auto"/>
              </w:rPr>
            </w:pPr>
            <w:r>
              <w:rPr>
                <w:rFonts w:ascii="Arial" w:cs="Arial" w:eastAsia="Arial" w:hAnsi="Arial"/>
                <w:sz w:val="18"/>
                <w:szCs w:val="18"/>
                <w:color w:val="auto"/>
              </w:rPr>
              <w:t>56.5%</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debt</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784.3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782.6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795.0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Total shareholders’ equity - controlling interest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553.7</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710.5</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601.9</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559.8</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240.9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342.0</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153.4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122.1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Investments in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87.6</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w w:val="89"/>
              </w:rPr>
              <w:t>Investments in acquired businesses, net of cash acquired and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payments on sellers notes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114.8</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cash 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230.8</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75.4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Total purchases of Common Shares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120.0</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358.7</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w w:val="98"/>
              </w:rPr>
              <w:t>Earnings per common share from continuing operations: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20" w:type="dxa"/>
            <w:vAlign w:val="bottom"/>
            <w:gridSpan w:val="4"/>
          </w:tcPr>
          <w:p>
            <w:pPr>
              <w:ind w:left="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120" w:type="dxa"/>
            <w:vAlign w:val="bottom"/>
            <w:gridSpan w:val="4"/>
            <w:shd w:val="clear" w:color="auto" w:fill="CCEEFF"/>
          </w:tcPr>
          <w:p>
            <w:pPr>
              <w:ind w:left="80"/>
              <w:spacing w:after="0" w:line="270" w:lineRule="exact"/>
              <w:rPr>
                <w:sz w:val="20"/>
                <w:szCs w:val="20"/>
                <w:color w:val="auto"/>
              </w:rPr>
            </w:pPr>
            <w:r>
              <w:rPr>
                <w:rFonts w:ascii="Arial" w:cs="Arial" w:eastAsia="Arial" w:hAnsi="Arial"/>
                <w:sz w:val="18"/>
                <w:szCs w:val="18"/>
                <w:color w:val="auto"/>
              </w:rPr>
              <w:t>Adjusted diluted</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3.29</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4420" w:type="dxa"/>
            <w:vAlign w:val="bottom"/>
            <w:gridSpan w:val="6"/>
          </w:tcPr>
          <w:p>
            <w:pPr>
              <w:spacing w:after="0" w:line="270" w:lineRule="exact"/>
              <w:rPr>
                <w:sz w:val="20"/>
                <w:szCs w:val="20"/>
                <w:color w:val="auto"/>
              </w:rPr>
            </w:pPr>
            <w:r>
              <w:rPr>
                <w:rFonts w:ascii="Arial" w:cs="Arial" w:eastAsia="Arial" w:hAnsi="Arial"/>
                <w:sz w:val="18"/>
                <w:szCs w:val="18"/>
                <w:color w:val="auto"/>
              </w:rPr>
              <w:t>Dividends per common share</w:t>
            </w:r>
            <w:r>
              <w:rPr>
                <w:rFonts w:ascii="Arial" w:cs="Arial" w:eastAsia="Arial" w:hAnsi="Arial"/>
                <w:sz w:val="25"/>
                <w:szCs w:val="25"/>
                <w:color w:val="auto"/>
                <w:vertAlign w:val="superscript"/>
              </w:rPr>
              <w:t>(5)</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3.763</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w:t>
            </w:r>
          </w:p>
        </w:tc>
        <w:tc>
          <w:tcPr>
            <w:tcW w:w="54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1.225</w:t>
            </w:r>
          </w:p>
        </w:tc>
        <w:tc>
          <w:tcPr>
            <w:tcW w:w="360" w:type="dxa"/>
            <w:vAlign w:val="bottom"/>
          </w:tcPr>
          <w:p>
            <w:pPr>
              <w:spacing w:after="0"/>
              <w:rPr>
                <w:sz w:val="23"/>
                <w:szCs w:val="23"/>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0.625</w:t>
            </w: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Stock price at year-end</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55.00</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43.47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44.60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Stock price range—High</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60.03</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55.99</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55.95</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60.62</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Stock price range—Low</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50.51</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35.49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39.99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4800" w:type="dxa"/>
            <w:vAlign w:val="bottom"/>
            <w:gridSpan w:val="7"/>
          </w:tcPr>
          <w:p>
            <w:pPr>
              <w:ind w:left="4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shd w:val="clear" w:color="auto" w:fill="CCEEFF"/>
          </w:tcPr>
          <w:p>
            <w:pPr>
              <w:spacing w:after="0"/>
              <w:rPr>
                <w:sz w:val="23"/>
                <w:szCs w:val="23"/>
                <w:color w:val="auto"/>
              </w:rPr>
            </w:pPr>
          </w:p>
        </w:tc>
        <w:tc>
          <w:tcPr>
            <w:tcW w:w="4420" w:type="dxa"/>
            <w:vAlign w:val="bottom"/>
            <w:gridSpan w:val="6"/>
            <w:shd w:val="clear" w:color="auto" w:fill="CCEEFF"/>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412.4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302.9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393.0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4420" w:type="dxa"/>
            <w:vAlign w:val="bottom"/>
            <w:gridSpan w:val="6"/>
          </w:tcPr>
          <w:p>
            <w:pPr>
              <w:spacing w:after="0" w:line="270" w:lineRule="exact"/>
              <w:rPr>
                <w:sz w:val="20"/>
                <w:szCs w:val="20"/>
                <w:color w:val="auto"/>
              </w:rPr>
            </w:pPr>
            <w:r>
              <w:rPr>
                <w:rFonts w:ascii="Arial" w:cs="Arial" w:eastAsia="Arial" w:hAnsi="Arial"/>
                <w:sz w:val="18"/>
                <w:szCs w:val="18"/>
                <w:color w:val="auto"/>
              </w:rPr>
              <w:t>Leverage ratio</w:t>
            </w:r>
            <w:r>
              <w:rPr>
                <w:rFonts w:ascii="Arial" w:cs="Arial" w:eastAsia="Arial" w:hAnsi="Arial"/>
                <w:sz w:val="25"/>
                <w:szCs w:val="25"/>
                <w:color w:val="auto"/>
                <w:vertAlign w:val="superscript"/>
              </w:rPr>
              <w:t>(6)</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54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2.93</w:t>
            </w:r>
          </w:p>
        </w:tc>
        <w:tc>
          <w:tcPr>
            <w:tcW w:w="360" w:type="dxa"/>
            <w:vAlign w:val="bottom"/>
          </w:tcPr>
          <w:p>
            <w:pPr>
              <w:spacing w:after="0"/>
              <w:rPr>
                <w:sz w:val="23"/>
                <w:szCs w:val="23"/>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162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Interest coverage ratio</w:t>
            </w:r>
          </w:p>
        </w:tc>
        <w:tc>
          <w:tcPr>
            <w:tcW w:w="1460" w:type="dxa"/>
            <w:vAlign w:val="bottom"/>
            <w:shd w:val="clear" w:color="auto" w:fill="CCEEFF"/>
          </w:tcPr>
          <w:p>
            <w:pPr>
              <w:jc w:val="right"/>
              <w:ind w:right="1257"/>
              <w:spacing w:after="0"/>
              <w:rPr>
                <w:sz w:val="20"/>
                <w:szCs w:val="20"/>
                <w:color w:val="auto"/>
              </w:rPr>
            </w:pPr>
            <w:r>
              <w:rPr>
                <w:rFonts w:ascii="Arial" w:cs="Arial" w:eastAsia="Arial" w:hAnsi="Arial"/>
                <w:sz w:val="13"/>
                <w:szCs w:val="13"/>
                <w:color w:val="auto"/>
                <w:w w:val="75"/>
                <w:shd w:val="clear" w:color="auto" w:fill="CCEEFF"/>
              </w:rPr>
              <w:t>(6)</w:t>
            </w: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9.41</w:t>
            </w:r>
          </w:p>
        </w:tc>
        <w:tc>
          <w:tcPr>
            <w:tcW w:w="4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5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4.90</w:t>
            </w: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7.47</w:t>
            </w: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77"/>
        </w:trPr>
        <w:tc>
          <w:tcPr>
            <w:tcW w:w="380" w:type="dxa"/>
            <w:vAlign w:val="bottom"/>
            <w:tcBorders>
              <w:bottom w:val="single" w:sz="8" w:color="CCEEFF"/>
            </w:tcBorders>
            <w:shd w:val="clear" w:color="auto" w:fill="CCEEFF"/>
          </w:tcPr>
          <w:p>
            <w:pPr>
              <w:spacing w:after="0"/>
              <w:rPr>
                <w:sz w:val="6"/>
                <w:szCs w:val="6"/>
                <w:color w:val="auto"/>
              </w:rPr>
            </w:pPr>
          </w:p>
        </w:tc>
        <w:tc>
          <w:tcPr>
            <w:tcW w:w="1620" w:type="dxa"/>
            <w:vAlign w:val="bottom"/>
            <w:tcBorders>
              <w:bottom w:val="single" w:sz="8" w:color="CCEEFF"/>
            </w:tcBorders>
            <w:gridSpan w:val="4"/>
            <w:vMerge w:val="continue"/>
            <w:shd w:val="clear" w:color="auto" w:fill="CCEEFF"/>
          </w:tcPr>
          <w:p>
            <w:pPr>
              <w:spacing w:after="0"/>
              <w:rPr>
                <w:sz w:val="6"/>
                <w:szCs w:val="6"/>
                <w:color w:val="auto"/>
              </w:rPr>
            </w:pPr>
          </w:p>
        </w:tc>
        <w:tc>
          <w:tcPr>
            <w:tcW w:w="146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vMerge w:val="continue"/>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54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61.6</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w:t>
            </w:r>
          </w:p>
        </w:tc>
        <w:tc>
          <w:tcPr>
            <w:tcW w:w="54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61.0</w:t>
            </w:r>
          </w:p>
        </w:tc>
        <w:tc>
          <w:tcPr>
            <w:tcW w:w="36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64.7</w:t>
            </w: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4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Common shares and dilutive potential common</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4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shares used in diluted EPS calculation</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62.7</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62.1</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66.2</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8" w:lineRule="exact"/>
        <w:rPr>
          <w:sz w:val="20"/>
          <w:szCs w:val="20"/>
          <w:color w:val="auto"/>
        </w:rPr>
      </w:pPr>
    </w:p>
    <w:p>
      <w:pPr>
        <w:jc w:val="both"/>
        <w:ind w:left="660" w:hanging="652"/>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8, 2009, we announced a plan to close our Smith &amp; Hawken business. During our first quarter of fiscal 2010, all Smith &amp; Hawken stores were closed and substantially all operational activities of Smith &amp; Hawken were discontinued. As a result, effective in our first quarter of fiscal 2010, we classified Smith &amp; Hawken as discontinued operations in accordance with accounting principles generally accepted in the United States of America (“GAAP”). Smith &amp; Hawken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is a registered trademark of Target Brands, Inc. We sold the Smith &amp; Hawken brand and certain intellectual property rights related thereto to Target Brands, Inc. on December 30, 2009, and subsequently changed the name of the subsidiary entity formerly known as Smith &amp; Hawken, Ltd. to Teak 2, Ltd. References in this Annual Report on Form 10-K to Smith &amp; Hawken refer to the subsidiary entity, not the brand itself.</w:t>
      </w:r>
    </w:p>
    <w:p>
      <w:pPr>
        <w:spacing w:after="0" w:line="135" w:lineRule="exact"/>
        <w:rPr>
          <w:rFonts w:ascii="Arial" w:cs="Arial" w:eastAsia="Arial" w:hAnsi="Arial"/>
          <w:sz w:val="18"/>
          <w:szCs w:val="18"/>
          <w:color w:val="auto"/>
        </w:rPr>
      </w:pPr>
    </w:p>
    <w:p>
      <w:pPr>
        <w:jc w:val="both"/>
        <w:ind w:left="660"/>
        <w:spacing w:after="0" w:line="273" w:lineRule="auto"/>
        <w:rPr>
          <w:rFonts w:ascii="Arial" w:cs="Arial" w:eastAsia="Arial" w:hAnsi="Arial"/>
          <w:sz w:val="18"/>
          <w:szCs w:val="18"/>
          <w:color w:val="auto"/>
        </w:rPr>
      </w:pPr>
      <w:r>
        <w:rPr>
          <w:rFonts w:ascii="Arial" w:cs="Arial" w:eastAsia="Arial" w:hAnsi="Arial"/>
          <w:sz w:val="17"/>
          <w:szCs w:val="17"/>
          <w:color w:val="auto"/>
        </w:rPr>
        <w:t>On February 28, 2011, we completed the sale of Global Pro to ICL. In conjunction with the transaction, Scotts LLC and ICL entered into several product supply agreements which are generally up to five years in duration, as well as various trademark and technology licensing agreements with varying durations. Our continuing cash inflows and outflows related to these agreements are not considered to be significant in relation to the overall cash flows of Global Pro. Furthermore, none of these agreements permit us to influence the operating or financial policies of Global Pro under the ownership of ICL. Therefore, Global Pro met the criteria for presentation as discontinued operations. As such, effective in the first quarter of fiscal 2011, we classified Global Pro as discontinued operations in accordance with GAAP.</w:t>
      </w:r>
    </w:p>
    <w:p>
      <w:pPr>
        <w:spacing w:after="0" w:line="12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In the fourth quarter of fiscal 2012, the Company completed the wind down of our professional seed business (“Pro Seed”). As a result, effective in our fourth quarter of fiscal 2012, we classified Pro Seed as discontinued operations in accordance with GAAP.</w:t>
      </w:r>
    </w:p>
    <w:p>
      <w:pPr>
        <w:spacing w:after="0" w:line="11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In the second quarter of fiscal 2014, we completed the sale of our wild bird food business. As a result, effective in our second quarter of fiscal 2014, we classified the wild bird food business as discontinued operations in accordance with GAAP.</w:t>
      </w:r>
    </w:p>
    <w:p>
      <w:pPr>
        <w:spacing w:after="0" w:line="116"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The Selected Financial Data has been retrospectively updated to recast Smith &amp; Hawken, Global Pro, Pro Seed, and the wild bird food business as discontinued operations for each period presented.</w:t>
      </w:r>
    </w:p>
    <w:p>
      <w:pPr>
        <w:spacing w:after="0" w:line="116" w:lineRule="exact"/>
        <w:rPr>
          <w:rFonts w:ascii="Arial" w:cs="Arial" w:eastAsia="Arial" w:hAnsi="Arial"/>
          <w:sz w:val="18"/>
          <w:szCs w:val="18"/>
          <w:color w:val="auto"/>
        </w:rPr>
      </w:pPr>
    </w:p>
    <w:p>
      <w:pPr>
        <w:jc w:val="both"/>
        <w:ind w:left="660" w:hanging="652"/>
        <w:spacing w:after="0" w:line="28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Five-Year Summary includes non-GAAP financial measures, as defined in Item 10(e) of SEC Regulation S-K, of adjusted income from operations, adjusted income from continuing operations, adjusted income attributable to controlling interest from continuing operations and adjusted diluted earnings per share from continuing operations, which exclude costs or gains related to discrete projects or transactions. Items excluded during the five-year period ended September 30, 2014 consisted of charges or credits relating to refinancings, impairments, restructurings, product registration and recall matters, discontinued operations, and other unusual items such as costs or gains related to discrete projects or transactions that are apart from and not indicative of the results of the operations of the business. The comparable GAAP measures are reported income from operations, reported income from continuing operations and reported diluted earnings per share from continuing operations. Our management believes that these non-GAAP measures are the most indicative of our earnings capabilities and that disclosure of these non-GAAP financial measures therefore provides useful information to investors or other users of the financial statements, such as lenders. Non-GAAP financial measures should be viewed in addition to, and not as an alternative for, the Company's reported results prepared in accordance with GAAP. A reconciliation of the non-GAAP measures to the most directly comparable GAAP measures is presented in the following tables: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2"/>
        </w:trPr>
        <w:tc>
          <w:tcPr>
            <w:tcW w:w="5260" w:type="dxa"/>
            <w:vAlign w:val="bottom"/>
          </w:tcPr>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1"/>
        </w:trPr>
        <w:tc>
          <w:tcPr>
            <w:tcW w:w="5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September 30,</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income from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365.6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net of tax</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 net of tax</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Loss attributable to noncontrolling interest</w:t>
            </w:r>
            <w:r>
              <w:rPr>
                <w:rFonts w:ascii="Arial" w:cs="Arial" w:eastAsia="Arial" w:hAnsi="Arial"/>
                <w:sz w:val="25"/>
                <w:szCs w:val="25"/>
                <w:color w:val="auto"/>
                <w:vertAlign w:val="superscript"/>
              </w:rPr>
              <w:t>(7)</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Adjusted income attributable to controlling interest from continuing</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related to refinancing, net of tax</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diluted earnings per share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182"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total shareholders’ equity - controlling interest.</w:t>
      </w:r>
    </w:p>
    <w:p>
      <w:pPr>
        <w:spacing w:after="0" w:line="116" w:lineRule="exact"/>
        <w:rPr>
          <w:rFonts w:ascii="Arial" w:cs="Arial" w:eastAsia="Arial" w:hAnsi="Arial"/>
          <w:sz w:val="18"/>
          <w:szCs w:val="18"/>
          <w:color w:val="auto"/>
        </w:rPr>
      </w:pPr>
    </w:p>
    <w:p>
      <w:pPr>
        <w:jc w:val="both"/>
        <w:ind w:left="660" w:hanging="652"/>
        <w:spacing w:after="0" w:line="284"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Scotts Miracle-Gro began paying a quarterly dividend of $0.125 per Common Share in the fourth quarter of fiscal 2005. On August 10, 2010, Scotts Miracle-Gro announced that its Board of Directors had increased the quarterly cash dividend to $0.25 per Common Share, which was first paid in the fourth quarter of fiscal 2010. On August 8, 2011, Scotts Miracle-Gro announced that its Board of Directors had increased the quarterly cash dividend to $0.30 per Common Share, which was first paid in the fourth quarter of fiscal 2011. On August 9, 2012, Scotts Miracle-Gro announced that its Board of Directors had increased the quarterly cash dividend to $0.325 per Common Share, which was first paid in the fourth quarter of fiscal 2012. On August 6, 2013, Scotts Miracle-Gro announced that its Board of Directors had increased the quarterly cash dividend to $0.4375 per Common Share, which was first paid in the fourth quarter of fiscal 2013. On August 11, 2014, Scotts Miracle-Gro announced that its Board of Directors had</w:t>
      </w:r>
    </w:p>
    <w:p>
      <w:pPr>
        <w:spacing w:after="0" w:line="2" w:lineRule="exact"/>
        <w:rPr>
          <w:rFonts w:ascii="Arial" w:cs="Arial" w:eastAsia="Arial" w:hAnsi="Arial"/>
          <w:sz w:val="16"/>
          <w:szCs w:val="16"/>
          <w:color w:val="auto"/>
        </w:rPr>
      </w:pPr>
    </w:p>
    <w:p>
      <w:pPr>
        <w:ind w:left="660" w:right="20" w:hanging="4"/>
        <w:spacing w:after="0" w:line="261" w:lineRule="auto"/>
        <w:tabs>
          <w:tab w:leader="none" w:pos="886" w:val="left"/>
        </w:tabs>
        <w:numPr>
          <w:ilvl w:val="1"/>
          <w:numId w:val="11"/>
        </w:numPr>
        <w:rPr>
          <w:rFonts w:ascii="Arial" w:cs="Arial" w:eastAsia="Arial" w:hAnsi="Arial"/>
          <w:sz w:val="18"/>
          <w:szCs w:val="18"/>
          <w:color w:val="auto"/>
        </w:rPr>
      </w:pPr>
      <w:r>
        <w:rPr>
          <w:rFonts w:ascii="Arial" w:cs="Arial" w:eastAsia="Arial" w:hAnsi="Arial"/>
          <w:sz w:val="18"/>
          <w:szCs w:val="18"/>
          <w:color w:val="auto"/>
        </w:rPr>
        <w:t>further increased the quarterly cash dividend to $0.45 per Common Share, which was paid in the fourth quarter of fiscal 2014 and (ii) a special one-time cash dividend of $2.00 per Common Share, which was paid on September 17, 2014.</w:t>
      </w:r>
    </w:p>
    <w:p>
      <w:pPr>
        <w:spacing w:after="0" w:line="129"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view our credit facility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used by our credit facility to calculate a leverage ratio (maximum of 4.00 at September 30, 2014) and an interest coverage ratio (minimum of 3.50 for the year ended September 30, 2014). Leverage ratio is calculated as average total indebtedness, as described in our credit facility, relative to Adjusted EBITDA. Interest coverage ratio is calculated as Adjusted EBITDA divided by interest expense, as described in our credit facility, and excludes costs related to refinancings. Our leverage ratio was 2.18 at September 30, 2014 and our interest coverage ratio was 9.41 for the year ended September 30, 2014. Please refer to “ITEM 7. MANAGEMENT’S DISCUSSION AND ANALYSIS OF FINANCIAL CONDITION AND RESULTS OF OPERATIONS — Liquidity and Capital Resources — Borrowing Arrangements” of this Annual Report on Form 10-K for a discussion of our credit facility.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In accordance with the terms of our credit facility, Adjusted EBITDA is calculated as net income or loss before interest, taxes, depreciation and amortization as well as certain other items such as the impact of the cumulative effect of changes in accounting, costs associated with debt refinancing and other non-recurring, non-cash items affecting net income.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numeric reconciliation of Adjusted EBITDA to income from continuing operations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Year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20" w:type="dxa"/>
            <w:vAlign w:val="bottom"/>
            <w:gridSpan w:val="6"/>
          </w:tcPr>
          <w:p>
            <w:pPr>
              <w:jc w:val="center"/>
              <w:ind w:left="353"/>
              <w:spacing w:after="0"/>
              <w:rPr>
                <w:sz w:val="20"/>
                <w:szCs w:val="20"/>
                <w:color w:val="auto"/>
              </w:rPr>
            </w:pPr>
            <w:r>
              <w:rPr>
                <w:rFonts w:ascii="Arial" w:cs="Arial" w:eastAsia="Arial" w:hAnsi="Arial"/>
                <w:sz w:val="14"/>
                <w:szCs w:val="14"/>
                <w:b w:val="1"/>
                <w:bCs w:val="1"/>
                <w:color w:val="auto"/>
                <w:w w:val="92"/>
              </w:rPr>
              <w:t>(In millions, except per share data)</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123.0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 (excluding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Pro sale)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43.2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Gain on investment of unconsolidated affiliate</w:t>
            </w:r>
            <w:r>
              <w:rPr>
                <w:rFonts w:ascii="Arial" w:cs="Arial" w:eastAsia="Arial" w:hAnsi="Arial"/>
                <w:sz w:val="25"/>
                <w:szCs w:val="25"/>
                <w:color w:val="auto"/>
                <w:vertAlign w:val="superscript"/>
              </w:rPr>
              <w:t>(8)</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impairment and other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 non-cash portion</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Mark-to-market adjustments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Smith &amp; Hawken closure process, non-cash portion</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represents the earnings attributable to the noncontrolling interest of AeroGrow which was consolidated in the fourth quarter of fiscal 2014.</w:t>
      </w:r>
    </w:p>
    <w:p>
      <w:pPr>
        <w:spacing w:after="0" w:line="46"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represents a gain on our investment in AeroGrow recognized during the fourth quarter of 2014 as a result of our consolidation of the business. Excluded from this amount is $2.4 million of earnings on AeroGrow's unconsolidated results for fiscal year 2014 recorded within “Other income, net” in the Consolidated Statements of Operations.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purpose of this discussion is to provide an understanding of our financial condition and results of operations by focusing on changes in certain key measures from year-to-year. Management’s Discussion and Analysis (“MD&amp;A”) is divided into the following sections:</w:t>
      </w:r>
    </w:p>
    <w:p>
      <w:pPr>
        <w:spacing w:after="0" w:line="11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consumers’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the second largest U.S. lawn care service business. Our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23"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In fiscal 2014, we advanced a number of key initiatives which focused on: (1) margin improvement and savings initiatives in the core business and (2) investment in growth opportunities adjacent to the core business through our recent acquisitions of Tomcat</w:t>
      </w:r>
      <w:r>
        <w:rPr>
          <w:rFonts w:ascii="Arial" w:cs="Arial" w:eastAsia="Arial" w:hAnsi="Arial"/>
          <w:sz w:val="25"/>
          <w:szCs w:val="25"/>
          <w:color w:val="auto"/>
          <w:vertAlign w:val="superscript"/>
        </w:rPr>
        <w:t>®</w:t>
      </w:r>
      <w:r>
        <w:rPr>
          <w:rFonts w:ascii="Arial" w:cs="Arial" w:eastAsia="Arial" w:hAnsi="Arial"/>
          <w:sz w:val="18"/>
          <w:szCs w:val="18"/>
          <w:color w:val="auto"/>
        </w:rPr>
        <w:t>, Fafard, and Solus, as well as expansion into the urban and indoor consumer category through investments in AeroGrow and our newly formed subsidiary The Hawthorne Gardening Company (“Hawthorne”). After a late start to the lawn and garden season which negatively impacted our first half results, improved consumer engagement and our initiatives came together in the second half of the year to lift full year results. During the year, we returned over $350 million to shareholders through quarterly cash dividends, a special one-time cash dividend and share repurchases.</w:t>
      </w:r>
    </w:p>
    <w:p>
      <w:pPr>
        <w:spacing w:after="0" w:line="15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applied this model for a number of years by focusing on research and development and investing approximately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our provision of certain services. We believe that our diversified product line and our broad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alter longer-term category growth trends.</w:t>
      </w:r>
    </w:p>
    <w:p>
      <w:pPr>
        <w:spacing w:after="0" w:line="1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2014</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2012</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measures are evaluated with and without impairment, restructuring and other charges as well as product registration and recall matters,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August 2010, the Scotts Miracle-Gro Board of Directors authorized the repurchase of up to $500 million of our Common Shares over a four-year period through September 30, 2014. In May 2011, the Scotts Miracle-Gro Board of Directors authorized the repurchase of up to an additional $200 million of the Common Shares, resulting in authority to repurchase up to a total of up to $700 million of our Common Shares through September 30, 2014. Since the inception of the share repurchase program in the fourth quarter of fiscal 2010 through its expiration on September 30, 2014, Scotts Miracle-Gro repurchased 9.9 million Common Shares for $521.2 million to be held in treasury.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August 11, 2014, we announced that the Scotts Miracle-Gro Board of Directors approved the following:</w:t>
      </w:r>
    </w:p>
    <w:p>
      <w:pPr>
        <w:spacing w:after="0" w:line="171" w:lineRule="exact"/>
        <w:rPr>
          <w:sz w:val="20"/>
          <w:szCs w:val="20"/>
          <w:color w:val="auto"/>
        </w:rPr>
      </w:pPr>
    </w:p>
    <w:p>
      <w:pPr>
        <w:ind w:left="1300" w:hanging="239"/>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special one-time cash dividend of $2.00 per Common Share that was paid on September 17, 2014;</w:t>
      </w:r>
    </w:p>
    <w:p>
      <w:pPr>
        <w:spacing w:after="0" w:line="198" w:lineRule="exact"/>
        <w:rPr>
          <w:rFonts w:ascii="Arial" w:cs="Arial" w:eastAsia="Arial" w:hAnsi="Arial"/>
          <w:sz w:val="18"/>
          <w:szCs w:val="18"/>
          <w:color w:val="auto"/>
        </w:rPr>
      </w:pPr>
    </w:p>
    <w:p>
      <w:pPr>
        <w:ind w:left="1360" w:hanging="272"/>
        <w:spacing w:after="0"/>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increase in our quarterly cash dividend from $0.4375 to $0.45 per Common Share; and</w:t>
      </w:r>
    </w:p>
    <w:p>
      <w:pPr>
        <w:spacing w:after="0" w:line="184" w:lineRule="exact"/>
        <w:rPr>
          <w:rFonts w:ascii="Arial" w:cs="Arial" w:eastAsia="Arial" w:hAnsi="Arial"/>
          <w:sz w:val="18"/>
          <w:szCs w:val="18"/>
          <w:color w:val="auto"/>
        </w:rPr>
      </w:pPr>
    </w:p>
    <w:p>
      <w:pPr>
        <w:ind w:left="1300" w:right="20" w:hanging="239"/>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share repurchase authorization effective November 1, 2014, which will expire on September 30, 2019, to repurchase up to $500 million of our Common Shares. This replaces the previous authorization which expired on September 30, 2014.</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decision to increase the amount of cash we intend to return to our shareholders reflects our continued confidence in the business.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our wild bird food business and our professional seed business as discontinued operations, for all periods presented, beginning in our second quarter of fiscal 2014 and our fourth quarter of fiscal 2013, respectively. As a result, and unless specifically stated, all discussions regarding results for the fiscal years ended September 30, 2014, 2013 and 2012 reflect results from our continuing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gridSpan w:val="2"/>
          </w:tcPr>
          <w:p>
            <w:pPr>
              <w:ind w:left="6880"/>
              <w:spacing w:after="0"/>
              <w:rPr>
                <w:sz w:val="20"/>
                <w:szCs w:val="20"/>
                <w:color w:val="auto"/>
              </w:rPr>
            </w:pPr>
            <w:r>
              <w:rPr>
                <w:rFonts w:ascii="Arial" w:cs="Arial" w:eastAsia="Arial" w:hAnsi="Arial"/>
                <w:sz w:val="14"/>
                <w:szCs w:val="14"/>
                <w:b w:val="1"/>
                <w:bCs w:val="1"/>
                <w:color w:val="auto"/>
                <w:w w:val="96"/>
              </w:rPr>
              <w:t>2014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65.5</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25.4</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Impairment, restructuring and other</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0.3</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(0.1)</w:t>
            </w:r>
          </w:p>
        </w:tc>
      </w:tr>
      <w:tr>
        <w:trPr>
          <w:trHeight w:val="27"/>
        </w:trPr>
        <w:tc>
          <w:tcPr>
            <w:tcW w:w="6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Costs related to refinancing</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6.4</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4.0</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6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sales for fiscal 2014 increased 2.4% to $2.84 billion from $2.77 billion in fiscal 2013. Net sales for fiscal 2013 increased 0.1% from $2.77 billion in fiscal 2012. The changes in net sales compared to the previous year were attributable to the following:</w:t>
      </w:r>
    </w:p>
    <w:p>
      <w:pPr>
        <w:spacing w:after="0" w:line="17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23495</wp:posOffset>
            </wp:positionV>
            <wp:extent cx="2221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gridSpan w:val="2"/>
          </w:tcPr>
          <w:p>
            <w:pPr>
              <w:ind w:left="862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7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Pricing</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1.6</w:t>
            </w:r>
          </w:p>
        </w:tc>
      </w:tr>
      <w:tr>
        <w:trPr>
          <w:trHeight w:val="27"/>
        </w:trPr>
        <w:tc>
          <w:tcPr>
            <w:tcW w:w="7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Acquisitions</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0.2</w:t>
            </w:r>
          </w:p>
        </w:tc>
      </w:tr>
      <w:tr>
        <w:trPr>
          <w:trHeight w:val="27"/>
        </w:trPr>
        <w:tc>
          <w:tcPr>
            <w:tcW w:w="79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2014 was primarily driven by:</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addition of net sales from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acquisition within our Global Consumer segment;</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favorable impact of increased pricing in the Global Consumer segment, primarily in the United States; and</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favorable impact of foreign exchange rates as a result of the slight weakening of the U.S. dollar relative to other currencies;</w:t>
      </w:r>
    </w:p>
    <w:p>
      <w:pPr>
        <w:spacing w:after="0" w:line="11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which were partially offset by a slight decline in volumes within our Global Consumer segment, driven by a decline in sales within the United States of plant fertilizers and controls products, partially offset by increased sales of mulch products in the United States and increased net sales in Europe.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2013 was primarily driven by:</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favorable impact of increased pricing in the Global Consumer segment, primarily in the United States;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volume within our Scotts LawnService® segment driven by higher customer counts and a weather driven delay of sales from the fourth quarter of fiscal 2012 to the first quarter of fiscal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which were partially offset by:</w:t>
      </w:r>
    </w:p>
    <w:p>
      <w:pPr>
        <w:spacing w:after="0" w:line="117"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volume in our Global Consumer segment, driven by a decrease in sales within the United States of fertilizers and controls partially offset by increases in sales within the United States of mulch and grass seed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net sales attributable to reimbursements associated with our Marketing Agreement with Monsanto;</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sales in Corporate and Other related to ICL supply agreements, which were entered into in connection with the sale of Global Pro in 2011;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unfavorable impact of foreign exchange rates as a result of the strengthening of the U.S. dollar relative to other currencies.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311.7</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316.3</w:t>
            </w:r>
          </w:p>
        </w:tc>
      </w:tr>
      <w:tr>
        <w:trPr>
          <w:trHeight w:val="270"/>
        </w:trPr>
        <w:tc>
          <w:tcPr>
            <w:tcW w:w="6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79.6</w:t>
            </w: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64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1,795.5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1,813.9</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Volume and product mix</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p>
      <w:pPr>
        <w:ind w:left="40"/>
        <w:spacing w:after="0"/>
        <w:rPr>
          <w:sz w:val="20"/>
          <w:szCs w:val="20"/>
          <w:color w:val="auto"/>
        </w:rPr>
      </w:pPr>
      <w:r>
        <w:rPr>
          <w:rFonts w:ascii="Arial" w:cs="Arial" w:eastAsia="Arial" w:hAnsi="Arial"/>
          <w:sz w:val="18"/>
          <w:szCs w:val="18"/>
          <w:color w:val="auto"/>
        </w:rPr>
        <w:t>Foreign exchange rates</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Impairment, restructuring and other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Product registration and recall matters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cost of sales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2013</w:t>
            </w:r>
          </w:p>
        </w:tc>
      </w:tr>
      <w:tr>
        <w:trPr>
          <w:trHeight w:val="244"/>
        </w:trPr>
        <w:tc>
          <w:tcPr>
            <w:tcW w:w="580" w:type="dxa"/>
            <w:vAlign w:val="bottom"/>
          </w:tcPr>
          <w:p>
            <w:pPr>
              <w:spacing w:after="0"/>
              <w:rPr>
                <w:sz w:val="21"/>
                <w:szCs w:val="21"/>
                <w:color w:val="auto"/>
              </w:rPr>
            </w:pPr>
          </w:p>
        </w:tc>
        <w:tc>
          <w:tcPr>
            <w:tcW w:w="26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Pr>
          <w:p>
            <w:pPr>
              <w:spacing w:after="0"/>
              <w:rPr>
                <w:sz w:val="21"/>
                <w:szCs w:val="21"/>
                <w:color w:val="auto"/>
              </w:rPr>
            </w:pPr>
          </w:p>
        </w:tc>
      </w:tr>
      <w:tr>
        <w:trPr>
          <w:trHeight w:val="255"/>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580" w:type="dxa"/>
            <w:vAlign w:val="bottom"/>
          </w:tcPr>
          <w:p>
            <w:pPr>
              <w:spacing w:after="0"/>
              <w:rPr>
                <w:sz w:val="23"/>
                <w:szCs w:val="23"/>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0"/>
        </w:trPr>
        <w:tc>
          <w:tcPr>
            <w:tcW w:w="580" w:type="dxa"/>
            <w:vAlign w:val="bottom"/>
          </w:tcPr>
          <w:p>
            <w:pPr>
              <w:spacing w:after="0"/>
              <w:rPr>
                <w:sz w:val="23"/>
                <w:szCs w:val="23"/>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580" w:type="dxa"/>
            <w:vAlign w:val="bottom"/>
          </w:tcPr>
          <w:p>
            <w:pPr>
              <w:spacing w:after="0"/>
              <w:rPr>
                <w:sz w:val="23"/>
                <w:szCs w:val="23"/>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5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0"/>
        </w:trPr>
        <w:tc>
          <w:tcPr>
            <w:tcW w:w="580" w:type="dxa"/>
            <w:vAlign w:val="bottom"/>
          </w:tcPr>
          <w:p>
            <w:pPr>
              <w:spacing w:after="0"/>
              <w:rPr>
                <w:sz w:val="23"/>
                <w:szCs w:val="23"/>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-1414145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-1071245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-728345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-376555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121"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cost of sales, excluding impairment, restructuring and other charges, and product registration and recall matters for fiscal 2014 was primarily driven by:</w:t>
      </w:r>
    </w:p>
    <w:p>
      <w:pPr>
        <w:spacing w:after="0" w:line="7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unfavorable product mix due to increased sales of our mulch products and higher distribution costs in our Global Consumer segment;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unfavorable impact of foreign exchange rates as a result of a weakening of the U.S. dollar relative to other currencies;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which were partially offset by a decline in material costs in our Global Consumer and Scotts LawnService® segments due to product cost-out initiatives including growing media material costs and packaging and decreased prices of fertilizer inputs.</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cost of sales, excluding impairment, restructuring and other charges, and product registration and recall matters for fiscal 2013 was primarily driven by:</w:t>
      </w:r>
    </w:p>
    <w:p>
      <w:pPr>
        <w:spacing w:after="0" w:line="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our growing media material costs due to our product cost-out initiatives, partially offset by increased costs of fertilizer inputs and packaging;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favorable impact of foreign exchange rates as a result of the strengthening of the U.S. dollar relative to other currencies;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which were partially offset by unfavorable product mix due to increased sales of our mulch products in the United States within our Global Consumer segment.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36.3% for fiscal 2014 compared to 35.3% for fiscal 2013. As a percentage of net sales, our gross profit rate was 35.3% for fiscal 2013 compared to 34.5% for fiscal 2012. Factors contributing to the change in gross profit rate are outlined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500" w:type="dxa"/>
            <w:vAlign w:val="bottom"/>
            <w:tcBorders>
              <w:bottom w:val="single" w:sz="8" w:color="auto"/>
            </w:tcBorders>
            <w:gridSpan w:val="3"/>
          </w:tcPr>
          <w:p>
            <w:pPr>
              <w:ind w:left="1720"/>
              <w:spacing w:after="0"/>
              <w:rPr>
                <w:sz w:val="20"/>
                <w:szCs w:val="20"/>
                <w:color w:val="auto"/>
              </w:rPr>
            </w:pPr>
            <w:r>
              <w:rPr>
                <w:rFonts w:ascii="Arial" w:cs="Arial" w:eastAsia="Arial" w:hAnsi="Arial"/>
                <w:sz w:val="14"/>
                <w:szCs w:val="14"/>
                <w:b w:val="1"/>
                <w:bCs w:val="1"/>
                <w:color w:val="auto"/>
                <w:w w:val="99"/>
              </w:rPr>
              <w:t>Year Ended September 30,</w:t>
            </w:r>
          </w:p>
        </w:tc>
        <w:tc>
          <w:tcPr>
            <w:tcW w:w="154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9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12"/>
              <w:spacing w:after="0"/>
              <w:rPr>
                <w:sz w:val="20"/>
                <w:szCs w:val="20"/>
                <w:color w:val="auto"/>
              </w:rPr>
            </w:pPr>
            <w:r>
              <w:rPr>
                <w:rFonts w:ascii="Arial" w:cs="Arial" w:eastAsia="Arial" w:hAnsi="Arial"/>
                <w:sz w:val="14"/>
                <w:szCs w:val="14"/>
                <w:b w:val="1"/>
                <w:bCs w:val="1"/>
                <w:color w:val="auto"/>
              </w:rPr>
              <w:t>2013</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460" w:type="dxa"/>
            <w:vAlign w:val="bottom"/>
          </w:tcPr>
          <w:p>
            <w:pPr>
              <w:jc w:val="right"/>
              <w:ind w:right="1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7"/>
        </w:trPr>
        <w:tc>
          <w:tcPr>
            <w:tcW w:w="6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70"/>
        </w:trPr>
        <w:tc>
          <w:tcPr>
            <w:tcW w:w="638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0.2</w:t>
            </w: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70"/>
        </w:trPr>
        <w:tc>
          <w:tcPr>
            <w:tcW w:w="6380" w:type="dxa"/>
            <w:vAlign w:val="bottom"/>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46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Global Consumer mix and volume</w:t>
            </w:r>
          </w:p>
        </w:tc>
        <w:tc>
          <w:tcPr>
            <w:tcW w:w="2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r>
      <w:tr>
        <w:trPr>
          <w:trHeight w:val="237"/>
        </w:trPr>
        <w:tc>
          <w:tcPr>
            <w:tcW w:w="6380" w:type="dxa"/>
            <w:vAlign w:val="bottom"/>
          </w:tcPr>
          <w:p>
            <w:pPr>
              <w:spacing w:after="0"/>
              <w:rPr>
                <w:sz w:val="20"/>
                <w:szCs w:val="20"/>
                <w:color w:val="auto"/>
              </w:rPr>
            </w:pPr>
          </w:p>
        </w:tc>
        <w:tc>
          <w:tcPr>
            <w:tcW w:w="2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0.9</w:t>
            </w:r>
          </w:p>
        </w:tc>
      </w:tr>
      <w:tr>
        <w:trPr>
          <w:trHeight w:val="27"/>
        </w:trPr>
        <w:tc>
          <w:tcPr>
            <w:tcW w:w="6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3500" w:type="dxa"/>
            <w:vAlign w:val="bottom"/>
            <w:tcBorders>
              <w:bottom w:val="single" w:sz="8" w:color="CCEEFF"/>
            </w:tcBorders>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638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gross profit rate, excluding impairment, restructuring and other charges, for fiscal 2014, was primarily driven by:</w:t>
      </w:r>
    </w:p>
    <w:p>
      <w:pPr>
        <w:spacing w:after="0" w:line="131"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material costs within our Global Consumer segment due to product cost-out initiatives including growing media material costs and packaging costs and decreased prices of fertilizer inputs;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favorable impact of increased pricing for the Global Consumer segment, primarily in the United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which were partially offset by unfavorable product mix within our Global Consumer segment due to increased sales of our mulch products and higher distribution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3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 in our gross profit rate, excluding impairment, restructuring and other charges and product registration and recall matters, for fiscal 2013 was primarily driven by:</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favorable impact of increased pricing for the Global Consumer segment, primarily in the United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material costs in our Global Consumer segment due to a decline in growing media material costs resulting from product cost-out initiatives, partially offset by increased costs for fertilizer inputs;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zero margin dollar reimbursements, attributable to our Marketing Agreement with Monsanto;</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which were partially offset by decreased volume in our Global Consumer segment resulting in reduced leverage of fixed manufacturing and warehousing costs.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Selling, General and Administrative expenses (“SG&amp;A”):</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Year Ended September 30,</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2012</w:t>
            </w:r>
          </w:p>
        </w:tc>
      </w:tr>
      <w:tr>
        <w:trPr>
          <w:trHeight w:val="196"/>
        </w:trPr>
        <w:tc>
          <w:tcPr>
            <w:tcW w:w="5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20" w:type="dxa"/>
            <w:vAlign w:val="bottom"/>
            <w:gridSpan w:val="6"/>
          </w:tcPr>
          <w:p>
            <w:pPr>
              <w:jc w:val="center"/>
              <w:ind w:right="210"/>
              <w:spacing w:after="0"/>
              <w:rPr>
                <w:sz w:val="20"/>
                <w:szCs w:val="20"/>
                <w:color w:val="auto"/>
              </w:rPr>
            </w:pPr>
            <w:r>
              <w:rPr>
                <w:rFonts w:ascii="Arial" w:cs="Arial" w:eastAsia="Arial" w:hAnsi="Arial"/>
                <w:sz w:val="14"/>
                <w:szCs w:val="14"/>
                <w:b w:val="1"/>
                <w:bCs w:val="1"/>
                <w:color w:val="auto"/>
                <w:w w:val="91"/>
              </w:rPr>
              <w:t>(In millions, except percentage figures)</w:t>
            </w:r>
          </w:p>
        </w:tc>
        <w:tc>
          <w:tcPr>
            <w:tcW w:w="1400" w:type="dxa"/>
            <w:vAlign w:val="bottom"/>
          </w:tcPr>
          <w:p>
            <w:pPr>
              <w:spacing w:after="0"/>
              <w:rPr>
                <w:sz w:val="17"/>
                <w:szCs w:val="17"/>
                <w:color w:val="auto"/>
              </w:rPr>
            </w:pPr>
          </w:p>
        </w:tc>
      </w:tr>
      <w:tr>
        <w:trPr>
          <w:trHeight w:val="256"/>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168.9</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1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50.8</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462.9</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659.6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703.3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Advertising expense increased $1.4 million or 1.0% to $143.6 million in fiscal 2014 compared to $142.2 million in fiscal 2013 due to increased spending on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branded products. Advertising expense in fiscal 2013 decreased $26.7 million compared to fiscal 2012, driven by our planned reduction in media investment, reduced spending due to the delay in the fiscal 2013 lawn and garden season and media purchasing efficiencies within the Global Consumer segment.</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Share-based compensation expense increased $0.8 million or 7.8% to $11.1 million in fiscal 2014 compared to $10.3 million in fiscal 2013 and in fiscal 2013 share-based compensation expense declined $2.2 million compared to fiscal 2012. These changes were primarily due to the forfeiture of shares-based awards associated with the departure of certain key executives in fiscal 2013.</w:t>
      </w:r>
    </w:p>
    <w:p>
      <w:pPr>
        <w:spacing w:after="0" w:line="127"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Amortization expense was $10.2 million in fiscal 2014, compared to $8.2 million in each of fiscal 2013 and fiscal 2012. The increase in fiscal 2014 was driven by the amortization of intangible assets we acquired in connection with our acquisition of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1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SG&amp;A increased $14.7 million or 3.2% in fiscal 2014 compared to fiscal 2013. The primary drivers of the increase were increased marketing spending including package design costs and the startup of Hawthorne, which is focused on urban and indoor gardening, and diligence and integration costs of our acquisitions of Solus and Fafard. In fiscal 2013, Other SG&amp;A spending decreased $10.4 million compared to fiscal 2012. This decrease was primarily due to a decline in outside consulting expenses, selling and marketing expenditures due to cost productivity initiatives, partially offset by higher compensation expense, including incentive compensation, heath care and severance.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Restructuring and Other (included in SG&amp;A)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breakdown of Impairment, Restructuring and Other Charges (included in SG&amp;A):</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4380" w:type="dxa"/>
            <w:vAlign w:val="bottom"/>
          </w:tcPr>
          <w:p>
            <w:pPr>
              <w:spacing w:after="0"/>
              <w:rPr>
                <w:sz w:val="22"/>
                <w:szCs w:val="22"/>
                <w:color w:val="auto"/>
              </w:rPr>
            </w:pPr>
          </w:p>
        </w:tc>
        <w:tc>
          <w:tcPr>
            <w:tcW w:w="25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center"/>
              <w:ind w:right="25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4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540" w:type="dxa"/>
            <w:vAlign w:val="bottom"/>
            <w:tcBorders>
              <w:bottom w:val="single" w:sz="8" w:color="CCEEFF"/>
            </w:tcBorders>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Property, plant and equipment impairments</w:t>
            </w:r>
          </w:p>
        </w:tc>
        <w:tc>
          <w:tcPr>
            <w:tcW w:w="1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
        </w:trPr>
        <w:tc>
          <w:tcPr>
            <w:tcW w:w="4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 impairments</w:t>
            </w:r>
          </w:p>
        </w:tc>
        <w:tc>
          <w:tcPr>
            <w:tcW w:w="1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37"/>
        </w:trPr>
        <w:tc>
          <w:tcPr>
            <w:tcW w:w="4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r>
      <w:tr>
        <w:trPr>
          <w:trHeight w:val="27"/>
        </w:trPr>
        <w:tc>
          <w:tcPr>
            <w:tcW w:w="4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2540" w:type="dxa"/>
            <w:vAlign w:val="bottom"/>
            <w:gridSpan w:val="2"/>
          </w:tcPr>
          <w:p>
            <w:pPr>
              <w:jc w:val="right"/>
              <w:ind w:right="1050"/>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33" w:lineRule="auto"/>
        <w:rPr>
          <w:sz w:val="20"/>
          <w:szCs w:val="20"/>
          <w:color w:val="auto"/>
        </w:rPr>
      </w:pPr>
      <w:r>
        <w:rPr>
          <w:rFonts w:ascii="Arial" w:cs="Arial" w:eastAsia="Arial" w:hAnsi="Arial"/>
          <w:sz w:val="18"/>
          <w:szCs w:val="18"/>
          <w:color w:val="auto"/>
        </w:rPr>
        <w:t>During the third quarter of fiscal 2014, as a result of the financial performance, the Company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5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2014, we recognized $12.5 million in restructuring costs related to termination benefits provided to U.S. personnel as part of our restructuring of our U.S. administrative and overhead functions. In addition, we recognized $2.0 million in additional ongoing monitoring and remediation expense for our turfgrass biotechnology program. We also recognized $2.8 million of international restructuring and other adjustments during fiscal 2014 for the continuation of our 2013 restructuring plan.</w:t>
      </w:r>
    </w:p>
    <w:p>
      <w:pPr>
        <w:spacing w:after="0" w:line="10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During the first quarter of fiscal 2013, we recognized income of $4.7 million related to the reimbursement by a vendor for a portion of the costs incurred for the development and commercialization of products including the active ingredient MAT 28 for the Global Consumer segment. During the first quarter of 2013, we also recognized a $4.3 million asset impairment charge as a result of issues with the commercialization of an insect repellent technology for the Global Consumer segment. Also, as a result of our impairment review performed in the fourth quarter of fiscal 2013, we recognized an impairment charge for a non-recurring fair value adjustment of $11.6 million within the Global Consumer segment related to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certain sub-brands of Ortho</w:t>
      </w:r>
      <w:r>
        <w:rPr>
          <w:rFonts w:ascii="Arial" w:cs="Arial" w:eastAsia="Arial" w:hAnsi="Arial"/>
          <w:sz w:val="22"/>
          <w:szCs w:val="22"/>
          <w:color w:val="auto"/>
          <w:vertAlign w:val="superscript"/>
        </w:rPr>
        <w:t>®</w:t>
      </w:r>
      <w:r>
        <w:rPr>
          <w:rFonts w:ascii="Arial" w:cs="Arial" w:eastAsia="Arial" w:hAnsi="Arial"/>
          <w:sz w:val="16"/>
          <w:szCs w:val="16"/>
          <w:color w:val="auto"/>
        </w:rPr>
        <w:t>. The fair value was calculated based upon the evaluation of the historical performance and future growth expectations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w:t>
      </w:r>
    </w:p>
    <w:p>
      <w:pPr>
        <w:spacing w:after="0" w:line="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2013, we recognized $6.9 million in restructuring costs related to termination benefits provided to international employees in relation to the profitability improvement initiative announced in December 2012, associated with the international restructuring plan to reduce headcount and streamline management decision making within the Global Consumer segment.</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fiscal 2012, in continuation of the 2011 restructuring plan, we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our U.S. defined benefit pension and U.S. retiree medical plans. Additionally, we recognized a $5.3 million asset impairment charge as a result of issues with commercialization of products including the active ingredient MAT 28 for the Global Consumer segment. Further, we have previously expensed product development and marketing costs associated with the previously planned launch of products containing MAT 28 and are evaluating our options for recovering those costs.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Registration and Recall Matters (included in SG&amp;A)</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previously disclosed in our Annual Report on Form 10-K for the fiscal year ended September 30, 2012, in fiscal 2012, we resolved the previously disclosed U.S. EPA and U.S. Department of Justice (“U.S. DOJ”) investigations into pesticide product registration issues. Product registration and recall costs were $7.8 million in fiscal 2012. For fiscal 2014 and fiscal 2013, there were no product registration and recall costs. Fiscal 2012 costs included additional reserves established in connection with the fiscal 2012 settlement of the previously disclosed U.S. EPA and U.S. DOJ investigations, as well as third-party compliance review, legal and consulting fees associated with these investigations. We do not expect to incur any additional costs related to these investigations, as they were settled in the fourth quarter of fiscal 2012.</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Other income is comprised of activities outside our normal business operations, such as royalty income from the licensing of certain of our tradenames, franchise fee income from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foreign exchange gains/losses and gains/losses from the sale of non-inventory assets. Other income, net, was $14.7 million, $10.0 million and $2.8 million in fiscal 2014, fiscal 2013 and fiscal 2012, respectively. The increase in other income, net, for fiscal 2014 was primarily due to $5.8 million of gains related to our investment in AeroGrow. The increase in other income, net, for fiscal 2013 was primarily due to the sale of peat bog land in fiscal 2013 in the United Kingdom for a gain of $2.3 million and a non-recurring impairment charge of $4.4 million incurred in fiscal 2012 resulting from the revaluation of our corporate aircraft.</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2014 was $314.6 million compared to $310.5 million in fiscal 2013, an increase of $4.1 million, or 1.3%. Excluding impairment, restructuring and other charges, income from operations increased by $34.8 million, or 10.5%, in fiscal 2014, primarily driven by higher gross profit and an increase in other income, net, partially offset by an increase in SG&amp;A.</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2013 was $310.5 million compared to $241.2 million in fiscal 2012, an increase of $69.3 million, or 28.7%. Excluding impairment, restructuring and other charges and product registration and recall costs, income from operations increased by $74.3 million, or 29.0%, in fiscal 2013, primarily driven by higher gross profit and lower SG&amp;A spending.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Costs related to refinancing were $10.7 million for fiscal 2014. The costs incurred were associated with the redemption of our 7.25% senior notes due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(the “7.25% Senior Notes”).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Interest expense in fiscal 2014 was $47.3 million compared to $59.2 million and $61.8 million in fiscal 2013 and fiscal 2012, respectively. The decline in fiscal 2014 was primarily due to a decrease in our weighted average interest rate of 124 basis points compared to fiscal 2013 as a result of reduced rates under our third amended and restated credit agreement and due to the redemption of the 7.25% Senior Notes. The decrease in fiscal 2013 was primarily due to a decrease in average borrowings, partially offset by an increase in our weighted average interest rate of 24 basis points compared to fiscal 2012.</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23495</wp:posOffset>
            </wp:positionV>
            <wp:extent cx="3713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40" w:type="dxa"/>
            <w:vAlign w:val="bottom"/>
            <w:gridSpan w:val="2"/>
          </w:tcPr>
          <w:p>
            <w:pPr>
              <w:ind w:left="6340"/>
              <w:spacing w:after="0"/>
              <w:rPr>
                <w:sz w:val="20"/>
                <w:szCs w:val="20"/>
                <w:color w:val="auto"/>
              </w:rPr>
            </w:pPr>
            <w:r>
              <w:rPr>
                <w:rFonts w:ascii="Arial" w:cs="Arial" w:eastAsia="Arial" w:hAnsi="Arial"/>
                <w:sz w:val="14"/>
                <w:szCs w:val="14"/>
                <w:b w:val="1"/>
                <w:bCs w:val="1"/>
                <w:color w:val="auto"/>
              </w:rPr>
              <w:t>2014</w:t>
            </w:r>
          </w:p>
        </w:tc>
        <w:tc>
          <w:tcPr>
            <w:tcW w:w="2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692"/>
              <w:spacing w:after="0"/>
              <w:rPr>
                <w:sz w:val="20"/>
                <w:szCs w:val="20"/>
                <w:color w:val="auto"/>
              </w:rPr>
            </w:pPr>
            <w:r>
              <w:rPr>
                <w:rFonts w:ascii="Arial" w:cs="Arial" w:eastAsia="Arial" w:hAnsi="Arial"/>
                <w:sz w:val="14"/>
                <w:szCs w:val="14"/>
                <w:b w:val="1"/>
                <w:bCs w:val="1"/>
                <w:color w:val="auto"/>
              </w:rPr>
              <w:t>2012</w:t>
            </w:r>
          </w:p>
        </w:tc>
      </w:tr>
      <w:tr>
        <w:trPr>
          <w:trHeight w:val="25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(0.5)</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(1.5)</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Resolution of prior tax contingencies</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7"/>
        </w:trPr>
        <w:tc>
          <w:tcPr>
            <w:tcW w:w="5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effective tax rate for continuing operations was 35.6% for fiscal 2014, compared to 36.6% for fiscal 2013 and 37.8% for fiscal 2012. Excluding reserves established for product registrations and recall matters, the effective tax rate for continuing operations was 35.6%, 36.6% and 36.1% for fiscal 2014, fiscal 2013 and fiscal 2012,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and Earnings per Share from Continuing Operations</w:t>
      </w:r>
    </w:p>
    <w:p>
      <w:pPr>
        <w:spacing w:after="0" w:line="9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reported income attributable to controlling interest from continuing operations of $165.7 million, or $2.64 per diluted share, in fiscal 2014 compared to income attributable to controlling interest from continuing operations of $159.4 million, or $2.55 per diluted share, in fiscal 2013. In fiscal 2014, we incurred costs of $51.0 million, relating to impairment, restructuring and other charges. Additionally the Company incurred $10.7 million of costs during the third quarter of 2014 related to refinancing. In fiscal 2013, we incurred $20.3 million of impairment, restructuring and other charges. Excluding these items, adjusted income attributable to controlling interest from continuing operations was $206.3 million in fiscal 2014 compared to $172.6 million in fiscal 2013, an increase of $33.7 million, primarily driven by higher gross profit, increased Other Income, net, and lower interest expense; partially offset by higher SG&amp;A spending. Diluted weighted-average Common Shares outstanding increased from 62.6 million in fiscal 2013 to 62.7 million in fiscal 2014. The increase was primarily driven by the exercise of stock options and the issuance of Common Shares upon the vesting of restricted share-based awards, an increase in the number of dilutive potential Common Shares, partially offset by share repurchases. Dilutive equivalent shares for fiscal 2014 and fiscal 2013 were 1.1 million and 0.9 million, respectively. The increase in dilutive equivalent shares was primarily driven by an increase in our average share price, partially offset by the exercise of stock options.</w:t>
      </w:r>
    </w:p>
    <w:p>
      <w:pPr>
        <w:spacing w:after="0" w:line="1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reported income attributable to controlling interest from continuing operations of $159.4 million, or $2.55 per diluted share, in fiscal 2013 compared to income attributable to controlling interest from continuing operations of $111.6 million, or $1.80 per diluted share, in fiscal 2012. In fiscal 2013, we incurred costs of $20.3 million relating to impairment, restructuring and other charges. In fiscal 2012, we incurred $7.1 million of impairment charges, as well as $8.2 million in pre-tax costs associated with product registration and recall matters. Excluding these items, adjusted income from continuing operations was $172.6 million in fiscal 2013 compared to $123.3 million in fiscal 2012, an increase of $49.3 million, primarily driven by higher gross profit and lower SG&amp;A spending and interest expense. Diluted weighted-average Common Shares outstanding increased from 62.1 million in fiscal 2012 to 62.6 million in fiscal 2013. The increase was primarily driven by the exercise of stock options and issuance of Common Shares upon the vesting of restricted share-based awards partially offset by a decrease in the number of dilutive equivalent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Dilutive equivalent shares for fiscal 2013 and fiscal 2012 were 0.9 million and 1.1 million, respectively. The decrease in dilutive equivalent shares was primarily driven by the exercise of stock options partially offset by an increase in our average share price.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our second quarter of fiscal 2014, we completed the sale of our wild bird food business. As a result, we began presenting this business within discontinued operations. In our fourth quarter of fiscal 2013, we completed the wind down of the non-European professional seed business. As a result, we began presenting this business within discontinued operations.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Income from discontinued operations, net of tax, was $0.8 million in fiscal 2014, while income of $1.7 million and loss of $5.1 million were recognized in fiscal 2013 and fiscal 2012, respectively. Fiscal 2014 included activity associated with the sale of the wild bird food business. Fiscal 2013 and fiscal 2012 included activity associated with the wind down and disposal of the non-European professional seed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6"/>
          <w:szCs w:val="16"/>
          <w:color w:val="auto"/>
        </w:rPr>
        <w:t>Our continuing operations are divided into the following reportable segments: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This division of reportable segments is consistent with how the segments report to and are managed by the chief operating decision maker of the Company. Corporate &amp; Other includes revenues and expenses associated with the Company’s supply agreements with ICL and the amortization related to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Marketing Agreement, as well as corporate general and administrative expenses and certain other income/expense items not allocated to the business segments.</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evaluate segment performance based on several factors, including income from continuing operations before income taxes, interest expense, amortization, product registration and recall costs, impairment, restructuring and other charges and costs related to refinancing. Management uses this measure of operating profit to evaluate segment performance because we believe this measure is the most indicative of performance trends and the overall earnings potential of each segment.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segment information:</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 by Segment</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r>
      <w:tr>
        <w:trPr>
          <w:trHeight w:val="250"/>
        </w:trPr>
        <w:tc>
          <w:tcPr>
            <w:tcW w:w="5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Consumer</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2,552.0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2,483.6</w:t>
            </w:r>
          </w:p>
        </w:tc>
      </w:tr>
      <w:tr>
        <w:trPr>
          <w:trHeight w:val="270"/>
        </w:trPr>
        <w:tc>
          <w:tcPr>
            <w:tcW w:w="57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245.8</w:t>
            </w: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total</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2,815.0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2,729.4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41.1</w:t>
            </w:r>
          </w:p>
        </w:tc>
      </w:tr>
      <w:tr>
        <w:trPr>
          <w:trHeight w:val="27"/>
        </w:trPr>
        <w:tc>
          <w:tcPr>
            <w:tcW w:w="5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2,841.3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682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Income (Loss) from Continuing Operations before Income Taxes by Segment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9"/>
        </w:trPr>
        <w:tc>
          <w:tcPr>
            <w:tcW w:w="57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4"/>
        </w:trPr>
        <w:tc>
          <w:tcPr>
            <w:tcW w:w="57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r>
      <w:tr>
        <w:trPr>
          <w:trHeight w:val="250"/>
        </w:trPr>
        <w:tc>
          <w:tcPr>
            <w:tcW w:w="5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Consumer</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335.9</w:t>
            </w:r>
          </w:p>
        </w:tc>
      </w:tr>
      <w:tr>
        <w:trPr>
          <w:trHeight w:val="270"/>
        </w:trPr>
        <w:tc>
          <w:tcPr>
            <w:tcW w:w="57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w:t>
            </w: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total</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7"/>
        </w:trPr>
        <w:tc>
          <w:tcPr>
            <w:tcW w:w="5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Product registration and recall matters</w:t>
            </w:r>
          </w:p>
        </w:tc>
        <w:tc>
          <w:tcPr>
            <w:tcW w:w="1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112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179.4</w:t>
            </w:r>
          </w:p>
        </w:tc>
      </w:tr>
      <w:tr>
        <w:trPr>
          <w:trHeight w:val="27"/>
        </w:trPr>
        <w:tc>
          <w:tcPr>
            <w:tcW w:w="5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7"/>
          <w:szCs w:val="17"/>
          <w:color w:val="auto"/>
        </w:rPr>
        <w:t>Global Consumer segment net sales increased 2.7% from $2.48 billion in fiscal 2013 to $2.55 billion in fiscal 2014. The change in fiscal 2014 net sales was favorably impacted by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acquisition, favorable pricing and foreign exchange rates, which were responsible for net sales increases of 1.6%, 1.1%, and 0.2%, respectively. These increases were partially offset by a slight decrease in sales volume driven by a decline in sales within the United States of plant fertilizers and control products, partially offset by increased sales of mulch products in the United States and increased net sales in Europe. Net sales in the United States increased by 1.5%, primarily driven by the acquisition of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rodent control business during the first quarter of fiscal 2014 and an increase in pricing partially offset by a slight decrease in sales volume driven by a decline in sales within the United States of plant fertilizers and control products, partially offset by increased sales of mulch products in the U.S. Net sales outside of the United States increased 7.3% in fiscal 2014, primarily attributable to sales volume improvements in Europe and favorable effects of foreign currency changes as a result of the weakening of the U.S. dollar relative to other currencies, particularly the Euro. Excluding the impact of foreign currency rates, net sales outside of the United States increased 6.2% compared to fiscal 2013.</w:t>
      </w:r>
    </w:p>
    <w:p>
      <w:pPr>
        <w:spacing w:after="0" w:line="14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Global Consumer segment income from continuing operations before income taxes (“segment income”) for fiscal 2014 was $438.8 million, an increase of $35.1 million, or 8.7%, compared to fiscal 2013. Excluding the impact of foreign exchange movements, segment income increased by $33.5 million, or 8.3%, from fiscal 2013. The increase in segment income for fiscal 2014 was primarily driven by the sales from businesses acquired in fiscal 2014, the favorable impact of pricing, and decreased material costs, partially offset by an increase in SG&amp;A expenses primarily related to increased marketing expense in the U.S. Consumer business and transaction costs related to the acquisitions of Solus and Fafard.</w:t>
      </w:r>
    </w:p>
    <w:p>
      <w:pPr>
        <w:spacing w:after="0" w:line="11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Global Consumer segment net sales were flat in fiscal 2013 compared to fiscal 2012 at $2.48 billion. Net sales in the U.S. increased $2.6 million or 0.1% in fiscal 2013 compared to fiscal 2012 primarily due to an increase in pricing and increases in sales of mulch and grass seed products, partially offset by declines in reimbursements attributable to our Marketing Agreement with Monsanto and sales of our controls products. Net sales outside of the United States decreased $1.5 million or 0.3% primarily attributable to volume declines in Europe and unfavorable effects of foreign currency changes as a result of the strengthening of the U.S. dollar relative to other currencies, partially offset by volume increases in Asia Pacific. Excluding the impact of foreign currency rates, net sales outside of the United States increased 1.0% compared to fiscal 2012.</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Global Consumer segment income for fiscal 2013 was $403.7 million, an increase of $67.8 million, or 20.2%, compared to fiscal 2012. Excluding the impact of foreign exchange movements, segment income increased by $69.2 million, or 20.7%, for fiscal 2013. The increase in segment income for fiscal 2013 was primarily driven by the favorable impact of pricing, decreased material costs and a decrease in SG&amp;A expenses resulting from our product cost-out initiatives.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p>
    <w:p>
      <w:pPr>
        <w:jc w:val="both"/>
        <w:ind w:firstLine="432"/>
        <w:spacing w:after="0" w:line="200"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$5.2 million, or 2.0%, to $263.0 million in fiscal 2014, primarily due to higher customer counts and increased volume.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income increased $1.5 million to $30.2 million in fiscal 2014. The improved operating results were driven by the higher net sales, lower product costs and lower incentive compensation, partially offset by higher selling expenses.</w:t>
      </w:r>
    </w:p>
    <w:p>
      <w:pPr>
        <w:spacing w:after="0" w:line="149"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$12.0 million, or 4.9%, to $257.8 million in fiscal 2013, primarily due to increased customer retention, the full year impact of acquisitions and new customer sales.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income increased $1.7 million to $28.7 million in fiscal 2013. The improved operating results were driven by higher net sales and lower product costs, partially offset by higher SG&amp;A, which was primarily the outcome of higher marketing and selling expenses.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Corporate &amp; Other decreased $4.9 million to $26.3 million in fiscal 2014, due to a decline in sales for our ICL supply agreements, which commenced shortly after the sale of Global Pro in our second quarter of fiscal 2011. The net expense for Corporate &amp; Other was flat for fiscal 2014 compared to fiscal 2013.</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sales for Corporate &amp; Other decreased $9.9 million to $31.2 million in fiscal 2013, primarily due to our ICL supply agreements, which commenced shortly after the sale of Global Pro in our second quarter of fiscal 2011. Net expense for Corporate &amp; Other decreased by $5.1 million in fiscal 2013, driven by reduced spending on outside consulting expenses and marketing related expenditures as part of our cost productivity initiatives, partially offset by higher employee related costs, including incentive compensation, health care and severance.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Cash provided by operating activities declined by $101.1 million to $240.9 million in fiscal 2014. The change in the cash provided by our operating activities was primarily due to an increase in inventory of $38.7 million in fiscal 2014 as part of an early build of growing media and plant food products for the fiscal 2015 lawn and garden season and a decline in expected volumes compared to an $89.0 million decline in inventory in fiscal 2013.</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provided by operating activities increased by $188.6 million to $342.0 million in fiscal 2013 from $153.4 million in fiscal 2012. The change in the cash provided by our operating activities was primarily due to an increase in net income of $54.6 million and a reduction in inventory levels over the prior year of $89.0 million as a result of improved inventory management. In addition, income taxes paid declined in fiscal 2013 due to the receipt of an overpayment of taxes related to fiscal 2012 of $37.8 million.</w:t>
      </w:r>
    </w:p>
    <w:p>
      <w:pPr>
        <w:spacing w:after="0" w:line="13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The seasonal nature of our operations generally requires cash to fund significant increases in inventories during the first half of the fiscal year. Receivables and payables also build substantially in the second quarter of the fiscal year in line with the timing of sales to support our retailers’ spring selling season. These balances liquidate during the June through September period as the lawn and garden season unwinds. Unlike our core Global Consumer segment,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typically has its highest receivables balance in the fourth quarter because of the seasonal timing of customer applications and service revenues.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Cash used in investing activities totaled $155.6 million and $64.2 million in fiscal 2014 and fiscal 2013, respectively. The change in cash used in our investing activities was primarily driven by increased capital investments in property, plant and equipment and acquisitions of $27.5 million and $110.8 million, respectively, partially offset by $35.1 million in cash proceeds received from the sale and leaseback of an airplane as well as proceeds received from the sale of our U.S. and Canadian wild bird food business of $7.2 million, and the sale of long-lived assets of $3.7 million. The increase in capital investments in property, plant, and equipment includes a $35.1 million down payment on a purchase order to acquire an aircraft that was subsequently sold and leased back. Significant capital projects during fiscal 2014 included investments in our growing media production and packaging facilities, additional capital for supply chain optimization projects, investments in information technology, facility improvement and maintenance, and investments in fleet vehicles for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Further, during fiscal 2014 we completed acquisitions of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rodent control business from Bell Laboratories, Inc. within our Global Consumer segment for $60.0 million in the first quarter of fiscal 2014 and in the fourth quarter of fiscal 2014 we completed the acquisition of Fafard, a consumer growing media business based in Quebec, Canada for $52.7 million in cash and contingent consideration of $7.1 million based on future performance of the business.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Cash used in investing activities totaled $64.2 million and $75.7 million in fiscal 2013 and fiscal 2012, respectively. The change in cash used in our investing activities was primarily driven by a reduction of capital investments in property, plant and equipment and acquisitions of $9.3 million and $3.8 million, respectively, and cash proceeds from the sale of long-lived assets of $3.6 million. Significant capital projects during fiscal 2013 included investments in our mulch production facilities associated with our product cost-out initiatives, additional capital to increase capabilities in our fertilizer production facilities, improvements to our inventory warehouse management system and investments in information technology. Further, during fiscal 2013 we completed acquisitions of two franchisee businesses within our Scotts LawnService® segment for $3.2 million and an investment in an unconsolidated affiliate in the indoor gardening market for $4.5 million.</w:t>
      </w:r>
    </w:p>
    <w:p>
      <w:pPr>
        <w:spacing w:after="0" w:line="135"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7"/>
          <w:szCs w:val="17"/>
          <w:color w:val="auto"/>
        </w:rPr>
        <w:t>For the three years ended September 30, 2014, our capital spending was allocated as follows: 66% for expansion and maintenance of existing Global Consumer productive assets; 13% for new productive assets supporting our Global Consumer segment; 11% to expand our information technology and transformation and integration capabilities; 3% for expansion and upgrades of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infrastructure; and 7% for Corporate &amp; Other assets. We expect fiscal 2015 capital expenditures to be consistent with our recent capital spending amounts and allocations.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Financing activities used cash of $124.3 million and $280.6 million in fiscal 2014 and fiscal 2013, respectively. The change in cash used in financing activities was the result of higher net borrowings of $614.8 million under our credit facility, partially offset by an increase in cash returned to shareholders through dividends of $143.0 million (which included $20.9 million in recurring quarterly cash payments and $122.1 million for the special one-time cash dividend of $2.00 per share), the repayment of our 7.25% Senior Notes of $200.0 million, and $120.0 million for repurchases of Common Shares in fiscal year 2014. Net borrowings under our credit facilities in fiscal 2014 were $407.5 million compared to net payments of $207.3 million in fiscal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2013. Financing activities also included an increase in cash received from the exercise of stock options of $6.7 million in fiscal 2014 compared to fiscal 2013.</w:t>
      </w:r>
    </w:p>
    <w:p>
      <w:pPr>
        <w:spacing w:after="0" w:line="1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Financing activities used cash of $280.6 million and $79.3 million in fiscal 2013 and fiscal 2012, respectively. An increase in the net repayment of borrowings under our credit facility of $196.7 million and a reduction of share repurchases of $17.5 million was partially offset by an increase of cash returned to shareholders through dividends of $12.4 million. Net repayments under our credit facilities were $207.3 million in fiscal 2013, compared to $10.6 million in fiscal 2012. Financing activities also included a decrease in cash received from the exercise of stock options of $4.3 million in fiscal 2013 compared to fiscal 2012.</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balances of $89.3 million at September 30, 2014 and $129.8 million at September 30, 2013 were held in depository accounts with major financial institutions around the world or invested in high quality, short-term liquid investments, with original maturities of three months or less. The cash and cash equivalents balance at September 30, 2014 included $59.9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if we sell or liquidate any of these foreign corporations, we may be required to pay associated taxes on the repatriation, sale or liquidation.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facility which is guaranteed by substantially all of our domestic subsidiaries. On December 20, 2013, Scotts Miracle-Gro and certain of our subsidiaries entered into a third amended and restated senior secured credit agreement (the “current credit facility”), providing Scotts Miracle-Gro and certain of our subsidiaries with a five-year senior secured revolving loan facility in the aggregate principal amount of up to $1.7 billion. Borrowings may be made in various currencies including U.S. dollars, Euros, British pounds, Australian dollars and Canadian dollars. Under the current credit facility, we may request up to an additional $450 million in revolving and/or term commitments, subject to certain specified conditions, including approval from the lenders. The current credit facility replaced our second amended and restated senior secured credit agreement, which was entered into on June 30, 2011 and would have terminated on June 30, 2016 if it had not been terminated early in connection with our entry into the current credit facility.</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terms of the current credit facility include customary representations and warranties, customary affirmative and negative covenants, and events of default. The proceeds of borrowings under the current credit facility may be used: (i) to finance working capital requirements and other general corporate purposes of Scotts Miracle-Gro and our subsidiaries; and (ii) to refinance the amounts outstanding under the previous credit agreement. The current credit facility is guaranteed by substantially all of our domestic subsidiaries.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use the current credit facility to obtain letters of credit up to an aggregate face amount of $75 million. The current credit facility will terminate on December 20, 2018. At September 30, 2014, we had letters of credit in the aggregate face amount of $23.3 million outstanding, and $1.2 billion of availability under the current credit facility.</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January 15, 2014, we redeemed all of the outstanding $200.0 million aggregate principal amount of 7.25% Senior Notes due 2018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the Company's second quarter of fiscal 2014. Additionally, we had $3.5 million in unamortized bond discount and issuance costs associated with the 7.25% Senior Notes that were written-off and recognized in the “Costs related to refinancing” line on the Condensed Consolidated Statement of Operations in the second quarter of fiscal 2014. These amounts are reported in the aggregate in the “Costs related to refinancing” line of the Consolidated Statement of Operations for fiscal 2014 in this Annual Report on Form 10-K.</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16, 2010, we issued $200.0 million aggregate principal amount of 6.625% Senior Notes due 2020. The net proceeds of the offering were used to repay outstanding borrowings under our then existing credit facilities and for general corporate purposes. The 6.625% Senior Notes represent general unsecured senior obligations and rank equal in right of payment with our existing and future unsecured senior debt. The 6.625% Senior Notes have interest payment dates of June 15 and December 15 of each year, which began on June 15, 2011, and may be redeemed prior to maturity starting December 2015 at applicable redemption premiums. The 6.625% Senior Notes contain usual and customary covenants. The 6.625% Senior Notes mature on December 15, 2020. Substantially all of our domestic subsidiaries serve as guarantors of the 6.625% Senior Notes.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in compliance with the terms of all debt covenants at September 30, 2014. The current credit facility contains, among other obligations, an affirmative covenant regarding our leverage ratio, calculated as average total indebtedness, as described in the current credit facility, relative to the our EBITDA, as adjusted pursuant to the terms of the current credit facility (“Adjusted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Under the terms of the current credit facility, the maximum allowable leverage ratio was 4.00 as of September 30, 2014. Our leverage ratio was 2.18 at September 30, 2014. Our current credit facility also includes an affirmative covenant regarding our interest coverage ratio. Interest coverage ratio is calculated as Adjusted EBITDA divided by interest expense, as described in the current credit facility, and excludes costs related to refinancings. Under the terms of the current credit facility, the minimum allowable interest coverage ratio was 3.50 for the year ended September 30, 2014. Our interest coverage ratio was 9.41 for the year ended September 30, 2014. The weighted average interest rates on average debt were 5.0% and 6.2% for fiscal 2014 and fiscal 2013, respectively. Please see “ITEM 6. SELECTED FINANCIAL DATA” of this Annual Report on Form 10-K for further details pertaining to the calculations of the foregoing ratios.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continue to monitor our compliance with the leverage ratio, interest coverage ratio and other covenants contained in the current credit facility and, based upon our current operating assumptions, we expect to remain in compliance with the permissible leverage ratio and interest coverage ratio throughout fiscal 2015. However, an unanticipated charge to earnings, an increase in debt or other factors could materially affect our ability to remain in compliance with the financial or other covenants of our current credit facility, potentially causing us to have to seek an amendment or waiver from our lending group which could result in repricing of our current credit facility.</w:t>
      </w:r>
    </w:p>
    <w:p>
      <w:pPr>
        <w:spacing w:after="0" w:line="13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September 30, 2014, we had outstanding interest rate swap agreements with major financial institutions that effectively converted the LIBOR index portion of variable-rate debt denominated in U.S. dollars to a fixed rate. The swap agreements had a total U.S. dollar notional amount of $1,300.0 million at September 30, 2014.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3"/>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3"/>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Pr>
          <w:p>
            <w:pPr>
              <w:spacing w:after="0"/>
              <w:rPr>
                <w:sz w:val="16"/>
                <w:szCs w:val="16"/>
                <w:color w:val="auto"/>
              </w:rPr>
            </w:pPr>
          </w:p>
        </w:tc>
        <w:tc>
          <w:tcPr>
            <w:tcW w:w="2160" w:type="dxa"/>
            <w:vAlign w:val="bottom"/>
          </w:tcPr>
          <w:p>
            <w:pPr>
              <w:jc w:val="right"/>
              <w:ind w:right="85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800" w:type="dxa"/>
            <w:vAlign w:val="bottom"/>
          </w:tcPr>
          <w:p>
            <w:pPr>
              <w:jc w:val="right"/>
              <w:ind w:right="1173"/>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2/7/2012</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5/7/2016</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2/16/2010</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5/23/2016</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60" w:type="dxa"/>
            <w:vAlign w:val="bottom"/>
          </w:tcPr>
          <w:p>
            <w:pPr>
              <w:jc w:val="right"/>
              <w:spacing w:after="0"/>
              <w:rPr>
                <w:sz w:val="20"/>
                <w:szCs w:val="20"/>
                <w:color w:val="auto"/>
              </w:rPr>
            </w:pPr>
            <w:r>
              <w:rPr>
                <w:rFonts w:ascii="Arial" w:cs="Arial" w:eastAsia="Arial" w:hAnsi="Arial"/>
                <w:sz w:val="18"/>
                <w:szCs w:val="18"/>
                <w:color w:val="auto"/>
              </w:rPr>
              <w:t>12/20/2011</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6/20/2016</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7"/>
        </w:trPr>
        <w:tc>
          <w:tcPr>
            <w:tcW w:w="46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shd w:val="clear" w:color="auto" w:fill="CCEEFF"/>
          </w:tcPr>
          <w:p>
            <w:pPr>
              <w:spacing w:after="0"/>
              <w:rPr>
                <w:sz w:val="22"/>
                <w:szCs w:val="22"/>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6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maintain a Master Accounts Receivable Purchase Agreement (“MARP Agreement”), which is uncommitted and provides for the discretionary sale by us, and the discretionary purchase by the banks, on a revolving basis, of accounts receivable generated by sales to three specified account debtors in an aggregate amount not to exceed $400 million. On October 25, 2013, we signed an amendment to the existing MARP Agreement which extended the termination date to August 29, 2014. On August 29, 2014, we signed a further amendment to the existing MARP Agreement which extended the termination date to August 28, 2015, or such later date as may be agreed by each bank party thereto and us. Under the terms of the MARP Agreement, the banks have the opportunity to purchase those accounts receivable offered by us at a discount (from the agreed base value thereof) effectively equal to the one-week LIBOR plus 0.75%. There were $84.0 million of short-term borrowings as of September 30, 2014 and $85.3 million of short-term borrowings as of September 30, 2013 under the MARP Agreement. The carrying value of the receivables pledged as collateral was $113.7 million and $106.7 million as of September 30, 2014 and September 30, 2013, respectively.</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our cash flows from operations and our capital resources will be sufficient to meet debt service, capital expenditures and working capital needs during fiscal 2015, and thereafter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numerous factors, many of which are beyond our control, as further discussed in “ITEM 1A. RISK FACTORS — Our indebtedness could limit our flexibility and adversely affect our financial condition” of this Annual Report on Form 10-K.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these proceedings, whether as a result of adverse outcomes or as a result of significant defense costs.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3"/>
                <w:szCs w:val="13"/>
                <w:color w:val="auto"/>
              </w:rPr>
            </w:pPr>
          </w:p>
        </w:tc>
        <w:tc>
          <w:tcPr>
            <w:tcW w:w="9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on debt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retirement plan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1,427.2</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long-term debt obligations and interest payments due primarily under the 6.625% Senior Notes and our current credit facility. Amounts in the table represent scheduled future maturities of long-term debt principal for the periods indicated. The interest payments for our current credit facility are based on outstanding borrowings as of September 30, 2014. Actual interest expense will likely be higher due to the seasonality of our business and associated higher average borrowings.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Purchase obligations primarily represent commitments for materials used in our manufacturing processes, as well as commitments for warehouse services, grass seed and out-sourced information services which comprise the unconditional purchase obligations disclosed in “NOTE 17. COMMITMENTS” of the Notes to Consolidated Financial Statements included in this Annual Report on Form 10-K.</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obligations include actuarially determined retiree benefit payments and pension funding to comply with local funding requirements. Pension funding requirements beyond fiscal 2014 are based on preliminary estimates using actuarial assumptions determined as of September 30, 2014. The above table excludes liabilities for unrecognized tax benefits and insurance accruals as the Company is unable to estimate the timing of payments for these items.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At September 30, 2014, the Company had letters of credit in the aggregate face amount of $23.3 million outstanding. Further, the Company has residual value guarantees on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vehicles and the corporate aircraft as disclosed in “NOTE 16. OPERATING LEASES” of the Notes to Consolidated Financial Statements included in this Annual Report on Form 10-K.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proceedings with various governmental agencies related to environmental matters, including those described in “ITEM 3. LEGAL PROCEEDINGS” of this Annual Report on Form 10-K and “NOTE 18. CONTINGENCIES” of the Notes to Consolidated Financial Statements included in this Annual Report on Form 10-K.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 </w:t>
      </w:r>
      <w:r>
        <w:rPr>
          <w:rFonts w:ascii="Arial" w:cs="Arial" w:eastAsia="Arial" w:hAnsi="Arial"/>
          <w:sz w:val="16"/>
          <w:szCs w:val="16"/>
          <w:i w:val="1"/>
          <w:iCs w:val="1"/>
          <w:color w:val="auto"/>
        </w:rPr>
        <w:t>Regulatory Matters</w:t>
      </w:r>
      <w:r>
        <w:rPr>
          <w:rFonts w:ascii="Arial" w:cs="Arial" w:eastAsia="Arial" w:hAnsi="Arial"/>
          <w:sz w:val="16"/>
          <w:szCs w:val="16"/>
          <w:color w:val="auto"/>
        </w:rPr>
        <w:t>” and “ITEM 3. LEGAL PROCEEDINGS” of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discussion and analysis of financial condition and results of operations is based upon our consolidated financial statements, which have been prepared in accordance with GAAP. Certain accounting policies are particularly significant, including those related to revenue recognition, goodwill and intangibles, certain associate benefits and income taxes. We believe these 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and Finance Committee of the Board of Directors of Scotts Miracle-Gro.</w:t>
      </w:r>
    </w:p>
    <w:p>
      <w:pPr>
        <w:spacing w:after="0" w:line="13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Inventories are stated at the lower of cost or market, principally determined by the first-in, first-out method of accounting. Inventories include the cost of raw materials, labor, manufacturing overhead and freight and in-bound handling costs incurred to pre-position goods in our warehouse network. Adjustments to net realizable value for excess and obsolete inventory are based on a variety of factors, including product changes and improvements, changes in active ingredient availability and regulatory acceptance, new product introductions and estimated future demand. The adequacy of our adjustments could be materially affected by changes in the demand for our products or regulatory actions.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Property, Plant and Equipment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over their estimated useful economic lives typically ranging from 3 to 25 years. We review long-lived assets whenever circumstances change such that the recorded value of an asset may not be recoverable and therefore impaired.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goodwill and indefinite-lived intangible assets impairment,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and indefinite-lived intangible assets. For the quantitative test, the review for impairment of goodwill and indefinite-lived intangible assets is primarily based on our estimates of discounted future cash flows, which are based upon annual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future capital expenditure requirements and selection of an appropriate discount rate, as applicable. The use of different assumptions would increase or decrease discounted future operating cash flows or earnings projections and could, therefore, change impairment determinations.</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Fair value estimates employed in our annual impairment review of indefinite-lived tradenames and goodwill were determined using discounted cash flow models involving several assumptions. Changes in our assumptions could materially impact our fair value estimates. Assumptions critical to our fair value estimates were: (i) discount rates used in determining the fair value of the reporting units and tradenames; (ii) royalty rates used in our tradename valuations; (iii) projected revenue and operating profit growth rates used in the reporting unit and tradename models; and (iv) projected long-term growth rates used in the derivation of terminal year values. These and other assumptions are impacted by economic conditions and expectations of management and may change in the future based on period specific facts and circumstances.</w:t>
      </w:r>
    </w:p>
    <w:p>
      <w:pPr>
        <w:spacing w:after="0" w:line="124"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7"/>
          <w:szCs w:val="17"/>
          <w:color w:val="auto"/>
        </w:rPr>
        <w:t>At September 30, 2014, goodwill totaled $350.9 million, with $218.9 million and $132.0 million of goodwill for the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segments, respectively. No goodwill impairment was recognized as a result of the annual evaluation performed as of June 29, 2014. The estimated fair value of each reporting unit was substantially in excess of its carrying value as of the annual test date. If we were to alter our impairment testing by increasing the discount rate in the discounted cash flow analysis by 100 basis points, there still would not be any impairment indicated for any of these reporting units. At September 30, 2014, indefinite-lived intangible assets comprised of tradenames totaled $187.3 million. With the exception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each of these tradenames had an estimated fair value substantially in excess of its carrying value as of the annual test date. During the third quarter of fiscal 2014, as a result of an impairment review, the Company recognized an impairment charge for a non-recurring fair value adjustment of $33.7 million within the Global Consumer segment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 fair value was calculated based upon the evaluation of the historical performance and future growth expectations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Additionally, the Company performed an annual impairment review in the fourth quarter of fiscal 2014 and concluded that the fair value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exceeded the carrying value of the intangible asset and no further impairment was necessary. If we were to increase the discount rate in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fair value calculation by 100 basis points, the resulting non-recurring fair value adjustment would have increased by approximately $10.3 million.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Associate Benefits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Changes in the discount rate and investment returns can have a significant effect on the funded status of our pension plans and shareholders’ equity. We cannot predict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affect our financial condition, results of operations or cash flows. A 100 basis point change in the discount rate would have an immaterial effect on fiscal 2014 pension expense. A 100 basis point change in the discount rate would have a $56.6 million change in our projected benefit obligation as of September 30, 2014.</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insurance for certain risks, including workers’ compensation, general liability and vehicle liability, and are self-insured for employee-related health care benefits up to a specified level for individual claims.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described more fully in “NOTE 18. CONTINGENCIES” of the Notes to Consolidated Financial Statements included in this Annual Report on Form 10-K, we are involved in environmental and legal proceedings which have a high degree of uncertainty associated with them. We continually assess the likely outcome of these proceedings and the adequacy of reserves, if any, provided for their resolution. There can be no assurance that the ultimate outcomes of these proceedings will not differ materially from our current assessment of them, nor that all proceedings that may currently be brought against us are known by us at this time.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5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variable rate debt instruments outstanding at September 30, 2014 and September 30, 2013 that are impacted by changes in interest rates. As a means of managing our interest rate risk on these debt instruments, we entered into interest rate swap agreements with major financial institutions to effectively fix the LIBOR index on certain variable-rate debt obligations.</w:t>
      </w:r>
    </w:p>
    <w:p>
      <w:pPr>
        <w:spacing w:after="0" w:line="12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At September 30, 2014 and September 30, 2013, we had outstanding interest rate swap agreements with a total U.S. dollar equivalent notional value of $1,300.0 million and $1,100.0 million, respectively. The weighted average fixed rate of swap agreements outstanding at September 30, 2014 was 2.1%.</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following table summarizes information about our derivative financial instruments and debt instruments that are sensitive to changes in interest rates as of September 30, 2014 and 2013.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rates in effect at September 30, 2014 and September 30, 2013. A change in our variable interest rate of 100 basis points for a full twelve-month period would have a $2.5 million impact on interest expense assuming approximately $250 million of our average fiscal 2014 variable-rate debt had not been hedged via an interest rate swap agreement. The information is presented in U.S. dollars (in millions):</w:t>
      </w:r>
    </w:p>
    <w:p>
      <w:pPr>
        <w:spacing w:after="0" w:line="373"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Expected Maturity Date</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center"/>
              <w:ind w:right="114"/>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5"/>
        </w:trPr>
        <w:tc>
          <w:tcPr>
            <w:tcW w:w="3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0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7"/>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481.8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Expected Maturity Date</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3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0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85.3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8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Excluded from the information provided above are $18.5 million and $12.2 million at September 30, 2014 and September 30, 2013, respectively, of miscellaneous debt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Through fiscal 2014, we had transactions that were denominated in currencies other than the currency of the country of origin. We use foreign currency swap contracts to manage the exchange rate risk associated with intercompany loans with foreign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3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subsidiaries that are denominated in local currencies. At September 30, 2014, the notional amount of outstanding foreign currency swap contracts was $149.0 million with a negative fair value of $0.1 million. At September 30, 2013, the notional amount of outstanding foreign currency swap contracts was $80.4 million with a negative fair value of $2.1 million.</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We are subject to market risk from fluctuating prices of certain raw materials, including urea and other fertilizer inputs, resins, diesel, gasoline, natural gas, sphagnum peat, bark and grass seed. Our objectives surrounding the procurement of these materials are to ensure continuous supply and to control costs. We seek to achieve these objectives through negotiation of contracts with favorable terms directly with vendors. In addition, we entered into derivatives to partially mitigate the effect of fluctuating direct and indirect fuel costs on our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businesses and hedged a portion of our fuel and urea needs for fiscal 2014 and fiscal 2013. We had outstanding derivative contracts for 10,206,000 gallons of fuel with a negative fair value of $1.4 million at September 30, 2014. We had outstanding derivative contracts for 7,098,000 gallons of fuel with a negative fair value of $0.3 million at September 30, 2013. We also had outstanding derivative contracts for 58,500 and 49,500 aggregate tons of urea at September 30, 2014 and September 30, 2013, respectively. The outstanding derivative contracts for 58,500 aggregate tons at September 30, 2014 had a negative fair value of $0.5 million, while the outstanding derivative contracts for 49,500 aggregate tons at September 30, 2013 had a negative fair value of $2.0 million.</w:t>
      </w:r>
    </w:p>
    <w:p>
      <w:pPr>
        <w:spacing w:after="0" w:line="3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50 of this Annual Report on Form 10-K.</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51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52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Exchange Act) occurred during the Registrant’s fiscal quarter ended September 30, 2014, that have materially affected, or are reasonably likely to materially affect, the Registrant’s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29, 2015 (the “2015 Annual Meeting”) is incorporated herein by reference from the disclosure which will be included under the caption “PROPOSAL NUMBER 1 — ELECTION OF DIRECTORS” in Scotts Miracle-Gro’s definitive Proxy Statement relating to the 2015 Annual Meeting (“Scotts Miracle-Gro’s Definitive Proxy Statement”), which will be filed pursuant to SEC Regulation 14A not later than 120 days after the end of Scotts Miracle-Gro’s fiscal year ended September 30, 2014.</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Scotts Miracle-Gro’s Definitive Proxy Statement. These procedures have not materially changed from those described in Scotts Miracle-Gro’s definitive Proxy Statement for the 2014 Annual Meeting of Shareholders held on January 30,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Finance Committee</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information required by Items 407(d)(4) and 407(d)(5) of SEC Regulation S-K is incorporated herein by reference from the disclosure which will be included under the captions “MEETINGS AND COMMITTEES OF THE BOARD — Committees of the Board” and “MEETINGS AND COMMITTEES OF THE BOARD — Committees of the Board — Audit and Finance Committee” in Scotts Miracle-Gro’s Definitive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&amp; Ethics; Corporate Governance Guidelines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Board of Directors of Scotts Miracle-Gro has adopted charters for each of the Audit and Finance Committee, the Nominating and Governance Committee, the Compensation and Organization Committee, the Innovation and Marketing Committee, the Strategy and Business Development Committee and the Executive Committee, as well as Corporate Governance Guidelines, as contemplated by the applicable sections of the New York Stock Exchange Listed Company Manual.</w:t>
      </w:r>
    </w:p>
    <w:p>
      <w:pPr>
        <w:spacing w:after="0" w:line="13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Miracle-Gro on Scotts Miracle-Gro's Internet website located at http://investor.scotts.com within four business days of the determination to grant any such waiver.</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text of Scotts Miracle-Gro’s Code of Business Conduct &amp; Ethics, Scotts Miracle-Gro’s Corporate Governance Guidelines, the Audit and Finance Committee charter, the Nominating and Governance Committee charter, the Compensation and Organization Committee charter, the Innovation and Marketing Committee charter, the Strategy and Business Development Committee charter and the Executive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 In addition, a copy of the Code of Business Conduct &amp; Ethics, as revised effective January 18, 2012, is incorporated by reference in Exhibit 14 to this Annual Report on Form 10-K.</w:t>
      </w:r>
    </w:p>
    <w:p>
      <w:pPr>
        <w:spacing w:after="0" w:line="3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Scotts Miracle-Gro’s Definitive Proxy Statement.</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ACCOUNTING FEES AND SERVICES</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“AUDIT AND FINANCE COMMITTEE MATTERS — Fees of the Independent Registered Public Accounting Firm” and “AUDIT AND FINANCE COMMITTEE MATTERS — Pre-Approval of Services Performed by the Independent Registered Public Accounting Firm” in Scotts Miracle-Gro’s Definitive Proxy Statement.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75" w:lineRule="exact"/>
        <w:rPr>
          <w:sz w:val="20"/>
          <w:szCs w:val="20"/>
          <w:color w:val="auto"/>
        </w:rPr>
      </w:pPr>
    </w:p>
    <w:p>
      <w:pPr>
        <w:ind w:left="680" w:hanging="240"/>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50 of this Annual Report on Form 10-K.</w:t>
      </w:r>
    </w:p>
    <w:p>
      <w:pPr>
        <w:spacing w:after="0" w:line="116" w:lineRule="exact"/>
        <w:rPr>
          <w:sz w:val="20"/>
          <w:szCs w:val="20"/>
          <w:color w:val="auto"/>
        </w:rPr>
      </w:pPr>
    </w:p>
    <w:p>
      <w:pPr>
        <w:ind w:left="700" w:hanging="26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exhibits listed on the “Index to Exhibits” beginning on page 116 of this Annual Report on Form 10-K are filed or furnished with this Annual Report on Form 10-K or incorporated herein by reference as noted in the “Index to Exhibits.”</w:t>
      </w:r>
    </w:p>
    <w:p>
      <w:pPr>
        <w:spacing w:after="0" w:line="116" w:lineRule="exact"/>
        <w:rPr>
          <w:sz w:val="20"/>
          <w:szCs w:val="20"/>
          <w:color w:val="auto"/>
        </w:rPr>
      </w:pPr>
    </w:p>
    <w:p>
      <w:pPr>
        <w:ind w:left="680" w:hanging="24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50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6660"/>
        <w:spacing w:after="0"/>
        <w:tabs>
          <w:tab w:leader="none" w:pos="7220" w:val="left"/>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Hagedorn, Chief Executive Officer and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25, 2014</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280" w:type="dxa"/>
            <w:vAlign w:val="bottom"/>
          </w:tcPr>
          <w:p>
            <w:pPr>
              <w:spacing w:after="0"/>
              <w:rPr>
                <w:sz w:val="14"/>
                <w:szCs w:val="14"/>
                <w:color w:val="auto"/>
              </w:rPr>
            </w:pPr>
          </w:p>
        </w:tc>
        <w:tc>
          <w:tcPr>
            <w:tcW w:w="222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ALAN H. BARRY*</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25, 2014</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Alan H. Barry</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 THOMAS RANDAL COLEMAN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Executive Vice President</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25, 2014</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 Principal Accounting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JAMES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Chairman of the Board and 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25, 2014</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James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ADAM HANFT*</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25, 2014</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Adam Hanft</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MICHELLE A. JOHNSON*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25, 2014</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Michelle A. Johnson</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STEPHEN L. JOHNSON*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25, 2014</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Stephen L. Johnson</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THOMAS N. KELLY JR.*</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25, 2014</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N. Kelly Jr.</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KATHERINE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25, 2014</w:t>
            </w:r>
          </w:p>
        </w:tc>
      </w:tr>
    </w:tbl>
    <w:p>
      <w:pPr>
        <w:ind w:left="40"/>
        <w:spacing w:after="0"/>
        <w:rPr>
          <w:sz w:val="20"/>
          <w:szCs w:val="20"/>
          <w:color w:val="auto"/>
        </w:rPr>
      </w:pPr>
      <w:r>
        <w:rPr>
          <w:rFonts w:ascii="Arial" w:cs="Arial" w:eastAsia="Arial" w:hAnsi="Arial"/>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Katherine Hagedorn Littlefield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2"/>
        </w:trPr>
        <w:tc>
          <w:tcPr>
            <w:tcW w:w="2960" w:type="dxa"/>
            <w:vAlign w:val="bottom"/>
            <w:gridSpan w:val="4"/>
          </w:tcPr>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606"/>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040" w:type="dxa"/>
            <w:vAlign w:val="bottom"/>
            <w:gridSpan w:val="3"/>
          </w:tcPr>
          <w:p>
            <w:pPr>
              <w:ind w:left="3080"/>
              <w:spacing w:after="0"/>
              <w:rPr>
                <w:sz w:val="20"/>
                <w:szCs w:val="20"/>
                <w:color w:val="auto"/>
              </w:rPr>
            </w:pPr>
            <w:r>
              <w:rPr>
                <w:rFonts w:ascii="Arial" w:cs="Arial" w:eastAsia="Arial" w:hAnsi="Arial"/>
                <w:sz w:val="14"/>
                <w:szCs w:val="14"/>
                <w:b w:val="1"/>
                <w:bCs w:val="1"/>
                <w:color w:val="auto"/>
              </w:rPr>
              <w:t>Title</w:t>
            </w:r>
          </w:p>
        </w:tc>
        <w:tc>
          <w:tcPr>
            <w:tcW w:w="3120" w:type="dxa"/>
            <w:vAlign w:val="bottom"/>
            <w:gridSpan w:val="3"/>
          </w:tcPr>
          <w:p>
            <w:pPr>
              <w:jc w:val="center"/>
              <w:ind w:left="157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JAMES F. MCCANN*</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25, 2014</w:t>
            </w:r>
          </w:p>
        </w:tc>
      </w:tr>
      <w:tr>
        <w:trPr>
          <w:trHeight w:val="243"/>
        </w:trPr>
        <w:tc>
          <w:tcPr>
            <w:tcW w:w="1180" w:type="dxa"/>
            <w:vAlign w:val="bottom"/>
            <w:tcBorders>
              <w:bottom w:val="single" w:sz="8" w:color="auto"/>
            </w:tcBorders>
            <w:gridSpan w:val="2"/>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James F. McCann</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NANCY G. MISTRETTA*</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25, 2014</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Nancy G. Mistretta</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MICHAEL E. PORTER*</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25, 2014</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Michael E. Porter</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JOHN R. VINES*</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25, 2014</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John R. Vines</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64" w:lineRule="exact"/>
        <w:rPr>
          <w:sz w:val="20"/>
          <w:szCs w:val="20"/>
          <w:color w:val="auto"/>
        </w:rPr>
      </w:pPr>
    </w:p>
    <w:p>
      <w:pPr>
        <w:ind w:left="500" w:hanging="465"/>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2830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Randal Coleman, Attorney-in-Fact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10700" w:type="dxa"/>
            <w:vAlign w:val="bottom"/>
            <w:gridSpan w:val="9"/>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560" w:type="dxa"/>
            <w:vAlign w:val="bottom"/>
            <w:gridSpan w:val="4"/>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Annual Report of Management on Internal Control Over Financial Reporting</w:t>
              </w:r>
            </w:hyperlink>
          </w:p>
        </w:tc>
        <w:tc>
          <w:tcPr>
            <w:tcW w:w="480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gridSpan w:val="2"/>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Reports of Independent Registered Public Accounting Firm</w:t>
              </w:r>
            </w:hyperlink>
          </w:p>
        </w:tc>
        <w:tc>
          <w:tcPr>
            <w:tcW w:w="1260" w:type="dxa"/>
            <w:vAlign w:val="bottom"/>
            <w:gridSpan w:val="2"/>
          </w:tcPr>
          <w:p>
            <w:pPr>
              <w:spacing w:after="0"/>
              <w:rPr>
                <w:sz w:val="21"/>
                <w:szCs w:val="21"/>
                <w:color w:val="auto"/>
              </w:rPr>
            </w:pPr>
          </w:p>
        </w:tc>
        <w:tc>
          <w:tcPr>
            <w:tcW w:w="480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for the fiscal years ended September 30, 2014,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Comprehensive Income for the fiscal years ended September 30, 2014,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20" w:type="dxa"/>
            <w:vAlign w:val="bottom"/>
            <w:gridSpan w:val="5"/>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Consolidated Statements of Cash Flows for the fiscal years ended September 30, 2014, 2013 and 2012</w:t>
              </w:r>
            </w:hyperlink>
          </w:p>
        </w:tc>
        <w:tc>
          <w:tcPr>
            <w:tcW w:w="920" w:type="dxa"/>
            <w:vAlign w:val="bottom"/>
            <w:gridSpan w:val="2"/>
          </w:tcPr>
          <w:p>
            <w:pPr>
              <w:spacing w:after="0"/>
              <w:rPr>
                <w:sz w:val="21"/>
                <w:szCs w:val="21"/>
                <w:color w:val="auto"/>
              </w:rPr>
            </w:pPr>
          </w:p>
        </w:tc>
        <w:tc>
          <w:tcPr>
            <w:tcW w:w="21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80" w:type="dxa"/>
            <w:vAlign w:val="bottom"/>
            <w:gridSpan w:val="3"/>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Balance Sheets at September 30, 2014 and 2013</w:t>
              </w:r>
            </w:hyperlink>
          </w:p>
        </w:tc>
        <w:tc>
          <w:tcPr>
            <w:tcW w:w="2840" w:type="dxa"/>
            <w:vAlign w:val="bottom"/>
            <w:gridSpan w:val="2"/>
          </w:tcPr>
          <w:p>
            <w:pPr>
              <w:spacing w:after="0"/>
              <w:rPr>
                <w:sz w:val="21"/>
                <w:szCs w:val="21"/>
                <w:color w:val="auto"/>
              </w:rPr>
            </w:pPr>
          </w:p>
        </w:tc>
        <w:tc>
          <w:tcPr>
            <w:tcW w:w="304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60" w:type="dxa"/>
            <w:vAlign w:val="bottom"/>
            <w:gridSpan w:val="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Shareholders’ Equity for the fiscal years ended September 30, 2014, 2013 and 2012</w:t>
              </w:r>
            </w:hyperlink>
          </w:p>
        </w:tc>
        <w:tc>
          <w:tcPr>
            <w:tcW w:w="23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Notes to Consolidated Financial Statements</w:t>
              </w:r>
            </w:hyperlink>
          </w:p>
        </w:tc>
        <w:tc>
          <w:tcPr>
            <w:tcW w:w="4900" w:type="dxa"/>
            <w:vAlign w:val="bottom"/>
            <w:gridSpan w:val="5"/>
          </w:tcPr>
          <w:p>
            <w:pPr>
              <w:spacing w:after="0"/>
              <w:rPr>
                <w:sz w:val="21"/>
                <w:szCs w:val="21"/>
                <w:color w:val="auto"/>
              </w:rPr>
            </w:pPr>
          </w:p>
        </w:tc>
        <w:tc>
          <w:tcPr>
            <w:tcW w:w="23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700" w:type="dxa"/>
            <w:vAlign w:val="bottom"/>
            <w:gridSpan w:val="9"/>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8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Schedule II—Valuation and Qualifying Accounts for the fiscal years ended September 30, 2014, 2013 and 2012</w:t>
              </w:r>
            </w:hyperlink>
          </w:p>
        </w:tc>
        <w:tc>
          <w:tcPr>
            <w:tcW w:w="23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14">
              <w:r>
                <w:rPr>
                  <w:rFonts w:ascii="Arial" w:cs="Arial" w:eastAsia="Arial" w:hAnsi="Arial"/>
                  <w:sz w:val="18"/>
                  <w:szCs w:val="18"/>
                  <w:color w:val="0000FF"/>
                  <w:w w:val="86"/>
                </w:rPr>
                <w:t>115</w:t>
              </w:r>
            </w:hyperlink>
          </w:p>
        </w:tc>
        <w:tc>
          <w:tcPr>
            <w:tcW w:w="20" w:type="dxa"/>
            <w:vAlign w:val="bottom"/>
          </w:tcPr>
          <w:p>
            <w:pPr>
              <w:spacing w:after="0"/>
              <w:rPr>
                <w:sz w:val="19"/>
                <w:szCs w:val="19"/>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5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Management, with the participation of our principal executive officer and principal financial officer, assessed the effectiveness of our internal control over financial reporting as of September 30, 2014, the end of our fiscal year. Management based its assessment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(1992) </w:t>
      </w:r>
      <w:r>
        <w:rPr>
          <w:rFonts w:ascii="Arial" w:cs="Arial" w:eastAsia="Arial" w:hAnsi="Arial"/>
          <w:sz w:val="17"/>
          <w:szCs w:val="17"/>
          <w:color w:val="auto"/>
        </w:rPr>
        <w:t>issued by the Committee of Sponsoring Organizations of the Treadway Commission. Management’s assessment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 As allowed by the SEC guidance, management excluded from the assessment the internal control over financial reporting at Fafard &amp; Brothers Ltd. and AeroGrow International, Inc. which were acquired in fiscal 2014. These acquisitions constituted 3.9% of total assets, 0% and 2.1% of both, revenues and net income, respectively, included in our consolidated financial statements as of and for the fiscal year ended September 30, 2014.</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2014,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and Finance Committee of the Board of Directors of The Scotts Miracle-Gro Company.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2014 and has issued their attestation report which appears herein.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  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THOMAS RANDAL COLEMAN</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22"/>
        </w:trPr>
        <w:tc>
          <w:tcPr>
            <w:tcW w:w="5620" w:type="dxa"/>
            <w:vAlign w:val="bottom"/>
          </w:tcPr>
          <w:p>
            <w:pPr>
              <w:ind w:left="40"/>
              <w:spacing w:after="0"/>
              <w:rPr>
                <w:sz w:val="20"/>
                <w:szCs w:val="20"/>
                <w:color w:val="auto"/>
              </w:rPr>
            </w:pPr>
            <w:r>
              <w:rPr>
                <w:rFonts w:ascii="Arial" w:cs="Arial" w:eastAsia="Arial" w:hAnsi="Arial"/>
                <w:sz w:val="18"/>
                <w:szCs w:val="18"/>
                <w:color w:val="auto"/>
              </w:rPr>
              <w:t>James Hagedorn</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Thomas Randal Coleman</w:t>
            </w: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Chief Executive Officer and Chairman of the Board</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392"/>
        </w:trPr>
        <w:tc>
          <w:tcPr>
            <w:tcW w:w="5620" w:type="dxa"/>
            <w:vAlign w:val="bottom"/>
          </w:tcPr>
          <w:p>
            <w:pPr>
              <w:ind w:left="40"/>
              <w:spacing w:after="0"/>
              <w:rPr>
                <w:sz w:val="20"/>
                <w:szCs w:val="20"/>
                <w:color w:val="auto"/>
              </w:rPr>
            </w:pPr>
            <w:r>
              <w:rPr>
                <w:rFonts w:ascii="Arial" w:cs="Arial" w:eastAsia="Arial" w:hAnsi="Arial"/>
                <w:sz w:val="18"/>
                <w:szCs w:val="18"/>
                <w:color w:val="auto"/>
              </w:rPr>
              <w:t>Dated:   November 25, 2014</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Dated:    November 25, 2014</w:t>
            </w:r>
          </w:p>
        </w:tc>
      </w:tr>
      <w:tr>
        <w:trPr>
          <w:trHeight w:val="486"/>
        </w:trPr>
        <w:tc>
          <w:tcPr>
            <w:tcW w:w="5620" w:type="dxa"/>
            <w:vAlign w:val="bottom"/>
          </w:tcPr>
          <w:p>
            <w:pPr>
              <w:spacing w:after="0"/>
              <w:rPr>
                <w:sz w:val="24"/>
                <w:szCs w:val="24"/>
                <w:color w:val="auto"/>
              </w:rPr>
            </w:pPr>
          </w:p>
        </w:tc>
        <w:tc>
          <w:tcPr>
            <w:tcW w:w="5800" w:type="dxa"/>
            <w:vAlign w:val="bottom"/>
            <w:gridSpan w:val="2"/>
          </w:tcPr>
          <w:p>
            <w:pPr>
              <w:jc w:val="right"/>
              <w:ind w:right="5530"/>
              <w:spacing w:after="0"/>
              <w:rPr>
                <w:sz w:val="20"/>
                <w:szCs w:val="20"/>
                <w:color w:val="auto"/>
              </w:rPr>
            </w:pPr>
            <w:r>
              <w:rPr>
                <w:rFonts w:ascii="Arial" w:cs="Arial" w:eastAsia="Arial" w:hAnsi="Arial"/>
                <w:sz w:val="18"/>
                <w:szCs w:val="18"/>
                <w:color w:val="auto"/>
                <w:w w:val="79"/>
              </w:rPr>
              <w:t>51</w:t>
            </w:r>
          </w:p>
        </w:tc>
      </w:tr>
    </w:tbl>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5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audited the accompanying consolidated balance sheets of The Scotts Miracle-Gro Company and subsidiaries (the “Company”) as of September 30, 2014 and 2013, and the related consolidated statements of operations, comprehensive income, shareholders’ equity, and cash flows for each of the three years in the period ended September 30, 2014. Our audits also included the financial statement schedules listed in the Index to Consolidated Financial Statements and Financial Statement Schedules. 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as of September 30, 2014 and 2013, and the results of its operations and its cash flows for each of the three years in the period ended September 30, 2014,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0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2014,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and our report dated November 25, 2014 expressed an unqualified opinion on the Company’s internal control over financial reporting.</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25, 2014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have audited the internal control over financial reporting of The Scotts Miracle-Gro Company and subsidiaries (the "Company") as of September 30,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As described in Management’s Report on Internal Control Over Financial Reporting, management excluded from its assessment the internal control over financial reporting at the following subsidiaries which were acquired in 2014: Fafard &amp; Brothers Ltd. and AeroGrow International, Inc. which were acquired in fiscal 2014. These acquisitions constituted 3.9% of total assets, 0% and 2.1% of both, revenues and net income, respectively, included in the consolidated financial statements as of and for the fiscal year ended September 30, 2014. Accordingly, our audit did not include the internal control over financial reporting at these subsidiaries.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jc w:val="both"/>
        <w:ind w:firstLine="70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September 30, 2014,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schedules as of and for the year ended September 30, 2014 of the Company and our report dated November 25, 2014 expressed an unqualified opinion on those financial statements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2,841.3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SCOTTS MIRACLE-GRO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166.2</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1"/>
              </w:rPr>
              <w:t>Net unrealized losses on derivative instruments, net of tax of $3.0, $2.1 and $6.2 for fiscal</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2014, fiscal 2013 and fiscal 2012,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losses on derivatives to net income, net of tax of $5.9,</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$5.4 and $5.6 for fiscal 2014, fiscal 2013 and fiscal 2012, respectively</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0"/>
              </w:rPr>
              <w:t>Net unrealized gains (loss) in pension and other post retirement benefits, net of tax of $4.9,</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$2.4 and $0.4 for fiscal 2014, fiscal 2013 and fiscal 2012,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Reclassification of net pension and post-retirement benefit income (loss) to net income,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8"/>
              </w:rPr>
              <w:t>of tax of $1.9, $2.3 and $2.2 for fiscal 2014, fiscal 2013 and fiscal 2012, respectively</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157.8</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38"/>
        </w:trPr>
        <w:tc>
          <w:tcPr>
            <w:tcW w:w="7460" w:type="dxa"/>
            <w:vAlign w:val="bottom"/>
            <w:gridSpan w:val="2"/>
          </w:tcPr>
          <w:p>
            <w:pPr>
              <w:jc w:val="center"/>
              <w:ind w:left="3879"/>
              <w:spacing w:after="0"/>
              <w:rPr>
                <w:sz w:val="20"/>
                <w:szCs w:val="20"/>
                <w:color w:val="auto"/>
              </w:rPr>
            </w:pPr>
            <w:r>
              <w:rPr>
                <w:rFonts w:ascii="Arial" w:cs="Arial" w:eastAsia="Arial" w:hAnsi="Arial"/>
                <w:sz w:val="16"/>
                <w:szCs w:val="16"/>
                <w:b w:val="1"/>
                <w:bCs w:val="1"/>
                <w:color w:val="auto"/>
              </w:rPr>
              <w:t>THE SCOTTS MIRACLE-GRO COMPANY</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9"/>
        </w:trPr>
        <w:tc>
          <w:tcPr>
            <w:tcW w:w="7080" w:type="dxa"/>
            <w:vAlign w:val="bottom"/>
          </w:tcPr>
          <w:p>
            <w:pPr>
              <w:jc w:val="center"/>
              <w:ind w:left="4279"/>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0"/>
        </w:trPr>
        <w:tc>
          <w:tcPr>
            <w:tcW w:w="7080" w:type="dxa"/>
            <w:vAlign w:val="bottom"/>
          </w:tcPr>
          <w:p>
            <w:pPr>
              <w:jc w:val="center"/>
              <w:ind w:left="4259"/>
              <w:spacing w:after="0"/>
              <w:rPr>
                <w:sz w:val="20"/>
                <w:szCs w:val="20"/>
                <w:color w:val="auto"/>
              </w:rPr>
            </w:pPr>
            <w:r>
              <w:rPr>
                <w:rFonts w:ascii="Arial" w:cs="Arial" w:eastAsia="Arial" w:hAnsi="Arial"/>
                <w:sz w:val="16"/>
                <w:szCs w:val="16"/>
                <w:b w:val="1"/>
                <w:bCs w:val="1"/>
                <w:color w:val="auto"/>
                <w:w w:val="95"/>
              </w:rPr>
              <w:t>(In millions)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5"/>
        </w:trPr>
        <w:tc>
          <w:tcPr>
            <w:tcW w:w="7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September 30,</w:t>
            </w:r>
          </w:p>
        </w:tc>
        <w:tc>
          <w:tcPr>
            <w:tcW w:w="104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161.1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106.5</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Impairment, restructuring and other</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Costs related to refinancing</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Amortization</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taxes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Loss (gain) on sale of long-lived assets</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business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(Gain) loss on investment of unconsolidated affiliate</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assets and liabilities, net of acquired businesses: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Prepaid and other assets</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Other current liabilities</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Restructuring reserves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Other non-current items</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17"/>
        </w:trPr>
        <w:tc>
          <w:tcPr>
            <w:tcW w:w="7080" w:type="dxa"/>
            <w:vAlign w:val="bottom"/>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153.4</w:t>
            </w:r>
          </w:p>
        </w:tc>
      </w:tr>
      <w:tr>
        <w:trPr>
          <w:trHeight w:val="33"/>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Proceeds from sale of long-lived assets</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business, net of transaction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and leaseback transaction</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Investment in unconsolidated affiliate</w:t>
            </w:r>
          </w:p>
        </w:tc>
        <w:tc>
          <w:tcPr>
            <w:tcW w:w="3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708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(75.7)</w:t>
            </w:r>
          </w:p>
        </w:tc>
      </w:tr>
      <w:tr>
        <w:trPr>
          <w:trHeight w:val="33"/>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285" w:gutter="0" w:footer="0" w:header="0"/>
        </w:sectPr>
      </w:pPr>
    </w:p>
    <w:p>
      <w:pPr>
        <w:ind w:left="380"/>
        <w:spacing w:after="0"/>
        <w:rPr>
          <w:sz w:val="20"/>
          <w:szCs w:val="20"/>
          <w:color w:val="auto"/>
        </w:rPr>
      </w:pPr>
      <w:r>
        <w:rPr>
          <w:rFonts w:ascii="Arial" w:cs="Arial" w:eastAsia="Arial" w:hAnsi="Arial"/>
          <w:sz w:val="15"/>
          <w:szCs w:val="15"/>
          <w:color w:val="auto"/>
        </w:rPr>
        <w:t>Borrowings under revolving and bank lines of credit and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under revolving and bank lines of credit and term loans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Repayment of 7.25%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and issuance fees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Common Shares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sellers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share-based payment arrangements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from exercise of stock options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1,932.8</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1,474.8</w:t>
            </w:r>
          </w:p>
        </w:tc>
        <w:tc>
          <w:tcPr>
            <w:tcW w:w="1020" w:type="dxa"/>
            <w:vAlign w:val="bottom"/>
          </w:tcPr>
          <w:p>
            <w:pPr>
              <w:jc w:val="right"/>
              <w:spacing w:after="0"/>
              <w:rPr>
                <w:sz w:val="20"/>
                <w:szCs w:val="20"/>
                <w:color w:val="auto"/>
              </w:rPr>
            </w:pPr>
            <w:r>
              <w:rPr>
                <w:rFonts w:ascii="Arial" w:cs="Arial" w:eastAsia="Arial" w:hAnsi="Arial"/>
                <w:sz w:val="16"/>
                <w:szCs w:val="16"/>
                <w:color w:val="auto"/>
              </w:rPr>
              <w:t>1,684.0</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w w:val="87"/>
              </w:rPr>
              <w:t>(1,525.3)</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(1,682.1)</w:t>
            </w:r>
          </w:p>
        </w:tc>
        <w:tc>
          <w:tcPr>
            <w:tcW w:w="1020" w:type="dxa"/>
            <w:vAlign w:val="bottom"/>
          </w:tcPr>
          <w:p>
            <w:pPr>
              <w:jc w:val="right"/>
              <w:spacing w:after="0"/>
              <w:rPr>
                <w:sz w:val="20"/>
                <w:szCs w:val="20"/>
                <w:color w:val="auto"/>
              </w:rPr>
            </w:pPr>
            <w:r>
              <w:rPr>
                <w:rFonts w:ascii="Arial" w:cs="Arial" w:eastAsia="Arial" w:hAnsi="Arial"/>
                <w:sz w:val="16"/>
                <w:szCs w:val="16"/>
                <w:color w:val="auto"/>
              </w:rPr>
              <w:t>(1,694.6)</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(200.0)</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(6.1)</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(230.8)</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(87.8)</w:t>
            </w:r>
          </w:p>
        </w:tc>
        <w:tc>
          <w:tcPr>
            <w:tcW w:w="102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(120.0)</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(0.8)</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(0.8)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5.9</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2.0</w:t>
            </w:r>
          </w:p>
        </w:tc>
        <w:tc>
          <w:tcPr>
            <w:tcW w:w="10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20.0</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13.3</w:t>
            </w:r>
          </w:p>
        </w:tc>
        <w:tc>
          <w:tcPr>
            <w:tcW w:w="1020" w:type="dxa"/>
            <w:vAlign w:val="bottom"/>
          </w:tcPr>
          <w:p>
            <w:pPr>
              <w:jc w:val="right"/>
              <w:spacing w:after="0"/>
              <w:rPr>
                <w:sz w:val="20"/>
                <w:szCs w:val="20"/>
                <w:color w:val="auto"/>
              </w:rPr>
            </w:pPr>
            <w:r>
              <w:rPr>
                <w:rFonts w:ascii="Arial" w:cs="Arial" w:eastAsia="Arial" w:hAnsi="Arial"/>
                <w:sz w:val="16"/>
                <w:szCs w:val="16"/>
                <w:color w:val="auto"/>
              </w:rPr>
              <w:t>17.6</w:t>
            </w:r>
          </w:p>
        </w:tc>
      </w:tr>
    </w:tbl>
    <w:p>
      <w:pPr>
        <w:spacing w:after="0" w:line="13" w:lineRule="exact"/>
        <w:rPr>
          <w:sz w:val="20"/>
          <w:szCs w:val="20"/>
          <w:color w:val="auto"/>
        </w:rPr>
      </w:pPr>
    </w:p>
    <w:p>
      <w:pPr>
        <w:sectPr>
          <w:pgSz w:w="11900" w:h="16838" w:orient="portrait"/>
          <w:cols w:equalWidth="0" w:num="2">
            <w:col w:w="7100" w:space="720"/>
            <w:col w:w="3600"/>
          </w:cols>
          <w:pgMar w:left="240" w:top="122" w:right="239" w:bottom="285"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080" w:type="dxa"/>
            <w:vAlign w:val="bottom"/>
            <w:tcBorders>
              <w:top w:val="single" w:sz="8" w:color="CCEEFF"/>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financing activities</w:t>
            </w: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4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paid</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Call premium on 7.25% senior notes</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taxes paid</w:t>
            </w: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33"/>
        </w:trPr>
        <w:tc>
          <w:tcPr>
            <w:tcW w:w="7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2" w:right="239" w:bottom="285" w:gutter="0" w:footer="0" w:header="0"/>
          <w:type w:val="continuous"/>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285" w:gutter="0" w:footer="0" w:header="0"/>
          <w:type w:val="continuous"/>
        </w:sectPr>
      </w:pPr>
    </w:p>
    <w:bookmarkStart w:id="56" w:name="page57"/>
    <w:bookmarkEnd w:id="5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$7.5 in 2014 and $9.5 in 2013</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16, 17 and 18)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shares and capital in excess of $.01 stated value per share; shares outstanding of 60.7 in 2014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62.0 in 2013</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shares, at cost; 7.4 shares in 2014 and 6.1 shares in 2013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 - 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right"/>
        <w:ind w:right="38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declared ($1.225 per share)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share purchases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share issuances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36" w:lineRule="exact"/>
        <w:rPr>
          <w:sz w:val="20"/>
          <w:szCs w:val="20"/>
          <w:color w:val="auto"/>
        </w:rPr>
      </w:pPr>
    </w:p>
    <w:p>
      <w:pPr>
        <w:ind w:left="40"/>
        <w:spacing w:after="0" w:line="382" w:lineRule="auto"/>
        <w:rPr>
          <w:sz w:val="20"/>
          <w:szCs w:val="20"/>
          <w:color w:val="auto"/>
        </w:rPr>
      </w:pPr>
      <w:r>
        <w:rPr>
          <w:rFonts w:ascii="Arial" w:cs="Arial" w:eastAsia="Arial" w:hAnsi="Arial"/>
          <w:sz w:val="14"/>
          <w:szCs w:val="14"/>
          <w:color w:val="auto"/>
        </w:rPr>
        <w:t>Dividends declared ($1.4125 per share) Treasury share issuances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2013</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36" w:lineRule="exact"/>
        <w:rPr>
          <w:sz w:val="20"/>
          <w:szCs w:val="20"/>
          <w:color w:val="auto"/>
        </w:rPr>
      </w:pPr>
    </w:p>
    <w:p>
      <w:pPr>
        <w:ind w:left="40"/>
        <w:spacing w:after="0" w:line="432" w:lineRule="auto"/>
        <w:rPr>
          <w:sz w:val="20"/>
          <w:szCs w:val="20"/>
          <w:color w:val="auto"/>
        </w:rPr>
      </w:pPr>
      <w:r>
        <w:rPr>
          <w:rFonts w:ascii="Arial" w:cs="Arial" w:eastAsia="Arial" w:hAnsi="Arial"/>
          <w:sz w:val="14"/>
          <w:szCs w:val="14"/>
          <w:color w:val="auto"/>
        </w:rPr>
        <w:t>Dividends declared ($3.7625 per share) Treasury share purchases</w:t>
      </w:r>
    </w:p>
    <w:p>
      <w:pPr>
        <w:spacing w:after="0" w:line="1" w:lineRule="exact"/>
        <w:rPr>
          <w:sz w:val="20"/>
          <w:szCs w:val="20"/>
          <w:color w:val="auto"/>
        </w:rPr>
      </w:pPr>
    </w:p>
    <w:p>
      <w:pPr>
        <w:ind w:left="40" w:right="140"/>
        <w:spacing w:after="0" w:line="459" w:lineRule="auto"/>
        <w:rPr>
          <w:sz w:val="20"/>
          <w:szCs w:val="20"/>
          <w:color w:val="auto"/>
        </w:rPr>
      </w:pPr>
      <w:r>
        <w:rPr>
          <w:rFonts w:ascii="Arial" w:cs="Arial" w:eastAsia="Arial" w:hAnsi="Arial"/>
          <w:sz w:val="13"/>
          <w:szCs w:val="13"/>
          <w:color w:val="auto"/>
        </w:rPr>
        <w:t>Treasury share issuances Investment in noncontrolling interest Balance at September 30,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2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 in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6"/>
              </w:rPr>
              <w:t>Treasury Shares</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6"/>
              </w:rPr>
              <w:t>Excess of Stated</w:t>
            </w:r>
          </w:p>
        </w:tc>
        <w:tc>
          <w:tcPr>
            <w:tcW w:w="160" w:type="dxa"/>
            <w:vAlign w:val="bottom"/>
          </w:tcPr>
          <w:p>
            <w:pPr>
              <w:spacing w:after="0"/>
              <w:rPr>
                <w:sz w:val="2"/>
                <w:szCs w:val="2"/>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Income (loss)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45"/>
        </w:trPr>
        <w:tc>
          <w:tcPr>
            <w:tcW w:w="58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426.8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599.2</w:t>
            </w: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(388.5)</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559.8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76"/>
        </w:trPr>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4"/>
        </w:trPr>
        <w:tc>
          <w:tcPr>
            <w:tcW w:w="58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630.2</w:t>
            </w: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601.9</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161.1</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4"/>
        </w:trPr>
        <w:tc>
          <w:tcPr>
            <w:tcW w:w="58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397.2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703.4</w:t>
            </w: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710.5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710.5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(233.0)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(233.0)</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(120.0)</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76"/>
        </w:trPr>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636.9</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Pr>
          <w:p>
            <w:pPr>
              <w:spacing w:after="0"/>
              <w:rPr>
                <w:sz w:val="20"/>
                <w:szCs w:val="20"/>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553.7</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567.2</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-4133215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-3789680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-3446780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-3103880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-2760980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-2417445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-2074545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-1731645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-1388745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-1045845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-702310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-359410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9" w:lineRule="exact"/>
        <w:rPr>
          <w:sz w:val="20"/>
          <w:szCs w:val="20"/>
          <w:color w:val="auto"/>
        </w:rPr>
      </w:pPr>
    </w:p>
    <w:p>
      <w:pPr>
        <w:jc w:val="center"/>
        <w:ind w:right="2640"/>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58</w:t>
      </w:r>
    </w:p>
    <w:p>
      <w:pPr>
        <w:sectPr>
          <w:pgSz w:w="11900" w:h="16838" w:orient="portrait"/>
          <w:cols w:equalWidth="0" w:num="2">
            <w:col w:w="2300" w:space="340"/>
            <w:col w:w="878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0"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7"/>
          <w:szCs w:val="17"/>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which provides residential and commercial lawn care, tree and shrub care and pest control services in the United States.</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March 2014, the Company completed the sale of its U.S. and Canadian wild bird food business. As a result of the sale, effective in the Company’s second quarter of fiscal 2014, the Company classified its results of operations for all periods presented to reflect the wild bird food business as a discontinued operation. In the fourth quarter of fiscal 2012, the Company completed the wind down of the Company's professional seed business ("Pro Seed"). As a result, effective in its fourth quarter of fiscal 2012, the Company classified Pro Seed as a discontinued operation.</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fiscal 2012, the Company incurred product registration and recall costs of $8.2 million. Fiscal 2012 costs include reserves that were established in connection with the previously disclosed U.S. Environmental Protection Agency (the “U.S. EPA”) and U.S. Department of Justice (the “U.S. DOJ”) investigations into pesticide product registration issues, which, as previously disclosed in the Company's Annual Report on Form 10-K for the fiscal year ended September 30, 2012, were settled in the fourth quarter of fiscal year 2012. The Company does not expect to incur any additional costs related to these investigations.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Due to the nature of the consumer lawn and garden business, the majority of sales to customers occur in the Company’s second and third fiscal quarters.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 combined basis, net sales for the second and third quarters of the last three fiscal years represented in excess of 75% of annual net sales.</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9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owns controlling interest, is consolidated with the equity owned by other shareholders shown as noncontrolling interest in the consolidated balance sheets, and the other shareholders' portion of net earnings and other comprehensive income is shown as net earnings or comprehensive income attributable to noncontrolling interest in the consolidated statements of earnings and consolidated statements of comprehensive income, respectively.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retail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127"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between the Company and Monsanto Company (“Monsanto”), the Company, in its role as exclusive agent, performs certain functions, primarily manufacturing conversion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by the Company on behalf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are recovered from Monsanto through the terms of the Marketing Agreement. The reimbursement of costs for which the Company is considered the primary obligor is included in net sales.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Promotional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The costs deferred at September 30, 2014 were $1.9 million. There were no costs deferred at September 30, 2013.</w:t>
      </w:r>
    </w:p>
    <w:p>
      <w:pPr>
        <w:spacing w:after="0" w:line="13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6"/>
          <w:szCs w:val="16"/>
          <w:color w:val="auto"/>
        </w:rPr>
        <w:t>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promotes its service offerings through direct mail and direct selling campaigns. External costs associated with these campaigns that qualify as direct response advertising costs are deferred and recognized as advertising expense in proportion to revenues over a period not beyond the end of the immediately following calendar year. Costs that do not qualify as direct response advertising costs are expensed within the fiscal year incurred on a monthly basis in proportion to net sales. The costs deferred at September 30, 2014 were $1.3 million. There were no costs deferred at September 30, 2013.</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expenses were $143.6 million in fiscal 2014, $142.2 million in fiscal 2013 and $168.9 million in fiscal 2012.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All costs associated with research and development are charged to expense as incurred. Expenses for fiscal 2014, fiscal 2013 and fiscal 2012 were $48.4 million, $46.4 million and $50.1 million, respectively, including product registration costs of $12.6 million, $12.4 million and $14.0 million, respectively.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awards is expensed over the requisite service period which is typically the vesting period, generally three years, except in cases where employees are eligible for accelerated vesting based on having 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 classifies share-based compensation expense within selling, general and administrative expenses to correspond with the same line item as cash compensation paid to employees.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stock appreciation rights, performance shares, restricted stock and restricted stock unit awards) outstanding each period.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Inventories are stated at the lower of cost or market, principally determined by the first in, first out method of accounting.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Adjustments to reflect inventories at net realizable values were $18.4 million and $19.7 million at September 30, 2014 and 2013,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$0.4 million, $0.8 million and $0.9 million during fiscal 2014, fiscal 2013 and fiscal 2012,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 years</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8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–40 years</w:t>
            </w:r>
          </w:p>
        </w:tc>
      </w:tr>
      <w:tr>
        <w:trPr>
          <w:trHeight w:val="27"/>
        </w:trPr>
        <w:tc>
          <w:tcPr>
            <w:tcW w:w="62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 years</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80" w:type="dxa"/>
            <w:vAlign w:val="bottom"/>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–10 years</w:t>
            </w:r>
          </w:p>
        </w:tc>
      </w:tr>
      <w:tr>
        <w:trPr>
          <w:trHeight w:val="27"/>
        </w:trPr>
        <w:tc>
          <w:tcPr>
            <w:tcW w:w="620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r>
      <w:tr>
        <w:trPr>
          <w:trHeight w:val="243"/>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 8 years</w:t>
            </w:r>
          </w:p>
        </w:tc>
      </w:tr>
      <w:tr>
        <w:trPr>
          <w:trHeight w:val="27"/>
        </w:trPr>
        <w:tc>
          <w:tcPr>
            <w:tcW w:w="620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Intangible assets subject to amortization include technology, such as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 and classified as “Impairment, restructuring and other charges” within “Operating expenses” in the Consolidated Statements of Operations.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$7.0 million, $7.3 million and $17.3 million during fiscal 2014, fiscal 2013 and fiscal 2013, respectively, representing unpaid liabilities incurred during each fiscal year to acquire property, plant and equipment.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2014 and September 30, 2013, the Company had $21.8 million and $17.5 million, respectively, in unamortized capitalized internal use computer software costs. Amortization of these costs was $8.3 million, $7.3 million and $8.0 million during fiscal 2014, fiscal 2013 and fiscal 2012,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of the reporting units. For the quantitative test, the Company assesses goodwill for impairment by comparing the carrying value of its reporting units to their respective fair values and reviewing the Company’s market value of invested capital. A reporting unit is defined as an operating segment or one level below an operating segment. The Company has identified six reporting units. The Company determines the fair value of its reporting units under the income-based approach utilizing discounted cash flows and incorporates assumptions it believes marketplace participants would utilize. The Company also uses a comparative market-based approach using market multiples and other factors to corroborate the discounted cash flow results used.</w:t>
      </w:r>
    </w:p>
    <w:p>
      <w:pPr>
        <w:spacing w:after="0" w:line="3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With respect to indefinite-lived intangible assets, the Company performs either a qualitative or quantitative evaluation for each of its indefinite-lived intangible assets. Factors considered in the qualitative test include indefinite-lived intangible asset specific operating results as well as new events and circumstances impacting the cash flows of the indefinite-lived intangible assets. For the quantitative test, the value of all indefinite-lived tradenames was determined using a royalty savings methodology similar to that employed when the associated businesses were acquired but using updated estimates of sales, cash flow and profitability. If it is determined that an impairment has occurred, an impairment loss is recognized for the amount by which the carrying value of the asset exceeds its estimated fair value and classified as “Impairment, restructuring and other charges” within “Operating expenses” in the Consolidated Statements of Operations.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functional currency for each Scotts Miracle-Gro subsidiary is generally its local currency. Assets and liabilities of these subsidiaries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expense, net” in the Consolidated Statements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These financial instruments are recognized at fair value on the Consolidated Balance Sheets, and all changes in fair value are recognized in net income or shareholders’ equity through 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No. 2014-09, Revenue from Contracts with Customers.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provisions are effective for the Company's financial statements for the fiscal year beginning October 1, 2017. The standard allows for either a full retrospective or a modified retrospective transition method. The Company is currently evaluating the impact of this standard on its consolidated results of operations, financial position and cash flows.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Balance Sheet Offsetting</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2011, the FASB issued an amendment to accounting guidance on the presentation of offsetting of derivatives, and financial assets and liabilities. The amended guidance requires quantitative disclosures regarding the gross amounts and their location within the consolidated balance sheets. The provisions were effective for the Company's financial statements for the fiscal year beginning October 1, 2013. The adoption of the amended guidance did not have a significant impact on the Company's financial statements and related disclosures.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Discontinued Operations Reporting</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apply to new disposals and new classifications of disposal groups as held for sale after the effective date. The adoption of the amended guidance impacts presentation and disclosure and will not have a significant impact on the Company's consolidated financial position, results of operations or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 Bird Food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March 2014, the Company completed the sale of its U.S. and Canadian wild bird food business, including intangible assets, certain on-hand inventory and fixed assets, for $4.1 million in cash and an estimated $1.0 million in future earn-out payments. As a result, effective in the second quarter of fiscal 2014, the Company classified its results of operations for all periods presented to reflect the wild bird food business as a discontinued operation. In addition, in the third quarter of fiscal 2014, the Company received $3.1 million for the sale of the remaining wild bird food manufacturing facilities resulting in a gain of $1.2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Seed</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the fourth quarter of fiscal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 In fiscal 2013, the Company recorded a $0.1 million loss related to the wind-down of the professional seed business. The Company recorded restructuring and other charges of $0.1 million and $3.4 million in fiscal 2013 and fiscal 2012, respectively, related to termination benefits provided to employees and other restructuring charges. The Company also recorded a $0.5 million impairment charge related to the investment in Turf-Seed (Europe) Limited in fiscal 2012.</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wild bird food and Pro Seed businesses as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85.9</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sale of assets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10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IMPAIRMENT, RESTRUCTURING AND OTHER</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described herein is classified within the “Impairment, restructuring and other” lines in the Consolidated Statements of Operations.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impairment, restructuring and other charges during fiscal 2014, fiscal 2013 and fiscal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2"/>
                <w:szCs w:val="22"/>
                <w:color w:val="auto"/>
              </w:rPr>
            </w:pPr>
          </w:p>
        </w:tc>
        <w:tc>
          <w:tcPr>
            <w:tcW w:w="3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w:t>
            </w:r>
          </w:p>
        </w:tc>
        <w:tc>
          <w:tcPr>
            <w:tcW w:w="33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Property, plant and equipment impairments</w:t>
            </w:r>
          </w:p>
        </w:tc>
        <w:tc>
          <w:tcPr>
            <w:tcW w:w="2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 impairments</w:t>
            </w:r>
          </w:p>
        </w:tc>
        <w:tc>
          <w:tcPr>
            <w:tcW w:w="2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w:t>
            </w:r>
          </w:p>
        </w:tc>
        <w:tc>
          <w:tcPr>
            <w:tcW w:w="236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60" w:type="dxa"/>
            <w:vAlign w:val="bottom"/>
            <w:vMerge w:val="restart"/>
          </w:tcPr>
          <w:p>
            <w:pPr>
              <w:jc w:val="right"/>
              <w:ind w:right="856"/>
              <w:spacing w:after="0"/>
              <w:rPr>
                <w:sz w:val="20"/>
                <w:szCs w:val="20"/>
                <w:color w:val="auto"/>
              </w:rPr>
            </w:pPr>
            <w:r>
              <w:rPr>
                <w:rFonts w:ascii="Arial" w:cs="Arial" w:eastAsia="Arial" w:hAnsi="Arial"/>
                <w:sz w:val="18"/>
                <w:szCs w:val="18"/>
                <w:color w:val="auto"/>
              </w:rPr>
              <w:t>64</w:t>
            </w: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6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3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the restructuring and other charges during fiscal 2014, fiscal 2013 and fiscal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in discontinued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restructuring reserves as of September 30, 2014, is $2.8 million that is classified as long-term. Payments against the long-term reserves will be incurred as the employees covered by the restructuring plan retire. The remaining amounts reserved will be paid out over the course of the next twelve months.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144" w:lineRule="exact"/>
        <w:rPr>
          <w:sz w:val="20"/>
          <w:szCs w:val="20"/>
          <w:color w:val="auto"/>
        </w:rPr>
      </w:pPr>
    </w:p>
    <w:p>
      <w:pPr>
        <w:jc w:val="both"/>
        <w:ind w:firstLine="405"/>
        <w:spacing w:after="0" w:line="233" w:lineRule="auto"/>
        <w:rPr>
          <w:sz w:val="20"/>
          <w:szCs w:val="20"/>
          <w:color w:val="auto"/>
        </w:rPr>
      </w:pPr>
      <w:r>
        <w:rPr>
          <w:rFonts w:ascii="Arial" w:cs="Arial" w:eastAsia="Arial" w:hAnsi="Arial"/>
          <w:sz w:val="18"/>
          <w:szCs w:val="18"/>
          <w:color w:val="auto"/>
        </w:rPr>
        <w:t>During the third quarter of fiscal 2014, as a result of financial performance, the Company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2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fiscal 2014, the Company recognized $12.5 million in restructuring costs related to termination benefits provided to U.S. personnel as part of the Company's restructuring of its U.S. administrative and overhead functions. The Company also recognized $2.8 million of international restructuring and other adjustments during fiscal 2014 for the continuation of the 2013 international restructuring plan. In addition, during fiscal 2014, the Company recognized $2.0 million in additional ongoing monitoring and remediation costs for the Company's turfgrass biotechnology program.</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w:t>
      </w:r>
    </w:p>
    <w:p>
      <w:pPr>
        <w:spacing w:after="0" w:line="144"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During the first quarter of fiscal 2013, the Company recognized income of $4.7 million related to the reimbursement by a vendor for a portion of the costs incurred for the development and commercialization of products including the active ingredient MAT 28 for the Global Consumer segment. During the first quarter of 2013, the Company also recognized a $4.3 million asset impairment charge as a result of issues with the commercialization of an insect repellent technology for the Global Consumer segment. Also, as a result of the Company's annual impairment review performed in the fourth quarter of fiscal 2013, the Company recognized an impairment charge for a non-recurring fair value adjustment of $11.6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certain sub-brands of Ortho</w:t>
      </w:r>
      <w:r>
        <w:rPr>
          <w:rFonts w:ascii="Arial" w:cs="Arial" w:eastAsia="Arial" w:hAnsi="Arial"/>
          <w:sz w:val="25"/>
          <w:szCs w:val="25"/>
          <w:color w:val="auto"/>
          <w:vertAlign w:val="superscript"/>
        </w:rPr>
        <w:t>®</w:t>
      </w:r>
      <w:r>
        <w:rPr>
          <w:rFonts w:ascii="Arial" w:cs="Arial" w:eastAsia="Arial" w:hAnsi="Arial"/>
          <w:sz w:val="18"/>
          <w:szCs w:val="18"/>
          <w:color w:val="auto"/>
        </w:rPr>
        <w:t>.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2013, the Company recognized $9.1 million in restructuring costs related to termination benefits provided to international employees in relation to the profitability improvement initiative announced in December 2012, associated with the international restructuring plan to reduce headcount and streamline management decision making within the Global Consumer segment.</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2012</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2012, in continuation of the 2011 restructuring plan, the Company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fiscal year ended September 30, 2012, the Company recognized a $5.3 million asset impairment charge as a result of issues with respect to the commercialization of products including the active ingredient MAT 28 for the Global Consumer segment.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 as well as Corporate &amp; Other: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Global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Scotts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Corporate &amp;</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auto"/>
                <w:w w:val="92"/>
              </w:rPr>
              <w:t>Consumer</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LawnService</w:t>
            </w:r>
            <w:r>
              <w:rPr>
                <w:rFonts w:ascii="Arial" w:cs="Arial" w:eastAsia="Arial" w:hAnsi="Arial"/>
                <w:sz w:val="12"/>
                <w:szCs w:val="12"/>
                <w:b w:val="1"/>
                <w:bCs w:val="1"/>
                <w:color w:val="auto"/>
                <w:w w:val="93"/>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5"/>
          </w:tcPr>
          <w:p>
            <w:pPr>
              <w:jc w:val="right"/>
              <w:ind w:right="417"/>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24.6</w:t>
            </w: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Accumulated impairment losses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Balance at September 30, 2012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Acquisitions, net of purchase price adjustments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9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245.9</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75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b w:val="1"/>
                <w:bCs w:val="1"/>
                <w:color w:val="auto"/>
              </w:rPr>
              <w:t>Balance at September 30, 2013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132.0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net of purchase price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Accumulated impairment losses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Balance at September 30, 2014</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w w:val="93"/>
              </w:rPr>
              <w:t>The following table presents intangible assets, net:</w:t>
            </w: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9"/>
              </w:rPr>
              <w:t>September 30, 2014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7"/>
              </w:rPr>
              <w:t>September 30, 2013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68"/>
              <w:spacing w:after="0" w:line="153" w:lineRule="exact"/>
              <w:rPr>
                <w:sz w:val="20"/>
                <w:szCs w:val="20"/>
                <w:color w:val="auto"/>
              </w:rPr>
            </w:pPr>
            <w:r>
              <w:rPr>
                <w:rFonts w:ascii="Arial" w:cs="Arial" w:eastAsia="Arial" w:hAnsi="Arial"/>
                <w:sz w:val="14"/>
                <w:szCs w:val="14"/>
                <w:b w:val="1"/>
                <w:bCs w:val="1"/>
                <w:color w:val="auto"/>
                <w:w w:val="88"/>
              </w:rPr>
              <w:t>Gross</w:t>
            </w:r>
          </w:p>
        </w:tc>
        <w:tc>
          <w:tcPr>
            <w:tcW w:w="142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88"/>
              </w:rPr>
              <w:t>Gross</w:t>
            </w:r>
          </w:p>
        </w:tc>
        <w:tc>
          <w:tcPr>
            <w:tcW w:w="13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tcPr>
          <w:p>
            <w:pPr>
              <w:jc w:val="center"/>
              <w:ind w:right="53"/>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Carrying</w:t>
            </w:r>
          </w:p>
        </w:tc>
        <w:tc>
          <w:tcPr>
            <w:tcW w:w="1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Carrying</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4"/>
              </w:rPr>
              <w:t>Amount</w:t>
            </w:r>
          </w:p>
        </w:tc>
        <w:tc>
          <w:tcPr>
            <w:tcW w:w="14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13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5"/>
          </w:tcPr>
          <w:p>
            <w:pPr>
              <w:jc w:val="right"/>
              <w:ind w:right="717"/>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820" w:type="dxa"/>
            <w:vAlign w:val="bottom"/>
          </w:tcPr>
          <w:p>
            <w:pPr>
              <w:jc w:val="center"/>
              <w:ind w:right="254"/>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(56.0)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61.8</w:t>
            </w:r>
          </w:p>
        </w:tc>
        <w:tc>
          <w:tcPr>
            <w:tcW w:w="74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(53.8)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accounts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81.2</w:t>
            </w: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(65.0)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820" w:type="dxa"/>
            <w:vAlign w:val="bottom"/>
          </w:tcPr>
          <w:p>
            <w:pPr>
              <w:spacing w:after="0"/>
              <w:rPr>
                <w:sz w:val="21"/>
                <w:szCs w:val="2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(12.7)</w:t>
            </w: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47.0</w:t>
            </w:r>
          </w:p>
        </w:tc>
        <w:tc>
          <w:tcPr>
            <w:tcW w:w="7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(24.8)</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(81.4)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103.9</w:t>
            </w:r>
          </w:p>
        </w:tc>
        <w:tc>
          <w:tcPr>
            <w:tcW w:w="7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(88.2)</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Total finite-lived intangible assets, net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tradenames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187.3</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17145</wp:posOffset>
            </wp:positionV>
            <wp:extent cx="7200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17145</wp:posOffset>
            </wp:positionV>
            <wp:extent cx="720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-130175</wp:posOffset>
            </wp:positionV>
            <wp:extent cx="720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-130175</wp:posOffset>
            </wp:positionV>
            <wp:extent cx="7200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70" w:lineRule="exact"/>
        <w:rPr>
          <w:sz w:val="20"/>
          <w:szCs w:val="20"/>
          <w:color w:val="auto"/>
        </w:rPr>
      </w:pPr>
    </w:p>
    <w:p>
      <w:pPr>
        <w:jc w:val="both"/>
        <w:ind w:firstLine="405"/>
        <w:spacing w:after="0" w:line="234" w:lineRule="auto"/>
        <w:rPr>
          <w:sz w:val="20"/>
          <w:szCs w:val="20"/>
          <w:color w:val="auto"/>
        </w:rPr>
      </w:pPr>
      <w:r>
        <w:rPr>
          <w:rFonts w:ascii="Arial" w:cs="Arial" w:eastAsia="Arial" w:hAnsi="Arial"/>
          <w:sz w:val="17"/>
          <w:szCs w:val="17"/>
          <w:color w:val="auto"/>
        </w:rPr>
        <w:t>During the third quarter of 2014, the Company completed an impairment review and recognized an impairment charge for a non-recurring fair value adjustment of $33.7 million, within the Global Consumer segment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 fair value was calculated based upon the evaluation of the historical performance and future growth expectations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business.The impact of the fair value adjustment was to reduce the carrying value of the indefinite-lived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from $126.0 million to $92.3 million. The impairment charge is discussed further in “NOTE 3. IMPAIRMENT, RESTRUCTURING AND OTHER CHARGES.” As a result of the annual impairment review, the Company also determined that no other charges for impairment of goodwill or intangible assets were required. The estimated fair value of each reporting unit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2013, the Company recognized a $4.3 million asset impairment charge as a result of issues with the commercialization of an insect repellent technology for the Global Consumer segment. During the fourth quarter of fiscal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2013, the Company completed its annual impairment review and recognized an impairment charge for a non-recurring fair value adjustment of $11.6 million, which included $11.1 million for indefinite-lived tradenames and $0.5 million for finite-lived tradenames,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certain sub-brands of Ortho</w:t>
      </w:r>
      <w:r>
        <w:rPr>
          <w:rFonts w:ascii="Arial" w:cs="Arial" w:eastAsia="Arial" w:hAnsi="Arial"/>
          <w:sz w:val="25"/>
          <w:szCs w:val="25"/>
          <w:color w:val="auto"/>
          <w:vertAlign w:val="superscript"/>
        </w:rPr>
        <w:t>®</w:t>
      </w:r>
      <w:r>
        <w:rPr>
          <w:rFonts w:ascii="Arial" w:cs="Arial" w:eastAsia="Arial" w:hAnsi="Arial"/>
          <w:sz w:val="18"/>
          <w:szCs w:val="18"/>
          <w:color w:val="auto"/>
        </w:rPr>
        <w:t>. The impact of the fair value adjustment was to reduce the carrying value of the indefinite-lived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sub-brands from $137.1 million to $126.0 million. The impairment charge is discussed further in “NOTE 3. IMPAIRMENT, RESTRUCTURING AND OTHER CHARGES.” As a result of the annual impairment review, the Company also determined that no other charges for impairment of goodwill or intangible assets were required. The estimated fair value of each reporting unit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2012</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recognized a $3.2 million impairment charge related to an intangible asset associated with the active ingredient MAT 28. The impairment charge is discussed further in “NOTE 3. IMPAIRMENT, RESTRUCTURING AND OTHER CHARGES.”</w:t>
      </w:r>
    </w:p>
    <w:p>
      <w:pPr>
        <w:spacing w:after="0" w:line="35"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7"/>
          <w:szCs w:val="17"/>
          <w:color w:val="auto"/>
        </w:rPr>
        <w:t>During the fourth quarter of fiscal 2012, the Company completed its annual impairment analysis and determined that no additional charges for impairment of goodwill or intangible assets were required. The estimated fair value of each reporting unit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of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Fertiligene</w:t>
      </w:r>
      <w:r>
        <w:rPr>
          <w:rFonts w:ascii="Arial" w:cs="Arial" w:eastAsia="Arial" w:hAnsi="Arial"/>
          <w:sz w:val="24"/>
          <w:szCs w:val="24"/>
          <w:color w:val="auto"/>
          <w:vertAlign w:val="superscript"/>
        </w:rPr>
        <w:t>®</w:t>
      </w:r>
      <w:r>
        <w:rPr>
          <w:rFonts w:ascii="Arial" w:cs="Arial" w:eastAsia="Arial" w:hAnsi="Arial"/>
          <w:sz w:val="17"/>
          <w:szCs w:val="17"/>
          <w:color w:val="auto"/>
        </w:rPr>
        <w:t>. The carrying value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Fertiligene</w:t>
      </w:r>
      <w:r>
        <w:rPr>
          <w:rFonts w:ascii="Arial" w:cs="Arial" w:eastAsia="Arial" w:hAnsi="Arial"/>
          <w:sz w:val="24"/>
          <w:szCs w:val="24"/>
          <w:color w:val="auto"/>
          <w:vertAlign w:val="superscript"/>
        </w:rPr>
        <w:t>®</w:t>
      </w:r>
      <w:r>
        <w:rPr>
          <w:rFonts w:ascii="Arial" w:cs="Arial" w:eastAsia="Arial" w:hAnsi="Arial"/>
          <w:sz w:val="17"/>
          <w:szCs w:val="17"/>
          <w:color w:val="auto"/>
        </w:rPr>
        <w:t>) at September 30, 2012 were $137.1 million and $17.7 million, respectively. The excess fair value over the carrying value of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French tradenames was 7.4% and 14.1%, respectively.</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amortization expense for the years ended September 30, 2014, 2013, and 2012 was $13.8 million, $11.2 million and $10.9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ending September 30 (in millions):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980" w:type="dxa"/>
            <w:vAlign w:val="bottom"/>
            <w:shd w:val="clear" w:color="auto" w:fill="CCEEFF"/>
          </w:tcPr>
          <w:p>
            <w:pPr>
              <w:jc w:val="right"/>
              <w:ind w:right="4510"/>
              <w:spacing w:after="0"/>
              <w:rPr>
                <w:sz w:val="20"/>
                <w:szCs w:val="20"/>
                <w:color w:val="auto"/>
              </w:rPr>
            </w:pPr>
            <w:r>
              <w:rPr>
                <w:rFonts w:ascii="Arial" w:cs="Arial" w:eastAsia="Arial" w:hAnsi="Arial"/>
                <w:sz w:val="18"/>
                <w:szCs w:val="18"/>
                <w:color w:val="auto"/>
                <w:w w:val="89"/>
              </w:rPr>
              <w:t>2015</w:t>
            </w:r>
          </w:p>
        </w:tc>
        <w:tc>
          <w:tcPr>
            <w:tcW w:w="5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4980" w:type="dxa"/>
            <w:vAlign w:val="bottom"/>
          </w:tcPr>
          <w:p>
            <w:pPr>
              <w:jc w:val="right"/>
              <w:ind w:right="4510"/>
              <w:spacing w:after="0"/>
              <w:rPr>
                <w:sz w:val="20"/>
                <w:szCs w:val="20"/>
                <w:color w:val="auto"/>
              </w:rPr>
            </w:pPr>
            <w:r>
              <w:rPr>
                <w:rFonts w:ascii="Arial" w:cs="Arial" w:eastAsia="Arial" w:hAnsi="Arial"/>
                <w:sz w:val="18"/>
                <w:szCs w:val="18"/>
                <w:color w:val="auto"/>
                <w:w w:val="89"/>
              </w:rPr>
              <w:t>2016</w:t>
            </w:r>
          </w:p>
        </w:tc>
        <w:tc>
          <w:tcPr>
            <w:tcW w:w="5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49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jc w:val="right"/>
              <w:ind w:right="4510"/>
              <w:spacing w:after="0"/>
              <w:rPr>
                <w:sz w:val="20"/>
                <w:szCs w:val="20"/>
                <w:color w:val="auto"/>
              </w:rPr>
            </w:pPr>
            <w:r>
              <w:rPr>
                <w:rFonts w:ascii="Arial" w:cs="Arial" w:eastAsia="Arial" w:hAnsi="Arial"/>
                <w:sz w:val="18"/>
                <w:szCs w:val="18"/>
                <w:color w:val="auto"/>
                <w:w w:val="89"/>
              </w:rPr>
              <w:t>2017</w:t>
            </w:r>
          </w:p>
        </w:tc>
        <w:tc>
          <w:tcPr>
            <w:tcW w:w="5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4980" w:type="dxa"/>
            <w:vAlign w:val="bottom"/>
          </w:tcPr>
          <w:p>
            <w:pPr>
              <w:jc w:val="right"/>
              <w:ind w:right="4510"/>
              <w:spacing w:after="0"/>
              <w:rPr>
                <w:sz w:val="20"/>
                <w:szCs w:val="20"/>
                <w:color w:val="auto"/>
              </w:rPr>
            </w:pPr>
            <w:r>
              <w:rPr>
                <w:rFonts w:ascii="Arial" w:cs="Arial" w:eastAsia="Arial" w:hAnsi="Arial"/>
                <w:sz w:val="18"/>
                <w:szCs w:val="18"/>
                <w:color w:val="auto"/>
                <w:w w:val="89"/>
              </w:rPr>
              <w:t>2018</w:t>
            </w:r>
          </w:p>
        </w:tc>
        <w:tc>
          <w:tcPr>
            <w:tcW w:w="5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49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980" w:type="dxa"/>
            <w:vAlign w:val="bottom"/>
            <w:shd w:val="clear" w:color="auto" w:fill="CCEEFF"/>
          </w:tcPr>
          <w:p>
            <w:pPr>
              <w:jc w:val="right"/>
              <w:ind w:right="4510"/>
              <w:spacing w:after="0"/>
              <w:rPr>
                <w:sz w:val="20"/>
                <w:szCs w:val="20"/>
                <w:color w:val="auto"/>
              </w:rPr>
            </w:pPr>
            <w:r>
              <w:rPr>
                <w:rFonts w:ascii="Arial" w:cs="Arial" w:eastAsia="Arial" w:hAnsi="Arial"/>
                <w:sz w:val="18"/>
                <w:szCs w:val="18"/>
                <w:color w:val="auto"/>
                <w:w w:val="89"/>
              </w:rPr>
              <w:t>2019</w:t>
            </w:r>
          </w:p>
        </w:tc>
        <w:tc>
          <w:tcPr>
            <w:tcW w:w="5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49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DETAIL OF CERTAIN FINANCIAL STATEMENT ACCOUNTS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detail of certain financial statement accounts: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45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ind w:right="7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3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450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Work-in-progress</w:t>
            </w:r>
          </w:p>
        </w:tc>
        <w:tc>
          <w:tcPr>
            <w:tcW w:w="3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3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8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PREPAID AND OTHER ASSETS:</w:t>
            </w:r>
          </w:p>
        </w:tc>
        <w:tc>
          <w:tcPr>
            <w:tcW w:w="3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w:t>
            </w:r>
          </w:p>
        </w:tc>
        <w:tc>
          <w:tcPr>
            <w:tcW w:w="4500" w:type="dxa"/>
            <w:vAlign w:val="bottom"/>
            <w:tcBorders>
              <w:bottom w:val="single" w:sz="8" w:color="CCEEFF"/>
            </w:tcBorders>
            <w:gridSpan w:val="2"/>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Accounts receivable, non-trade</w:t>
            </w:r>
          </w:p>
        </w:tc>
        <w:tc>
          <w:tcPr>
            <w:tcW w:w="3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6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40" w:type="dxa"/>
            <w:vAlign w:val="bottom"/>
            <w:vMerge w:val="restart"/>
          </w:tcPr>
          <w:p>
            <w:pPr>
              <w:jc w:val="right"/>
              <w:ind w:right="1434"/>
              <w:spacing w:after="0"/>
              <w:rPr>
                <w:sz w:val="20"/>
                <w:szCs w:val="20"/>
                <w:color w:val="auto"/>
              </w:rPr>
            </w:pPr>
            <w:r>
              <w:rPr>
                <w:rFonts w:ascii="Arial" w:cs="Arial" w:eastAsia="Arial" w:hAnsi="Arial"/>
                <w:sz w:val="18"/>
                <w:szCs w:val="18"/>
                <w:color w:val="auto"/>
              </w:rPr>
              <w:t>67</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140" w:type="dxa"/>
            <w:vAlign w:val="bottom"/>
            <w:vMerge w:val="continue"/>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Land and improvements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Furniture and fixtures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Aircraft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1,034.2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Payroll and other compensation accruals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Advertising and promotional accruals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pension and postretirement liabilities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Unrecognized loss on derivatives, net of tax of $4.3, $7.1 and $10.6</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liabilities, net of tax of $38.6, $31.4 and $36.1</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9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7"/>
          <w:szCs w:val="17"/>
          <w:color w:val="auto"/>
        </w:rPr>
        <w:t>The Company is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by the Marketing Agreement and is based on the achievement of two earnings thresholds, as defined in the Marketing Agreement. The Marketing Agreement also requires the Company to make</w:t>
      </w:r>
    </w:p>
    <w:p>
      <w:pPr>
        <w:sectPr>
          <w:pgSz w:w="11900" w:h="16838" w:orient="portrait"/>
          <w:cols w:equalWidth="0" w:num="1">
            <w:col w:w="11420"/>
          </w:cols>
          <w:pgMar w:left="240" w:top="122"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annual payments to Monsanto as a contribution against the overall expenses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annual contribution payment is defined in the Marketing Agreement as $20 million.</w:t>
      </w:r>
    </w:p>
    <w:p>
      <w:pPr>
        <w:spacing w:after="0" w:line="1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four years as of September 30, 2014.</w:t>
      </w:r>
    </w:p>
    <w:p>
      <w:pPr>
        <w:spacing w:after="0" w:line="13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(in North America),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15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commission income</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127.4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140.1</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2015. Thereafter, the Marketing Agreement provides that the parties may agree to renew the EU term for an additional three years.</w:t>
      </w:r>
    </w:p>
    <w:p>
      <w:pPr>
        <w:spacing w:after="0" w:line="93"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absent termination for cause.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w:t>
      </w:r>
    </w:p>
    <w:p>
      <w:pPr>
        <w:spacing w:after="0" w:line="1" w:lineRule="exact"/>
        <w:rPr>
          <w:sz w:val="20"/>
          <w:szCs w:val="20"/>
          <w:color w:val="auto"/>
        </w:rPr>
      </w:pPr>
    </w:p>
    <w:p>
      <w:pPr>
        <w:jc w:val="both"/>
        <w:ind w:firstLine="8"/>
        <w:spacing w:after="0" w:line="255" w:lineRule="auto"/>
        <w:tabs>
          <w:tab w:leader="none" w:pos="2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36"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7"/>
          <w:szCs w:val="17"/>
          <w:color w:val="auto"/>
        </w:rPr>
        <w:t>Under the Marketing Agreement, Monsanto must provide the Company with notice of any proposed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another party, the Company must let Monsanto know whether the Company intends to terminate the Marketing Agreement and forfeit any right to a termination fee. For additional details regarding the Marketing Agreement, see “ITEM 1A. RISK FACTORS - If Monsanto were to terminate the Marketing Agreement for consumer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we would lose a substantial source of future earnings and overhead expense absorption” of this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90"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7"/>
          <w:szCs w:val="17"/>
          <w:color w:val="auto"/>
        </w:rPr>
        <w:t>During the first quarter of fiscal 2014, in an effort to expand the rodenticide product offerings, the Company completed the $60.0 million all-cash acquisition of the assets of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rodent control business from Bell Laboratories, Inc. located in Madison, Wisconsin.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products are sold at home centers, mass retailers, and grocery, drug and general merchandise stores across the United States, Canada, Europe and Australia. During the second quarter of fiscal 2014, the valuation of the acquired assets was updated based on actual results, which resulted in the reallocation of approximately $1.7 million to finite-lived intangibles from goodwill. The revised valuation of the acquired assets included finite-lived identifiable intangible assets of $39.8 million, and tax deductible goodwill of $18.2 million. Also, the Company received a $2.0 million credit toward the purchase of finished goods in the months subsequent to acquisition date. Identifiable intangible assets included tradename, technology, customer relationships, product registrations and non-compete agreements with useful lives ranging between 10 to 30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Net sales for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rodent control business included within the Global Consumer segment for fiscal 2014 were $33.6 million.</w:t>
      </w:r>
    </w:p>
    <w:p>
      <w:pPr>
        <w:spacing w:after="0" w:line="6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During the fourth quarter of fiscal 2014, the Company obtained control of the operations of AeroGrow International, Inc (“AeroGrow”) through its increased involvement, influence, and working capital loan of $4.5 million provided in July of 2014. AeroGrow is a developer, marketer, direct-seller, and wholesaler of advanced indoor garden systems designed for consumer use in gardening, cooking, healthy eating, and home and office décor markets. AeroGrow operates primarily in the United States and Canada, as well as select countries in Europe, Asia and Australia. The preliminary valuation of acquired assets included finite-lived identifiable intangible assets of $13.7 million, and goodwill of $11.6 million. Identifiable intangible assets included tradename and customer relationships with useful lives ranging between 9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Net sales for AeroGrow included in the Global Consumer segment for fiscal 2014 were $1.7 million.</w:t>
      </w:r>
    </w:p>
    <w:p>
      <w:pPr>
        <w:spacing w:after="0" w:line="6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completed an acquisition of the assets of the U.K. based Solus Garden and Leisure Limited (“Solus”) in the fourth quarter of fiscal 2014 within its Global Consumer segment for $7.4 million, $1.1 million of which was paid in cash and $6.3 million of which was paid through the forgiveness of outstanding accounts receivable owed by Solus to the Company. Solus is a supplier of garden and leisure products and offers a diverse mix of brands.</w:t>
      </w:r>
    </w:p>
    <w:p>
      <w:pPr>
        <w:spacing w:after="0" w:line="1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September 30, 2014, Scotts Miracle-Gro's wholly-owned subsidiary, Scotts Canada Ltd., acquired Fafard &amp; Brothers Ltd. (“Fafard”) for $59.8 million. In continuous operation since 1940 and based in Saint-Bonaventure, Quebec, Canada, Fafard is a producer of peat moss and growing media products for the consumer and professional markets, including peat-based and bark-based mixes, composts and premium soils. The acquisition of Fafard increases the Company's presence within Canada as Fafard serves customers primarily across Ontario, Quebec and New Brunswick. The preliminary valuation of acquired assets included working capital of $18.0 million, property, plant, and equipment of $23.7 million, finite-lived identifiable intangible assets of $13.6 million, and tax deductible goodwill of $6.0 million. Working capital included accounts receivable of $5.2 million, inventory of $17.3 million, and accounts payable of $4.5 million. Identifiable intangible assets included tradename, customer relationships, non-compete agreements, and peat harvesting rights with useful lives ranging between 5 to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Included in the purchase price of Fafard is $7.1 million of contingent consideration, the payment of which will depend on the performance of the business over the next two years.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Consolidated Financial Statements include the results of operations from these businesses from the date of each acquisition.</w:t>
      </w:r>
    </w:p>
    <w:p>
      <w:pPr>
        <w:spacing w:after="0" w:line="90"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On October 16, 2014,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entered into a definitive agreement to acquire the assets of Action Pest Control, Inc. (“Action Pest”), a residential and commercial pest control provider in the Midwest for $22.7 million. The initial purchase price accounting for the Action Pest acquisition will be determined during the first quarter of fiscal 2015.</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 and 2012</w:t>
      </w:r>
    </w:p>
    <w:p>
      <w:pPr>
        <w:spacing w:after="0" w:line="90"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During fiscal 2013 and 2012, the Company completed several acquisitions within its controls, growing media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businesses that individually and in the aggregate were not significant. The aggregate purchase price of these acquisitions was $7.2 million and $6.7 million in fiscal 2013 and fiscal 2012, respectively. The Consolidated Financial Statements include the results of operations from these business combinations from the date of each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PLANS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sponsors a defined contribution 401(k) plan for substantially all U.S. associates. The Company matches 150% of associates’ initial 4% contribution and 50% of their remaining contribution up to 6%. The Company may make additional discretionary profit sharing matching contributions to eligible employees on their initial 4% contribution. The Company recorded charges of $13.8 million, $13.1 million and $12.9 million under the plan in fiscal 2014, fiscal 2013 and fiscal 2012, respectively.</w:t>
      </w:r>
    </w:p>
    <w:p>
      <w:pPr>
        <w:spacing w:after="0" w:line="13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sponsors two defined benefit pension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 In connection with the restructuring plans discussed in “NOTE 3. IMPAIRMENT, RESTRUCTURING AND OTHER CHARGES,” the Company recognized a plan curtailment gain of $0.5 million in fiscal 2013 for a change in the benefit obligations associated with these plans.</w:t>
      </w:r>
    </w:p>
    <w:p>
      <w:pPr>
        <w:spacing w:after="0" w:line="113" w:lineRule="exact"/>
        <w:rPr>
          <w:sz w:val="20"/>
          <w:szCs w:val="20"/>
          <w:color w:val="auto"/>
        </w:rPr>
      </w:pPr>
    </w:p>
    <w:p>
      <w:pPr>
        <w:jc w:val="both"/>
        <w:ind w:right="20" w:firstLine="432"/>
        <w:spacing w:after="0" w:line="255"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Germany, France and the Netherlands. These plans generally cover all associates of the respective businesses, with retirement benefits primarily based on years of service and compensation levels. In fiscal 2013 the Company's remaining obligations were settled for the defined benefit pension plan associated with its Netherlands business. On July 1, 2010, the Company froze its two U.K. defined benefit pension plans and transferred participants to an amended defined contribution plan. Under the frozen plans, participants are no longer credited for future service; however, future salary increases will continue to be factored into each participant’s final pension benefit.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3"/>
            <w:vMerge w:val="restart"/>
          </w:tcPr>
          <w:p>
            <w:pPr>
              <w:jc w:val="right"/>
              <w:ind w:right="431"/>
              <w:spacing w:after="0"/>
              <w:rPr>
                <w:sz w:val="20"/>
                <w:szCs w:val="20"/>
                <w:color w:val="auto"/>
              </w:rPr>
            </w:pPr>
            <w:r>
              <w:rPr>
                <w:rFonts w:ascii="Arial" w:cs="Arial" w:eastAsia="Arial" w:hAnsi="Arial"/>
                <w:sz w:val="14"/>
                <w:szCs w:val="14"/>
                <w:b w:val="1"/>
                <w:bCs w:val="1"/>
                <w:color w:val="auto"/>
              </w:rPr>
              <w:t>U.S. Defined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3"/>
          </w:tcPr>
          <w:p>
            <w:pPr>
              <w:jc w:val="center"/>
              <w:ind w:left="432"/>
              <w:spacing w:after="0" w:line="149"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Benefit Pension Plans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311"/>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106.7</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118.8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 (gain)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109.2</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106.7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Accumulated benefit obligation at end of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109.2</w:t>
            </w:r>
          </w:p>
        </w:tc>
        <w:tc>
          <w:tcPr>
            <w:tcW w:w="120" w:type="dxa"/>
            <w:vAlign w:val="bottom"/>
          </w:tcPr>
          <w:p>
            <w:pPr>
              <w:spacing w:after="0"/>
              <w:rPr>
                <w:sz w:val="19"/>
                <w:szCs w:val="19"/>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106.7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Underfunded status at end of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(19.4)</w:t>
            </w:r>
          </w:p>
        </w:tc>
        <w:tc>
          <w:tcPr>
            <w:tcW w:w="120" w:type="dxa"/>
            <w:vAlign w:val="bottom"/>
          </w:tcPr>
          <w:p>
            <w:pPr>
              <w:spacing w:after="0"/>
              <w:rPr>
                <w:sz w:val="19"/>
                <w:szCs w:val="19"/>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0"/>
              </w:rPr>
              <w:t>Information for pension plans with an accumulated benefit obligation in</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excess of plan assets</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109.2</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106.7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Amounts recognized in the Consolidated Balance Sheets consist of:</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86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(19.4)</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1"/>
              </w:rPr>
              <w:t>Amounts recognized in accumulated other comprehensive loss consist</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amount recognized</w:t>
            </w:r>
          </w:p>
        </w:tc>
        <w:tc>
          <w:tcPr>
            <w:tcW w:w="86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4"/>
              </w:rPr>
              <w:t>U.S. Defined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International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Defined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8"/>
          </w:tcPr>
          <w:p>
            <w:pPr>
              <w:jc w:val="center"/>
              <w:ind w:left="652"/>
              <w:spacing w:after="0"/>
              <w:rPr>
                <w:sz w:val="20"/>
                <w:szCs w:val="20"/>
                <w:color w:val="auto"/>
              </w:rPr>
            </w:pPr>
            <w:r>
              <w:rPr>
                <w:rFonts w:ascii="Arial" w:cs="Arial" w:eastAsia="Arial" w:hAnsi="Arial"/>
                <w:sz w:val="14"/>
                <w:szCs w:val="14"/>
                <w:b w:val="1"/>
                <w:bCs w:val="1"/>
                <w:color w:val="auto"/>
                <w:w w:val="91"/>
              </w:rPr>
              <w:t>Benefit Pension Plans</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right="35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11"/>
          </w:tcPr>
          <w:p>
            <w:pPr>
              <w:jc w:val="right"/>
              <w:ind w:right="380"/>
              <w:spacing w:after="0"/>
              <w:rPr>
                <w:sz w:val="20"/>
                <w:szCs w:val="20"/>
                <w:color w:val="auto"/>
              </w:rPr>
            </w:pPr>
            <w:r>
              <w:rPr>
                <w:rFonts w:ascii="Arial" w:cs="Arial" w:eastAsia="Arial" w:hAnsi="Arial"/>
                <w:sz w:val="14"/>
                <w:szCs w:val="14"/>
                <w:b w:val="1"/>
                <w:bCs w:val="1"/>
                <w:color w:val="auto"/>
              </w:rPr>
              <w:t>(In millions, except percentage figures)</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Pension benefit (loss) gain during the period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20" w:type="dxa"/>
            <w:vAlign w:val="bottom"/>
            <w:gridSpan w:val="2"/>
          </w:tcPr>
          <w:p>
            <w:pPr>
              <w:jc w:val="right"/>
              <w:ind w:right="15"/>
              <w:spacing w:after="0"/>
              <w:rPr>
                <w:sz w:val="20"/>
                <w:szCs w:val="20"/>
                <w:color w:val="auto"/>
              </w:rPr>
            </w:pPr>
            <w:r>
              <w:rPr>
                <w:rFonts w:ascii="Arial" w:cs="Arial" w:eastAsia="Arial" w:hAnsi="Arial"/>
                <w:sz w:val="18"/>
                <w:szCs w:val="18"/>
                <w:color w:val="auto"/>
              </w:rPr>
              <w:t>(1.1)</w:t>
            </w:r>
          </w:p>
        </w:tc>
        <w:tc>
          <w:tcPr>
            <w:tcW w:w="740" w:type="dxa"/>
            <w:vAlign w:val="bottom"/>
            <w:gridSpan w:val="3"/>
          </w:tcPr>
          <w:p>
            <w:pPr>
              <w:jc w:val="right"/>
              <w:ind w:right="4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7.1</w:t>
            </w:r>
          </w:p>
        </w:tc>
        <w:tc>
          <w:tcPr>
            <w:tcW w:w="500" w:type="dxa"/>
            <w:vAlign w:val="bottom"/>
            <w:gridSpan w:val="3"/>
          </w:tcPr>
          <w:p>
            <w:pPr>
              <w:jc w:val="right"/>
              <w:ind w:right="1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89"/>
              </w:rPr>
              <w:t>(10.7)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Reclassification of pension benefit losses to net income</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Curtailment gain during the period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 change in other comprehensive loss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tcBorders>
          </w:tcPr>
          <w:p>
            <w:pPr>
              <w:jc w:val="right"/>
              <w:ind w:right="652"/>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75"/>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1"/>
              </w:rPr>
              <w:t>11.9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gridSpan w:val="4"/>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260" w:type="dxa"/>
            <w:vAlign w:val="bottom"/>
            <w:gridSpan w:val="5"/>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0"/>
              </w:rPr>
              <w:t>Amounts in accumulated other comprehensive loss expected to be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w w:val="89"/>
              </w:rPr>
              <w:t>recognized as components of net periodic benefit cost in fiscal 2015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are as follows: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20" w:type="dxa"/>
            <w:vAlign w:val="bottom"/>
            <w:gridSpan w:val="2"/>
          </w:tcPr>
          <w:p>
            <w:pPr>
              <w:jc w:val="right"/>
              <w:ind w:right="75"/>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1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8"/>
                <w:szCs w:val="18"/>
                <w:color w:val="auto"/>
                <w:w w:val="97"/>
              </w:rPr>
              <w:t>Amount to be amortized into net periodic benefit cost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tcBorders>
          </w:tcPr>
          <w:p>
            <w:pPr>
              <w:jc w:val="right"/>
              <w:ind w:right="652"/>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75"/>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000" w:type="dxa"/>
            <w:vAlign w:val="bottom"/>
            <w:tcBorders>
              <w:bottom w:val="single" w:sz="8" w:color="CCEEFF"/>
            </w:tcBorders>
            <w:gridSpan w:val="3"/>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000" w:type="dxa"/>
            <w:vAlign w:val="bottom"/>
            <w:gridSpan w:val="3"/>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87"/>
              </w:rPr>
              <w:t>Weighted average assumptions used in development of projected</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obligation</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3.81%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4.32%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477"/>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U.S. Defined</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left="81"/>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center"/>
              <w:ind w:right="335"/>
              <w:spacing w:after="0"/>
              <w:rPr>
                <w:sz w:val="20"/>
                <w:szCs w:val="20"/>
                <w:color w:val="auto"/>
              </w:rPr>
            </w:pPr>
            <w:r>
              <w:rPr>
                <w:rFonts w:ascii="Arial" w:cs="Arial" w:eastAsia="Arial" w:hAnsi="Arial"/>
                <w:sz w:val="14"/>
                <w:szCs w:val="14"/>
                <w:b w:val="1"/>
                <w:bCs w:val="1"/>
                <w:color w:val="auto"/>
                <w:w w:val="89"/>
              </w:rPr>
              <w:t>Benefit Pension Plans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center"/>
              <w:ind w:left="36"/>
              <w:spacing w:after="0"/>
              <w:rPr>
                <w:sz w:val="20"/>
                <w:szCs w:val="20"/>
                <w:color w:val="auto"/>
              </w:rPr>
            </w:pPr>
            <w:r>
              <w:rPr>
                <w:rFonts w:ascii="Arial" w:cs="Arial" w:eastAsia="Arial" w:hAnsi="Arial"/>
                <w:sz w:val="14"/>
                <w:szCs w:val="14"/>
                <w:b w:val="1"/>
                <w:bCs w:val="1"/>
                <w:color w:val="auto"/>
                <w:w w:val="90"/>
              </w:rPr>
              <w:t>Defined Benefit Pension Plans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gridSpan w:val="11"/>
          </w:tcPr>
          <w:p>
            <w:pPr>
              <w:ind w:left="60"/>
              <w:spacing w:after="0"/>
              <w:rPr>
                <w:sz w:val="20"/>
                <w:szCs w:val="20"/>
                <w:color w:val="auto"/>
              </w:rPr>
            </w:pPr>
            <w:r>
              <w:rPr>
                <w:rFonts w:ascii="Arial" w:cs="Arial" w:eastAsia="Arial" w:hAnsi="Arial"/>
                <w:sz w:val="14"/>
                <w:szCs w:val="14"/>
                <w:b w:val="1"/>
                <w:bCs w:val="1"/>
                <w:color w:val="auto"/>
                <w:w w:val="95"/>
              </w:rPr>
              <w:t>(In millions, except percentage figures)</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3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500" w:type="dxa"/>
            <w:vAlign w:val="bottom"/>
            <w:gridSpan w:val="3"/>
          </w:tcPr>
          <w:p>
            <w:pPr>
              <w:jc w:val="right"/>
              <w:ind w:right="9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jc w:val="right"/>
              <w:ind w:right="181"/>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ind w:right="5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36"/>
              <w:spacing w:after="0"/>
              <w:rPr>
                <w:sz w:val="20"/>
                <w:szCs w:val="20"/>
                <w:color w:val="auto"/>
              </w:rPr>
            </w:pPr>
            <w:r>
              <w:rPr>
                <w:rFonts w:ascii="Arial" w:cs="Arial" w:eastAsia="Arial" w:hAnsi="Arial"/>
                <w:sz w:val="18"/>
                <w:szCs w:val="18"/>
                <w:color w:val="auto"/>
                <w:w w:val="97"/>
              </w:rPr>
              <w:t>(9.4)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9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32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termination benefits</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 benefit cost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9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81"/>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7"/>
        </w:trPr>
        <w:tc>
          <w:tcPr>
            <w:tcW w:w="3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Weighted average assumptions used in</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development of net periodic benefit cost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2"/>
              <w:spacing w:after="0"/>
              <w:rPr>
                <w:sz w:val="20"/>
                <w:szCs w:val="20"/>
                <w:color w:val="auto"/>
              </w:rPr>
            </w:pPr>
            <w:r>
              <w:rPr>
                <w:rFonts w:ascii="Arial" w:cs="Arial" w:eastAsia="Arial" w:hAnsi="Arial"/>
                <w:sz w:val="18"/>
                <w:szCs w:val="18"/>
                <w:color w:val="auto"/>
                <w:w w:val="89"/>
              </w:rPr>
              <w:t>73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U.S. Defined</w:t>
            </w:r>
          </w:p>
        </w:tc>
        <w:tc>
          <w:tcPr>
            <w:tcW w:w="280" w:type="dxa"/>
            <w:vAlign w:val="bottom"/>
          </w:tcPr>
          <w:p>
            <w:pPr>
              <w:spacing w:after="0"/>
              <w:rPr>
                <w:sz w:val="14"/>
                <w:szCs w:val="14"/>
                <w:color w:val="auto"/>
              </w:rPr>
            </w:pPr>
          </w:p>
        </w:tc>
        <w:tc>
          <w:tcPr>
            <w:tcW w:w="178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International</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Benefit Pension Plans</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8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2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Plan asset allocations: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Target for September 30, 2015:</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2014:</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2013:</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Insurance contracts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Expected Company contributions in fiscal 2015</w:t>
            </w:r>
          </w:p>
        </w:tc>
        <w:tc>
          <w:tcPr>
            <w:tcW w:w="3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future benefit payments: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2015</w:t>
            </w:r>
          </w:p>
        </w:tc>
        <w:tc>
          <w:tcPr>
            <w:tcW w:w="3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2017</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2019</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 2025</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675"/>
        </w:trPr>
        <w:tc>
          <w:tcPr>
            <w:tcW w:w="4540" w:type="dxa"/>
            <w:vAlign w:val="bottom"/>
          </w:tcPr>
          <w:p>
            <w:pPr>
              <w:spacing w:after="0"/>
              <w:rPr>
                <w:sz w:val="24"/>
                <w:szCs w:val="24"/>
                <w:color w:val="auto"/>
              </w:rPr>
            </w:pPr>
          </w:p>
        </w:tc>
        <w:tc>
          <w:tcPr>
            <w:tcW w:w="2780" w:type="dxa"/>
            <w:vAlign w:val="bottom"/>
          </w:tcPr>
          <w:p>
            <w:pPr>
              <w:jc w:val="right"/>
              <w:ind w:right="143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2014</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2013</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contracts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fair value of the mutual funds are valued at the exchange-listed year end closing price or at the net asset value of shares held by the fund at the end of the year. Insurance contracts are valued by discounting the related cash flows using a current year end market rate or at cash surrender value, which is presumed to equal fair value. Funds of hedge funds are valued at the net asset value of shares held by the fund at the end of the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a summary of changes in the fair value of the Company’s level 3 pension plan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tcPr>
          <w:p>
            <w:pPr>
              <w:jc w:val="center"/>
              <w:ind w:right="394"/>
              <w:spacing w:after="0"/>
              <w:rPr>
                <w:sz w:val="20"/>
                <w:szCs w:val="20"/>
                <w:color w:val="auto"/>
              </w:rPr>
            </w:pPr>
            <w:r>
              <w:rPr>
                <w:rFonts w:ascii="Arial" w:cs="Arial" w:eastAsia="Arial" w:hAnsi="Arial"/>
                <w:sz w:val="14"/>
                <w:szCs w:val="14"/>
                <w:b w:val="1"/>
                <w:bCs w:val="1"/>
                <w:color w:val="auto"/>
                <w:w w:val="86"/>
              </w:rPr>
              <w:t>Level 3 Assets</w:t>
            </w:r>
          </w:p>
        </w:tc>
      </w:tr>
      <w:tr>
        <w:trPr>
          <w:trHeight w:val="192"/>
        </w:trPr>
        <w:tc>
          <w:tcPr>
            <w:tcW w:w="84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93"/>
              </w:rPr>
              <w:t>Insurance contracts</w:t>
            </w:r>
          </w:p>
        </w:tc>
      </w:tr>
      <w:tr>
        <w:trPr>
          <w:trHeight w:val="250"/>
        </w:trPr>
        <w:tc>
          <w:tcPr>
            <w:tcW w:w="8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80" w:type="dxa"/>
            <w:vAlign w:val="bottom"/>
          </w:tcPr>
          <w:p>
            <w:pPr>
              <w:jc w:val="center"/>
              <w:ind w:right="394"/>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30, 2012</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Realized gain on plan assets</w:t>
            </w:r>
          </w:p>
        </w:tc>
        <w:tc>
          <w:tcPr>
            <w:tcW w:w="480" w:type="dxa"/>
            <w:vAlign w:val="bottom"/>
          </w:tcPr>
          <w:p>
            <w:pPr>
              <w:spacing w:after="0"/>
              <w:rPr>
                <w:sz w:val="21"/>
                <w:szCs w:val="21"/>
                <w:color w:val="auto"/>
              </w:rPr>
            </w:pPr>
          </w:p>
        </w:tc>
        <w:tc>
          <w:tcPr>
            <w:tcW w:w="2480" w:type="dxa"/>
            <w:vAlign w:val="bottom"/>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8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480" w:type="dxa"/>
            <w:vAlign w:val="bottom"/>
          </w:tcPr>
          <w:p>
            <w:pPr>
              <w:spacing w:after="0"/>
              <w:rPr>
                <w:sz w:val="21"/>
                <w:szCs w:val="21"/>
                <w:color w:val="auto"/>
              </w:rPr>
            </w:pPr>
          </w:p>
        </w:tc>
        <w:tc>
          <w:tcPr>
            <w:tcW w:w="2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issuances and settlements (net)</w:t>
            </w:r>
          </w:p>
        </w:tc>
        <w:tc>
          <w:tcPr>
            <w:tcW w:w="48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2013</w:t>
            </w:r>
          </w:p>
        </w:tc>
        <w:tc>
          <w:tcPr>
            <w:tcW w:w="48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Unrealized gain on plan assets</w:t>
            </w:r>
          </w:p>
        </w:tc>
        <w:tc>
          <w:tcPr>
            <w:tcW w:w="480" w:type="dxa"/>
            <w:vAlign w:val="bottom"/>
          </w:tcPr>
          <w:p>
            <w:pPr>
              <w:spacing w:after="0"/>
              <w:rPr>
                <w:sz w:val="21"/>
                <w:szCs w:val="21"/>
                <w:color w:val="auto"/>
              </w:rPr>
            </w:pPr>
          </w:p>
        </w:tc>
        <w:tc>
          <w:tcPr>
            <w:tcW w:w="2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4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Purchases, sales, issuances and settlements (net)</w:t>
            </w:r>
          </w:p>
        </w:tc>
        <w:tc>
          <w:tcPr>
            <w:tcW w:w="480" w:type="dxa"/>
            <w:vAlign w:val="bottom"/>
          </w:tcPr>
          <w:p>
            <w:pPr>
              <w:spacing w:after="0"/>
              <w:rPr>
                <w:sz w:val="21"/>
                <w:szCs w:val="21"/>
                <w:color w:val="auto"/>
              </w:rPr>
            </w:pPr>
          </w:p>
        </w:tc>
        <w:tc>
          <w:tcPr>
            <w:tcW w:w="2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30, 2014</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ASSOCIATE MEDICAL BENEFITS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10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information about the retiree medical plan for domestic associates. The retiree medical plan is valued using a September 30 measurement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gridSpan w:val="7"/>
          </w:tcPr>
          <w:p>
            <w:pPr>
              <w:jc w:val="right"/>
              <w:ind w:right="311"/>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 (net of federal subsidy of $0.3 and $0.3)</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Plan changes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Gross benefits paid</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Unfunded status at end of year</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(32.4)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(30.1)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(32.4)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prior service cost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amount recognized</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change in other comprehensive loss attributable to:</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loss (gain) during the period</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prior 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Net gain amortized during the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other comprehensive loss (gain)</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 used in development of APBO</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615"/>
        </w:trPr>
        <w:tc>
          <w:tcPr>
            <w:tcW w:w="6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9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98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postretirement benefit cost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estimated actuarial gain that will be amortized from accumulated loss into net periodic benefit cost over the next fiscal year is immaterial.</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The APBO at September 30, 2014, has been reduced by a deferred actuarial gain in the amount of $0.3 million to reflect the effect of the subsidy related to benefits attributed to past service.</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amortization of the actuarial gain and reduction of service and interest costs served to reduce net periodic post retirement benefit cost for fiscal 2014, fiscal 2013 and fiscal 2012 by $0.1 million, $0.3 million and $0.2 million,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measurement as of September 30, 2014, management has assumed that health care costs will increase at an annual rate of 7.50% in fiscal 2015, decreasing 0.25% per year to an ultimate trend rate of 5.00% in 2025. A 1% increase in health cost trend rate assumptions would increase the APBO by $1.1 million as of September 30, 2014. A 1% decrease in health cost trend rate assumptions would decrease the APBO by $0.8 million as of September 30, 2014. A 1% increase or decrease in the same rate would not have a material effect on service or interest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Retiree</w:t>
            </w:r>
          </w:p>
        </w:tc>
        <w:tc>
          <w:tcPr>
            <w:tcW w:w="420" w:type="dxa"/>
            <w:vAlign w:val="bottom"/>
          </w:tcPr>
          <w:p>
            <w:pPr>
              <w:spacing w:after="0"/>
              <w:rPr>
                <w:sz w:val="14"/>
                <w:szCs w:val="14"/>
                <w:color w:val="auto"/>
              </w:rPr>
            </w:pPr>
          </w:p>
        </w:tc>
        <w:tc>
          <w:tcPr>
            <w:tcW w:w="1060" w:type="dxa"/>
            <w:vAlign w:val="bottom"/>
          </w:tcPr>
          <w:p>
            <w:pPr>
              <w:jc w:val="center"/>
              <w:ind w:right="316"/>
              <w:spacing w:after="0"/>
              <w:rPr>
                <w:sz w:val="20"/>
                <w:szCs w:val="20"/>
                <w:color w:val="auto"/>
              </w:rPr>
            </w:pPr>
            <w:r>
              <w:rPr>
                <w:rFonts w:ascii="Arial" w:cs="Arial" w:eastAsia="Arial" w:hAnsi="Arial"/>
                <w:sz w:val="14"/>
                <w:szCs w:val="14"/>
                <w:b w:val="1"/>
                <w:bCs w:val="1"/>
                <w:color w:val="auto"/>
                <w:w w:val="95"/>
              </w:rPr>
              <w:t>Medicare</w:t>
            </w:r>
          </w:p>
        </w:tc>
        <w:tc>
          <w:tcPr>
            <w:tcW w:w="30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2"/>
              </w:rPr>
              <w:t>Benefit</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rPr>
              <w:t>Part D</w:t>
            </w:r>
          </w:p>
        </w:tc>
        <w:tc>
          <w:tcPr>
            <w:tcW w:w="300" w:type="dxa"/>
            <w:vAlign w:val="bottom"/>
          </w:tcPr>
          <w:p>
            <w:pPr>
              <w:spacing w:after="0"/>
              <w:rPr>
                <w:sz w:val="12"/>
                <w:szCs w:val="12"/>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0"/>
              </w:rPr>
              <w:t>Payments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Contributions</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8"/>
              </w:rPr>
              <w:t>Subsidy</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2020 – 2024</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$0.6 million per occurrence per individual. The cost of such benefits is recognized as expense in the period the claim is incurred. This cost was $33.8 million, $35.1 million and $28.7 million in fiscal 2014, fiscal 2013 and fiscal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Revolving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40"/>
              <w:spacing w:after="0"/>
              <w:rPr>
                <w:sz w:val="20"/>
                <w:szCs w:val="20"/>
                <w:color w:val="auto"/>
              </w:rPr>
            </w:pPr>
            <w:r>
              <w:rPr>
                <w:rFonts w:ascii="Arial" w:cs="Arial" w:eastAsia="Arial" w:hAnsi="Arial"/>
                <w:sz w:val="18"/>
                <w:szCs w:val="18"/>
                <w:color w:val="auto"/>
                <w:w w:val="95"/>
              </w:rPr>
              <w:t>The Company’s debt matures as follows for each of the next five fiscal years and thereafter (in millions):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20, 2013, the Company entered into a third amended and restated senior secured credit agreement (the “new credit facility”), providing Scotts Miracle-Gro and certain of its subsidiaries with a five-year senior secured revolving loan facility in the aggregate principal amount of up to $1.7 billion. The new credit facility also provides the Company with the right to seek to increase the revolving and/or term commitments available under the new credit facility by an aggregate amount of up to $450 million, subject to certain specified conditions, including approval from lenders. The new credit facility replaces the Company’s second amended and restated senior secured credit agreement, which was entered into on June 30, 2011, and would have terminated on June 30, 2016 if it had not been terminated early in connection with the entry into the new credit facility.</w:t>
      </w:r>
    </w:p>
    <w:p>
      <w:pPr>
        <w:spacing w:after="0" w:line="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terms of the new credit facility include customary representations and warranties, customary affirmative and negative covenants, and events of default. The proceeds of borrowings under the new credit facility may be used: (i) to finance working capital requirements and other general corporate purposes of the Scotts Miracle-Gro and its subsidiaries; and (ii) to refinance the amounts outstanding under the previous credit agreement. The Company may use the new credit facility to obtain letters of credit up to $75 million. The new credit facility will terminate on December 20, 2018.</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Under the terms of the new credit facility, loans made under the new credit facility bear interest, at the Company’s election, at a rate per annum equal to either the ABR or LIBOR (both as defined in the new credit facility) plus the applicable margin. Amounts outstanding under the credit facility at September 30, 2014 were at interest rates based on LIBOR applicable to the borrowed currencies plus 150 basis points. The new credit facility is guaranteed by substantially all of Scotts Miracle-Gro's domestic subsidiaries, which have a carrying value of $1.6 billion. The credit facility is secured by (i) a perfected first priority security interest in all of the accounts receivable, inventory and equipment of the Company and those of Scotts Miracle-Gro’s domestic subsidiaries that are parties to the third amended and restated guarantee and collateral agreement and (ii) the pledge of all of the capital stock of Scotts Miracle-Gro’s domestic subsidiaries that are parties to the third amended and restated guarantee and collateral agreement.</w:t>
      </w:r>
    </w:p>
    <w:p>
      <w:pPr>
        <w:spacing w:after="0" w:line="17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September 30, 2014, there was $1,194.9 million of availability under the new credit facility, including availability under letters of credit. At September 30, 2014, the Company had letters of credit in the aggregate face amount of $23.3 million outstanding under the new credit facility.</w:t>
      </w:r>
    </w:p>
    <w:p>
      <w:pPr>
        <w:spacing w:after="0" w:line="66"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new credit facility contains, among other obligations, an affirmative covenant regarding the Company’s leverage ratio, calculated as average total indebtedness, as described in the new credit facility, relative to the Company’s earnings before interest, taxes, depreciation and amortization (“EBITDA”), as adjusted pursuant to the terms of the new credit facility (“Adjusted EBITDA”). Under the terms of the new credit facility, the maximum leverage ratio was 4.00 as of September 30, 2014. The Company’s leverage ratio was 2.18 at September 30, 2014. The new credit facility also includes an affirmative covenant regarding the Company's interest coverage ratio. The interest coverage ratio is calculated as Adjusted EBITDA divided by interest expense and excludes costs related to refinancings. Under the terms of the new credit facility, the minimum interest coverage ratio was 3.50 for the twelve months ended September 30, 2014. The Company’s interest coverage ratio was 9.41 for the twelve months ended September 30, 2014. The Company may make restricted payments (as defined in the third amended and restated credit agreement); provided that if after giving effect to any such restricted payment the leverage ratio is not greater than 3.00. Otherwise, the Company may only make restricted payments in an aggregate amount for each fiscal year not to exceed the amount set forth for such fiscal year ($150 million for 2014 and 2015 and $175 million for 2016 and in each fiscal year thereafter).</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Notes- 7.25%</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January 15, 2014, the Company redeemed all of its outstanding $200.0 million aggregate principal amount of 7.25% senior notes due 2018 (the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the second quarter of fiscal 2014. Additionally, the Company had $3.5 million in unamortized bond discount and issuance costs associated with the 7.25% Senior Notes that were written-off and recognized in the “Costs related to refinancing” line on the Condensed Consolidated Statement of Operations in the Company's second quarter of fiscal 2014. These amounts are reported in the aggregate in the “Costs related to financing” line in the Consolidated Statement of Operation for fiscal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Notes- 6.625%</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December 16, 2010, Scotts Miracle-Gro issued $200 million aggregate principal amount of 6.625% Senior Notes due 2020 (the “6.625%” Senior Notes”). The net proceeds of the offering were used to repay outstanding borrowings under the Company’s then existing credit facilities and for general corporate purposes. The 6.625% Senior Notes represent general unsecured senior obligations of Scotts Miracle-Gro and rank equal in right of payment with the Company’s existing and future unsecured senior debt, including, without limitation, the 7.25% Senior Notes. The 6.625% Senior Notes have interest payment dates of June 15 and December 15 of each year, which began on June 15, 2011, and may be redeemed prior to maturity starting December 2015 at applicable redemption premiums. The 6.625% Senior Notes contain usual and customary covenants. The 6.625% Senior Notes mature on December 15, 2020. Substantially all of Scotts Miracle-Gro’s domestic subsidiaries serve as guarantors of the 6.625% Senior Notes.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September 30, 2014, the Company had outstanding interest rate swap agreements with major financial institutions that effectively converted the LIBOR index portion of variable-rate debt denominated in U.S. dollars to a fixed rate. The swap agreements had a total U.S. dollar notional amount of $1,300 million at September 30, 2014.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500" w:type="dxa"/>
            <w:vAlign w:val="bottom"/>
          </w:tcPr>
          <w:p>
            <w:pPr>
              <w:jc w:val="right"/>
              <w:ind w:right="913"/>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340" w:type="dxa"/>
            <w:vAlign w:val="bottom"/>
          </w:tcPr>
          <w:p>
            <w:pPr>
              <w:jc w:val="right"/>
              <w:ind w:right="913"/>
              <w:spacing w:after="0"/>
              <w:rPr>
                <w:sz w:val="20"/>
                <w:szCs w:val="20"/>
                <w:color w:val="auto"/>
              </w:rPr>
            </w:pPr>
            <w:r>
              <w:rPr>
                <w:rFonts w:ascii="Arial" w:cs="Arial" w:eastAsia="Arial" w:hAnsi="Arial"/>
                <w:sz w:val="14"/>
                <w:szCs w:val="14"/>
                <w:b w:val="1"/>
                <w:bCs w:val="1"/>
                <w:color w:val="auto"/>
              </w:rPr>
              <w:t>Fixed</w:t>
            </w:r>
          </w:p>
        </w:tc>
      </w:tr>
      <w:tr>
        <w:trPr>
          <w:trHeight w:val="192"/>
        </w:trPr>
        <w:tc>
          <w:tcPr>
            <w:tcW w:w="560" w:type="dxa"/>
            <w:vAlign w:val="bottom"/>
          </w:tcPr>
          <w:p>
            <w:pPr>
              <w:spacing w:after="0"/>
              <w:rPr>
                <w:sz w:val="16"/>
                <w:szCs w:val="16"/>
                <w:color w:val="auto"/>
              </w:rPr>
            </w:pPr>
          </w:p>
        </w:tc>
        <w:tc>
          <w:tcPr>
            <w:tcW w:w="2500" w:type="dxa"/>
            <w:vAlign w:val="bottom"/>
          </w:tcPr>
          <w:p>
            <w:pPr>
              <w:jc w:val="right"/>
              <w:ind w:right="107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Date (a)</w:t>
            </w: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c>
          <w:tcPr>
            <w:tcW w:w="2340" w:type="dxa"/>
            <w:vAlign w:val="bottom"/>
          </w:tcPr>
          <w:p>
            <w:pPr>
              <w:jc w:val="right"/>
              <w:ind w:right="953"/>
              <w:spacing w:after="0"/>
              <w:rPr>
                <w:sz w:val="20"/>
                <w:szCs w:val="20"/>
                <w:color w:val="auto"/>
              </w:rPr>
            </w:pPr>
            <w:r>
              <w:rPr>
                <w:rFonts w:ascii="Arial" w:cs="Arial" w:eastAsia="Arial" w:hAnsi="Arial"/>
                <w:sz w:val="14"/>
                <w:szCs w:val="14"/>
                <w:b w:val="1"/>
                <w:bCs w:val="1"/>
                <w:color w:val="auto"/>
              </w:rPr>
              <w:t>Rate</w:t>
            </w:r>
          </w:p>
        </w:tc>
      </w:tr>
      <w:tr>
        <w:trPr>
          <w:trHeight w:val="250"/>
        </w:trPr>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2/7/2012</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5/7/2016</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4"/>
        </w:trPr>
        <w:tc>
          <w:tcPr>
            <w:tcW w:w="5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3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2/16/2010</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5/16/2016</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4"/>
        </w:trPr>
        <w:tc>
          <w:tcPr>
            <w:tcW w:w="5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5/23/2016</w:t>
            </w:r>
          </w:p>
        </w:tc>
        <w:tc>
          <w:tcPr>
            <w:tcW w:w="3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Pr>
          <w:p>
            <w:pPr>
              <w:ind w:left="20"/>
              <w:spacing w:after="0"/>
              <w:rPr>
                <w:sz w:val="20"/>
                <w:szCs w:val="20"/>
                <w:color w:val="auto"/>
              </w:rPr>
            </w:pPr>
            <w:r>
              <w:rPr>
                <w:rFonts w:ascii="Arial" w:cs="Arial" w:eastAsia="Arial" w:hAnsi="Arial"/>
                <w:sz w:val="13"/>
                <w:szCs w:val="13"/>
                <w:color w:val="auto"/>
              </w:rPr>
              <w:t>(c)</w:t>
            </w:r>
          </w:p>
        </w:tc>
        <w:tc>
          <w:tcPr>
            <w:tcW w:w="2500" w:type="dxa"/>
            <w:vAlign w:val="bottom"/>
          </w:tcPr>
          <w:p>
            <w:pPr>
              <w:jc w:val="right"/>
              <w:spacing w:after="0"/>
              <w:rPr>
                <w:sz w:val="20"/>
                <w:szCs w:val="20"/>
                <w:color w:val="auto"/>
              </w:rPr>
            </w:pPr>
            <w:r>
              <w:rPr>
                <w:rFonts w:ascii="Arial" w:cs="Arial" w:eastAsia="Arial" w:hAnsi="Arial"/>
                <w:sz w:val="18"/>
                <w:szCs w:val="18"/>
                <w:color w:val="auto"/>
              </w:rPr>
              <w:t>12/20/2011</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6/20/2016</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4"/>
        </w:trPr>
        <w:tc>
          <w:tcPr>
            <w:tcW w:w="5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3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560" w:type="dxa"/>
            <w:vAlign w:val="bottom"/>
          </w:tcPr>
          <w:p>
            <w:pPr>
              <w:spacing w:after="0"/>
              <w:rPr>
                <w:sz w:val="21"/>
                <w:szCs w:val="21"/>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2/7/2014</w:t>
            </w:r>
          </w:p>
        </w:tc>
        <w:tc>
          <w:tcPr>
            <w:tcW w:w="34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11/7/2017</w:t>
            </w:r>
          </w:p>
        </w:tc>
        <w:tc>
          <w:tcPr>
            <w:tcW w:w="3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4"/>
        </w:trPr>
        <w:tc>
          <w:tcPr>
            <w:tcW w:w="5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560" w:type="dxa"/>
            <w:vAlign w:val="bottom"/>
          </w:tcPr>
          <w:p>
            <w:pPr>
              <w:spacing w:after="0"/>
              <w:rPr>
                <w:sz w:val="22"/>
                <w:szCs w:val="22"/>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Pr>
          <w:p>
            <w:pPr>
              <w:ind w:left="20"/>
              <w:spacing w:after="0"/>
              <w:rPr>
                <w:sz w:val="20"/>
                <w:szCs w:val="20"/>
                <w:color w:val="auto"/>
              </w:rPr>
            </w:pPr>
            <w:r>
              <w:rPr>
                <w:rFonts w:ascii="Arial" w:cs="Arial" w:eastAsia="Arial" w:hAnsi="Arial"/>
                <w:sz w:val="13"/>
                <w:szCs w:val="13"/>
                <w:color w:val="auto"/>
              </w:rPr>
              <w:t>(c)</w:t>
            </w:r>
          </w:p>
        </w:tc>
        <w:tc>
          <w:tcPr>
            <w:tcW w:w="25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7"/>
        </w:trPr>
        <w:tc>
          <w:tcPr>
            <w:tcW w:w="560" w:type="dxa"/>
            <w:vAlign w:val="bottom"/>
            <w:shd w:val="clear" w:color="auto" w:fill="CCEEFF"/>
          </w:tcPr>
          <w:p>
            <w:pPr>
              <w:spacing w:after="0"/>
              <w:rPr>
                <w:sz w:val="22"/>
                <w:szCs w:val="22"/>
                <w:color w:val="auto"/>
              </w:rPr>
            </w:pPr>
          </w:p>
        </w:tc>
        <w:tc>
          <w:tcPr>
            <w:tcW w:w="2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34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5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or will be,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right="20" w:hanging="652"/>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accounts for the sale of receivables under the Master Accounts Receivable Purchase Agreement (“MARP Agreement”), which is uncommitted and provides for the discretionary sale by the Company, and the discretionary purchase by the banks, on a revolving basis, of accounts receivable generated by sales to three specified account debtors in an aggregate amount not to exceed $400 million. On August 29, 2014, the Company signed an amendment to the existing MARP Agreement which extended the termination date to August 28, 2015, or such later date as may be agreed by each bank and the Company. Under the amended terms of the MARP Agreement, the banks have the opportunity to purchase those accounts receivable offered by the Company at a discount (from the agreed base value thereof) effectively equal to the one-week LIBOR plus 0.75%.</w:t>
      </w:r>
    </w:p>
    <w:p>
      <w:pPr>
        <w:spacing w:after="0" w:line="9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accounts for the sale of receivables under its MARP Agreement as short-term debt and continues to carry the receivables on its Consolidated Balance Sheet, primarily as a result of the Company’s right to repurchase receivables sold. There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were $84.0 million in borrowings under the MARP Agreement as of September 30, 2014 and $85.3 million in borrowings as of September 30, 2013. The carrying value of the receivables pledged as collateral was $113.7 million as of September 30, 2014 and $106.7 million as of September 30, 2013. As of September 30, 2014, there was $27.7 million of availability under the MARP Agreement.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currently available to the Company under its credit facility fluctuates with the applicable LIBOR rate, prime rate or Federal Funds Effective Rate, and thus the carrying value is a reasonable estimate of fair value. The fair value measurement for the new credit facility was classified in Level 2 of the fair value hierarchy.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9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 7.25% Senior Notes were redeemed by the Company in the second quarter of 2014. The fair value of the 7.25% Senior Notes was determined based on the trading value of the 7.25% Senior Notes in the open market. The difference between the carrying value and the fair value of the 7.25% Senior Notes on a particular date represented the premium or discount on that date. The fair value measurement for the 7.25% Senior Notes was classified in Level 1 of the fair value hierarchy.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6.625% Senior Notes can be determined based on the trading value of the 6.625% Senior Notes in the open market. The difference between the carrying value and the fair value of the 6.625% Senior Notes on a particular date represents the premium or discount on that date. The fair value measurement for the 6.625% Senior Notes was classified in Level 1 of the fair value hierarchy.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values of the Company’s debt instruments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135"/>
              <w:spacing w:after="0"/>
              <w:rPr>
                <w:sz w:val="20"/>
                <w:szCs w:val="20"/>
                <w:color w:val="auto"/>
              </w:rPr>
            </w:pPr>
            <w:r>
              <w:rPr>
                <w:rFonts w:ascii="Arial" w:cs="Arial" w:eastAsia="Arial" w:hAnsi="Arial"/>
                <w:sz w:val="14"/>
                <w:szCs w:val="14"/>
                <w:b w:val="1"/>
                <w:bCs w:val="1"/>
                <w:color w:val="auto"/>
                <w:w w:val="91"/>
              </w:rPr>
              <w:t>Year Ended September 30,</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2014</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9"/>
              </w:rPr>
              <w:t>2013</w:t>
            </w:r>
          </w:p>
        </w:tc>
        <w:tc>
          <w:tcPr>
            <w:tcW w:w="1060" w:type="dxa"/>
            <w:vAlign w:val="bottom"/>
            <w:tcBorders>
              <w:bottom w:val="single" w:sz="8" w:color="auto"/>
            </w:tcBorders>
          </w:tcPr>
          <w:p>
            <w:pPr>
              <w:spacing w:after="0"/>
              <w:rPr>
                <w:sz w:val="22"/>
                <w:szCs w:val="22"/>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3"/>
                <w:szCs w:val="13"/>
                <w:color w:val="auto"/>
              </w:rPr>
            </w:pPr>
          </w:p>
        </w:tc>
        <w:tc>
          <w:tcPr>
            <w:tcW w:w="9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Value</w:t>
            </w:r>
          </w:p>
        </w:tc>
      </w:tr>
      <w:tr>
        <w:trPr>
          <w:trHeight w:val="250"/>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center"/>
              <w:ind w:left="618"/>
              <w:spacing w:after="0"/>
              <w:rPr>
                <w:sz w:val="20"/>
                <w:szCs w:val="20"/>
                <w:color w:val="auto"/>
              </w:rPr>
            </w:pPr>
            <w:r>
              <w:rPr>
                <w:rFonts w:ascii="Arial" w:cs="Arial" w:eastAsia="Arial" w:hAnsi="Arial"/>
                <w:sz w:val="14"/>
                <w:szCs w:val="14"/>
                <w:b w:val="1"/>
                <w:bCs w:val="1"/>
                <w:color w:val="auto"/>
                <w:w w:val="94"/>
              </w:rPr>
              <w:t>(In millions)</w:t>
            </w: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209.5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c>
          <w:tcPr>
            <w:tcW w:w="5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85.3</w:t>
            </w:r>
          </w:p>
        </w:tc>
        <w:tc>
          <w:tcPr>
            <w:tcW w:w="5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85.3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weighted average interest rates on average debt were 5.0% and 6.2% for the fiscal years ended September 30, 2014 and 2013,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and issued shares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520" w:type="dxa"/>
            <w:vAlign w:val="bottom"/>
            <w:tcBorders>
              <w:bottom w:val="single" w:sz="8" w:color="auto"/>
            </w:tcBorders>
          </w:tcPr>
          <w:p>
            <w:pPr>
              <w:jc w:val="right"/>
              <w:ind w:right="1378"/>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196"/>
        </w:trPr>
        <w:tc>
          <w:tcPr>
            <w:tcW w:w="7660" w:type="dxa"/>
            <w:vAlign w:val="bottom"/>
          </w:tcPr>
          <w:p>
            <w:pPr>
              <w:spacing w:after="0"/>
              <w:rPr>
                <w:sz w:val="17"/>
                <w:szCs w:val="17"/>
                <w:color w:val="auto"/>
              </w:rPr>
            </w:pPr>
          </w:p>
        </w:tc>
        <w:tc>
          <w:tcPr>
            <w:tcW w:w="2520" w:type="dxa"/>
            <w:vAlign w:val="bottom"/>
          </w:tcPr>
          <w:p>
            <w:pPr>
              <w:jc w:val="right"/>
              <w:ind w:right="178"/>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 no par value:</w:t>
            </w:r>
          </w:p>
        </w:tc>
        <w:tc>
          <w:tcPr>
            <w:tcW w:w="2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0.2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shares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Common shares, no par value, $.01 stated value per share</w:t>
            </w:r>
          </w:p>
        </w:tc>
        <w:tc>
          <w:tcPr>
            <w:tcW w:w="2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100.0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shares</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68.1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68.1 shares</w:t>
            </w:r>
          </w:p>
        </w:tc>
      </w:tr>
    </w:tbl>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fiscal 1995, The Scotts Company merged with Stern’s Miracle-Gro Products, Inc. (“Miracle-Gro”). At September 30, 2014, the former shareholders of Miracle-Gro, including the Hagedorn Partnership L.P., owned approximately 26% of Scotts Miracle-Gro’s outstanding Common Shares and, thus, have the ability to significantly influence the election of directors and other actions requiring the approval of Scotts Miracle-Gro’s shareholders.</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2010, the Scotts Miracle-Gro Board of Directors authorized the repurchase of up to $500 million of Common Shares over a four-year period through September 30, 2014. On May 4, 2011, the Scotts Miracle-Gro Board of Directors authorized the repurchase of up to an additional $200 million of Common Shares, resulting in authority to repurchase a total of up to $700 million of Common Shares through September 30, 2014. From the inception of this share repurchase program in the fourth quarter of fiscal 2010 through its expiration on September 30, 2014, Scotts Miracle-Gro repurchased approximately 9.9 million Common Shares for $521.2 million to be held in treasury. Common Shares held in treasury totaling 0.8 million and 0.7 million were reissued in support of share-based compensation awards and employee purchases under the employee stock purchase plan during fiscal 2014 and fiscal 2013, respectively.</w:t>
      </w:r>
    </w:p>
    <w:p>
      <w:pPr>
        <w:spacing w:after="0" w:line="13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August 2014, the Scotts Miracle-Gro Board of Directors authorized the repurchase of up to $500 million of Common Shares over a four-year period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In August 2014, the Scotts Miracle-Gro Board of Directors also authorized a special one-time cash dividend of $2.00 per share payable on September 17, 2014. The payment of the special one-time cash dividend required Scotts Miracle-Gro to adjust the number of Common Shares subject to stock options outstanding under the Scotts Miracle-Gro share-based awards programs, as well as the price at which the awards may be exercised. The adjustments to the outstanding awards resulted in an increase in the number of Common Shares subject to outstanding stock options in an aggregate amount of 0.1 million Common Shares. The methodology used to adjust the awards was consistent with Internal Revenue Code (IRC) Section 409A and the then-proposed regulations promulgated thereunder and IRC Section 424 and the regulations promulgated thereunder, compliance with which was necessary to avoid adverse tax consequences for the holder of an award. Such methodology also resulted in a fair value for the adjusted awards post-dividend equal to that of the unadjusted awards pre-dividend, with the result that there was no additional compensation expense in accordance with the accounting for modifications to awards under ASC 718.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Scotts Miracle-Gro grants share-based awards annually to officers and certain other employees of the Company and non-employee directors of Scotts Miracle-Gro. The share-based awards have consisted of stock options, restricted stock, restricted stock units, deferred stock units and performance-based awards. Stock appreciation rights (“SARs”) have been granted, though not in recent years. SARs result in less dilution than stock options as the SAR holder receives a net share settlement upon exercise.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Vesting of performance-based awards is dependent on service and achievement of specified performance targets. Share-based awards are forfeited if a holder terminates employment or service with the Company prior to the vesting date. The Company estimates that 15% of its share-based awards will be forfeited based on an analysis of historical trends. This assumption is re-evaluated on an annual basis and adjusted as appropriate. Stock options and SAR awards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11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 maximum of 23 million Common Shares are available for issuance under share-based award plans. At September 30, 2014, approximately 3.0 million Common Shares were not subject to outstanding awards and were available to underlie the grant of new share-based awards.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Options</w:t>
            </w:r>
          </w:p>
        </w:tc>
        <w:tc>
          <w:tcPr>
            <w:tcW w:w="1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464,061</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112,315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107,373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161,229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178,321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110,079</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38,418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33,253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30,943</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due to special $2.00 dividend</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311,962</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389,604</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712,456</w:t>
            </w:r>
          </w:p>
        </w:tc>
      </w:tr>
      <w:tr>
        <w:trPr>
          <w:trHeight w:val="67"/>
        </w:trPr>
        <w:tc>
          <w:tcPr>
            <w:tcW w:w="572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24"/>
        </w:trPr>
        <w:tc>
          <w:tcPr>
            <w:tcW w:w="57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Aggregate fair value at grant dates (in millions)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7"/>
        </w:trPr>
        <w:tc>
          <w:tcPr>
            <w:tcW w:w="5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share-based compensation was as follows for the periods indicated:</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w w:val="92"/>
              </w:rPr>
              <w:t>Year Ended September 30,</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2013</w:t>
            </w: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r>
      <w:tr>
        <w:trPr>
          <w:trHeight w:val="250"/>
        </w:trPr>
        <w:tc>
          <w:tcPr>
            <w:tcW w:w="5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center"/>
              <w:ind w:right="239"/>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10.3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12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2014, total unrecognized compensation cost related to non-vested share-based awards amounted to $11.6 million. This cost is expected to be recognized over a weighted-average period of 1.8 years. The tax benefit realized from the tax deductions associated with the exercise of share-based awards and the vesting of restricted stock totaled $15.1 million for fiscal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Options/SARs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Aggregate stock option and SAR activity consisted of the following for the fiscal year ended September 30, 2014 (options/SARs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center"/>
              <w:ind w:right="357"/>
              <w:spacing w:after="0"/>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5"/>
              </w:rPr>
              <w:t>No.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Options/SARs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5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At September 30, 2014, the Company expects 0.3 million of the remaining unexercisable stock options (after forfeitures), with a weighted-average exercise price of $45.36, intrinsic value of $3.4 million and average remaining term of 7.3 years, to vest in the future. The following summarizes certain information pertaining to stock option and SAR awards outstanding and exercisable at September 30, 2014 (options/SARs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WTD.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Avg.</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9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SARs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SARS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$20.59 – $28.72</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$29.01 – $37.03</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$37.89 – $49.19</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 of the stock option and SAR awards outstanding and exercisable at September 30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2014</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56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29.8</w:t>
            </w:r>
          </w:p>
        </w:tc>
      </w:tr>
    </w:tbl>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grant date fair value of stock option awards is estimated using a binomial model and the assumptions in the following table.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No stock option awards were granted in fiscal 2014 and 2013. The weighted average assumptions for awards granted in fiscal 2012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9"/>
              </w:rPr>
              <w:t>Year Ended September 30,</w:t>
            </w:r>
          </w:p>
        </w:tc>
      </w:tr>
      <w:tr>
        <w:trPr>
          <w:trHeight w:val="264"/>
        </w:trPr>
        <w:tc>
          <w:tcPr>
            <w:tcW w:w="8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jc w:val="right"/>
              <w:ind w:right="1075"/>
              <w:spacing w:after="0"/>
              <w:rPr>
                <w:sz w:val="20"/>
                <w:szCs w:val="20"/>
                <w:color w:val="auto"/>
              </w:rPr>
            </w:pPr>
            <w:r>
              <w:rPr>
                <w:rFonts w:ascii="Arial" w:cs="Arial" w:eastAsia="Arial" w:hAnsi="Arial"/>
                <w:sz w:val="14"/>
                <w:szCs w:val="14"/>
                <w:b w:val="1"/>
                <w:bCs w:val="1"/>
                <w:color w:val="auto"/>
              </w:rPr>
              <w:t>2012</w:t>
            </w: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Risk-free interest rates</w:t>
            </w:r>
          </w:p>
        </w:tc>
        <w:tc>
          <w:tcPr>
            <w:tcW w:w="2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280" w:type="dxa"/>
            <w:vAlign w:val="bottom"/>
          </w:tcPr>
          <w:p>
            <w:pPr>
              <w:spacing w:after="0"/>
              <w:rPr>
                <w:sz w:val="21"/>
                <w:szCs w:val="21"/>
                <w:color w:val="auto"/>
              </w:rPr>
            </w:pPr>
          </w:p>
        </w:tc>
        <w:tc>
          <w:tcPr>
            <w:tcW w:w="2320" w:type="dxa"/>
            <w:vAlign w:val="bottom"/>
          </w:tcPr>
          <w:p>
            <w:pPr>
              <w:jc w:val="right"/>
              <w:ind w:right="95"/>
              <w:spacing w:after="0"/>
              <w:rPr>
                <w:sz w:val="20"/>
                <w:szCs w:val="20"/>
                <w:color w:val="auto"/>
              </w:rPr>
            </w:pPr>
            <w:r>
              <w:rPr>
                <w:rFonts w:ascii="Arial" w:cs="Arial" w:eastAsia="Arial" w:hAnsi="Arial"/>
                <w:sz w:val="18"/>
                <w:szCs w:val="18"/>
                <w:color w:val="auto"/>
              </w:rPr>
              <w:t>5.96</w:t>
            </w:r>
          </w:p>
        </w:tc>
      </w:tr>
      <w:tr>
        <w:trPr>
          <w:trHeight w:val="27"/>
        </w:trPr>
        <w:tc>
          <w:tcPr>
            <w:tcW w:w="8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11.50</w:t>
            </w:r>
          </w:p>
        </w:tc>
      </w:tr>
      <w:tr>
        <w:trPr>
          <w:trHeight w:val="27"/>
        </w:trPr>
        <w:tc>
          <w:tcPr>
            <w:tcW w:w="8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stock options exercised was $21.3 million, $8.1 million and $23.9 million during fiscal 2014, fiscal 2013 and fiscal 2012, respectively. Cash received from the exercise of stock options for fiscal 2014, fiscal 2013 and fiscal 2012 was $20.0 million, $13.3 million and $17.6 million respectively.</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share-based award activity (including restricted stock, restricted stock units and deferred stock units)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center"/>
              <w:ind w:right="29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2011</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696,906</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138,316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(301,132)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(36,891)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2012</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211,283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(251,855)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(46,976)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2013</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150,733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(44,895)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2014</w:t>
            </w:r>
          </w:p>
        </w:tc>
        <w:tc>
          <w:tcPr>
            <w:tcW w:w="1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433,892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fair value of restricted stock units and deferred stock units vested was $3.4 million, $10.3 million and $3.1 million during fiscal 2014, fiscal 2013 and fiscal 2012, respectively. The total fair value of restricted stock vested was $3.6 million during fiscal 2012. The Company has no outstanding restricted stock as of September 30, 2014.</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center"/>
              <w:ind w:right="27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6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90"/>
              </w:rPr>
              <w:t>No.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w w:val="97"/>
              </w:rPr>
              <w:t>Units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2011</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42,300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114,279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2012</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153,909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178,321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(70,313)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2013</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261,917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161,229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w w:val="88"/>
              </w:rPr>
              <w:t>(111,897)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2014</w:t>
            </w:r>
          </w:p>
        </w:tc>
        <w:tc>
          <w:tcPr>
            <w:tcW w:w="1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311,249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COMMON SHARE</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Basic income per Common Share is computed by dividing income attributable to controlling interest from continuing operations, income (loss) from discontinued operations or net income attributable to controlling interest by the weighted average number of Common Shares outstanding. Diluted income per Common Share are computed by dividing income attributable to controlling interest from continuing operations, income (loss) from discontinued operations or net income attributable to controlling interest by the weighted average number of Common Shares plus all potentially dilutive securities outstanding each period. Stock options with exercise prices greater than the average market price of the underlying Common Shares are excluded from the</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computation of diluted income per Common Share because they are out-of-the-money and the effect of their inclusion would be anti-dilutive. There were no Common Shares covered by out-of-the-money stock options for the year ended September 30, 2014 and 0.8 million and 0.7 million for the fiscal years ended September 30, 2013 and 2012, respectively. The following table presents information necessary to calculate basic and diluted income per Common Share.</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0" w:type="dxa"/>
            <w:vAlign w:val="bottom"/>
            <w:gridSpan w:val="6"/>
          </w:tcPr>
          <w:p>
            <w:pPr>
              <w:jc w:val="center"/>
              <w:ind w:left="131"/>
              <w:spacing w:after="0"/>
              <w:rPr>
                <w:sz w:val="20"/>
                <w:szCs w:val="20"/>
                <w:color w:val="auto"/>
              </w:rPr>
            </w:pPr>
            <w:r>
              <w:rPr>
                <w:rFonts w:ascii="Arial" w:cs="Arial" w:eastAsia="Arial" w:hAnsi="Arial"/>
                <w:sz w:val="14"/>
                <w:szCs w:val="14"/>
                <w:b w:val="1"/>
                <w:bCs w:val="1"/>
                <w:color w:val="auto"/>
                <w:w w:val="92"/>
              </w:rPr>
              <w:t>(In millions, except per share data)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during the period</w:t>
            </w:r>
          </w:p>
        </w:tc>
        <w:tc>
          <w:tcPr>
            <w:tcW w:w="10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38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80" w:type="dxa"/>
            <w:vAlign w:val="bottom"/>
            <w:vMerge w:val="continue"/>
          </w:tcPr>
          <w:p>
            <w:pPr>
              <w:spacing w:after="0"/>
              <w:rPr>
                <w:sz w:val="20"/>
                <w:szCs w:val="20"/>
                <w:color w:val="auto"/>
              </w:rPr>
            </w:pP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7"/>
        </w:trPr>
        <w:tc>
          <w:tcPr>
            <w:tcW w:w="63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67"/>
        </w:trPr>
        <w:tc>
          <w:tcPr>
            <w:tcW w:w="638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PER COMMON SHARE: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80"/>
              <w:spacing w:after="0"/>
              <w:rPr>
                <w:sz w:val="20"/>
                <w:szCs w:val="20"/>
                <w:color w:val="auto"/>
              </w:rPr>
            </w:pPr>
            <w:r>
              <w:rPr>
                <w:rFonts w:ascii="Arial" w:cs="Arial" w:eastAsia="Arial" w:hAnsi="Arial"/>
                <w:sz w:val="18"/>
                <w:szCs w:val="18"/>
                <w:color w:val="auto"/>
              </w:rPr>
              <w:t>during the period</w:t>
            </w:r>
          </w:p>
        </w:tc>
        <w:tc>
          <w:tcPr>
            <w:tcW w:w="102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Common Shares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6380" w:type="dxa"/>
            <w:vAlign w:val="bottom"/>
          </w:tcPr>
          <w:p>
            <w:pPr>
              <w:ind w:left="380"/>
              <w:spacing w:after="0"/>
              <w:rPr>
                <w:sz w:val="20"/>
                <w:szCs w:val="20"/>
                <w:color w:val="auto"/>
              </w:rPr>
            </w:pPr>
            <w:r>
              <w:rPr>
                <w:rFonts w:ascii="Arial" w:cs="Arial" w:eastAsia="Arial" w:hAnsi="Arial"/>
                <w:sz w:val="18"/>
                <w:szCs w:val="18"/>
                <w:color w:val="auto"/>
              </w:rPr>
              <w:t>Weighted-average number of Common Shares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7"/>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 and dilutive potential Common Shares</w:t>
            </w: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3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Federal</w:t>
            </w:r>
          </w:p>
        </w:tc>
        <w:tc>
          <w:tcPr>
            <w:tcW w:w="34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Foreign</w:t>
            </w:r>
          </w:p>
        </w:tc>
        <w:tc>
          <w:tcPr>
            <w:tcW w:w="2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2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3800" w:type="dxa"/>
            <w:vAlign w:val="bottom"/>
          </w:tcPr>
          <w:p>
            <w:pPr>
              <w:ind w:left="40"/>
              <w:spacing w:after="0"/>
              <w:rPr>
                <w:sz w:val="20"/>
                <w:szCs w:val="20"/>
                <w:color w:val="auto"/>
              </w:rPr>
            </w:pPr>
            <w:r>
              <w:rPr>
                <w:rFonts w:ascii="Arial" w:cs="Arial" w:eastAsia="Arial" w:hAnsi="Arial"/>
                <w:sz w:val="18"/>
                <w:szCs w:val="18"/>
                <w:color w:val="auto"/>
              </w:rPr>
              <w:t>Deferred:</w:t>
            </w:r>
          </w:p>
        </w:tc>
        <w:tc>
          <w:tcPr>
            <w:tcW w:w="22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State</w:t>
            </w:r>
          </w:p>
        </w:tc>
        <w:tc>
          <w:tcPr>
            <w:tcW w:w="2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38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226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2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174"/>
              <w:spacing w:after="0"/>
              <w:rPr>
                <w:sz w:val="20"/>
                <w:szCs w:val="20"/>
                <w:color w:val="auto"/>
              </w:rPr>
            </w:pPr>
            <w:r>
              <w:rPr>
                <w:rFonts w:ascii="Arial" w:cs="Arial" w:eastAsia="Arial" w:hAnsi="Arial"/>
                <w:sz w:val="18"/>
                <w:szCs w:val="18"/>
                <w:color w:val="auto"/>
              </w:rPr>
              <w:t>86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15.7</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3507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gridSpan w:val="2"/>
          </w:tcPr>
          <w:p>
            <w:pPr>
              <w:ind w:left="6640"/>
              <w:spacing w:after="0"/>
              <w:rPr>
                <w:sz w:val="20"/>
                <w:szCs w:val="20"/>
                <w:color w:val="auto"/>
              </w:rPr>
            </w:pPr>
            <w:r>
              <w:rPr>
                <w:rFonts w:ascii="Arial" w:cs="Arial" w:eastAsia="Arial" w:hAnsi="Arial"/>
                <w:sz w:val="14"/>
                <w:szCs w:val="14"/>
                <w:b w:val="1"/>
                <w:bCs w:val="1"/>
                <w:color w:val="auto"/>
              </w:rPr>
              <w:t>2014</w:t>
            </w:r>
          </w:p>
        </w:tc>
        <w:tc>
          <w:tcPr>
            <w:tcW w:w="1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2012</w:t>
            </w:r>
          </w:p>
        </w:tc>
      </w:tr>
      <w:tr>
        <w:trPr>
          <w:trHeight w:val="250"/>
        </w:trPr>
        <w:tc>
          <w:tcPr>
            <w:tcW w:w="5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Effect of foreign operations</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(0.5)</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Domestic Production Activities Deduction permanent difference</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(1.5)</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other permanent differences</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Research and Experimentation and other federal tax credits</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Resolution of prior tax contingencies</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7"/>
        </w:trPr>
        <w:tc>
          <w:tcPr>
            <w:tcW w:w="5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Included in “Effect of other permanent differences” in the effective tax rate reconciliation table above are nondeductible fines and penalties of $0.0 million, $0.4 million and $4.8 million for the fiscal years ended September 30, 2014, 2013, and 2012 respectively, from the settlement of previously disclosed U.S. EPA and U.S. DOJ investigations. The Company does not expect to incur additional costs related to these investigations.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r>
      <w:tr>
        <w:trPr>
          <w:trHeight w:val="250"/>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13.7</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Postretirement benefits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33.7</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State NOL carryovers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NOL carryovers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Foreign tax credit carryovers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187.5</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w:t>
            </w: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liability</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360" w:type="dxa"/>
            <w:vAlign w:val="bottom"/>
            <w:gridSpan w:val="4"/>
          </w:tcPr>
          <w:p>
            <w:pPr>
              <w:ind w:left="440"/>
              <w:spacing w:after="0"/>
              <w:rPr>
                <w:sz w:val="20"/>
                <w:szCs w:val="20"/>
                <w:color w:val="auto"/>
              </w:rPr>
            </w:pPr>
            <w:r>
              <w:rPr>
                <w:rFonts w:ascii="Arial" w:cs="Arial" w:eastAsia="Arial" w:hAnsi="Arial"/>
                <w:sz w:val="18"/>
                <w:szCs w:val="18"/>
                <w:color w:val="auto"/>
                <w:w w:val="89"/>
              </w:rPr>
              <w:t>The net current and non-current components of deferred income taxes recognized in the Consolidated Balance Sheets were:</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2"/>
        </w:trPr>
        <w:tc>
          <w:tcPr>
            <w:tcW w:w="7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24"/>
                <w:szCs w:val="24"/>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r>
      <w:tr>
        <w:trPr>
          <w:trHeight w:val="250"/>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tax assets (classified with prepaid and other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non-current deferred tax liabilities (classified with other liabilities)</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$48.3 million and $51.5 million of deferred tax assets as of September 30, 2014, and September 30, 2013, respectively. Most of these valuation allowances relate to certain foreign net operating losses, as explained further below.</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The foreign net operating losses of these foreign disregarded entities were $183.3 million at September 30, 2014, the majority of which have indefinite carryforward periods. The statutory tax benefit of these net operating loss carryovers, and related full valuation allowances thereon, amounted to $45.5 million and $49.7 million for the fiscal years ended September 30, 2014 and September 30, 2013, respectively.</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Foreign net operating losses of certain controlled foreign corporations were $11.0 million as of September 30, 2014, the majority of which have indefinite carryforward periods. Due to a history of losses in these entities, a full valuation allowance has also been placed against the statutory tax benefit associated with these losses amounting to $2.7 million and $1.8 million at September 30, 2014 and September 30, 2013, respectively.</w:t>
      </w:r>
    </w:p>
    <w:p>
      <w:pPr>
        <w:sectPr>
          <w:pgSz w:w="11900" w:h="16838" w:orient="portrait"/>
          <w:cols w:equalWidth="0" w:num="1">
            <w:col w:w="11420"/>
          </w:cols>
          <w:pgMar w:left="240" w:top="122"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State net operating losses were $17.3 million as of September 30, 2014, with carryforward periods ranging from 5 to 20 years. Any losses not utilized within a specific state’s carryforward period will expire. Tax benefits associated with state tax credits will expire if not utilized and amounted to $0.6 million and $0.5 million at September 30, 2014 and September 30, 2013. No valuation allowance has been placed against these net operating losses and credits as the Company should fully utilize them within their respective carryover periods.</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Deferred taxes have not been provided on unremitted earnings of $153.0 million for certain foreign subsidiaries and foreign corporate joint ventures as such earnings have been indefinitely reinvested. These foreign entities held cash and cash equivalents of $59.9 million and $120.4 million at September 30, 2014 and September 30, 2013, respectively. Our current plans do not demonstrate a need to, nor do we have plans to, repatriate the retained earnings from these subsidiaries as the earnings are indefinitely reinvested. In the future, if we determine it is necessary to repatriate these funds, or we sell or liquidate any of these subsidiaries, we may be required to pay associated taxes on the repatriation. We may also be required to withhold foreign taxes depending on the foreign jurisdiction from which the funds are repatriated. The effective rate of tax on such repatriations may materially differ from the federal statutory tax rate and could have a material impact on tax expense in the year of repatriation; however, the Company cannot reasonably estimate the amount of such a tax event.</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had $11.2 million, $6.7 million and $7.0 million of gross unrecognized tax benefits related to uncertain tax positions at September 30, 2014, 2013 and 2012, respectively. Included in the September 30, 2014, 2013 and 2012 balances were $8.5 million, $6.7 million and $6.9 million, respectively, of unrecognized tax benefits that, if recognized, would have an impact on the effective tax rate.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r>
      <w:tr>
        <w:trPr>
          <w:trHeight w:val="250"/>
        </w:trPr>
        <w:tc>
          <w:tcPr>
            <w:tcW w:w="5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Expiration of statutes of limitation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continues to recognize accrued interest and penalties related to unrecognized tax benefits as a component of the provision for income taxes. As of September 30, 2014, 2013 and 2012, respectively, the Company had $1.8 million, $1.8 million and $1.8 million accrued for the payment of interest that, if recognized, would impact the effective tax rate. As of September 30, 2014, 2013 and 2012, respectively, the Company had $0.6 million, $0.7 million and $0.8 million accrued for the payment of penalties that, if recognized, would impact the effective tax rate. For the year ended September 30, 2014, the Company recognized $0.3 million of tax interest and tax penalties in its Consolidated Statement of Operations.</w:t>
      </w:r>
    </w:p>
    <w:p>
      <w:pPr>
        <w:spacing w:after="0" w:line="11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With few exceptions, which are discussed below, the Company is no longer subject to examinations by these tax authorities for fiscal years prior to fiscal 2011. The Company is currently under examination by the Internal Revenue Service and certain foreign and U.S. state and local tax authorities. The U.S. Federal examination is limited to fiscal year 2011. Regarding the foreign jurisdictions, an audit is currently underway in France for fiscal 2010 through fiscal 2012. In regard to the U.S. state and local audits, the tax periods under examinations are limited to fiscal 2009 through fiscal 2012. In addition to these aforementioned audits, certain other tax deficiency notices and refund claims for previous years remain unresolved.</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currently anticipates that few of its open and active audits will be resolved in the next 12 months. The Company is unable to make a reasonably reliable estimate as to when or if cash settlements with taxing authorities may occur. Although audit outcomes and the timing of audit payments are subject to significant uncertainty, the Company does not anticipate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 resolution of these tax matters or any events related thereto will result in a material change to its consolidated financial position, results of operations or cash flows.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and as such, the Company’s tax provision includes the impact of recording reserves and changes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INSTRUMENTS AND HEDGING ACTIVITIES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uses foreign currency forward contracts to manage the exchange rate risk associated with intercompany loans with foreign subsidiaries that are denominated in local currencies. At September 30, 2014, the notional amount of outstanding foreign currency forward contracts was $149.0 million, with a negative fair value of $0.1 million. At September 30, 2013, the notional amount of outstanding foreign currency forward contracts was $80.4 million, with a negative fair value of $2.1 million. The unrealized loss on the foreign currency forward contracts approximates the unrealized gain on the intercompany loans recognized by the Company’s lending subsidiaries. The outstanding contracts will mature over fiscal 2015.</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enters into interest rate swap agreements to hedge changes in cash flows attributable to interest rate risk on debt instruments. The fair values are reflected in the Company’s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 On December 20, 2013, in conjunction with entering into the new credit facility, the Company recognized hedge ineffectiveness of $2.0 million which was recorded to interest expense.</w:t>
      </w:r>
    </w:p>
    <w:p>
      <w:pPr>
        <w:spacing w:after="0" w:line="13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At September 30, 2014 and 2013, the Company had outstanding interest rate swap agreements with major financial institutions that effectively converted a portion of the Company’s variable-rate debt to a fixed rate. The swap agreements had a total U.S. dollar equivalent notional amount of $1,300.0 million and $1,100.0 million at September 30, 2014 and 2013 respectively. Refer to “NOTE 10. DEBT” for the terms of the swap agreements outstanding at 2014. Included in the AOCI balance at September 30, 2014 was a loss of $6.3 million related to interest rate swap agreements that is expected to be reclassified to earnings during the next 12 months, consistent with the timing of the underlying hedged transactions.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has outstanding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AOCI within the Consolidated Balance Sheets. Realized gains or losses remain as a component of AOCI until the related inventory is sold. Upon sale of the underlying inventory, the gain or loss is reclassified to cost of sales. Included in the AOCI balance at September 30, 2014 was an immaterial gain related to urea derivatives that is expected to be reclassified to earnings during the next 12 months, consistent with the timing of the underlying hedged transactions.</w:t>
      </w:r>
    </w:p>
    <w:p>
      <w:pPr>
        <w:spacing w:after="0" w:line="11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consumption of the fuel, the gain or loss is reclassified to cost of sales. Included in the AOCI balance at September 30, 2014 was a loss of $0.1 million related to fuel derivatives that is expected to be reclassified to earnings during the next 12 months. The amounts recorded in earnings related to ineffectiveness of derivative hedges for the years ended September, 30, 2014, 2013, and 2012 were not significant.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Commodity</w:t>
            </w:r>
          </w:p>
        </w:tc>
        <w:tc>
          <w:tcPr>
            <w:tcW w:w="1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Urea</w:t>
            </w:r>
          </w:p>
        </w:tc>
        <w:tc>
          <w:tcPr>
            <w:tcW w:w="1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w w:val="89"/>
              </w:rPr>
              <w:t>58,500 tons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49,500 tons</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1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5,250,000 gallons</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3,528,000 gallons</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Gasoline</w:t>
            </w:r>
          </w:p>
        </w:tc>
        <w:tc>
          <w:tcPr>
            <w:tcW w:w="1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462,000 gallons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630,000 gallons</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1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4,494,000 gallons</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2,940,000 gallons</w:t>
            </w: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8"/>
              </w:rPr>
              <w:t>Fair Values of Derivative Instruments</w:t>
            </w:r>
          </w:p>
        </w:tc>
        <w:tc>
          <w:tcPr>
            <w:tcW w:w="258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7580" w:type="dxa"/>
            <w:vAlign w:val="bottom"/>
            <w:gridSpan w:val="5"/>
          </w:tcPr>
          <w:p>
            <w:pPr>
              <w:ind w:left="220"/>
              <w:spacing w:after="0"/>
              <w:rPr>
                <w:sz w:val="20"/>
                <w:szCs w:val="20"/>
                <w:color w:val="auto"/>
              </w:rPr>
            </w:pPr>
            <w:r>
              <w:rPr>
                <w:rFonts w:ascii="Arial" w:cs="Arial" w:eastAsia="Arial" w:hAnsi="Arial"/>
                <w:sz w:val="18"/>
                <w:szCs w:val="18"/>
                <w:color w:val="auto"/>
              </w:rPr>
              <w:t>The fair values of the Company’s derivative instruments were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w w:val="98"/>
              </w:rPr>
              <w:t>Assets / (Liabilities)</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180" w:type="dxa"/>
            <w:vAlign w:val="bottom"/>
            <w:gridSpan w:val="2"/>
          </w:tcPr>
          <w:p>
            <w:pPr>
              <w:ind w:left="640"/>
              <w:spacing w:after="0"/>
              <w:rPr>
                <w:sz w:val="20"/>
                <w:szCs w:val="20"/>
                <w:color w:val="auto"/>
              </w:rPr>
            </w:pPr>
            <w:r>
              <w:rPr>
                <w:rFonts w:ascii="Arial" w:cs="Arial" w:eastAsia="Arial" w:hAnsi="Arial"/>
                <w:sz w:val="14"/>
                <w:szCs w:val="14"/>
                <w:b w:val="1"/>
                <w:bCs w:val="1"/>
                <w:color w:val="auto"/>
                <w:w w:val="96"/>
              </w:rPr>
              <w:t>Balance Sheet Location</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center"/>
              <w:ind w:right="354"/>
              <w:spacing w:after="0"/>
              <w:rPr>
                <w:sz w:val="20"/>
                <w:szCs w:val="20"/>
                <w:color w:val="auto"/>
              </w:rPr>
            </w:pPr>
            <w:r>
              <w:rPr>
                <w:rFonts w:ascii="Arial" w:cs="Arial" w:eastAsia="Arial" w:hAnsi="Arial"/>
                <w:sz w:val="14"/>
                <w:szCs w:val="14"/>
                <w:b w:val="1"/>
                <w:bCs w:val="1"/>
                <w:color w:val="auto"/>
                <w:w w:val="95"/>
              </w:rPr>
              <w:t>Fair Value</w:t>
            </w:r>
          </w:p>
        </w:tc>
        <w:tc>
          <w:tcPr>
            <w:tcW w:w="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20" w:type="dxa"/>
            <w:vAlign w:val="bottom"/>
            <w:tcBorders>
              <w:top w:val="single" w:sz="8" w:color="auto"/>
            </w:tcBorders>
          </w:tcPr>
          <w:p>
            <w:pPr>
              <w:spacing w:after="0"/>
              <w:rPr>
                <w:sz w:val="22"/>
                <w:szCs w:val="22"/>
                <w:color w:val="auto"/>
              </w:rPr>
            </w:pPr>
          </w:p>
        </w:tc>
        <w:tc>
          <w:tcPr>
            <w:tcW w:w="282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jc w:val="center"/>
              <w:ind w:right="354"/>
              <w:spacing w:after="0"/>
              <w:rPr>
                <w:sz w:val="20"/>
                <w:szCs w:val="20"/>
                <w:color w:val="auto"/>
              </w:rPr>
            </w:pPr>
            <w:r>
              <w:rPr>
                <w:rFonts w:ascii="Arial" w:cs="Arial" w:eastAsia="Arial" w:hAnsi="Arial"/>
                <w:sz w:val="14"/>
                <w:szCs w:val="14"/>
                <w:b w:val="1"/>
                <w:bCs w:val="1"/>
                <w:color w:val="auto"/>
                <w:w w:val="96"/>
              </w:rPr>
              <w:t>(In millions)</w:t>
            </w: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0" w:type="dxa"/>
            <w:vAlign w:val="bottom"/>
            <w:tcBorders>
              <w:bottom w:val="single" w:sz="8" w:color="CCEEFF"/>
            </w:tcBorders>
            <w:shd w:val="clear" w:color="auto" w:fill="CCEEFF"/>
          </w:tcPr>
          <w:p>
            <w:pPr>
              <w:spacing w:after="0"/>
              <w:rPr>
                <w:sz w:val="22"/>
                <w:szCs w:val="22"/>
                <w:color w:val="auto"/>
              </w:rPr>
            </w:pPr>
          </w:p>
        </w:tc>
        <w:tc>
          <w:tcPr>
            <w:tcW w:w="54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Interest rate swap agreements</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400" w:type="dxa"/>
            <w:vAlign w:val="bottom"/>
            <w:gridSpan w:val="3"/>
          </w:tcPr>
          <w:p>
            <w:pPr>
              <w:ind w:left="160"/>
              <w:spacing w:after="0"/>
              <w:rPr>
                <w:sz w:val="20"/>
                <w:szCs w:val="20"/>
                <w:color w:val="auto"/>
              </w:rPr>
            </w:pPr>
            <w:r>
              <w:rPr>
                <w:rFonts w:ascii="Arial" w:cs="Arial" w:eastAsia="Arial" w:hAnsi="Arial"/>
                <w:sz w:val="18"/>
                <w:szCs w:val="18"/>
                <w:color w:val="auto"/>
              </w:rPr>
              <w:t>Commodity hedging instruments</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Prepaid and other assets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vMerge w:val="restart"/>
          </w:tcPr>
          <w:p>
            <w:pPr>
              <w:spacing w:after="0"/>
              <w:rPr>
                <w:sz w:val="2"/>
                <w:szCs w:val="2"/>
                <w:color w:val="auto"/>
              </w:rPr>
            </w:pPr>
          </w:p>
        </w:tc>
        <w:tc>
          <w:tcPr>
            <w:tcW w:w="21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w w:val="96"/>
              </w:rPr>
              <w:t>Balance Sheet Location</w:t>
            </w: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18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50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180" w:type="dxa"/>
            <w:vAlign w:val="bottom"/>
            <w:tcBorders>
              <w:bottom w:val="single" w:sz="8" w:color="auto"/>
            </w:tcBorders>
            <w:gridSpan w:val="2"/>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Foreign currency forward contracts</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400" w:type="dxa"/>
            <w:vAlign w:val="bottom"/>
            <w:gridSpan w:val="3"/>
          </w:tcPr>
          <w:p>
            <w:pPr>
              <w:ind w:left="160"/>
              <w:spacing w:after="0"/>
              <w:rPr>
                <w:sz w:val="20"/>
                <w:szCs w:val="20"/>
                <w:color w:val="auto"/>
              </w:rPr>
            </w:pPr>
            <w:r>
              <w:rPr>
                <w:rFonts w:ascii="Arial" w:cs="Arial" w:eastAsia="Arial" w:hAnsi="Arial"/>
                <w:sz w:val="18"/>
                <w:szCs w:val="18"/>
                <w:color w:val="auto"/>
              </w:rPr>
              <w:t>Commodity hedging instruments</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15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ind w:left="40"/>
              <w:spacing w:after="0"/>
              <w:rPr>
                <w:sz w:val="20"/>
                <w:szCs w:val="20"/>
                <w:color w:val="auto"/>
              </w:rPr>
            </w:pPr>
            <w:r>
              <w:rPr>
                <w:rFonts w:ascii="Arial" w:cs="Arial" w:eastAsia="Arial" w:hAnsi="Arial"/>
                <w:sz w:val="18"/>
                <w:szCs w:val="18"/>
                <w:color w:val="auto"/>
              </w:rPr>
              <w:t>Total derivatives</w:t>
            </w: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4"/>
            <w:vMerge w:val="continue"/>
          </w:tcPr>
          <w:p>
            <w:pPr>
              <w:spacing w:after="0"/>
              <w:rPr>
                <w:sz w:val="20"/>
                <w:szCs w:val="20"/>
                <w:color w:val="auto"/>
              </w:rPr>
            </w:pPr>
          </w:p>
        </w:tc>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0" w:type="dxa"/>
            <w:vAlign w:val="bottom"/>
          </w:tcPr>
          <w:p>
            <w:pPr>
              <w:spacing w:after="0"/>
              <w:rPr>
                <w:sz w:val="24"/>
                <w:szCs w:val="24"/>
                <w:color w:val="auto"/>
              </w:rPr>
            </w:pPr>
          </w:p>
        </w:tc>
        <w:tc>
          <w:tcPr>
            <w:tcW w:w="10660" w:type="dxa"/>
            <w:vAlign w:val="bottom"/>
            <w:gridSpan w:val="12"/>
          </w:tcPr>
          <w:p>
            <w:pPr>
              <w:jc w:val="right"/>
              <w:ind w:right="94"/>
              <w:spacing w:after="0"/>
              <w:rPr>
                <w:sz w:val="20"/>
                <w:szCs w:val="20"/>
                <w:color w:val="auto"/>
              </w:rPr>
            </w:pPr>
            <w:r>
              <w:rPr>
                <w:rFonts w:ascii="Arial" w:cs="Arial" w:eastAsia="Arial" w:hAnsi="Arial"/>
                <w:sz w:val="18"/>
                <w:szCs w:val="18"/>
                <w:color w:val="auto"/>
                <w:w w:val="92"/>
              </w:rPr>
              <w:t>The effect of derivative instruments on AOCI and the Consolidated Statements of Operations for the year ended September 30 was as follows: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jc w:val="center"/>
              <w:ind w:left="477"/>
              <w:spacing w:after="0"/>
              <w:rPr>
                <w:sz w:val="20"/>
                <w:szCs w:val="20"/>
                <w:color w:val="auto"/>
              </w:rPr>
            </w:pPr>
            <w:r>
              <w:rPr>
                <w:rFonts w:ascii="Arial" w:cs="Arial" w:eastAsia="Arial" w:hAnsi="Arial"/>
                <w:sz w:val="14"/>
                <w:szCs w:val="14"/>
                <w:b w:val="1"/>
                <w:bCs w:val="1"/>
                <w:color w:val="auto"/>
                <w:w w:val="92"/>
              </w:rPr>
              <w:t>Amount of Gain/(Loss)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right="254"/>
              <w:spacing w:after="0"/>
              <w:rPr>
                <w:sz w:val="20"/>
                <w:szCs w:val="20"/>
                <w:color w:val="auto"/>
              </w:rPr>
            </w:pPr>
            <w:r>
              <w:rPr>
                <w:rFonts w:ascii="Arial" w:cs="Arial" w:eastAsia="Arial" w:hAnsi="Arial"/>
                <w:sz w:val="14"/>
                <w:szCs w:val="14"/>
                <w:b w:val="1"/>
                <w:bCs w:val="1"/>
                <w:color w:val="auto"/>
                <w:w w:val="95"/>
              </w:rPr>
              <w:t>Recognized in AOCI</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20" w:type="dxa"/>
            <w:vAlign w:val="bottom"/>
            <w:tcBorders>
              <w:top w:val="single" w:sz="8" w:color="auto"/>
            </w:tcBorders>
          </w:tcPr>
          <w:p>
            <w:pPr>
              <w:spacing w:after="0"/>
              <w:rPr>
                <w:sz w:val="22"/>
                <w:szCs w:val="22"/>
                <w:color w:val="auto"/>
              </w:rPr>
            </w:pPr>
          </w:p>
        </w:tc>
        <w:tc>
          <w:tcPr>
            <w:tcW w:w="282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jc w:val="center"/>
              <w:ind w:right="354"/>
              <w:spacing w:after="0"/>
              <w:rPr>
                <w:sz w:val="20"/>
                <w:szCs w:val="20"/>
                <w:color w:val="auto"/>
              </w:rPr>
            </w:pPr>
            <w:r>
              <w:rPr>
                <w:rFonts w:ascii="Arial" w:cs="Arial" w:eastAsia="Arial" w:hAnsi="Arial"/>
                <w:sz w:val="14"/>
                <w:szCs w:val="14"/>
                <w:b w:val="1"/>
                <w:bCs w:val="1"/>
                <w:color w:val="auto"/>
                <w:w w:val="96"/>
              </w:rPr>
              <w:t>(In millions)</w:t>
            </w: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5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Commodity hedging instruments</w:t>
            </w:r>
          </w:p>
        </w:tc>
        <w:tc>
          <w:tcPr>
            <w:tcW w:w="1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ind w:right="2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2"/>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0" w:type="dxa"/>
            <w:vAlign w:val="bottom"/>
            <w:tcBorders>
              <w:bottom w:val="single" w:sz="8" w:color="CCEEFF"/>
            </w:tcBorders>
            <w:shd w:val="clear" w:color="auto" w:fill="CCEEFF"/>
          </w:tcPr>
          <w:p>
            <w:pPr>
              <w:spacing w:after="0"/>
              <w:rPr>
                <w:sz w:val="22"/>
                <w:szCs w:val="22"/>
                <w:color w:val="auto"/>
              </w:rPr>
            </w:pPr>
          </w:p>
        </w:tc>
        <w:tc>
          <w:tcPr>
            <w:tcW w:w="54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91</w:t>
            </w:r>
          </w:p>
        </w:tc>
        <w:tc>
          <w:tcPr>
            <w:tcW w:w="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ind w:left="780"/>
              <w:spacing w:after="0"/>
              <w:rPr>
                <w:sz w:val="20"/>
                <w:szCs w:val="20"/>
                <w:color w:val="auto"/>
              </w:rPr>
            </w:pPr>
            <w:r>
              <w:rPr>
                <w:rFonts w:ascii="Arial" w:cs="Arial" w:eastAsia="Arial" w:hAnsi="Arial"/>
                <w:sz w:val="14"/>
                <w:szCs w:val="14"/>
                <w:b w:val="1"/>
                <w:bCs w:val="1"/>
                <w:color w:val="auto"/>
              </w:rPr>
              <w:t>Reclassified From AOCI Into</w:t>
            </w: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Gain/(Loss)</w:t>
            </w: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40" w:type="dxa"/>
            <w:vAlign w:val="bottom"/>
            <w:gridSpan w:val="2"/>
          </w:tcPr>
          <w:p>
            <w:pPr>
              <w:ind w:left="920"/>
              <w:spacing w:after="0"/>
              <w:rPr>
                <w:sz w:val="20"/>
                <w:szCs w:val="20"/>
                <w:color w:val="auto"/>
              </w:rPr>
            </w:pPr>
            <w:r>
              <w:rPr>
                <w:rFonts w:ascii="Arial" w:cs="Arial" w:eastAsia="Arial" w:hAnsi="Arial"/>
                <w:sz w:val="14"/>
                <w:szCs w:val="14"/>
                <w:b w:val="1"/>
                <w:bCs w:val="1"/>
                <w:color w:val="auto"/>
              </w:rPr>
              <w:t>Statement of Operations</w:t>
            </w:r>
          </w:p>
        </w:tc>
        <w:tc>
          <w:tcPr>
            <w:tcW w:w="36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64"/>
        </w:trPr>
        <w:tc>
          <w:tcPr>
            <w:tcW w:w="4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Borders>
              <w:top w:val="single" w:sz="8" w:color="auto"/>
            </w:tcBorders>
          </w:tcPr>
          <w:p>
            <w:pPr>
              <w:spacing w:after="0"/>
              <w:rPr>
                <w:sz w:val="22"/>
                <w:szCs w:val="22"/>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6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Gain/(Loss)</w:t>
            </w: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4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in Statement of Operations</w:t>
            </w:r>
          </w:p>
        </w:tc>
        <w:tc>
          <w:tcPr>
            <w:tcW w:w="36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64"/>
        </w:trPr>
        <w:tc>
          <w:tcPr>
            <w:tcW w:w="4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Borders>
              <w:top w:val="single" w:sz="8" w:color="auto"/>
            </w:tcBorders>
          </w:tcPr>
          <w:p>
            <w:pPr>
              <w:spacing w:after="0"/>
              <w:rPr>
                <w:sz w:val="22"/>
                <w:szCs w:val="22"/>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firstLine="432"/>
        <w:spacing w:after="0" w:line="334"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quoted prices included in Level 1, such as quoted prices for similar assets and liabilities in active markets; quoted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for similar assets and liabilities in markets that are not active; or other inputs that are observable or can be corroborated by observable market data.</w:t>
      </w:r>
    </w:p>
    <w:p>
      <w:pPr>
        <w:spacing w:after="0" w:line="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The fair value of foreign currency forward contracts is determined based on changes in spot rates.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Consolidated Balance Sheets, except for amounts expected to be settled within the next 12 months, which are included within prepaid and other current assets and other current liabilities.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September 30, 2014 and describes the valuation methodologies used for non-financial assets and liabilities measured at fair value, as well as the general classification within the valuation hierarchy: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920" w:type="dxa"/>
            <w:vAlign w:val="bottom"/>
            <w:gridSpan w:val="2"/>
          </w:tcPr>
          <w:p>
            <w:pPr>
              <w:jc w:val="center"/>
              <w:ind w:right="224"/>
              <w:spacing w:after="0"/>
              <w:rPr>
                <w:sz w:val="20"/>
                <w:szCs w:val="20"/>
                <w:color w:val="auto"/>
              </w:rPr>
            </w:pPr>
            <w:r>
              <w:rPr>
                <w:rFonts w:ascii="Arial" w:cs="Arial" w:eastAsia="Arial" w:hAnsi="Arial"/>
                <w:sz w:val="14"/>
                <w:szCs w:val="14"/>
                <w:b w:val="1"/>
                <w:bCs w:val="1"/>
                <w:color w:val="auto"/>
                <w:w w:val="92"/>
              </w:rPr>
              <w:t>Quoted Prices in Active</w:t>
            </w:r>
          </w:p>
        </w:tc>
        <w:tc>
          <w:tcPr>
            <w:tcW w:w="1860" w:type="dxa"/>
            <w:vAlign w:val="bottom"/>
          </w:tcPr>
          <w:p>
            <w:pPr>
              <w:jc w:val="center"/>
              <w:ind w:right="585"/>
              <w:spacing w:after="0"/>
              <w:rPr>
                <w:sz w:val="20"/>
                <w:szCs w:val="20"/>
                <w:color w:val="auto"/>
              </w:rPr>
            </w:pPr>
            <w:r>
              <w:rPr>
                <w:rFonts w:ascii="Arial" w:cs="Arial" w:eastAsia="Arial" w:hAnsi="Arial"/>
                <w:sz w:val="14"/>
                <w:szCs w:val="14"/>
                <w:b w:val="1"/>
                <w:bCs w:val="1"/>
                <w:color w:val="auto"/>
                <w:w w:val="95"/>
              </w:rPr>
              <w:t>Significant Other</w:t>
            </w:r>
          </w:p>
        </w:tc>
        <w:tc>
          <w:tcPr>
            <w:tcW w:w="1260" w:type="dxa"/>
            <w:vAlign w:val="bottom"/>
            <w:vMerge w:val="restart"/>
          </w:tcPr>
          <w:p>
            <w:pPr>
              <w:jc w:val="center"/>
              <w:ind w:right="304"/>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364"/>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60" w:type="dxa"/>
            <w:vAlign w:val="bottom"/>
          </w:tcPr>
          <w:p>
            <w:pPr>
              <w:jc w:val="center"/>
              <w:ind w:right="585"/>
              <w:spacing w:after="0" w:line="149" w:lineRule="exact"/>
              <w:rPr>
                <w:sz w:val="20"/>
                <w:szCs w:val="20"/>
                <w:color w:val="auto"/>
              </w:rPr>
            </w:pPr>
            <w:r>
              <w:rPr>
                <w:rFonts w:ascii="Arial" w:cs="Arial" w:eastAsia="Arial" w:hAnsi="Arial"/>
                <w:sz w:val="14"/>
                <w:szCs w:val="14"/>
                <w:b w:val="1"/>
                <w:bCs w:val="1"/>
                <w:color w:val="auto"/>
                <w:w w:val="94"/>
              </w:rPr>
              <w:t>Observable</w:t>
            </w: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vMerge w:val="restart"/>
          </w:tcPr>
          <w:p>
            <w:pPr>
              <w:jc w:val="center"/>
              <w:ind w:right="2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344"/>
              <w:spacing w:after="0" w:line="149" w:lineRule="exact"/>
              <w:rPr>
                <w:sz w:val="20"/>
                <w:szCs w:val="20"/>
                <w:color w:val="auto"/>
              </w:rPr>
            </w:pPr>
            <w:r>
              <w:rPr>
                <w:rFonts w:ascii="Arial" w:cs="Arial" w:eastAsia="Arial" w:hAnsi="Arial"/>
                <w:sz w:val="14"/>
                <w:szCs w:val="14"/>
                <w:b w:val="1"/>
                <w:bCs w:val="1"/>
                <w:color w:val="auto"/>
                <w:w w:val="82"/>
              </w:rPr>
              <w:t>Assets</w:t>
            </w:r>
          </w:p>
        </w:tc>
        <w:tc>
          <w:tcPr>
            <w:tcW w:w="1860" w:type="dxa"/>
            <w:vAlign w:val="bottom"/>
          </w:tcPr>
          <w:p>
            <w:pPr>
              <w:jc w:val="center"/>
              <w:ind w:right="585"/>
              <w:spacing w:after="0" w:line="149" w:lineRule="exact"/>
              <w:rPr>
                <w:sz w:val="20"/>
                <w:szCs w:val="20"/>
                <w:color w:val="auto"/>
              </w:rPr>
            </w:pPr>
            <w:r>
              <w:rPr>
                <w:rFonts w:ascii="Arial" w:cs="Arial" w:eastAsia="Arial" w:hAnsi="Arial"/>
                <w:sz w:val="14"/>
                <w:szCs w:val="14"/>
                <w:b w:val="1"/>
                <w:bCs w:val="1"/>
                <w:color w:val="auto"/>
                <w:w w:val="95"/>
              </w:rPr>
              <w:t>Inputs</w:t>
            </w:r>
          </w:p>
        </w:tc>
        <w:tc>
          <w:tcPr>
            <w:tcW w:w="126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44"/>
              <w:spacing w:after="0"/>
              <w:rPr>
                <w:sz w:val="20"/>
                <w:szCs w:val="20"/>
                <w:color w:val="auto"/>
              </w:rPr>
            </w:pPr>
            <w:r>
              <w:rPr>
                <w:rFonts w:ascii="Arial" w:cs="Arial" w:eastAsia="Arial" w:hAnsi="Arial"/>
                <w:sz w:val="14"/>
                <w:szCs w:val="14"/>
                <w:b w:val="1"/>
                <w:bCs w:val="1"/>
                <w:color w:val="auto"/>
                <w:w w:val="94"/>
              </w:rPr>
              <w:t>(Level 1)</w:t>
            </w:r>
          </w:p>
        </w:tc>
        <w:tc>
          <w:tcPr>
            <w:tcW w:w="1860" w:type="dxa"/>
            <w:vAlign w:val="bottom"/>
            <w:tcBorders>
              <w:bottom w:val="single" w:sz="8" w:color="auto"/>
            </w:tcBorders>
          </w:tcPr>
          <w:p>
            <w:pPr>
              <w:jc w:val="center"/>
              <w:ind w:right="585"/>
              <w:spacing w:after="0"/>
              <w:rPr>
                <w:sz w:val="20"/>
                <w:szCs w:val="20"/>
                <w:color w:val="auto"/>
              </w:rPr>
            </w:pPr>
            <w:r>
              <w:rPr>
                <w:rFonts w:ascii="Arial" w:cs="Arial" w:eastAsia="Arial" w:hAnsi="Arial"/>
                <w:sz w:val="14"/>
                <w:szCs w:val="14"/>
                <w:b w:val="1"/>
                <w:bCs w:val="1"/>
                <w:color w:val="auto"/>
                <w:w w:val="91"/>
              </w:rPr>
              <w:t>(Level 2)</w:t>
            </w:r>
          </w:p>
        </w:tc>
        <w:tc>
          <w:tcPr>
            <w:tcW w:w="126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860" w:type="dxa"/>
            <w:vAlign w:val="bottom"/>
          </w:tcPr>
          <w:p>
            <w:pPr>
              <w:ind w:left="1080"/>
              <w:spacing w:after="0"/>
              <w:rPr>
                <w:sz w:val="20"/>
                <w:szCs w:val="20"/>
                <w:color w:val="auto"/>
              </w:rPr>
            </w:pPr>
            <w:r>
              <w:rPr>
                <w:rFonts w:ascii="Arial" w:cs="Arial" w:eastAsia="Arial" w:hAnsi="Arial"/>
                <w:sz w:val="14"/>
                <w:szCs w:val="14"/>
                <w:b w:val="1"/>
                <w:bCs w:val="1"/>
                <w:color w:val="auto"/>
                <w:w w:val="96"/>
              </w:rPr>
              <w:t>(In millions)</w:t>
            </w: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sub-brands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8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92.3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05" w:lineRule="auto"/>
        <w:rPr>
          <w:sz w:val="20"/>
          <w:szCs w:val="20"/>
          <w:color w:val="auto"/>
        </w:rPr>
      </w:pPr>
      <w:r>
        <w:rPr>
          <w:rFonts w:ascii="Arial" w:cs="Arial" w:eastAsia="Arial" w:hAnsi="Arial"/>
          <w:sz w:val="18"/>
          <w:szCs w:val="18"/>
          <w:color w:val="auto"/>
        </w:rPr>
        <w:t>As a result of the Company's impairment review performed in the third quarter of fiscal 2014, the Company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remaining fair value of the indefinite-lived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sub-brands is $92.3 million.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using a royalty savings methodology similar to that employed when the associated business was acquired with updated estimates of sales, cash flow and profitability.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September 30, 2013 and describes the valuation methodologies used for non-financial assets and liabilities measured at fair value, as well as the general classification within the valuation hierarchy: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92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2"/>
              </w:rPr>
              <w:t>Quoted Prices in Active</w:t>
            </w:r>
          </w:p>
        </w:tc>
        <w:tc>
          <w:tcPr>
            <w:tcW w:w="1860" w:type="dxa"/>
            <w:vAlign w:val="bottom"/>
          </w:tcPr>
          <w:p>
            <w:pPr>
              <w:jc w:val="center"/>
              <w:ind w:right="583"/>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vMerge w:val="restart"/>
          </w:tcPr>
          <w:p>
            <w:pPr>
              <w:jc w:val="center"/>
              <w:ind w:right="741"/>
              <w:spacing w:after="0"/>
              <w:rPr>
                <w:sz w:val="20"/>
                <w:szCs w:val="20"/>
                <w:color w:val="auto"/>
              </w:rPr>
            </w:pPr>
            <w:r>
              <w:rPr>
                <w:rFonts w:ascii="Arial" w:cs="Arial" w:eastAsia="Arial" w:hAnsi="Arial"/>
                <w:sz w:val="14"/>
                <w:szCs w:val="14"/>
                <w:b w:val="1"/>
                <w:bCs w:val="1"/>
                <w:color w:val="auto"/>
                <w:w w:val="90"/>
              </w:rPr>
              <w:t>Unobservable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361"/>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60" w:type="dxa"/>
            <w:vAlign w:val="bottom"/>
          </w:tcPr>
          <w:p>
            <w:pPr>
              <w:jc w:val="center"/>
              <w:ind w:right="583"/>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vMerge w:val="continue"/>
          </w:tcPr>
          <w:p>
            <w:pPr>
              <w:spacing w:after="0"/>
              <w:rPr>
                <w:sz w:val="12"/>
                <w:szCs w:val="12"/>
                <w:color w:val="auto"/>
              </w:rPr>
            </w:pPr>
          </w:p>
        </w:tc>
        <w:tc>
          <w:tcPr>
            <w:tcW w:w="12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341"/>
              <w:spacing w:after="0" w:line="149" w:lineRule="exact"/>
              <w:rPr>
                <w:sz w:val="20"/>
                <w:szCs w:val="20"/>
                <w:color w:val="auto"/>
              </w:rPr>
            </w:pPr>
            <w:r>
              <w:rPr>
                <w:rFonts w:ascii="Arial" w:cs="Arial" w:eastAsia="Arial" w:hAnsi="Arial"/>
                <w:sz w:val="14"/>
                <w:szCs w:val="14"/>
                <w:b w:val="1"/>
                <w:bCs w:val="1"/>
                <w:color w:val="auto"/>
                <w:w w:val="82"/>
              </w:rPr>
              <w:t>Assets</w:t>
            </w:r>
          </w:p>
        </w:tc>
        <w:tc>
          <w:tcPr>
            <w:tcW w:w="1860" w:type="dxa"/>
            <w:vAlign w:val="bottom"/>
          </w:tcPr>
          <w:p>
            <w:pPr>
              <w:jc w:val="center"/>
              <w:ind w:right="583"/>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tcPr>
          <w:p>
            <w:pPr>
              <w:jc w:val="center"/>
              <w:ind w:right="741"/>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4"/>
              </w:rPr>
              <w:t>(Level 1)</w:t>
            </w:r>
          </w:p>
        </w:tc>
        <w:tc>
          <w:tcPr>
            <w:tcW w:w="1860" w:type="dxa"/>
            <w:vAlign w:val="bottom"/>
            <w:tcBorders>
              <w:bottom w:val="single" w:sz="8" w:color="auto"/>
            </w:tcBorders>
          </w:tcPr>
          <w:p>
            <w:pPr>
              <w:jc w:val="center"/>
              <w:ind w:right="583"/>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tcBorders>
              <w:bottom w:val="single" w:sz="8" w:color="auto"/>
            </w:tcBorders>
          </w:tcPr>
          <w:p>
            <w:pPr>
              <w:jc w:val="center"/>
              <w:ind w:right="721"/>
              <w:spacing w:after="0"/>
              <w:rPr>
                <w:sz w:val="20"/>
                <w:szCs w:val="20"/>
                <w:color w:val="auto"/>
              </w:rPr>
            </w:pPr>
            <w:r>
              <w:rPr>
                <w:rFonts w:ascii="Arial" w:cs="Arial" w:eastAsia="Arial" w:hAnsi="Arial"/>
                <w:sz w:val="14"/>
                <w:szCs w:val="14"/>
                <w:b w:val="1"/>
                <w:bCs w:val="1"/>
                <w:color w:val="auto"/>
                <w:w w:val="94"/>
              </w:rPr>
              <w:t>(Level 3)</w:t>
            </w: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860" w:type="dxa"/>
            <w:vAlign w:val="bottom"/>
          </w:tcPr>
          <w:p>
            <w:pPr>
              <w:ind w:left="1080"/>
              <w:spacing w:after="0"/>
              <w:rPr>
                <w:sz w:val="20"/>
                <w:szCs w:val="20"/>
                <w:color w:val="auto"/>
              </w:rPr>
            </w:pPr>
            <w:r>
              <w:rPr>
                <w:rFonts w:ascii="Arial" w:cs="Arial" w:eastAsia="Arial" w:hAnsi="Arial"/>
                <w:sz w:val="14"/>
                <w:szCs w:val="14"/>
                <w:b w:val="1"/>
                <w:bCs w:val="1"/>
                <w:color w:val="auto"/>
                <w:w w:val="96"/>
              </w:rPr>
              <w:t>(In millions)</w:t>
            </w:r>
          </w:p>
        </w:tc>
        <w:tc>
          <w:tcPr>
            <w:tcW w:w="1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 insect repellent technology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8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7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41"/>
        </w:trPr>
        <w:tc>
          <w:tcPr>
            <w:tcW w:w="4700" w:type="dxa"/>
            <w:vAlign w:val="bottom"/>
          </w:tcPr>
          <w:p>
            <w:pPr>
              <w:ind w:left="40"/>
              <w:spacing w:after="0"/>
              <w:rPr>
                <w:sz w:val="20"/>
                <w:szCs w:val="20"/>
                <w:color w:val="auto"/>
              </w:rPr>
            </w:pPr>
            <w:r>
              <w:rPr>
                <w:rFonts w:ascii="Arial" w:cs="Arial" w:eastAsia="Arial" w:hAnsi="Arial"/>
                <w:sz w:val="18"/>
                <w:szCs w:val="18"/>
                <w:color w:val="auto"/>
              </w:rPr>
              <w:t>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sub-brands</w:t>
            </w:r>
          </w:p>
        </w:tc>
        <w:tc>
          <w:tcPr>
            <w:tcW w:w="1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Arial" w:cs="Arial" w:eastAsia="Arial" w:hAnsi="Arial"/>
                <w:sz w:val="18"/>
                <w:szCs w:val="18"/>
                <w:color w:val="auto"/>
              </w:rPr>
              <w:t>—</w:t>
            </w:r>
          </w:p>
        </w:tc>
        <w:tc>
          <w:tcPr>
            <w:tcW w:w="1860" w:type="dxa"/>
            <w:vAlign w:val="bottom"/>
          </w:tcPr>
          <w:p>
            <w:pPr>
              <w:ind w:left="11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81"/>
              <w:spacing w:after="0"/>
              <w:rPr>
                <w:sz w:val="20"/>
                <w:szCs w:val="20"/>
                <w:color w:val="auto"/>
              </w:rPr>
            </w:pPr>
            <w:r>
              <w:rPr>
                <w:rFonts w:ascii="Arial" w:cs="Arial" w:eastAsia="Arial" w:hAnsi="Arial"/>
                <w:sz w:val="18"/>
                <w:szCs w:val="18"/>
                <w:color w:val="auto"/>
              </w:rPr>
              <w:t>126.0</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7"/>
          <w:szCs w:val="17"/>
          <w:color w:val="auto"/>
        </w:rPr>
        <w:t>The intangible asset related to the insect repellent technology was determined to be fully impaired based on the estimated future cash flows associated with the insect repellent technology in relation to its carrying value. Also, as a result of the Company's annual impairment review performed in the fourth quarter of fiscal 2013, the Company recognized an impairment charge for a non-recurring fair value adjustment of $11.6 million within the Global Consumer segment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certain sub-brands of Ortho</w:t>
      </w:r>
      <w:r>
        <w:rPr>
          <w:rFonts w:ascii="Arial" w:cs="Arial" w:eastAsia="Arial" w:hAnsi="Arial"/>
          <w:sz w:val="24"/>
          <w:szCs w:val="24"/>
          <w:color w:val="auto"/>
          <w:vertAlign w:val="superscript"/>
        </w:rPr>
        <w:t>®</w:t>
      </w:r>
      <w:r>
        <w:rPr>
          <w:rFonts w:ascii="Arial" w:cs="Arial" w:eastAsia="Arial" w:hAnsi="Arial"/>
          <w:sz w:val="17"/>
          <w:szCs w:val="17"/>
          <w:color w:val="auto"/>
        </w:rPr>
        <w:t>. Certain finite-lived sub-brands of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were determined to be fully impaired. The remaining fair value of the indefinite-lived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was $126.0 million. The fair value was calculated based upon the evaluation of the historical performance and future growth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using a royalty savings methodology similar to that employed when the associated business was acquired with updated estimates of sales, cash flow and profitability.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OPERATING LEASES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2014, were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2016</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2014, the Company’s residual value guarantee would have approximated $6.4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residual value guarantee amounts that apply at the conclusion of non-cancelable lease terms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0" w:type="dxa"/>
            <w:vAlign w:val="bottom"/>
          </w:tcPr>
          <w:p>
            <w:pPr>
              <w:jc w:val="center"/>
              <w:ind w:left="504"/>
              <w:spacing w:after="0"/>
              <w:rPr>
                <w:sz w:val="20"/>
                <w:szCs w:val="20"/>
                <w:color w:val="auto"/>
              </w:rPr>
            </w:pPr>
            <w:r>
              <w:rPr>
                <w:rFonts w:ascii="Arial" w:cs="Arial" w:eastAsia="Arial" w:hAnsi="Arial"/>
                <w:sz w:val="14"/>
                <w:szCs w:val="14"/>
                <w:b w:val="1"/>
                <w:bCs w:val="1"/>
                <w:color w:val="auto"/>
                <w:w w:val="94"/>
              </w:rPr>
              <w:t>Amount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Lease</w:t>
            </w:r>
          </w:p>
        </w:tc>
      </w:tr>
      <w:tr>
        <w:trPr>
          <w:trHeight w:val="192"/>
        </w:trPr>
        <w:tc>
          <w:tcPr>
            <w:tcW w:w="6980" w:type="dxa"/>
            <w:vAlign w:val="bottom"/>
          </w:tcPr>
          <w:p>
            <w:pPr>
              <w:spacing w:after="0"/>
              <w:rPr>
                <w:sz w:val="16"/>
                <w:szCs w:val="16"/>
                <w:color w:val="auto"/>
              </w:rPr>
            </w:pPr>
          </w:p>
        </w:tc>
        <w:tc>
          <w:tcPr>
            <w:tcW w:w="1600" w:type="dxa"/>
            <w:vAlign w:val="bottom"/>
            <w:tcBorders>
              <w:bottom w:val="single" w:sz="8" w:color="auto"/>
            </w:tcBorders>
          </w:tcPr>
          <w:p>
            <w:pPr>
              <w:jc w:val="center"/>
              <w:ind w:left="504"/>
              <w:spacing w:after="0"/>
              <w:rPr>
                <w:sz w:val="20"/>
                <w:szCs w:val="20"/>
                <w:color w:val="auto"/>
              </w:rPr>
            </w:pPr>
            <w:r>
              <w:rPr>
                <w:rFonts w:ascii="Arial" w:cs="Arial" w:eastAsia="Arial" w:hAnsi="Arial"/>
                <w:sz w:val="14"/>
                <w:szCs w:val="14"/>
                <w:b w:val="1"/>
                <w:bCs w:val="1"/>
                <w:color w:val="auto"/>
                <w:w w:val="95"/>
              </w:rPr>
              <w:t>Guarantee</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64"/>
        </w:trPr>
        <w:tc>
          <w:tcPr>
            <w:tcW w:w="6980" w:type="dxa"/>
            <w:vAlign w:val="bottom"/>
          </w:tcPr>
          <w:p>
            <w:pPr>
              <w:spacing w:after="0"/>
              <w:rPr>
                <w:sz w:val="22"/>
                <w:szCs w:val="22"/>
                <w:color w:val="auto"/>
              </w:rPr>
            </w:pPr>
          </w:p>
        </w:tc>
        <w:tc>
          <w:tcPr>
            <w:tcW w:w="1600" w:type="dxa"/>
            <w:vAlign w:val="bottom"/>
          </w:tcPr>
          <w:p>
            <w:pPr>
              <w:jc w:val="center"/>
              <w:ind w:left="484"/>
              <w:spacing w:after="0"/>
              <w:rPr>
                <w:sz w:val="20"/>
                <w:szCs w:val="20"/>
                <w:color w:val="auto"/>
              </w:rPr>
            </w:pPr>
            <w:r>
              <w:rPr>
                <w:rFonts w:ascii="Arial" w:cs="Arial" w:eastAsia="Arial" w:hAnsi="Arial"/>
                <w:sz w:val="14"/>
                <w:szCs w:val="14"/>
                <w:b w:val="1"/>
                <w:bCs w:val="1"/>
                <w:color w:val="auto"/>
                <w:w w:val="96"/>
              </w:rPr>
              <w:t>(In millions)</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vehicles</w:t>
            </w:r>
          </w:p>
        </w:tc>
        <w:tc>
          <w:tcPr>
            <w:tcW w:w="1600" w:type="dxa"/>
            <w:vAlign w:val="bottom"/>
            <w:shd w:val="clear" w:color="auto" w:fill="CCEEFF"/>
          </w:tcPr>
          <w:p>
            <w:pPr>
              <w:jc w:val="right"/>
              <w:ind w:right="140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Corporate aircraft</w:t>
            </w:r>
          </w:p>
        </w:tc>
        <w:tc>
          <w:tcPr>
            <w:tcW w:w="16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2016 and 2019</w:t>
            </w:r>
          </w:p>
        </w:tc>
      </w:tr>
    </w:tbl>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Included within the table above is a residual value guarantee related to a sale and leaseback transaction of a corporate aircraft completed in the fourth quarter of fiscal 2014.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fiscal 2014, fiscal 2013 and fiscal 2012 totaled $71.2 million, $61.9 million and $69.0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2014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2016</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 In addition, the Company leases certain property and equipment from third parties under various non-cancelable operating lease agreements. Future minimum lease payments for non-cancelable operating leases not included above are included in “NOTE 16. OPERATING LEASES.”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2014, $5.4 million was accrued in the “Other liabilities” line in the Consolidated Balance Sheet for environmental actions, the majority of which is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3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punitive, and treble); reimbursement, restitution, and disgorgement for benefits unjustly conferred; injunctive and declaratory relief; pre-judgment and post-judgment interest; and costs and attorneys' fees. The Company disputes the plaintiffs' assertions and intends to vigorously defend the consolidated action. Given the early stages of the action, it is not currently possible to reasonably estimate a probable loss, if any, associated with the action and, accordingly, no reserves have been recorded in the Company's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2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CONCENTRATIONS OF CREDIT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maintains cash depository accounts with major financial institutions around the world and invests in high quality, short-term liquid investments. Such investments are made only in investments issued by highly rated institutions. These investments mature within three months and have not historically incurred any losses.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Trade accounts receivable are exposed to a concentration of credit risk with retailers principally located in the United States. The Company's retail customers include home centers, mass merchandisers, warehouse clubs, large hardware chains, independent hardware stores, nurseries, garden centers and food and drug stores. Concentrations of net sales and accounts receivable by segment in the United States as a percentage of consolidated net sales and accounts receivable at September 30 were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Percentage of Net Sales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Percentage of Gross Accounts</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Receivable at September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Global Consumer segment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w:t>
            </w:r>
          </w:p>
        </w:tc>
        <w:tc>
          <w:tcPr>
            <w:tcW w:w="7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Concentration in United States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remainder of the Company’s net sales and accounts receivable at September 30, 2014, 2013 and 2012 were generated from customers located outside of the United States, primarily retailers, distributors and nurseries in Europe, Canada and Australia. No concentrations of these customers or individual customers within this group accounted for more than 10% of the Company’s net sales or accounts receivable for any period presented above.</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three largest customers are reported within the Global Consumer segment and are the only customers that individually represent more than 10% of reported consolidated net sales and accounts receivable for each of the last three fiscal years. These three customers accounted for the following percentages of Global Consumer segment net sales for the fiscal years ended September 30:</w:t>
      </w:r>
    </w:p>
    <w:p>
      <w:pPr>
        <w:spacing w:after="0" w:line="18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23495</wp:posOffset>
            </wp:positionV>
            <wp:extent cx="2400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Depot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Lowe's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Walmart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Accounts receivable for these three largest customers as a percentage of consolidated accounts receivable were 55% and 56% for September 30,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OTHER INCOME,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 net</w:t>
            </w:r>
          </w:p>
        </w:tc>
        <w:tc>
          <w:tcPr>
            <w:tcW w:w="27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Franchise fees</w:t>
            </w: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losses (gains)</w:t>
            </w:r>
          </w:p>
        </w:tc>
        <w:tc>
          <w:tcPr>
            <w:tcW w:w="1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(Gain) loss on investment of unconsolidated affiliate</w:t>
            </w: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vMerge w:val="restart"/>
          </w:tcPr>
          <w:p>
            <w:pPr>
              <w:jc w:val="right"/>
              <w:ind w:right="516"/>
              <w:spacing w:after="0"/>
              <w:rPr>
                <w:sz w:val="20"/>
                <w:szCs w:val="20"/>
                <w:color w:val="auto"/>
              </w:rPr>
            </w:pPr>
            <w:r>
              <w:rPr>
                <w:rFonts w:ascii="Arial" w:cs="Arial" w:eastAsia="Arial" w:hAnsi="Arial"/>
                <w:sz w:val="18"/>
                <w:szCs w:val="18"/>
                <w:color w:val="auto"/>
              </w:rPr>
              <w:t>97</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INFORMATION</w:t>
      </w:r>
    </w:p>
    <w:p>
      <w:pPr>
        <w:spacing w:after="0" w:line="9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The Company divides its business into the following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 The Company has made reclassifications to prior period segment amounts as a result of the change in internal organization structure associated with the disposal of the Company's wild bird food and professional seed businesses, which are reported in discontinued operations. For additional information regarding the sale, refer to “NOTE 2. DISCONTINUED OPERATIONS.”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Global Consumer segment consists of the U.S.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pesticide and rodenticide products. Products are marketed to mass merchandisers, home centers, large hardware chains, warehouse clubs, distributors, garden centers and grocers in the United States, Canada, Europe, Latin America and Australia.</w:t>
      </w:r>
    </w:p>
    <w:p>
      <w:pPr>
        <w:spacing w:after="0" w:line="11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6"/>
          <w:szCs w:val="16"/>
          <w:color w:val="auto"/>
        </w:rPr>
        <w:t>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segment provides residential and commercial lawn fertilization, disease and insect control and other related services such as core aeration, tree and shrub fertilization and pest control services through Company-owned branches and independent franchisees in the United States.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 Total assets reported for the Company’s operating segments include the intangible assets for the acquired businesses within those segments. The accounting policies of the segments are the same as those described in the “NOTE 1. SUMMARY OF SIGNIFICANT ACCOUNTING POLICIES.”</w:t>
      </w:r>
    </w:p>
    <w:p>
      <w:pPr>
        <w:spacing w:after="0" w:line="139"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Israel Chemicals, Ltd.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center"/>
              <w:ind w:right="350"/>
              <w:spacing w:after="0"/>
              <w:rPr>
                <w:sz w:val="20"/>
                <w:szCs w:val="20"/>
                <w:color w:val="auto"/>
              </w:rPr>
            </w:pPr>
            <w:r>
              <w:rPr>
                <w:rFonts w:ascii="Arial" w:cs="Arial" w:eastAsia="Arial" w:hAnsi="Arial"/>
                <w:sz w:val="14"/>
                <w:szCs w:val="14"/>
                <w:b w:val="1"/>
                <w:bCs w:val="1"/>
                <w:color w:val="auto"/>
                <w:w w:val="92"/>
              </w:rPr>
              <w:t>Year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2,552.0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2,484.7</w:t>
            </w:r>
          </w:p>
        </w:tc>
        <w:tc>
          <w:tcPr>
            <w:tcW w:w="20" w:type="dxa"/>
            <w:vAlign w:val="bottom"/>
          </w:tcPr>
          <w:p>
            <w:pPr>
              <w:spacing w:after="0"/>
              <w:rPr>
                <w:sz w:val="21"/>
                <w:szCs w:val="21"/>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2,483.6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2,815.0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2,742.5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2,729.4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18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2,841.3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2,773.7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2,770.5</w:t>
            </w:r>
          </w:p>
        </w:tc>
        <w:tc>
          <w:tcPr>
            <w:tcW w:w="0" w:type="dxa"/>
            <w:vAlign w:val="bottom"/>
          </w:tcPr>
          <w:p>
            <w:pPr>
              <w:spacing w:after="0"/>
              <w:rPr>
                <w:sz w:val="1"/>
                <w:szCs w:val="1"/>
                <w:color w:val="auto"/>
              </w:rPr>
            </w:pPr>
          </w:p>
        </w:tc>
      </w:tr>
      <w:tr>
        <w:trPr>
          <w:trHeight w:val="67"/>
        </w:trPr>
        <w:tc>
          <w:tcPr>
            <w:tcW w:w="4880" w:type="dxa"/>
            <w:vAlign w:val="bottom"/>
            <w:tcBorders>
              <w:bottom w:val="single" w:sz="8" w:color="CCEEFF"/>
            </w:tcBorders>
          </w:tcPr>
          <w:p>
            <w:pPr>
              <w:spacing w:after="0"/>
              <w:rPr>
                <w:sz w:val="5"/>
                <w:szCs w:val="5"/>
                <w:color w:val="auto"/>
              </w:rPr>
            </w:pPr>
          </w:p>
        </w:tc>
        <w:tc>
          <w:tcPr>
            <w:tcW w:w="18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1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438.8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403.7</w:t>
            </w:r>
          </w:p>
        </w:tc>
        <w:tc>
          <w:tcPr>
            <w:tcW w:w="20" w:type="dxa"/>
            <w:vAlign w:val="bottom"/>
          </w:tcPr>
          <w:p>
            <w:pPr>
              <w:spacing w:after="0"/>
              <w:rPr>
                <w:sz w:val="21"/>
                <w:szCs w:val="21"/>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251.3</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Global Consumer</w:t>
            </w:r>
          </w:p>
        </w:tc>
        <w:tc>
          <w:tcPr>
            <w:tcW w:w="22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0"/>
        </w:trPr>
        <w:tc>
          <w:tcPr>
            <w:tcW w:w="4880" w:type="dxa"/>
            <w:vAlign w:val="bottom"/>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66.1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67"/>
        </w:trPr>
        <w:tc>
          <w:tcPr>
            <w:tcW w:w="4880" w:type="dxa"/>
            <w:vAlign w:val="bottom"/>
            <w:tcBorders>
              <w:bottom w:val="single" w:sz="8" w:color="CCEEFF"/>
            </w:tcBorders>
          </w:tcPr>
          <w:p>
            <w:pPr>
              <w:spacing w:after="0"/>
              <w:rPr>
                <w:sz w:val="5"/>
                <w:szCs w:val="5"/>
                <w:color w:val="auto"/>
              </w:rPr>
            </w:pPr>
          </w:p>
        </w:tc>
        <w:tc>
          <w:tcPr>
            <w:tcW w:w="18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expenditures:</w:t>
            </w:r>
          </w:p>
        </w:tc>
        <w:tc>
          <w:tcPr>
            <w:tcW w:w="1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21"/>
                <w:szCs w:val="21"/>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1,690.7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2,058.3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99</w:t>
            </w: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 for the Global Consumer segment:</w:t>
      </w: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gridSpan w:val="2"/>
          </w:tcPr>
          <w:p>
            <w:pPr>
              <w:ind w:left="7780"/>
              <w:spacing w:after="0"/>
              <w:rPr>
                <w:sz w:val="20"/>
                <w:szCs w:val="20"/>
                <w:color w:val="auto"/>
              </w:rPr>
            </w:pPr>
            <w:r>
              <w:rPr>
                <w:rFonts w:ascii="Arial" w:cs="Arial" w:eastAsia="Arial" w:hAnsi="Arial"/>
                <w:sz w:val="14"/>
                <w:szCs w:val="14"/>
                <w:b w:val="1"/>
                <w:bCs w:val="1"/>
                <w:color w:val="auto"/>
                <w:w w:val="96"/>
              </w:rPr>
              <w:t>2014</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r>
      <w:tr>
        <w:trPr>
          <w:trHeight w:val="229"/>
        </w:trPr>
        <w:tc>
          <w:tcPr>
            <w:tcW w:w="72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Lawn care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Growing media</w:t>
            </w:r>
          </w:p>
        </w:tc>
        <w:tc>
          <w:tcPr>
            <w:tcW w:w="48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33</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Controls</w:t>
            </w:r>
          </w:p>
        </w:tc>
        <w:tc>
          <w:tcPr>
            <w:tcW w:w="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r>
      <w:tr>
        <w:trPr>
          <w:trHeight w:val="270"/>
        </w:trPr>
        <w:tc>
          <w:tcPr>
            <w:tcW w:w="810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48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70"/>
        </w:trPr>
        <w:tc>
          <w:tcPr>
            <w:tcW w:w="8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primarily gardening and landscape</w:t>
            </w:r>
          </w:p>
        </w:tc>
        <w:tc>
          <w:tcPr>
            <w:tcW w:w="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r>
      <w:tr>
        <w:trPr>
          <w:trHeight w:val="237"/>
        </w:trPr>
        <w:tc>
          <w:tcPr>
            <w:tcW w:w="7280" w:type="dxa"/>
            <w:vAlign w:val="bottom"/>
          </w:tcPr>
          <w:p>
            <w:pPr>
              <w:ind w:left="40"/>
              <w:spacing w:after="0"/>
              <w:rPr>
                <w:sz w:val="20"/>
                <w:szCs w:val="20"/>
                <w:color w:val="auto"/>
              </w:rPr>
            </w:pPr>
            <w:r>
              <w:rPr>
                <w:rFonts w:ascii="Arial" w:cs="Arial" w:eastAsia="Arial" w:hAnsi="Arial"/>
                <w:sz w:val="18"/>
                <w:szCs w:val="18"/>
                <w:color w:val="auto"/>
              </w:rPr>
              <w:t>Segment total product sales</w:t>
            </w: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net sales and long-lived assets (property, plant and equipment and finite-lived intangibles) by geographic area: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Year Ended 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2,328.2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2,295.5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2,290.7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2,770.5</w:t>
            </w:r>
          </w:p>
        </w:tc>
        <w:tc>
          <w:tcPr>
            <w:tcW w:w="0" w:type="dxa"/>
            <w:vAlign w:val="bottom"/>
          </w:tcPr>
          <w:p>
            <w:pPr>
              <w:spacing w:after="0"/>
              <w:rPr>
                <w:sz w:val="1"/>
                <w:szCs w:val="1"/>
                <w:color w:val="auto"/>
              </w:rPr>
            </w:pPr>
          </w:p>
        </w:tc>
      </w:tr>
      <w:tr>
        <w:trPr>
          <w:trHeight w:val="67"/>
        </w:trPr>
        <w:tc>
          <w:tcPr>
            <w:tcW w:w="3460" w:type="dxa"/>
            <w:vAlign w:val="bottom"/>
            <w:tcBorders>
              <w:bottom w:val="single" w:sz="8" w:color="CCEEFF"/>
            </w:tcBorders>
          </w:tcPr>
          <w:p>
            <w:pPr>
              <w:spacing w:after="0"/>
              <w:rPr>
                <w:sz w:val="5"/>
                <w:szCs w:val="5"/>
                <w:color w:val="auto"/>
              </w:rPr>
            </w:pPr>
          </w:p>
        </w:tc>
        <w:tc>
          <w:tcPr>
            <w:tcW w:w="39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Long-lived assets:</w:t>
            </w:r>
          </w:p>
        </w:tc>
        <w:tc>
          <w:tcPr>
            <w:tcW w:w="3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458.8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vMerge w:val="restart"/>
          </w:tcPr>
          <w:p>
            <w:pPr>
              <w:jc w:val="right"/>
              <w:ind w:right="151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9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QUARTERLY CONSOLIDATED FINANCIAL INFORMATION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unaudited quarterly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14"/>
                <w:szCs w:val="14"/>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2014</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2,841.3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attributable to 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2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Common shares and dilutive potential Common Shares used in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FISCAL 2013</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2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Common shares and dilutive potential Common Shares used in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The Company’s business is highly seasonal, with approximately 75% of net sales occurring in the second and third fiscal quarters.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Unusual items during fiscal 2014 consisted of impairment, restructuring and other charges. These items are reflected in the quarterly financial information as follows: first quarter restructuring costs of $0.3 million related to termination benefits; second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quarter restructuring costs of $4.1 million related to termination benefits for U.S. and international employees, $2.0 million in additional ongoing monitoring and remediation costs for the Company's turfgrass biotechnology program and $10.7 million in costs related to refinancing; third quarter restructuring costs of $5.5 million related to termination benefits primarily for U.S. employees and impairment charges of $33.7 million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fourth quarter restructuring costs of $5.4 million related to termination benefits for U.S. and international employees. In March 2014, the Company completed the sale of its U.S. and Canadian wild bird food business, including intangible assets, certain on-hand inventory and fixed assets, for $4.1 million in cash and an estimated $1.0 million in future earn-out payments. In addition, in the third quarter of fiscal 2014, the Company received $3.1 million for the sale of the remaining wild bird food manufacturing facilities resulting in a gain of $1.2 million.</w:t>
      </w:r>
    </w:p>
    <w:p>
      <w:pPr>
        <w:spacing w:after="0" w:line="14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Unusual items during fiscal 2013 consisted of impairment, restructuring and other charges. These items are reflected in the quarterly financial information as follows: first quarter impairment, restructuring and other charges of $(0.4) million; second quarter impairment, restructuring and other charges of $0.1 million in cost of sales and $0.1 million in SG&amp;A; third quarter impairment, restructuring and other charges of $1.5 million in cost of sales and $7.0 million in SG&amp;A; and fourth quarter impairment, restructuring and other charges of $0.6 million in cost of sales and $11.4 million in SG&amp;A.</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FINANCIAL INFORMATION FOR SUBSIDIARY GUARANTORS AND NON-GUARANTORS</w:t>
      </w:r>
    </w:p>
    <w:p>
      <w:pPr>
        <w:spacing w:after="0" w:line="9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6"/>
          <w:szCs w:val="16"/>
          <w:color w:val="auto"/>
        </w:rPr>
        <w:t xml:space="preserve">The 6.625% Senior Notes (the “Senior Notes”) issued by Scotts Miracle-Gro on December 16, 2010 are guaranteed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 xml:space="preserve">Financial Statements of Guarantors and Issuers of Guaranteed Securities Registered or Being Registered. </w:t>
      </w:r>
      <w:r>
        <w:rPr>
          <w:rFonts w:ascii="Arial" w:cs="Arial" w:eastAsia="Arial" w:hAnsi="Arial"/>
          <w:sz w:val="16"/>
          <w:szCs w:val="16"/>
          <w:color w:val="auto"/>
        </w:rPr>
        <w:t>On January 15, 2014, the Company redeemed all of</w:t>
      </w:r>
      <w:r>
        <w:rPr>
          <w:rFonts w:ascii="Arial" w:cs="Arial" w:eastAsia="Arial" w:hAnsi="Arial"/>
          <w:sz w:val="16"/>
          <w:szCs w:val="16"/>
          <w:i w:val="1"/>
          <w:iCs w:val="1"/>
          <w:color w:val="auto"/>
        </w:rPr>
        <w:t xml:space="preserve"> </w:t>
      </w:r>
      <w:r>
        <w:rPr>
          <w:rFonts w:ascii="Arial" w:cs="Arial" w:eastAsia="Arial" w:hAnsi="Arial"/>
          <w:sz w:val="16"/>
          <w:szCs w:val="16"/>
          <w:color w:val="auto"/>
        </w:rPr>
        <w:t>its outstanding $200 million aggregate principal amount of the 7.25% Senior Notes which were previously guaranteed by certain of its domestic subsidiaries. The guarantees are “full and unconditional,” as those terms are used in Regulation S-X Rule 3-10, except that a subsidiary’s guarantee will be automatically released in certain customary circumstances,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upon satisfaction and discharge of the Senior Notes; or (6) if the subsidiary ceases to be a “wholly owned restricted subsidiary” and the subsidiary is not otherwise required to provide a guarantee of the Senior Notes pursuant to the applicable indenture. The following 100% directly or indirectly owned subsidiaries fully and unconditionally guarantee at September 30, 2014 the Senior Notes on a joint and several basis: EG Systems, Inc., dba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and The Scotts Company LLC (collectively, the “Guarantors”).</w:t>
      </w:r>
    </w:p>
    <w:p>
      <w:pPr>
        <w:spacing w:after="0" w:line="13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following information presents Condensed, Consolidating Statements of Operations, Condensed, Consolidating Statements of Comprehensive Income and Condensed, Consolidating Statements of Cash Flows for each of the three years ended September 30, 2014, and Condensed, Consolidating Balance Sheets as of September 30, 2014 and September 30, 2013.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new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Statements of Cash Flows for fiscal 2014, fiscal 2013, and fiscal 2012, respectively are $422.8 million, $87.8 million, and $92.9 million of dividends paid by the Guarantors and Non-Guarantors to the Parent. Included in the Guarantors Condensed Consolidating Statements of Cash Flows for fiscal 2014 are $1.3 million of dividends paid by the Non-Guarantors to the Guarantors. The dividends paid to the Parent and Guarantors represent return on investments and as such are classified within cash flows from operating activities.</w:t>
      </w:r>
    </w:p>
    <w:p>
      <w:pPr>
        <w:spacing w:after="0" w:line="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Condensed, Consolidating Statements of Cash Flows for fiscal 2013 and fiscal 2012 (which were previously presented in our Annual Report on Form 10-K dated November 30, 2013 and are presented herein), the Company reclassified intercompany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dividends received by Parent from Guarantors from “Net Cash (Used In) Provided By Financing Activities” to “Net Cash (Used In) Provided By Operating Activities.” In the Condensed Consolidating Balance Sheet as of September 30, 2013 (which was previously presented in our Annual Report on Form 10-K dated November 20, 2013 and is presented herein), the Company made a correction to properly reflect the Senior Notes and the credit agreement as Parent debt and the Company made related correcting adjustments to Parent intercompany assets and the elimination entries. The Company believes these changes are immaterial.</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Subsidiary</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Guarantors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Guarantors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business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and leaseback transaction</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1,932.8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(1,525.3)</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 of 7.25% senior notes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Guarantors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Guarantors</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b w:val="1"/>
                <w:bCs w:val="1"/>
                <w:color w:val="auto"/>
              </w:rPr>
              <w:t>LIABILITIES AND</w:t>
            </w: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w w:val="75"/>
              </w:rPr>
              <w:t>SHAREHOLDERS’</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EQUITY</w:t>
            </w:r>
          </w:p>
        </w:tc>
        <w:tc>
          <w:tcPr>
            <w:tcW w:w="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shareholders’ equity - controlling interest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1,793.3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impairment,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659.6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59.2</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Subsidiary</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Guarantors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Guarantors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342.0</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1,474.8</w:t>
            </w: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(1,682.1)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Guarantors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Guarantors</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206.6</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r>
      <w:tr>
        <w:trPr>
          <w:trHeight w:val="277"/>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113.0</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881.0</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422.3</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284.4</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w:t>
            </w:r>
          </w:p>
        </w:tc>
      </w:tr>
      <w:tr>
        <w:trPr>
          <w:trHeight w:val="67"/>
        </w:trPr>
        <w:tc>
          <w:tcPr>
            <w:tcW w:w="368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680" w:type="dxa"/>
            <w:vAlign w:val="bottom"/>
            <w:shd w:val="clear" w:color="auto" w:fill="CCEEFF"/>
          </w:tcPr>
          <w:p>
            <w:pPr>
              <w:spacing w:after="0"/>
              <w:rPr>
                <w:sz w:val="19"/>
                <w:szCs w:val="19"/>
                <w:color w:val="auto"/>
              </w:rPr>
            </w:pPr>
          </w:p>
        </w:tc>
        <w:tc>
          <w:tcPr>
            <w:tcW w:w="15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LIABILITIES AND</w:t>
            </w:r>
          </w:p>
        </w:tc>
        <w:tc>
          <w:tcPr>
            <w:tcW w:w="13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w w:val="75"/>
              </w:rPr>
              <w:t>SHAREHOLDERS’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137.7</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238.8</w:t>
            </w:r>
          </w:p>
        </w:tc>
      </w:tr>
      <w:tr>
        <w:trPr>
          <w:trHeight w:val="27"/>
        </w:trPr>
        <w:tc>
          <w:tcPr>
            <w:tcW w:w="3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1,226.7</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710.5</w:t>
            </w:r>
          </w:p>
        </w:tc>
      </w:tr>
      <w:tr>
        <w:trPr>
          <w:trHeight w:val="27"/>
        </w:trPr>
        <w:tc>
          <w:tcPr>
            <w:tcW w:w="36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8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7"/>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1,813.5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956.6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703.3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w:t>
            </w: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Subsidiary</w:t>
            </w:r>
          </w:p>
        </w:tc>
        <w:tc>
          <w:tcPr>
            <w:tcW w:w="16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Non-</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8"/>
        </w:trPr>
        <w:tc>
          <w:tcPr>
            <w:tcW w:w="54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w w:val="96"/>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7"/>
              </w:rPr>
              <w:t>Guarantors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1"/>
              </w:rPr>
              <w:t>Guarantors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8"/>
              </w:rPr>
              <w:t>Eliminations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5"/>
              </w:rPr>
              <w:t>Consolidated</w:t>
            </w: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r>
      <w:tr>
        <w:trPr>
          <w:trHeight w:val="223"/>
        </w:trPr>
        <w:tc>
          <w:tcPr>
            <w:tcW w:w="54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5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businesses,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54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7"/>
        </w:trPr>
        <w:tc>
          <w:tcPr>
            <w:tcW w:w="5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w w:val="94"/>
              </w:rPr>
              <w:t>Borrowings under revolving and bank lines of credit and term loans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830.6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1,684.0</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Repayments under revolving and bank lines of credit and term loans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5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130.9</w:t>
            </w:r>
          </w:p>
        </w:tc>
      </w:tr>
      <w:tr>
        <w:trPr>
          <w:trHeight w:val="27"/>
        </w:trPr>
        <w:tc>
          <w:tcPr>
            <w:tcW w:w="5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4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Schedule II—Valuation and Qualifying Accounts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89"/>
              </w:rPr>
              <w:t>for the fiscal year ended September 30, 2013</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24"/>
                <w:szCs w:val="2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Schedule II—Valuation and Qualifying Accounts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89"/>
              </w:rPr>
              <w:t>for the fiscal year ended September 30, 2012</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A</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Column B</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Column C</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24"/>
                <w:szCs w:val="2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Deductions</w:t>
            </w:r>
          </w:p>
        </w:tc>
        <w:tc>
          <w:tcPr>
            <w:tcW w:w="200" w:type="dxa"/>
            <w:vAlign w:val="bottom"/>
          </w:tcPr>
          <w:p>
            <w:pPr>
              <w:spacing w:after="0"/>
              <w:rPr>
                <w:sz w:val="12"/>
                <w:szCs w:val="12"/>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Credited</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58"/>
        </w:trPr>
        <w:tc>
          <w:tcPr>
            <w:tcW w:w="3120" w:type="dxa"/>
            <w:vAlign w:val="bottom"/>
            <w:gridSpan w:val="4"/>
            <w:vMerge w:val="continue"/>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of Period</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Acquired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Write-Offs</w:t>
            </w:r>
          </w:p>
        </w:tc>
        <w:tc>
          <w:tcPr>
            <w:tcW w:w="2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8"/>
              </w:rPr>
              <w:t>Valuation and qualifying accounts deducted from the assets to which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they apply:</w:t>
            </w:r>
          </w:p>
        </w:tc>
        <w:tc>
          <w:tcPr>
            <w:tcW w:w="2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gridSpan w:val="4"/>
          </w:tcPr>
          <w:p>
            <w:pPr>
              <w:ind w:left="40"/>
              <w:spacing w:after="0"/>
              <w:rPr>
                <w:sz w:val="20"/>
                <w:szCs w:val="20"/>
                <w:color w:val="auto"/>
              </w:rPr>
            </w:pPr>
            <w:r>
              <w:rPr>
                <w:rFonts w:ascii="Arial" w:cs="Arial" w:eastAsia="Arial" w:hAnsi="Arial"/>
                <w:sz w:val="18"/>
                <w:szCs w:val="18"/>
                <w:color w:val="auto"/>
              </w:rPr>
              <w:t>Allowance for doubtful accounts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402"/>
              <w:spacing w:after="0"/>
              <w:rPr>
                <w:sz w:val="20"/>
                <w:szCs w:val="20"/>
                <w:color w:val="auto"/>
              </w:rPr>
            </w:pPr>
            <w:r>
              <w:rPr>
                <w:rFonts w:ascii="Arial" w:cs="Arial" w:eastAsia="Arial" w:hAnsi="Arial"/>
                <w:sz w:val="18"/>
                <w:szCs w:val="18"/>
                <w:color w:val="auto"/>
                <w:w w:val="86"/>
              </w:rPr>
              <w:t>115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3.1(a)</w:t>
            </w:r>
          </w:p>
        </w:tc>
        <w:tc>
          <w:tcPr>
            <w:tcW w:w="4900" w:type="dxa"/>
            <w:vAlign w:val="bottom"/>
          </w:tcPr>
          <w:p>
            <w:pPr>
              <w:ind w:left="20"/>
              <w:spacing w:after="0"/>
              <w:rPr>
                <w:sz w:val="20"/>
                <w:szCs w:val="20"/>
                <w:color w:val="auto"/>
              </w:rPr>
            </w:pPr>
            <w:r>
              <w:rPr>
                <w:rFonts w:ascii="Arial" w:cs="Arial" w:eastAsia="Arial" w:hAnsi="Arial"/>
                <w:sz w:val="18"/>
                <w:szCs w:val="18"/>
                <w:color w:val="auto"/>
              </w:rPr>
              <w:t>Initial  Articles  of  Incorporation  of  The  Scotts  Miracle-Gro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Company as filed with the Ohio Secretary of State on November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22, 2004</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3.1(b)</w:t>
            </w:r>
          </w:p>
        </w:tc>
        <w:tc>
          <w:tcPr>
            <w:tcW w:w="4900" w:type="dxa"/>
            <w:vAlign w:val="bottom"/>
          </w:tcPr>
          <w:p>
            <w:pPr>
              <w:ind w:left="20"/>
              <w:spacing w:after="0"/>
              <w:rPr>
                <w:sz w:val="20"/>
                <w:szCs w:val="20"/>
                <w:color w:val="auto"/>
              </w:rPr>
            </w:pPr>
            <w:r>
              <w:rPr>
                <w:rFonts w:ascii="Arial" w:cs="Arial" w:eastAsia="Arial" w:hAnsi="Arial"/>
                <w:sz w:val="18"/>
                <w:szCs w:val="18"/>
                <w:color w:val="auto"/>
              </w:rPr>
              <w:t>Certificate  of  Amendment  by  Shareholders  to  Articles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Incorporation of The Scotts Miracle-Gro Company as filed with</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 Ohio Secretary of State on March 18, 2005</w:t>
            </w:r>
          </w:p>
        </w:tc>
        <w:tc>
          <w:tcPr>
            <w:tcW w:w="0" w:type="dxa"/>
            <w:vAlign w:val="bottom"/>
          </w:tcPr>
          <w:p>
            <w:pPr>
              <w:spacing w:after="0"/>
              <w:rPr>
                <w:sz w:val="1"/>
                <w:szCs w:val="1"/>
                <w:color w:val="auto"/>
              </w:rPr>
            </w:pP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Code of Regulations of The Scotts Miracle-Gro Company</w:t>
            </w:r>
          </w:p>
        </w:tc>
        <w:tc>
          <w:tcPr>
            <w:tcW w:w="0" w:type="dxa"/>
            <w:vAlign w:val="bottom"/>
          </w:tcPr>
          <w:p>
            <w:pPr>
              <w:spacing w:after="0"/>
              <w:rPr>
                <w:sz w:val="1"/>
                <w:szCs w:val="1"/>
                <w:color w:val="auto"/>
              </w:rPr>
            </w:pPr>
          </w:p>
        </w:tc>
      </w:tr>
      <w:tr>
        <w:trPr>
          <w:trHeight w:val="809"/>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4.1(a)</w:t>
            </w:r>
          </w:p>
        </w:tc>
        <w:tc>
          <w:tcPr>
            <w:tcW w:w="4900" w:type="dxa"/>
            <w:vAlign w:val="bottom"/>
          </w:tcPr>
          <w:p>
            <w:pPr>
              <w:ind w:left="20"/>
              <w:spacing w:after="0"/>
              <w:rPr>
                <w:sz w:val="20"/>
                <w:szCs w:val="20"/>
                <w:color w:val="auto"/>
              </w:rPr>
            </w:pPr>
            <w:r>
              <w:rPr>
                <w:rFonts w:ascii="Arial" w:cs="Arial" w:eastAsia="Arial" w:hAnsi="Arial"/>
                <w:sz w:val="18"/>
                <w:szCs w:val="18"/>
                <w:color w:val="auto"/>
              </w:rPr>
              <w:t>Indenture, dated as of January 14, 2010, among The Scotts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Miracle-Gro Company, the Guarantors (as defined therein)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U.S. 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4.1(b)</w:t>
            </w:r>
          </w:p>
        </w:tc>
        <w:tc>
          <w:tcPr>
            <w:tcW w:w="4900" w:type="dxa"/>
            <w:vAlign w:val="bottom"/>
          </w:tcPr>
          <w:p>
            <w:pPr>
              <w:ind w:left="20"/>
              <w:spacing w:after="0"/>
              <w:rPr>
                <w:sz w:val="20"/>
                <w:szCs w:val="20"/>
                <w:color w:val="auto"/>
              </w:rPr>
            </w:pPr>
            <w:r>
              <w:rPr>
                <w:rFonts w:ascii="Arial" w:cs="Arial" w:eastAsia="Arial" w:hAnsi="Arial"/>
                <w:sz w:val="18"/>
                <w:szCs w:val="18"/>
                <w:color w:val="auto"/>
                <w:w w:val="90"/>
              </w:rPr>
              <w:t>First Supplemental Indenture, dated as of January 14, 2010,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The Scotts Miracle-Gro Company, the Guarantors (as defined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therein) and U.S. 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4.1(c)</w:t>
            </w:r>
          </w:p>
        </w:tc>
        <w:tc>
          <w:tcPr>
            <w:tcW w:w="4900" w:type="dxa"/>
            <w:vAlign w:val="bottom"/>
          </w:tcPr>
          <w:p>
            <w:pPr>
              <w:ind w:left="20"/>
              <w:spacing w:after="0"/>
              <w:rPr>
                <w:sz w:val="20"/>
                <w:szCs w:val="20"/>
                <w:color w:val="auto"/>
              </w:rPr>
            </w:pPr>
            <w:r>
              <w:rPr>
                <w:rFonts w:ascii="Arial" w:cs="Arial" w:eastAsia="Arial" w:hAnsi="Arial"/>
                <w:sz w:val="18"/>
                <w:szCs w:val="18"/>
                <w:color w:val="auto"/>
                <w:w w:val="91"/>
              </w:rPr>
              <w:t>Second Supplemental Indenture, dated as of September 28,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among The Scotts Miracle-Gro Company, the Guarantors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defined therein) and U.S. 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4.1(d)</w:t>
            </w:r>
          </w:p>
        </w:tc>
        <w:tc>
          <w:tcPr>
            <w:tcW w:w="4900" w:type="dxa"/>
            <w:vAlign w:val="bottom"/>
          </w:tcPr>
          <w:p>
            <w:pPr>
              <w:ind w:left="20"/>
              <w:spacing w:after="0"/>
              <w:rPr>
                <w:sz w:val="20"/>
                <w:szCs w:val="20"/>
                <w:color w:val="auto"/>
              </w:rPr>
            </w:pPr>
            <w:r>
              <w:rPr>
                <w:rFonts w:ascii="Arial" w:cs="Arial" w:eastAsia="Arial" w:hAnsi="Arial"/>
                <w:sz w:val="18"/>
                <w:szCs w:val="18"/>
                <w:color w:val="auto"/>
                <w:w w:val="95"/>
              </w:rPr>
              <w:t>Third Supplemental Indenture, dated as of September 30, 2013,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among The Scotts Miracle-Gro Company, the Guarantors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defined therein) and U.S. Bank National Association, as trustee</w:t>
            </w:r>
          </w:p>
        </w:tc>
        <w:tc>
          <w:tcPr>
            <w:tcW w:w="0" w:type="dxa"/>
            <w:vAlign w:val="bottom"/>
          </w:tcPr>
          <w:p>
            <w:pPr>
              <w:spacing w:after="0"/>
              <w:rPr>
                <w:sz w:val="1"/>
                <w:szCs w:val="1"/>
                <w:color w:val="auto"/>
              </w:rPr>
            </w:pPr>
          </w:p>
        </w:tc>
      </w:tr>
      <w:tr>
        <w:trPr>
          <w:trHeight w:val="392"/>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4.1(e)</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7.25% Senior Notes due 2018</w:t>
            </w:r>
          </w:p>
        </w:tc>
        <w:tc>
          <w:tcPr>
            <w:tcW w:w="0" w:type="dxa"/>
            <w:vAlign w:val="bottom"/>
          </w:tcPr>
          <w:p>
            <w:pPr>
              <w:spacing w:after="0"/>
              <w:rPr>
                <w:sz w:val="1"/>
                <w:szCs w:val="1"/>
                <w:color w:val="auto"/>
              </w:rPr>
            </w:pPr>
          </w:p>
        </w:tc>
      </w:tr>
      <w:tr>
        <w:trPr>
          <w:trHeight w:val="81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4.2(a)</w:t>
            </w:r>
          </w:p>
        </w:tc>
        <w:tc>
          <w:tcPr>
            <w:tcW w:w="4900" w:type="dxa"/>
            <w:vAlign w:val="bottom"/>
          </w:tcPr>
          <w:p>
            <w:pPr>
              <w:ind w:left="20"/>
              <w:spacing w:after="0"/>
              <w:rPr>
                <w:sz w:val="20"/>
                <w:szCs w:val="20"/>
                <w:color w:val="auto"/>
              </w:rPr>
            </w:pPr>
            <w:r>
              <w:rPr>
                <w:rFonts w:ascii="Arial" w:cs="Arial" w:eastAsia="Arial" w:hAnsi="Arial"/>
                <w:sz w:val="18"/>
                <w:szCs w:val="18"/>
                <w:color w:val="auto"/>
                <w:w w:val="97"/>
              </w:rPr>
              <w:t>Indenture, dated as of December 16, 2010, by and among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Scotts Miracle-Gro Company, the Guarantors (as defined therein)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and U.S. 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First Supplemental Indenture, dated as of September 28,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and among The Scotts Miracle-Gro Company, the Guarantors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defined therein) and U.S. 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4.2(c)</w:t>
            </w:r>
          </w:p>
        </w:tc>
        <w:tc>
          <w:tcPr>
            <w:tcW w:w="4900" w:type="dxa"/>
            <w:vAlign w:val="bottom"/>
          </w:tcPr>
          <w:p>
            <w:pPr>
              <w:ind w:left="20"/>
              <w:spacing w:after="0"/>
              <w:rPr>
                <w:sz w:val="20"/>
                <w:szCs w:val="20"/>
                <w:color w:val="auto"/>
              </w:rPr>
            </w:pPr>
            <w:r>
              <w:rPr>
                <w:rFonts w:ascii="Arial" w:cs="Arial" w:eastAsia="Arial" w:hAnsi="Arial"/>
                <w:sz w:val="18"/>
                <w:szCs w:val="18"/>
                <w:color w:val="auto"/>
                <w:w w:val="91"/>
              </w:rPr>
              <w:t>Second Supplemental Indenture, dated as of September 30, 2013,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among The Scotts Miracle-Gro Company, the Guarantors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defined therein) and U.S. Bank National Association, as trustee</w:t>
            </w:r>
          </w:p>
        </w:tc>
        <w:tc>
          <w:tcPr>
            <w:tcW w:w="0" w:type="dxa"/>
            <w:vAlign w:val="bottom"/>
          </w:tcPr>
          <w:p>
            <w:pPr>
              <w:spacing w:after="0"/>
              <w:rPr>
                <w:sz w:val="1"/>
                <w:szCs w:val="1"/>
                <w:color w:val="auto"/>
              </w:rPr>
            </w:pPr>
          </w:p>
        </w:tc>
      </w:tr>
      <w:tr>
        <w:trPr>
          <w:trHeight w:val="377"/>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4.2(d)</w:t>
            </w:r>
          </w:p>
        </w:tc>
        <w:tc>
          <w:tcPr>
            <w:tcW w:w="4900" w:type="dxa"/>
            <w:vAlign w:val="bottom"/>
          </w:tcPr>
          <w:p>
            <w:pPr>
              <w:ind w:left="20"/>
              <w:spacing w:after="0"/>
              <w:rPr>
                <w:sz w:val="20"/>
                <w:szCs w:val="20"/>
                <w:color w:val="auto"/>
              </w:rPr>
            </w:pPr>
            <w:r>
              <w:rPr>
                <w:rFonts w:ascii="Arial" w:cs="Arial" w:eastAsia="Arial" w:hAnsi="Arial"/>
                <w:sz w:val="18"/>
                <w:szCs w:val="18"/>
                <w:color w:val="auto"/>
                <w:w w:val="98"/>
              </w:rPr>
              <w:t>Third Supplemental Indenture, dated as of February 25, 2014,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among The Scotts Miracle-Gro Company, the Guarantors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defined therein) and U.S. Bank National Association, as trustee</w:t>
            </w:r>
          </w:p>
        </w:tc>
        <w:tc>
          <w:tcPr>
            <w:tcW w:w="0" w:type="dxa"/>
            <w:vAlign w:val="bottom"/>
          </w:tcPr>
          <w:p>
            <w:pPr>
              <w:spacing w:after="0"/>
              <w:rPr>
                <w:sz w:val="1"/>
                <w:szCs w:val="1"/>
                <w:color w:val="auto"/>
              </w:rPr>
            </w:pPr>
          </w:p>
        </w:tc>
      </w:tr>
      <w:tr>
        <w:trPr>
          <w:trHeight w:val="392"/>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4.2(e)</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6.625% Senior Notes due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Incorporated herein by reference to the Current Report on Form 8-K of The Scotts Miracle-Gro Company (the “Registrant”) filed March 24, 2005 (File No. 1-11593) [Exhibit 3.1]</w:t>
      </w:r>
    </w:p>
    <w:p>
      <w:pPr>
        <w:spacing w:after="0" w:line="1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1-11593) [Exhibit 3.2]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1-11593) [Exhibit 3.3]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[Exhibit 4.2]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 No. 1-11593) [Exhibit 4.1(c)]</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28, 2013 (File No. 1-11593)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14, 2010 (File No. 1-11593) [Included in Exhibit 4.2]</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 No. 1-11593) [Exhibit 4.2(b)]</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28, 2013 (File No. 1-11593) [Exhibit 4.2]</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 No. 1-11593)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[Included in Exhibit 4.1]</w:t>
      </w:r>
    </w:p>
    <w:p>
      <w:pPr>
        <w:spacing w:after="0" w:line="200" w:lineRule="exact"/>
        <w:rPr>
          <w:sz w:val="20"/>
          <w:szCs w:val="20"/>
          <w:color w:val="auto"/>
        </w:rPr>
      </w:pPr>
    </w:p>
    <w:p>
      <w:pPr>
        <w:sectPr>
          <w:pgSz w:w="11900" w:h="16838" w:orient="portrait"/>
          <w:cols w:equalWidth="0" w:num="2">
            <w:col w:w="6380" w:space="160"/>
            <w:col w:w="4860"/>
          </w:cols>
          <w:pgMar w:left="240" w:top="122" w:right="259" w:bottom="1440" w:gutter="0" w:footer="0" w:header="0"/>
          <w:type w:val="continuous"/>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00"/>
          </w:cols>
          <w:pgMar w:left="240" w:top="122" w:right="259" w:bottom="1440" w:gutter="0" w:footer="0" w:header="0"/>
          <w:type w:val="continuous"/>
        </w:sectPr>
      </w:pPr>
    </w:p>
    <w:bookmarkStart w:id="116" w:name="page117"/>
    <w:bookmarkEnd w:id="116"/>
    <w:p>
      <w:pPr>
        <w:spacing w:after="0"/>
        <w:rPr>
          <w:rFonts w:ascii="Arial" w:cs="Arial" w:eastAsia="Arial" w:hAnsi="Arial"/>
          <w:sz w:val="12"/>
          <w:szCs w:val="12"/>
          <w:color w:val="FFFFFF"/>
        </w:rPr>
      </w:pPr>
      <w:hyperlink w:anchor="page49">
        <w:r>
          <w:rPr>
            <w:rFonts w:ascii="Arial" w:cs="Arial" w:eastAsia="Arial" w:hAnsi="Arial"/>
            <w:sz w:val="12"/>
            <w:szCs w:val="12"/>
            <w:color w:val="FFFF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4.2(f)</w:t>
            </w:r>
          </w:p>
        </w:tc>
        <w:tc>
          <w:tcPr>
            <w:tcW w:w="5360" w:type="dxa"/>
            <w:vAlign w:val="bottom"/>
          </w:tcPr>
          <w:p>
            <w:pPr>
              <w:ind w:left="520"/>
              <w:spacing w:after="0"/>
              <w:rPr>
                <w:sz w:val="20"/>
                <w:szCs w:val="20"/>
                <w:color w:val="auto"/>
              </w:rPr>
            </w:pPr>
            <w:r>
              <w:rPr>
                <w:rFonts w:ascii="Arial" w:cs="Arial" w:eastAsia="Arial" w:hAnsi="Arial"/>
                <w:sz w:val="18"/>
                <w:szCs w:val="18"/>
                <w:color w:val="auto"/>
                <w:w w:val="89"/>
              </w:rPr>
              <w:t>Registration Rights Agreement, dated as of December 16, 2010, by</w:t>
            </w:r>
          </w:p>
        </w:tc>
      </w:tr>
      <w:tr>
        <w:trPr>
          <w:trHeight w:val="230"/>
        </w:trPr>
        <w:tc>
          <w:tcPr>
            <w:tcW w:w="940" w:type="dxa"/>
            <w:vAlign w:val="bottom"/>
          </w:tcPr>
          <w:p>
            <w:pPr>
              <w:spacing w:after="0"/>
              <w:rPr>
                <w:sz w:val="20"/>
                <w:szCs w:val="20"/>
                <w:color w:val="auto"/>
              </w:rPr>
            </w:pPr>
          </w:p>
        </w:tc>
        <w:tc>
          <w:tcPr>
            <w:tcW w:w="5360" w:type="dxa"/>
            <w:vAlign w:val="bottom"/>
          </w:tcPr>
          <w:p>
            <w:pPr>
              <w:ind w:left="520"/>
              <w:spacing w:after="0"/>
              <w:rPr>
                <w:sz w:val="20"/>
                <w:szCs w:val="20"/>
                <w:color w:val="auto"/>
              </w:rPr>
            </w:pPr>
            <w:r>
              <w:rPr>
                <w:rFonts w:ascii="Arial" w:cs="Arial" w:eastAsia="Arial" w:hAnsi="Arial"/>
                <w:sz w:val="18"/>
                <w:szCs w:val="18"/>
                <w:color w:val="auto"/>
                <w:w w:val="92"/>
              </w:rPr>
              <w:t>and among The Scotts Miracle-Gro Company, the Guarantors (as</w:t>
            </w:r>
          </w:p>
        </w:tc>
      </w:tr>
    </w:tbl>
    <w:p>
      <w:pPr>
        <w:jc w:val="both"/>
        <w:ind w:left="1500"/>
        <w:spacing w:after="0" w:line="255" w:lineRule="auto"/>
        <w:rPr>
          <w:sz w:val="20"/>
          <w:szCs w:val="20"/>
          <w:color w:val="auto"/>
        </w:rPr>
      </w:pPr>
      <w:r>
        <w:rPr>
          <w:rFonts w:ascii="Arial" w:cs="Arial" w:eastAsia="Arial" w:hAnsi="Arial"/>
          <w:sz w:val="18"/>
          <w:szCs w:val="18"/>
          <w:color w:val="auto"/>
        </w:rPr>
        <w:t>defined therein) and Merrill Lynch, Pierce, Fenner &amp; Smith Incorporated, as representative of the several initial purchasers named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4.3]</w:t>
      </w:r>
    </w:p>
    <w:p>
      <w:pPr>
        <w:spacing w:after="0" w:line="573"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4.3</w:t>
            </w:r>
          </w:p>
        </w:tc>
        <w:tc>
          <w:tcPr>
            <w:tcW w:w="5340" w:type="dxa"/>
            <w:vAlign w:val="bottom"/>
          </w:tcPr>
          <w:p>
            <w:pPr>
              <w:ind w:left="480"/>
              <w:spacing w:after="0"/>
              <w:rPr>
                <w:sz w:val="20"/>
                <w:szCs w:val="20"/>
                <w:color w:val="auto"/>
              </w:rPr>
            </w:pPr>
            <w:r>
              <w:rPr>
                <w:rFonts w:ascii="Arial" w:cs="Arial" w:eastAsia="Arial" w:hAnsi="Arial"/>
                <w:sz w:val="18"/>
                <w:szCs w:val="18"/>
                <w:color w:val="auto"/>
                <w:w w:val="94"/>
              </w:rPr>
              <w:t>Agreement  to  furnish  copies  of  instruments  and  agreements</w:t>
            </w:r>
          </w:p>
        </w:tc>
      </w:tr>
      <w:tr>
        <w:trPr>
          <w:trHeight w:val="230"/>
        </w:trPr>
        <w:tc>
          <w:tcPr>
            <w:tcW w:w="980" w:type="dxa"/>
            <w:vAlign w:val="bottom"/>
          </w:tcPr>
          <w:p>
            <w:pPr>
              <w:spacing w:after="0"/>
              <w:rPr>
                <w:sz w:val="20"/>
                <w:szCs w:val="20"/>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defining rights of holders of long-term debt</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10.1(a)</w:t>
            </w:r>
          </w:p>
        </w:tc>
        <w:tc>
          <w:tcPr>
            <w:tcW w:w="5340" w:type="dxa"/>
            <w:vAlign w:val="bottom"/>
          </w:tcPr>
          <w:p>
            <w:pPr>
              <w:ind w:left="480"/>
              <w:spacing w:after="0"/>
              <w:rPr>
                <w:sz w:val="20"/>
                <w:szCs w:val="20"/>
                <w:color w:val="auto"/>
              </w:rPr>
            </w:pPr>
            <w:r>
              <w:rPr>
                <w:rFonts w:ascii="Arial" w:cs="Arial" w:eastAsia="Arial" w:hAnsi="Arial"/>
                <w:sz w:val="18"/>
                <w:szCs w:val="18"/>
                <w:color w:val="auto"/>
                <w:w w:val="89"/>
              </w:rPr>
              <w:t>Amended and Restated Agreement and Plan of Merger, dated as of</w:t>
            </w:r>
          </w:p>
        </w:tc>
      </w:tr>
      <w:tr>
        <w:trPr>
          <w:trHeight w:val="216"/>
        </w:trPr>
        <w:tc>
          <w:tcPr>
            <w:tcW w:w="980" w:type="dxa"/>
            <w:vAlign w:val="bottom"/>
          </w:tcPr>
          <w:p>
            <w:pPr>
              <w:spacing w:after="0"/>
              <w:rPr>
                <w:sz w:val="18"/>
                <w:szCs w:val="18"/>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w w:val="93"/>
              </w:rPr>
              <w:t>May 19, 1995, among Stern’s Miracle-Gro Products, Inc., Stern’s</w:t>
            </w:r>
          </w:p>
        </w:tc>
      </w:tr>
      <w:tr>
        <w:trPr>
          <w:trHeight w:val="230"/>
        </w:trPr>
        <w:tc>
          <w:tcPr>
            <w:tcW w:w="980" w:type="dxa"/>
            <w:vAlign w:val="bottom"/>
          </w:tcPr>
          <w:p>
            <w:pPr>
              <w:spacing w:after="0"/>
              <w:rPr>
                <w:sz w:val="20"/>
                <w:szCs w:val="20"/>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Nurseries, Inc., Miracle-Gro Lawn Products Inc., Miracle-Gro</w:t>
            </w:r>
          </w:p>
        </w:tc>
      </w:tr>
    </w:tbl>
    <w:p>
      <w:pPr>
        <w:jc w:val="both"/>
        <w:ind w:left="1500"/>
        <w:spacing w:after="0" w:line="254" w:lineRule="auto"/>
        <w:rPr>
          <w:sz w:val="20"/>
          <w:szCs w:val="20"/>
          <w:color w:val="auto"/>
        </w:rPr>
      </w:pPr>
      <w:r>
        <w:rPr>
          <w:rFonts w:ascii="Arial" w:cs="Arial" w:eastAsia="Arial" w:hAnsi="Arial"/>
          <w:sz w:val="18"/>
          <w:szCs w:val="18"/>
          <w:color w:val="auto"/>
        </w:rPr>
        <w:t>Products Limited, Hagedorn Partnership, L.P., the general partners of Hagedorn Partnership, L.P., Horace Hagedorn, Community Funds, Inc., and John Kenlon, The Scotts Company and ZYX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 Delaware corporation, filed June 2, 1995 (File No. 0-19768) [Exhibit 2(b)]</w:t>
      </w:r>
    </w:p>
    <w:p>
      <w:pPr>
        <w:spacing w:after="0" w:line="100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5320" w:type="dxa"/>
            <w:vAlign w:val="bottom"/>
          </w:tcPr>
          <w:p>
            <w:pPr>
              <w:ind w:left="460"/>
              <w:spacing w:after="0"/>
              <w:rPr>
                <w:sz w:val="20"/>
                <w:szCs w:val="20"/>
                <w:color w:val="auto"/>
              </w:rPr>
            </w:pPr>
            <w:r>
              <w:rPr>
                <w:rFonts w:ascii="Arial" w:cs="Arial" w:eastAsia="Arial" w:hAnsi="Arial"/>
                <w:sz w:val="18"/>
                <w:szCs w:val="18"/>
                <w:color w:val="auto"/>
                <w:w w:val="93"/>
              </w:rPr>
              <w:t>First Amendment to Amended and Restated Agreement and Plan</w:t>
            </w:r>
          </w:p>
        </w:tc>
      </w:tr>
      <w:tr>
        <w:trPr>
          <w:trHeight w:val="216"/>
        </w:trPr>
        <w:tc>
          <w:tcPr>
            <w:tcW w:w="100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Arial" w:cs="Arial" w:eastAsia="Arial" w:hAnsi="Arial"/>
                <w:sz w:val="18"/>
                <w:szCs w:val="18"/>
                <w:color w:val="auto"/>
                <w:w w:val="94"/>
              </w:rPr>
              <w:t>of Merger, made and entered into as of October 1, 1999, among</w:t>
            </w:r>
          </w:p>
        </w:tc>
      </w:tr>
      <w:tr>
        <w:trPr>
          <w:trHeight w:val="230"/>
        </w:trPr>
        <w:tc>
          <w:tcPr>
            <w:tcW w:w="1000" w:type="dxa"/>
            <w:vAlign w:val="bottom"/>
          </w:tcPr>
          <w:p>
            <w:pPr>
              <w:spacing w:after="0"/>
              <w:rPr>
                <w:sz w:val="20"/>
                <w:szCs w:val="20"/>
                <w:color w:val="auto"/>
              </w:rPr>
            </w:pPr>
          </w:p>
        </w:tc>
        <w:tc>
          <w:tcPr>
            <w:tcW w:w="5320" w:type="dxa"/>
            <w:vAlign w:val="bottom"/>
          </w:tcPr>
          <w:p>
            <w:pPr>
              <w:ind w:left="460"/>
              <w:spacing w:after="0"/>
              <w:rPr>
                <w:sz w:val="20"/>
                <w:szCs w:val="20"/>
                <w:color w:val="auto"/>
              </w:rPr>
            </w:pPr>
            <w:r>
              <w:rPr>
                <w:rFonts w:ascii="Arial" w:cs="Arial" w:eastAsia="Arial" w:hAnsi="Arial"/>
                <w:sz w:val="18"/>
                <w:szCs w:val="18"/>
                <w:color w:val="auto"/>
                <w:w w:val="94"/>
              </w:rPr>
              <w:t>The  Scotts  Company,  Scotts’  Miracle-Gro  Products,  Inc.  (as</w:t>
            </w:r>
          </w:p>
        </w:tc>
      </w:tr>
    </w:tbl>
    <w:p>
      <w:pPr>
        <w:jc w:val="both"/>
        <w:ind w:left="1500"/>
        <w:spacing w:after="0" w:line="252" w:lineRule="auto"/>
        <w:rPr>
          <w:sz w:val="20"/>
          <w:szCs w:val="20"/>
          <w:color w:val="auto"/>
        </w:rPr>
      </w:pPr>
      <w:r>
        <w:rPr>
          <w:rFonts w:ascii="Arial" w:cs="Arial" w:eastAsia="Arial" w:hAnsi="Arial"/>
          <w:sz w:val="18"/>
          <w:szCs w:val="18"/>
          <w:color w:val="auto"/>
        </w:rPr>
        <w:t>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October 5, 1999 (File No. 1-13292) [Exhibit 2]</w:t>
      </w:r>
    </w:p>
    <w:p>
      <w:pPr>
        <w:spacing w:after="0" w:line="1437"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10.2</w:t>
            </w:r>
          </w:p>
        </w:tc>
        <w:tc>
          <w:tcPr>
            <w:tcW w:w="5440" w:type="dxa"/>
            <w:vAlign w:val="bottom"/>
          </w:tcPr>
          <w:p>
            <w:pPr>
              <w:ind w:left="580"/>
              <w:spacing w:after="0"/>
              <w:rPr>
                <w:sz w:val="20"/>
                <w:szCs w:val="20"/>
                <w:color w:val="auto"/>
              </w:rPr>
            </w:pPr>
            <w:r>
              <w:rPr>
                <w:rFonts w:ascii="Arial" w:cs="Arial" w:eastAsia="Arial" w:hAnsi="Arial"/>
                <w:sz w:val="18"/>
                <w:szCs w:val="18"/>
                <w:color w:val="auto"/>
              </w:rPr>
              <w:t>Third Amended and Restated Credit Agreement, dated as of</w:t>
            </w:r>
          </w:p>
        </w:tc>
      </w:tr>
      <w:tr>
        <w:trPr>
          <w:trHeight w:val="216"/>
        </w:trPr>
        <w:tc>
          <w:tcPr>
            <w:tcW w:w="880" w:type="dxa"/>
            <w:vAlign w:val="bottom"/>
          </w:tcPr>
          <w:p>
            <w:pPr>
              <w:spacing w:after="0"/>
              <w:rPr>
                <w:sz w:val="18"/>
                <w:szCs w:val="18"/>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4"/>
              </w:rPr>
              <w:t>December  20,  2013,  by  and  among  The  Scotts  Miracle-Gro</w:t>
            </w:r>
          </w:p>
        </w:tc>
      </w:tr>
      <w:tr>
        <w:trPr>
          <w:trHeight w:val="216"/>
        </w:trPr>
        <w:tc>
          <w:tcPr>
            <w:tcW w:w="880" w:type="dxa"/>
            <w:vAlign w:val="bottom"/>
          </w:tcPr>
          <w:p>
            <w:pPr>
              <w:spacing w:after="0"/>
              <w:rPr>
                <w:sz w:val="18"/>
                <w:szCs w:val="18"/>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1"/>
              </w:rPr>
              <w:t>Company as the “Borrower”; the Subsidiary Borrowers (as defined</w:t>
            </w:r>
          </w:p>
        </w:tc>
      </w:tr>
      <w:tr>
        <w:trPr>
          <w:trHeight w:val="216"/>
        </w:trPr>
        <w:tc>
          <w:tcPr>
            <w:tcW w:w="880" w:type="dxa"/>
            <w:vAlign w:val="bottom"/>
          </w:tcPr>
          <w:p>
            <w:pPr>
              <w:spacing w:after="0"/>
              <w:rPr>
                <w:sz w:val="18"/>
                <w:szCs w:val="18"/>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1"/>
              </w:rPr>
              <w:t>in the Third Amended and Restated Credit Agreement); JPMorgan</w:t>
            </w:r>
          </w:p>
        </w:tc>
      </w:tr>
      <w:tr>
        <w:trPr>
          <w:trHeight w:val="216"/>
        </w:trPr>
        <w:tc>
          <w:tcPr>
            <w:tcW w:w="880" w:type="dxa"/>
            <w:vAlign w:val="bottom"/>
          </w:tcPr>
          <w:p>
            <w:pPr>
              <w:spacing w:after="0"/>
              <w:rPr>
                <w:sz w:val="18"/>
                <w:szCs w:val="18"/>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8"/>
              </w:rPr>
              <w:t>Chase Bank, N.A., as Administrative Agent; Bank of America,</w:t>
            </w:r>
          </w:p>
        </w:tc>
      </w:tr>
      <w:tr>
        <w:trPr>
          <w:trHeight w:val="230"/>
        </w:trPr>
        <w:tc>
          <w:tcPr>
            <w:tcW w:w="880" w:type="dxa"/>
            <w:vAlign w:val="bottom"/>
          </w:tcPr>
          <w:p>
            <w:pPr>
              <w:spacing w:after="0"/>
              <w:rPr>
                <w:sz w:val="20"/>
                <w:szCs w:val="20"/>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5"/>
              </w:rPr>
              <w:t>N.A., as Syndication Agent; CoBank, ACB, BNP Paribas, Crédit</w:t>
            </w:r>
          </w:p>
        </w:tc>
      </w:tr>
    </w:tbl>
    <w:p>
      <w:pPr>
        <w:jc w:val="both"/>
        <w:ind w:left="1500"/>
        <w:spacing w:after="0" w:line="269" w:lineRule="auto"/>
        <w:rPr>
          <w:sz w:val="20"/>
          <w:szCs w:val="20"/>
          <w:color w:val="auto"/>
        </w:rPr>
      </w:pPr>
      <w:r>
        <w:rPr>
          <w:rFonts w:ascii="Arial" w:cs="Arial" w:eastAsia="Arial" w:hAnsi="Arial"/>
          <w:sz w:val="17"/>
          <w:szCs w:val="17"/>
          <w:color w:val="auto"/>
        </w:rPr>
        <w:t>Agricole Corporate and Investment Bank, Coöperatieve Centrale Raiffeisen-Boerenleenbank B.A., “Rabobank Nederland,” New York Branch, Citizens Bank of Pennsylvania, and Wells Fargo Bank, N.A., as Documentation Agents; and the several other banks and other financial institutions from time to time parties to the Third Amended and Restated Credit Agreement (collectively, the “Lenders”)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26, 2013 (File No. 1-11593) [Exhibit 4.1]</w:t>
      </w:r>
    </w:p>
    <w:p>
      <w:pPr>
        <w:spacing w:after="0" w:line="2301"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880" w:type="dxa"/>
            <w:vAlign w:val="bottom"/>
          </w:tcPr>
          <w:p>
            <w:pPr>
              <w:jc w:val="right"/>
              <w:ind w:right="470"/>
              <w:spacing w:after="0"/>
              <w:rPr>
                <w:sz w:val="20"/>
                <w:szCs w:val="20"/>
                <w:color w:val="auto"/>
              </w:rPr>
            </w:pPr>
            <w:r>
              <w:rPr>
                <w:rFonts w:ascii="Arial" w:cs="Arial" w:eastAsia="Arial" w:hAnsi="Arial"/>
                <w:sz w:val="18"/>
                <w:szCs w:val="18"/>
                <w:color w:val="auto"/>
                <w:w w:val="85"/>
              </w:rPr>
              <w:t>10.3</w:t>
            </w:r>
          </w:p>
        </w:tc>
        <w:tc>
          <w:tcPr>
            <w:tcW w:w="5440" w:type="dxa"/>
            <w:vAlign w:val="bottom"/>
          </w:tcPr>
          <w:p>
            <w:pPr>
              <w:ind w:left="580"/>
              <w:spacing w:after="0"/>
              <w:rPr>
                <w:sz w:val="20"/>
                <w:szCs w:val="20"/>
                <w:color w:val="auto"/>
              </w:rPr>
            </w:pPr>
            <w:r>
              <w:rPr>
                <w:rFonts w:ascii="Arial" w:cs="Arial" w:eastAsia="Arial" w:hAnsi="Arial"/>
                <w:sz w:val="18"/>
                <w:szCs w:val="18"/>
                <w:color w:val="auto"/>
                <w:w w:val="89"/>
              </w:rPr>
              <w:t>Third Amended and Restated Guarantee and Collateral Agreement,</w:t>
            </w:r>
          </w:p>
        </w:tc>
      </w:tr>
      <w:tr>
        <w:trPr>
          <w:trHeight w:val="216"/>
        </w:trPr>
        <w:tc>
          <w:tcPr>
            <w:tcW w:w="880" w:type="dxa"/>
            <w:vAlign w:val="bottom"/>
          </w:tcPr>
          <w:p>
            <w:pPr>
              <w:spacing w:after="0"/>
              <w:rPr>
                <w:sz w:val="18"/>
                <w:szCs w:val="18"/>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2"/>
              </w:rPr>
              <w:t>dated as of December 20, 2013, made by The Scotts Miracle-Gro</w:t>
            </w:r>
          </w:p>
        </w:tc>
      </w:tr>
      <w:tr>
        <w:trPr>
          <w:trHeight w:val="230"/>
        </w:trPr>
        <w:tc>
          <w:tcPr>
            <w:tcW w:w="880" w:type="dxa"/>
            <w:vAlign w:val="bottom"/>
          </w:tcPr>
          <w:p>
            <w:pPr>
              <w:spacing w:after="0"/>
              <w:rPr>
                <w:sz w:val="20"/>
                <w:szCs w:val="20"/>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7"/>
              </w:rPr>
              <w:t>Company, each domestic Subsidiary Borrower under the Third</w:t>
            </w:r>
          </w:p>
        </w:tc>
      </w:tr>
    </w:tbl>
    <w:p>
      <w:pPr>
        <w:jc w:val="both"/>
        <w:ind w:left="1500"/>
        <w:spacing w:after="0" w:line="255" w:lineRule="auto"/>
        <w:rPr>
          <w:sz w:val="20"/>
          <w:szCs w:val="20"/>
          <w:color w:val="auto"/>
        </w:rPr>
      </w:pPr>
      <w:r>
        <w:rPr>
          <w:rFonts w:ascii="Arial" w:cs="Arial" w:eastAsia="Arial" w:hAnsi="Arial"/>
          <w:sz w:val="18"/>
          <w:szCs w:val="18"/>
          <w:color w:val="auto"/>
        </w:rPr>
        <w:t>Amended and Restated Credit Agreement, and certain of its and their domestic subsidiaries, in favor of JPMorgan Chase Bank, N.A., as Administrative Agent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26, 2013 (File No. 1-11593) [Exhibit 4.2]</w:t>
      </w:r>
    </w:p>
    <w:p>
      <w:pPr>
        <w:spacing w:after="0" w:line="789"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10.4(a)†</w:t>
            </w:r>
          </w:p>
        </w:tc>
        <w:tc>
          <w:tcPr>
            <w:tcW w:w="5300" w:type="dxa"/>
            <w:vAlign w:val="bottom"/>
          </w:tcPr>
          <w:p>
            <w:pPr>
              <w:ind w:left="440"/>
              <w:spacing w:after="0"/>
              <w:rPr>
                <w:sz w:val="20"/>
                <w:szCs w:val="20"/>
                <w:color w:val="auto"/>
              </w:rPr>
            </w:pPr>
            <w:r>
              <w:rPr>
                <w:rFonts w:ascii="Arial" w:cs="Arial" w:eastAsia="Arial" w:hAnsi="Arial"/>
                <w:sz w:val="18"/>
                <w:szCs w:val="18"/>
                <w:color w:val="auto"/>
                <w:w w:val="95"/>
              </w:rPr>
              <w:t>The Scotts Miracle-Gro Company Amended and Restated 1996</w:t>
            </w:r>
          </w:p>
        </w:tc>
      </w:tr>
      <w:tr>
        <w:trPr>
          <w:trHeight w:val="230"/>
        </w:trPr>
        <w:tc>
          <w:tcPr>
            <w:tcW w:w="1060" w:type="dxa"/>
            <w:vAlign w:val="bottom"/>
          </w:tcPr>
          <w:p>
            <w:pPr>
              <w:spacing w:after="0"/>
              <w:rPr>
                <w:sz w:val="20"/>
                <w:szCs w:val="20"/>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Stock Option Plan (effective as of October 30, 2007)</w:t>
            </w:r>
          </w:p>
        </w:tc>
      </w:tr>
      <w:tr>
        <w:trPr>
          <w:trHeight w:val="593"/>
        </w:trPr>
        <w:tc>
          <w:tcPr>
            <w:tcW w:w="1060" w:type="dxa"/>
            <w:vAlign w:val="bottom"/>
          </w:tcPr>
          <w:p>
            <w:pPr>
              <w:spacing w:after="0"/>
              <w:rPr>
                <w:sz w:val="20"/>
                <w:szCs w:val="20"/>
                <w:color w:val="auto"/>
              </w:rPr>
            </w:pPr>
            <w:r>
              <w:rPr>
                <w:rFonts w:ascii="Arial" w:cs="Arial" w:eastAsia="Arial" w:hAnsi="Arial"/>
                <w:sz w:val="18"/>
                <w:szCs w:val="18"/>
                <w:color w:val="auto"/>
              </w:rPr>
              <w:t>10.4(b)†</w:t>
            </w:r>
          </w:p>
        </w:tc>
        <w:tc>
          <w:tcPr>
            <w:tcW w:w="5300" w:type="dxa"/>
            <w:vAlign w:val="bottom"/>
          </w:tcPr>
          <w:p>
            <w:pPr>
              <w:ind w:left="440"/>
              <w:spacing w:after="0"/>
              <w:rPr>
                <w:sz w:val="20"/>
                <w:szCs w:val="20"/>
                <w:color w:val="auto"/>
              </w:rPr>
            </w:pPr>
            <w:r>
              <w:rPr>
                <w:rFonts w:ascii="Arial" w:cs="Arial" w:eastAsia="Arial" w:hAnsi="Arial"/>
                <w:sz w:val="18"/>
                <w:szCs w:val="18"/>
                <w:color w:val="auto"/>
              </w:rPr>
              <w:t>Specimen form of Stock Option Agreement for Non-Qualified</w:t>
            </w:r>
          </w:p>
        </w:tc>
      </w:tr>
      <w:tr>
        <w:trPr>
          <w:trHeight w:val="216"/>
        </w:trPr>
        <w:tc>
          <w:tcPr>
            <w:tcW w:w="1060" w:type="dxa"/>
            <w:vAlign w:val="bottom"/>
          </w:tcPr>
          <w:p>
            <w:pPr>
              <w:spacing w:after="0"/>
              <w:rPr>
                <w:sz w:val="18"/>
                <w:szCs w:val="18"/>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w w:val="94"/>
              </w:rPr>
              <w:t>Stock Options granted to employees under The Scotts Company</w:t>
            </w:r>
          </w:p>
        </w:tc>
      </w:tr>
      <w:tr>
        <w:trPr>
          <w:trHeight w:val="216"/>
        </w:trPr>
        <w:tc>
          <w:tcPr>
            <w:tcW w:w="1060" w:type="dxa"/>
            <w:vAlign w:val="bottom"/>
          </w:tcPr>
          <w:p>
            <w:pPr>
              <w:spacing w:after="0"/>
              <w:rPr>
                <w:sz w:val="18"/>
                <w:szCs w:val="18"/>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w w:val="95"/>
              </w:rPr>
              <w:t>1996 Stock Option Plan (now known as The Scotts Miracle-Gro</w:t>
            </w:r>
          </w:p>
        </w:tc>
      </w:tr>
      <w:tr>
        <w:trPr>
          <w:trHeight w:val="230"/>
        </w:trPr>
        <w:tc>
          <w:tcPr>
            <w:tcW w:w="1060" w:type="dxa"/>
            <w:vAlign w:val="bottom"/>
          </w:tcPr>
          <w:p>
            <w:pPr>
              <w:spacing w:after="0"/>
              <w:rPr>
                <w:sz w:val="20"/>
                <w:szCs w:val="20"/>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Company Amended and Restated 1996 Stock Option Plan)</w:t>
            </w:r>
          </w:p>
        </w:tc>
      </w:tr>
      <w:tr>
        <w:trPr>
          <w:trHeight w:val="608"/>
        </w:trPr>
        <w:tc>
          <w:tcPr>
            <w:tcW w:w="1060" w:type="dxa"/>
            <w:vAlign w:val="bottom"/>
          </w:tcPr>
          <w:p>
            <w:pPr>
              <w:spacing w:after="0"/>
              <w:rPr>
                <w:sz w:val="24"/>
                <w:szCs w:val="24"/>
                <w:color w:val="auto"/>
              </w:rPr>
            </w:pPr>
          </w:p>
        </w:tc>
        <w:tc>
          <w:tcPr>
            <w:tcW w:w="5300" w:type="dxa"/>
            <w:vAlign w:val="bottom"/>
          </w:tcPr>
          <w:p>
            <w:pPr>
              <w:ind w:left="4520"/>
              <w:spacing w:after="0"/>
              <w:rPr>
                <w:sz w:val="20"/>
                <w:szCs w:val="20"/>
                <w:color w:val="auto"/>
              </w:rPr>
            </w:pPr>
            <w:r>
              <w:rPr>
                <w:rFonts w:ascii="Arial" w:cs="Arial" w:eastAsia="Arial" w:hAnsi="Arial"/>
                <w:sz w:val="18"/>
                <w:szCs w:val="18"/>
                <w:color w:val="auto"/>
              </w:rPr>
              <w:t>117</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10(d)(4)]</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10.7]</w:t>
      </w:r>
    </w:p>
    <w:p>
      <w:pPr>
        <w:sectPr>
          <w:pgSz w:w="11900" w:h="16838" w:orient="portrait"/>
          <w:cols w:equalWidth="0" w:num="2">
            <w:col w:w="6360" w:space="180"/>
            <w:col w:w="4860"/>
          </w:cols>
          <w:pgMar w:left="240" w:top="121" w:right="259" w:bottom="1440" w:gutter="0" w:footer="0" w:header="0"/>
          <w:type w:val="continuous"/>
        </w:sectPr>
      </w:pPr>
    </w:p>
    <w:bookmarkStart w:id="117" w:name="page118"/>
    <w:bookmarkEnd w:id="117"/>
    <w:p>
      <w:pPr>
        <w:spacing w:after="0"/>
        <w:rPr>
          <w:rFonts w:ascii="Arial" w:cs="Arial" w:eastAsia="Arial" w:hAnsi="Arial"/>
          <w:sz w:val="12"/>
          <w:szCs w:val="12"/>
          <w:color w:val="FFFFFF"/>
        </w:rPr>
      </w:pPr>
      <w:hyperlink w:anchor="page49">
        <w:r>
          <w:rPr>
            <w:rFonts w:ascii="Arial" w:cs="Arial" w:eastAsia="Arial" w:hAnsi="Arial"/>
            <w:sz w:val="12"/>
            <w:szCs w:val="12"/>
            <w:color w:val="FFFF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10.5(a)†</w:t>
            </w:r>
          </w:p>
        </w:tc>
        <w:tc>
          <w:tcPr>
            <w:tcW w:w="5280" w:type="dxa"/>
            <w:vAlign w:val="bottom"/>
          </w:tcPr>
          <w:p>
            <w:pPr>
              <w:ind w:left="420"/>
              <w:spacing w:after="0"/>
              <w:rPr>
                <w:sz w:val="20"/>
                <w:szCs w:val="20"/>
                <w:color w:val="auto"/>
              </w:rPr>
            </w:pPr>
            <w:r>
              <w:rPr>
                <w:rFonts w:ascii="Arial" w:cs="Arial" w:eastAsia="Arial" w:hAnsi="Arial"/>
                <w:sz w:val="18"/>
                <w:szCs w:val="18"/>
                <w:color w:val="auto"/>
                <w:w w:val="95"/>
              </w:rPr>
              <w:t>The Scotts Miracle-Gro Company Amended and Restated 2003</w:t>
            </w:r>
          </w:p>
        </w:tc>
      </w:tr>
      <w:tr>
        <w:trPr>
          <w:trHeight w:val="216"/>
        </w:trPr>
        <w:tc>
          <w:tcPr>
            <w:tcW w:w="108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Stock  Option  and  Incentive  Equity  Plan  (effective  as  of</w:t>
            </w:r>
          </w:p>
        </w:tc>
      </w:tr>
      <w:tr>
        <w:trPr>
          <w:trHeight w:val="230"/>
        </w:trPr>
        <w:tc>
          <w:tcPr>
            <w:tcW w:w="108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October 30, 2007)</w:t>
            </w:r>
          </w:p>
        </w:tc>
      </w:tr>
      <w:tr>
        <w:trPr>
          <w:trHeight w:val="377"/>
        </w:trPr>
        <w:tc>
          <w:tcPr>
            <w:tcW w:w="1080" w:type="dxa"/>
            <w:vAlign w:val="bottom"/>
          </w:tcPr>
          <w:p>
            <w:pPr>
              <w:ind w:left="40"/>
              <w:spacing w:after="0"/>
              <w:rPr>
                <w:sz w:val="20"/>
                <w:szCs w:val="20"/>
                <w:color w:val="auto"/>
              </w:rPr>
            </w:pPr>
            <w:r>
              <w:rPr>
                <w:rFonts w:ascii="Arial" w:cs="Arial" w:eastAsia="Arial" w:hAnsi="Arial"/>
                <w:sz w:val="18"/>
                <w:szCs w:val="18"/>
                <w:color w:val="auto"/>
              </w:rPr>
              <w:t>10.5(b)†</w:t>
            </w:r>
          </w:p>
        </w:tc>
        <w:tc>
          <w:tcPr>
            <w:tcW w:w="5280" w:type="dxa"/>
            <w:vAlign w:val="bottom"/>
          </w:tcPr>
          <w:p>
            <w:pPr>
              <w:ind w:left="420"/>
              <w:spacing w:after="0"/>
              <w:rPr>
                <w:sz w:val="20"/>
                <w:szCs w:val="20"/>
                <w:color w:val="auto"/>
              </w:rPr>
            </w:pPr>
            <w:r>
              <w:rPr>
                <w:rFonts w:ascii="Arial" w:cs="Arial" w:eastAsia="Arial" w:hAnsi="Arial"/>
                <w:sz w:val="18"/>
                <w:szCs w:val="18"/>
                <w:color w:val="auto"/>
                <w:w w:val="97"/>
              </w:rPr>
              <w:t>Specimen  form  of  Award  Agreement  for  Directors  used  to</w:t>
            </w:r>
          </w:p>
        </w:tc>
      </w:tr>
      <w:tr>
        <w:trPr>
          <w:trHeight w:val="216"/>
        </w:trPr>
        <w:tc>
          <w:tcPr>
            <w:tcW w:w="108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w w:val="95"/>
              </w:rPr>
              <w:t>evidence grants of Nonqualified Stock Options made under The</w:t>
            </w:r>
          </w:p>
        </w:tc>
      </w:tr>
      <w:tr>
        <w:trPr>
          <w:trHeight w:val="216"/>
        </w:trPr>
        <w:tc>
          <w:tcPr>
            <w:tcW w:w="108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w w:val="97"/>
              </w:rPr>
              <w:t>Scotts Miracle-Gro Company 2003 Stock Option and Incentive</w:t>
            </w:r>
          </w:p>
        </w:tc>
      </w:tr>
      <w:tr>
        <w:trPr>
          <w:trHeight w:val="230"/>
        </w:trPr>
        <w:tc>
          <w:tcPr>
            <w:tcW w:w="1080" w:type="dxa"/>
            <w:vAlign w:val="bottom"/>
          </w:tcPr>
          <w:p>
            <w:pPr>
              <w:spacing w:after="0"/>
              <w:rPr>
                <w:sz w:val="20"/>
                <w:szCs w:val="20"/>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w w:val="99"/>
              </w:rPr>
              <w:t>Equity Plan (now known as The Scotts Miracle-Gro Company</w:t>
            </w:r>
          </w:p>
        </w:tc>
      </w:tr>
    </w:tbl>
    <w:p>
      <w:pPr>
        <w:ind w:left="1500"/>
        <w:spacing w:after="0" w:line="261" w:lineRule="auto"/>
        <w:rPr>
          <w:sz w:val="20"/>
          <w:szCs w:val="20"/>
          <w:color w:val="auto"/>
        </w:rPr>
      </w:pPr>
      <w:r>
        <w:rPr>
          <w:rFonts w:ascii="Arial" w:cs="Arial" w:eastAsia="Arial" w:hAnsi="Arial"/>
          <w:sz w:val="18"/>
          <w:szCs w:val="18"/>
          <w:color w:val="auto"/>
        </w:rPr>
        <w:t>Amended and Restated 2003 Stock Option and Incentive Equity Plan) [post-2003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10(j)(3)]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10(v)]</w:t>
      </w:r>
    </w:p>
    <w:p>
      <w:pPr>
        <w:spacing w:after="0" w:line="78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10.6(a)†</w:t>
            </w:r>
          </w:p>
        </w:tc>
        <w:tc>
          <w:tcPr>
            <w:tcW w:w="5260" w:type="dxa"/>
            <w:vAlign w:val="bottom"/>
          </w:tcPr>
          <w:p>
            <w:pPr>
              <w:ind w:left="420"/>
              <w:spacing w:after="0"/>
              <w:rPr>
                <w:sz w:val="20"/>
                <w:szCs w:val="20"/>
                <w:color w:val="auto"/>
              </w:rPr>
            </w:pPr>
            <w:r>
              <w:rPr>
                <w:rFonts w:ascii="Arial" w:cs="Arial" w:eastAsia="Arial" w:hAnsi="Arial"/>
                <w:sz w:val="18"/>
                <w:szCs w:val="18"/>
                <w:color w:val="auto"/>
                <w:w w:val="94"/>
              </w:rPr>
              <w:t>The  Scotts  Miracle-Gro  Company  Long-Term  Incentive  Plan</w:t>
            </w:r>
          </w:p>
        </w:tc>
      </w:tr>
      <w:tr>
        <w:trPr>
          <w:trHeight w:val="216"/>
        </w:trPr>
        <w:tc>
          <w:tcPr>
            <w:tcW w:w="104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4"/>
              </w:rPr>
              <w:t>(reflects amendment and restatement of plan formerly known as</w:t>
            </w:r>
          </w:p>
        </w:tc>
      </w:tr>
      <w:tr>
        <w:trPr>
          <w:trHeight w:val="216"/>
        </w:trPr>
        <w:tc>
          <w:tcPr>
            <w:tcW w:w="104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9"/>
              </w:rPr>
              <w:t>The Scotts Miracle-Gro Company 2006 Long-Term Incentive</w:t>
            </w:r>
          </w:p>
        </w:tc>
      </w:tr>
      <w:tr>
        <w:trPr>
          <w:trHeight w:val="230"/>
        </w:trPr>
        <w:tc>
          <w:tcPr>
            <w:tcW w:w="104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Plan) [effective as of January 17, 2013]</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10.6(b)†</w:t>
            </w:r>
          </w:p>
        </w:tc>
        <w:tc>
          <w:tcPr>
            <w:tcW w:w="5260" w:type="dxa"/>
            <w:vAlign w:val="bottom"/>
          </w:tcPr>
          <w:p>
            <w:pPr>
              <w:ind w:left="420"/>
              <w:spacing w:after="0"/>
              <w:rPr>
                <w:sz w:val="20"/>
                <w:szCs w:val="20"/>
                <w:color w:val="auto"/>
              </w:rPr>
            </w:pPr>
            <w:r>
              <w:rPr>
                <w:rFonts w:ascii="Arial" w:cs="Arial" w:eastAsia="Arial" w:hAnsi="Arial"/>
                <w:sz w:val="18"/>
                <w:szCs w:val="18"/>
                <w:color w:val="auto"/>
                <w:w w:val="94"/>
              </w:rPr>
              <w:t>Specimen form of Award Agreement for Nonemployee Directors</w:t>
            </w:r>
          </w:p>
        </w:tc>
      </w:tr>
      <w:tr>
        <w:trPr>
          <w:trHeight w:val="230"/>
        </w:trPr>
        <w:tc>
          <w:tcPr>
            <w:tcW w:w="104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used  to  evidence  grants  of  Time-Based  Nonqualified  Stock</w:t>
            </w:r>
          </w:p>
        </w:tc>
      </w:tr>
    </w:tbl>
    <w:p>
      <w:pPr>
        <w:jc w:val="both"/>
        <w:ind w:left="1500"/>
        <w:spacing w:after="0" w:line="255" w:lineRule="auto"/>
        <w:rPr>
          <w:sz w:val="20"/>
          <w:szCs w:val="20"/>
          <w:color w:val="auto"/>
        </w:rPr>
      </w:pPr>
      <w:r>
        <w:rPr>
          <w:rFonts w:ascii="Arial" w:cs="Arial" w:eastAsia="Arial" w:hAnsi="Arial"/>
          <w:sz w:val="18"/>
          <w:szCs w:val="18"/>
          <w:color w:val="auto"/>
        </w:rPr>
        <w:t>Options made under The Scotts Miracle-Gro Company 2006 Long-Term Incentive Plan (now known as The Scotts Miracle-Gro Company Long-Term Incentive Plan)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24, 2013 (File No. 1-11593) [Exhibit 10.1]</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1-11593) [Exhibit 10.3]</w:t>
      </w:r>
    </w:p>
    <w:p>
      <w:pPr>
        <w:spacing w:after="0" w:line="573"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10.6(c)(i)†</w:t>
            </w:r>
          </w:p>
        </w:tc>
        <w:tc>
          <w:tcPr>
            <w:tcW w:w="5200" w:type="dxa"/>
            <w:vAlign w:val="bottom"/>
          </w:tcPr>
          <w:p>
            <w:pPr>
              <w:ind w:left="34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1"/>
              </w:rPr>
              <w:t>to evidence grants of Deferred Stock Units made under The Scotts</w:t>
            </w:r>
          </w:p>
        </w:tc>
      </w:tr>
      <w:tr>
        <w:trPr>
          <w:trHeight w:val="230"/>
        </w:trPr>
        <w:tc>
          <w:tcPr>
            <w:tcW w:w="11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5"/>
              </w:rPr>
              <w:t>Miracle-Gro Company Amended and Restated 2006 Long-Term</w:t>
            </w:r>
          </w:p>
        </w:tc>
      </w:tr>
    </w:tbl>
    <w:p>
      <w:pPr>
        <w:jc w:val="both"/>
        <w:ind w:left="1500"/>
        <w:spacing w:after="0" w:line="255" w:lineRule="auto"/>
        <w:rPr>
          <w:sz w:val="20"/>
          <w:szCs w:val="20"/>
          <w:color w:val="auto"/>
        </w:rPr>
      </w:pPr>
      <w:r>
        <w:rPr>
          <w:rFonts w:ascii="Arial" w:cs="Arial" w:eastAsia="Arial" w:hAnsi="Arial"/>
          <w:sz w:val="18"/>
          <w:szCs w:val="18"/>
          <w:color w:val="auto"/>
        </w:rPr>
        <w:t>Incentive Plan (now known as The Scotts Miracle-Gro Company Long-Term Incentive Plan) [January 23, 2009 through January 19, 2012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2009 (File No. 1-11593) [Exhibit 10.1]</w:t>
      </w:r>
    </w:p>
    <w:p>
      <w:pPr>
        <w:spacing w:after="0" w:line="1005"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480" w:val="left"/>
        </w:tabs>
        <w:rPr>
          <w:sz w:val="20"/>
          <w:szCs w:val="20"/>
          <w:color w:val="auto"/>
        </w:rPr>
      </w:pPr>
      <w:r>
        <w:rPr>
          <w:rFonts w:ascii="Arial" w:cs="Arial" w:eastAsia="Arial" w:hAnsi="Arial"/>
          <w:sz w:val="18"/>
          <w:szCs w:val="18"/>
          <w:color w:val="auto"/>
        </w:rPr>
        <w:t>10.6(c)(ii)†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Nonemployee Directors (with Related Dividend Equivalents) used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evidence grants of Deferred Stock Units made under The Scotts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Miracle-Gro Company Amended and Restated 2006 Long-Term</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Incentive Plan (now known as The Scotts Miracle-Gro Company</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Long-Term Incentive Plan) [January 20, 2012 through January 17,</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2013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10.4]</w:t>
      </w:r>
    </w:p>
    <w:p>
      <w:pPr>
        <w:spacing w:after="0" w:line="100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480" w:val="left"/>
        </w:tabs>
        <w:rPr>
          <w:sz w:val="20"/>
          <w:szCs w:val="20"/>
          <w:color w:val="auto"/>
        </w:rPr>
      </w:pPr>
      <w:r>
        <w:rPr>
          <w:rFonts w:ascii="Arial" w:cs="Arial" w:eastAsia="Arial" w:hAnsi="Arial"/>
          <w:sz w:val="18"/>
          <w:szCs w:val="18"/>
          <w:color w:val="auto"/>
        </w:rPr>
        <w:t>10.6(c)(iii)†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Nonemployee Directors (with Related Dividend Equivalents) used</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 evidence grant of Deferred Stock Units made on January 20,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2012 to Adam Hanft under The Scotts Miracle-Gro Company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Amended and Restated Long-Term Incentive Plan (now known as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Scotts Miracle-Gro Company Long-Term Incentive Plan)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10.5]</w:t>
      </w:r>
    </w:p>
    <w:p>
      <w:pPr>
        <w:spacing w:after="0" w:line="78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480" w:val="left"/>
        </w:tabs>
        <w:rPr>
          <w:sz w:val="20"/>
          <w:szCs w:val="20"/>
          <w:color w:val="auto"/>
        </w:rPr>
      </w:pPr>
      <w:r>
        <w:rPr>
          <w:rFonts w:ascii="Arial" w:cs="Arial" w:eastAsia="Arial" w:hAnsi="Arial"/>
          <w:sz w:val="18"/>
          <w:szCs w:val="18"/>
          <w:color w:val="auto"/>
        </w:rPr>
        <w:t>10.6(c)(iv)†</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Nonemployee Directors (with Related Dividend Equivalents) used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evidence grants of Deferred Stock Units made under The Scotts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Miracle-Gro Company Long-Term Incentive Plan [January 18,</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2013 through January 30, 2014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10.3]</w:t>
      </w:r>
    </w:p>
    <w:p>
      <w:pPr>
        <w:spacing w:after="0" w:line="57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10.6(c)(v)†</w:t>
            </w:r>
          </w:p>
        </w:tc>
        <w:tc>
          <w:tcPr>
            <w:tcW w:w="5160" w:type="dxa"/>
            <w:vAlign w:val="bottom"/>
          </w:tcPr>
          <w:p>
            <w:pPr>
              <w:ind w:left="32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30"/>
        </w:trPr>
        <w:tc>
          <w:tcPr>
            <w:tcW w:w="114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w w:val="92"/>
              </w:rPr>
              <w:t>Nonemployee Directors (with Related Dividend Equivalents) used</w:t>
            </w:r>
          </w:p>
        </w:tc>
      </w:tr>
    </w:tbl>
    <w:p>
      <w:pPr>
        <w:jc w:val="both"/>
        <w:ind w:left="1500"/>
        <w:spacing w:after="0" w:line="255" w:lineRule="auto"/>
        <w:rPr>
          <w:sz w:val="20"/>
          <w:szCs w:val="20"/>
          <w:color w:val="auto"/>
        </w:rPr>
      </w:pPr>
      <w:r>
        <w:rPr>
          <w:rFonts w:ascii="Arial" w:cs="Arial" w:eastAsia="Arial" w:hAnsi="Arial"/>
          <w:sz w:val="18"/>
          <w:szCs w:val="18"/>
          <w:color w:val="auto"/>
        </w:rPr>
        <w:t>to evidence grants of Deferred Stock Units which may be made under The Scotts Miracle-Gro Company Long-Term Incentive Plan [post-January 30, 2014 version]</w:t>
      </w:r>
    </w:p>
    <w:p>
      <w:pPr>
        <w:spacing w:after="0" w:line="3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28, 2013 (File No. 1-11593) [Exhibit 10.8]</w:t>
      </w:r>
    </w:p>
    <w:p>
      <w:pPr>
        <w:sectPr>
          <w:pgSz w:w="11900" w:h="16838" w:orient="portrait"/>
          <w:cols w:equalWidth="0" w:num="2">
            <w:col w:w="6340" w:space="200"/>
            <w:col w:w="4860"/>
          </w:cols>
          <w:pgMar w:left="240" w:top="121" w:right="259" w:bottom="1440" w:gutter="0" w:footer="0" w:header="0"/>
          <w:type w:val="continuous"/>
        </w:sectPr>
      </w:pPr>
    </w:p>
    <w:bookmarkStart w:id="118" w:name="page119"/>
    <w:bookmarkEnd w:id="118"/>
    <w:p>
      <w:pPr>
        <w:spacing w:after="0"/>
        <w:rPr>
          <w:rFonts w:ascii="Arial" w:cs="Arial" w:eastAsia="Arial" w:hAnsi="Arial"/>
          <w:sz w:val="12"/>
          <w:szCs w:val="12"/>
          <w:color w:val="FFFFFF"/>
        </w:rPr>
      </w:pPr>
      <w:hyperlink w:anchor="page49">
        <w:r>
          <w:rPr>
            <w:rFonts w:ascii="Arial" w:cs="Arial" w:eastAsia="Arial" w:hAnsi="Arial"/>
            <w:sz w:val="12"/>
            <w:szCs w:val="12"/>
            <w:color w:val="FFFF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10.6(c)(vi)†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Nonemployee Directors (with Related Dividend Equivalents) used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evidence grants of Deferred Stock Units made on May 1, 2014</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under The Scotts Miracle-Gro Company Long-Term Incentive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 No. 1-11593) [Exhibit 10.11]</w:t>
      </w:r>
    </w:p>
    <w:p>
      <w:pPr>
        <w:spacing w:after="0" w:line="572"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10.6(d)(i)†</w:t>
            </w:r>
          </w:p>
        </w:tc>
        <w:tc>
          <w:tcPr>
            <w:tcW w:w="5180" w:type="dxa"/>
            <w:vAlign w:val="bottom"/>
          </w:tcPr>
          <w:p>
            <w:pPr>
              <w:ind w:left="34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4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30"/>
        </w:trPr>
        <w:tc>
          <w:tcPr>
            <w:tcW w:w="114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0"/>
              </w:rPr>
              <w:t>to evidence grants of Deferred Stock Units made under The Scotts</w:t>
            </w:r>
          </w:p>
        </w:tc>
      </w:tr>
    </w:tbl>
    <w:p>
      <w:pPr>
        <w:jc w:val="both"/>
        <w:ind w:left="1520" w:right="20"/>
        <w:spacing w:after="0" w:line="273" w:lineRule="auto"/>
        <w:rPr>
          <w:sz w:val="20"/>
          <w:szCs w:val="20"/>
          <w:color w:val="auto"/>
        </w:rPr>
      </w:pPr>
      <w:r>
        <w:rPr>
          <w:rFonts w:ascii="Arial" w:cs="Arial" w:eastAsia="Arial" w:hAnsi="Arial"/>
          <w:sz w:val="17"/>
          <w:szCs w:val="17"/>
          <w:color w:val="auto"/>
        </w:rPr>
        <w:t>Miracle-Gro Company Amended and Restated 2006 Long-Term Incentive Plan (now known as The Scotts Miracle-Gro Company Long-Term Incentive Plan) [Deferral of Cash Retainer — January 22, 2010 through January 20, 2011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10.1]</w:t>
      </w:r>
    </w:p>
    <w:p>
      <w:pPr>
        <w:spacing w:after="0" w:line="100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10.6(d)(ii)†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Nonemployee Directors (with Related Dividend Equivalents) used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evidence grants of Deferred Stock Units made under The Scotts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Miracle-Gro Company Amended and Restated 2006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Incentive Plan (now known as The Scotts Miracle-Gro Company</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Long-Term Incentive Plan) [Deferral of Cash Retainer — January</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21, 2011 through January 19, 2012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1, 2011 (File No. 1-11593) [Exhibit 10.4]</w:t>
      </w:r>
    </w:p>
    <w:p>
      <w:pPr>
        <w:spacing w:after="0" w:line="100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10.6(d)(iii)†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Nonemployee Directors (with Related Dividend Equivalents) used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evidence grants of Deferred Stock Units made under The Scotts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Miracle-Gro Company Amended and Restated 2006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Incentive Plan (now known as The Scotts Miracle-Gro Company</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Long-Term Incentive Plan) [Deferral of Cash Retainer — January</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20, 2012 through January 17, 2013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10.6]</w:t>
      </w:r>
    </w:p>
    <w:p>
      <w:pPr>
        <w:spacing w:after="0" w:line="100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10.6(d)(iv)†</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Nonemployee Directors (with Related Dividend Equivalents) used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evidence grants of Deferred Stock Units made under The Scotts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Miracle-Gro Company Long-Term Incentive Plan [Deferral of</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Cash Retainer — January 18, 2013 through January 30, 2014</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verison]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10.2]</w:t>
      </w:r>
    </w:p>
    <w:p>
      <w:pPr>
        <w:spacing w:after="0" w:line="78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10.6(d)(v)†</w:t>
            </w:r>
          </w:p>
        </w:tc>
        <w:tc>
          <w:tcPr>
            <w:tcW w:w="5140" w:type="dxa"/>
            <w:vAlign w:val="bottom"/>
          </w:tcPr>
          <w:p>
            <w:pPr>
              <w:ind w:left="32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6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16"/>
        </w:trPr>
        <w:tc>
          <w:tcPr>
            <w:tcW w:w="116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w w:val="95"/>
              </w:rPr>
              <w:t>to evidence grants of Deferred Stock Units which may be made</w:t>
            </w:r>
          </w:p>
        </w:tc>
      </w:tr>
      <w:tr>
        <w:trPr>
          <w:trHeight w:val="216"/>
        </w:trPr>
        <w:tc>
          <w:tcPr>
            <w:tcW w:w="116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w w:val="98"/>
              </w:rPr>
              <w:t>under The Scotts Miracle-Gro Company Long-Term Incentive</w:t>
            </w:r>
          </w:p>
        </w:tc>
      </w:tr>
      <w:tr>
        <w:trPr>
          <w:trHeight w:val="230"/>
        </w:trPr>
        <w:tc>
          <w:tcPr>
            <w:tcW w:w="116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w w:val="91"/>
              </w:rPr>
              <w:t>Plan [Deferral of Cash Retainer — post-January 30, 2014 version]</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28, 2013 (File No. 1-11593) [Exhibit 10.9]</w:t>
      </w:r>
    </w:p>
    <w:p>
      <w:pPr>
        <w:spacing w:after="0" w:line="572" w:lineRule="exact"/>
        <w:rPr>
          <w:sz w:val="20"/>
          <w:szCs w:val="20"/>
          <w:color w:val="auto"/>
        </w:rPr>
      </w:pPr>
    </w:p>
    <w:p>
      <w:pPr>
        <w:sectPr>
          <w:pgSz w:w="11900" w:h="16838" w:orient="portrait"/>
          <w:cols w:equalWidth="0" w:num="2">
            <w:col w:w="6340" w:space="200"/>
            <w:col w:w="48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10.6(e)†</w:t>
            </w:r>
          </w:p>
        </w:tc>
        <w:tc>
          <w:tcPr>
            <w:tcW w:w="5300" w:type="dxa"/>
            <w:vAlign w:val="bottom"/>
          </w:tcPr>
          <w:p>
            <w:pPr>
              <w:ind w:left="460"/>
              <w:spacing w:after="0"/>
              <w:rPr>
                <w:sz w:val="20"/>
                <w:szCs w:val="20"/>
                <w:color w:val="auto"/>
              </w:rPr>
            </w:pPr>
            <w:r>
              <w:rPr>
                <w:rFonts w:ascii="Arial" w:cs="Arial" w:eastAsia="Arial" w:hAnsi="Arial"/>
                <w:sz w:val="18"/>
                <w:szCs w:val="18"/>
                <w:color w:val="auto"/>
                <w:w w:val="95"/>
              </w:rPr>
              <w:t>Specimen form of Award Agreement used to evidence grants of</w:t>
            </w:r>
          </w:p>
        </w:tc>
      </w:tr>
      <w:tr>
        <w:trPr>
          <w:trHeight w:val="216"/>
        </w:trPr>
        <w:tc>
          <w:tcPr>
            <w:tcW w:w="106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4"/>
              </w:rPr>
              <w:t>Restricted Stock Units, Performance Shares, Nonqualified Stock</w:t>
            </w:r>
          </w:p>
        </w:tc>
      </w:tr>
      <w:tr>
        <w:trPr>
          <w:trHeight w:val="216"/>
        </w:trPr>
        <w:tc>
          <w:tcPr>
            <w:tcW w:w="106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8"/>
              </w:rPr>
              <w:t>Options, Incentive Stock Options, Restricted Stock and Stock</w:t>
            </w:r>
          </w:p>
        </w:tc>
      </w:tr>
      <w:tr>
        <w:trPr>
          <w:trHeight w:val="216"/>
        </w:trPr>
        <w:tc>
          <w:tcPr>
            <w:tcW w:w="106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rPr>
              <w:t>Appreciation  Rights  made  under  The  Scotts  Miracle-Gro</w:t>
            </w:r>
          </w:p>
        </w:tc>
      </w:tr>
      <w:tr>
        <w:trPr>
          <w:trHeight w:val="216"/>
        </w:trPr>
        <w:tc>
          <w:tcPr>
            <w:tcW w:w="106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7"/>
              </w:rPr>
              <w:t>Company 2006 Long-Term Incentive Plan (now known as The</w:t>
            </w:r>
          </w:p>
        </w:tc>
      </w:tr>
      <w:tr>
        <w:trPr>
          <w:trHeight w:val="216"/>
        </w:trPr>
        <w:tc>
          <w:tcPr>
            <w:tcW w:w="106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8"/>
              </w:rPr>
              <w:t>Scotts Miracle-Gro Company Long-Term Incentive Plan) [pre-</w:t>
            </w:r>
          </w:p>
        </w:tc>
      </w:tr>
      <w:tr>
        <w:trPr>
          <w:trHeight w:val="230"/>
        </w:trPr>
        <w:tc>
          <w:tcPr>
            <w:tcW w:w="1060" w:type="dxa"/>
            <w:vAlign w:val="bottom"/>
          </w:tcPr>
          <w:p>
            <w:pPr>
              <w:spacing w:after="0"/>
              <w:rPr>
                <w:sz w:val="20"/>
                <w:szCs w:val="20"/>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rPr>
              <w:t>October 30, 2007 version]</w:t>
            </w:r>
          </w:p>
        </w:tc>
      </w:tr>
      <w:tr>
        <w:trPr>
          <w:trHeight w:val="608"/>
        </w:trPr>
        <w:tc>
          <w:tcPr>
            <w:tcW w:w="1060" w:type="dxa"/>
            <w:vAlign w:val="bottom"/>
          </w:tcPr>
          <w:p>
            <w:pPr>
              <w:spacing w:after="0"/>
              <w:rPr>
                <w:sz w:val="24"/>
                <w:szCs w:val="24"/>
                <w:color w:val="auto"/>
              </w:rPr>
            </w:pPr>
          </w:p>
        </w:tc>
        <w:tc>
          <w:tcPr>
            <w:tcW w:w="5300" w:type="dxa"/>
            <w:vAlign w:val="bottom"/>
          </w:tcPr>
          <w:p>
            <w:pPr>
              <w:ind w:left="4520"/>
              <w:spacing w:after="0"/>
              <w:rPr>
                <w:sz w:val="20"/>
                <w:szCs w:val="20"/>
                <w:color w:val="auto"/>
              </w:rPr>
            </w:pPr>
            <w:r>
              <w:rPr>
                <w:rFonts w:ascii="Arial" w:cs="Arial" w:eastAsia="Arial" w:hAnsi="Arial"/>
                <w:sz w:val="18"/>
                <w:szCs w:val="18"/>
                <w:color w:val="auto"/>
              </w:rPr>
              <w:t>119</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1-11593) [Exhibit 10(b)]</w:t>
      </w:r>
    </w:p>
    <w:p>
      <w:pPr>
        <w:sectPr>
          <w:pgSz w:w="11900" w:h="16838" w:orient="portrait"/>
          <w:cols w:equalWidth="0" w:num="2">
            <w:col w:w="6360" w:space="180"/>
            <w:col w:w="4860"/>
          </w:cols>
          <w:pgMar w:left="240" w:top="121" w:right="259" w:bottom="1440" w:gutter="0" w:footer="0" w:header="0"/>
          <w:type w:val="continuous"/>
        </w:sectPr>
      </w:pPr>
    </w:p>
    <w:bookmarkStart w:id="119" w:name="page120"/>
    <w:bookmarkEnd w:id="119"/>
    <w:p>
      <w:pPr>
        <w:spacing w:after="0"/>
        <w:rPr>
          <w:rFonts w:ascii="Arial" w:cs="Arial" w:eastAsia="Arial" w:hAnsi="Arial"/>
          <w:sz w:val="12"/>
          <w:szCs w:val="12"/>
          <w:color w:val="FFFFFF"/>
        </w:rPr>
      </w:pPr>
      <w:hyperlink w:anchor="page49">
        <w:r>
          <w:rPr>
            <w:rFonts w:ascii="Arial" w:cs="Arial" w:eastAsia="Arial" w:hAnsi="Arial"/>
            <w:sz w:val="12"/>
            <w:szCs w:val="12"/>
            <w:color w:val="FFFF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10.6(f)(i)†</w:t>
            </w:r>
          </w:p>
        </w:tc>
        <w:tc>
          <w:tcPr>
            <w:tcW w:w="5180" w:type="dxa"/>
            <w:vAlign w:val="bottom"/>
          </w:tcPr>
          <w:p>
            <w:pPr>
              <w:ind w:left="360"/>
              <w:spacing w:after="0"/>
              <w:rPr>
                <w:sz w:val="20"/>
                <w:szCs w:val="20"/>
                <w:color w:val="auto"/>
              </w:rPr>
            </w:pPr>
            <w:r>
              <w:rPr>
                <w:rFonts w:ascii="Arial" w:cs="Arial" w:eastAsia="Arial" w:hAnsi="Arial"/>
                <w:sz w:val="18"/>
                <w:szCs w:val="18"/>
                <w:color w:val="auto"/>
                <w:w w:val="98"/>
              </w:rPr>
              <w:t>Specimen form of Restricted Stock Unit Award Agreement for</w:t>
            </w:r>
          </w:p>
        </w:tc>
      </w:tr>
      <w:tr>
        <w:trPr>
          <w:trHeight w:val="230"/>
        </w:trPr>
        <w:tc>
          <w:tcPr>
            <w:tcW w:w="112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w w:val="92"/>
              </w:rPr>
              <w:t>Employees (with Related Dividend Equivalents) used to evidence</w:t>
            </w:r>
          </w:p>
        </w:tc>
      </w:tr>
    </w:tbl>
    <w:p>
      <w:pPr>
        <w:jc w:val="both"/>
        <w:ind w:left="1520"/>
        <w:spacing w:after="0" w:line="253" w:lineRule="auto"/>
        <w:rPr>
          <w:sz w:val="20"/>
          <w:szCs w:val="20"/>
          <w:color w:val="auto"/>
        </w:rPr>
      </w:pPr>
      <w:r>
        <w:rPr>
          <w:rFonts w:ascii="Arial" w:cs="Arial" w:eastAsia="Arial" w:hAnsi="Arial"/>
          <w:sz w:val="18"/>
          <w:szCs w:val="18"/>
          <w:color w:val="auto"/>
        </w:rPr>
        <w:t>grants of Restricted Stock Units made under The Scotts Miracle-Gro Company Amended and Restated 2006 Long-Term Incentive Plan (now known as The Scotts Miracle-Gro Company Long-Term Incentive Plan) [January 20, 2012 through January 17, 2013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10.2]</w:t>
      </w:r>
    </w:p>
    <w:p>
      <w:pPr>
        <w:spacing w:after="0" w:line="1005"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10.6(f)(ii)†</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grants of Restricted Stock Units which may be made under The</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Scotts Miracle-Gro Company Long-Term Incentive Plan [post-</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January 17, 2013 version]</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10.6(f)(iii)†</w:t>
      </w:r>
      <w:r>
        <w:rPr>
          <w:sz w:val="20"/>
          <w:szCs w:val="20"/>
          <w:color w:val="auto"/>
        </w:rPr>
        <w:tab/>
      </w:r>
      <w:r>
        <w:rPr>
          <w:rFonts w:ascii="Arial" w:cs="Arial" w:eastAsia="Arial" w:hAnsi="Arial"/>
          <w:sz w:val="17"/>
          <w:szCs w:val="17"/>
          <w:color w:val="auto"/>
        </w:rPr>
        <w:t>Form of Restricted Stock Unit Award Agreement for Employees</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(with Related Dividend Equivalents) used to evidence grant of</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Restricted Stock Units made on April 1, 2013 to Lawrence A.</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Hilsheimer under The Scotts Miracle-Gro Company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Incentive Plan</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10.6(f)(iv)†</w:t>
      </w:r>
      <w:r>
        <w:rPr>
          <w:sz w:val="20"/>
          <w:szCs w:val="20"/>
          <w:color w:val="auto"/>
        </w:rPr>
        <w:tab/>
      </w:r>
      <w:r>
        <w:rPr>
          <w:rFonts w:ascii="Arial" w:cs="Arial" w:eastAsia="Arial" w:hAnsi="Arial"/>
          <w:sz w:val="17"/>
          <w:szCs w:val="17"/>
          <w:color w:val="auto"/>
        </w:rPr>
        <w:t>Form of Restricted Stock Unit Award Agreement for Employees</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(with Related Dividend Equivalents) used to evidence grant of</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Units made on December 11, 2013 to James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Hagedorn under The Scotts Miracle-Gro Company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Incentive Plan</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10.6(f)(v)†</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grants of Restricted Stock Units made on January 31, 2014 to</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Barry W. Sanders and Denise S. Stump under The Scotts Miracle-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Gro Company Long-Term Incentive Plan</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10.6(g)(i)†</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grants of Performance Units made under The Scotts Miracle-Gro</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Company Amended and Restated 2006 Long-Term Incentive Plan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(now known as The Scotts Miracle-Gro Company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Incentive Plan) [January 20, 2012 through January 17, 2013</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10.5]</w:t>
      </w:r>
    </w:p>
    <w:p>
      <w:pPr>
        <w:spacing w:after="0" w:line="200" w:lineRule="exact"/>
        <w:rPr>
          <w:sz w:val="20"/>
          <w:szCs w:val="20"/>
          <w:color w:val="auto"/>
        </w:rPr>
      </w:pP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 No. 1-11593) [Exhibit 10.1]</w:t>
      </w:r>
    </w:p>
    <w:p>
      <w:pPr>
        <w:spacing w:after="0" w:line="200" w:lineRule="exact"/>
        <w:rPr>
          <w:sz w:val="20"/>
          <w:szCs w:val="20"/>
          <w:color w:val="auto"/>
        </w:rPr>
      </w:pP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28, 2013 (File No. 1-11593) [Exhibit 10.10]</w:t>
      </w:r>
    </w:p>
    <w:p>
      <w:pPr>
        <w:spacing w:after="0" w:line="200" w:lineRule="exact"/>
        <w:rPr>
          <w:sz w:val="20"/>
          <w:szCs w:val="20"/>
          <w:color w:val="auto"/>
        </w:rPr>
      </w:pP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28, 2013 (File No. 1-11593) [Exhibit 10.11]</w:t>
      </w:r>
    </w:p>
    <w:p>
      <w:pPr>
        <w:spacing w:after="0" w:line="200" w:lineRule="exact"/>
        <w:rPr>
          <w:sz w:val="20"/>
          <w:szCs w:val="20"/>
          <w:color w:val="auto"/>
        </w:rPr>
      </w:pPr>
    </w:p>
    <w:p>
      <w:pPr>
        <w:spacing w:after="0" w:line="3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10.1]</w:t>
      </w:r>
    </w:p>
    <w:p>
      <w:pPr>
        <w:spacing w:after="0" w:line="1004"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10.6(g)(ii)†</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grants of Performance Units which may be made under The Scotts</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Miracle-Gro Company Long-Term Incentive Plan [post-January</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17, 2013 version]</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10.6(g)(iii)†</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Employees (with Related Dividend Equivalents) used to evidence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grants of Performance Units made on January 18, 2013 to James</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Hagedorn under The Scotts Miracle-Gro Company Long-Term</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Incentive Plan</w:t>
      </w:r>
    </w:p>
    <w:p>
      <w:pPr>
        <w:spacing w:after="0" w:line="170"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10.6(h)(i)†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Options made under The Scotts Miracle-Gro Company 2006</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Long-Term Incentive Plan (now known as The Scotts Miracle-Gro</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Company Long-Term Incentive Plan) [October 30, 2007 through</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October 8, 2008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10.6]</w:t>
      </w:r>
    </w:p>
    <w:p>
      <w:pPr>
        <w:spacing w:after="0" w:line="200" w:lineRule="exact"/>
        <w:rPr>
          <w:sz w:val="20"/>
          <w:szCs w:val="20"/>
          <w:color w:val="auto"/>
        </w:rPr>
      </w:pP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30, 2013 (File No. 1-11593) [Exhibit 10.8]</w:t>
      </w:r>
    </w:p>
    <w:p>
      <w:pPr>
        <w:spacing w:after="0" w:line="200" w:lineRule="exact"/>
        <w:rPr>
          <w:sz w:val="20"/>
          <w:szCs w:val="20"/>
          <w:color w:val="auto"/>
        </w:rPr>
      </w:pPr>
    </w:p>
    <w:p>
      <w:pPr>
        <w:spacing w:after="0" w:line="3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10(t)(3)]</w:t>
      </w:r>
    </w:p>
    <w:p>
      <w:pPr>
        <w:spacing w:after="0" w:line="818" w:lineRule="exact"/>
        <w:rPr>
          <w:sz w:val="20"/>
          <w:szCs w:val="20"/>
          <w:color w:val="auto"/>
        </w:rPr>
      </w:pPr>
    </w:p>
    <w:p>
      <w:pPr>
        <w:sectPr>
          <w:pgSz w:w="11900" w:h="16838" w:orient="portrait"/>
          <w:cols w:equalWidth="0" w:num="2">
            <w:col w:w="6360" w:space="180"/>
            <w:col w:w="4860"/>
          </w:cols>
          <w:pgMar w:left="240" w:top="121" w:right="25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00"/>
          </w:cols>
          <w:pgMar w:left="240" w:top="121" w:right="259" w:bottom="1440" w:gutter="0" w:footer="0" w:header="0"/>
          <w:type w:val="continuous"/>
        </w:sectPr>
      </w:pPr>
    </w:p>
    <w:bookmarkStart w:id="120" w:name="page121"/>
    <w:bookmarkEnd w:id="120"/>
    <w:p>
      <w:pPr>
        <w:spacing w:after="0"/>
        <w:rPr>
          <w:rFonts w:ascii="Arial" w:cs="Arial" w:eastAsia="Arial" w:hAnsi="Arial"/>
          <w:sz w:val="12"/>
          <w:szCs w:val="12"/>
          <w:color w:val="FFFFFF"/>
        </w:rPr>
      </w:pPr>
      <w:hyperlink w:anchor="page49">
        <w:r>
          <w:rPr>
            <w:rFonts w:ascii="Arial" w:cs="Arial" w:eastAsia="Arial" w:hAnsi="Arial"/>
            <w:sz w:val="12"/>
            <w:szCs w:val="12"/>
            <w:color w:val="FFFFFF"/>
          </w:rPr>
          <w:t>Table of Contents</w:t>
        </w:r>
      </w:hyperlink>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10.6(h)(ii)†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and Restated 2006 Long-Term Incentive Plan (now known as The</w:t>
      </w:r>
    </w:p>
    <w:p>
      <w:pPr>
        <w:spacing w:after="0" w:line="32" w:lineRule="exact"/>
        <w:rPr>
          <w:sz w:val="20"/>
          <w:szCs w:val="20"/>
          <w:color w:val="auto"/>
        </w:rPr>
      </w:pPr>
    </w:p>
    <w:p>
      <w:pPr>
        <w:ind w:left="1520"/>
        <w:spacing w:after="0"/>
        <w:tabs>
          <w:tab w:leader="none" w:pos="2120" w:val="left"/>
          <w:tab w:leader="none" w:pos="3220" w:val="left"/>
          <w:tab w:leader="none" w:pos="4100" w:val="left"/>
          <w:tab w:leader="none" w:pos="5120" w:val="left"/>
          <w:tab w:leader="none" w:pos="5960" w:val="left"/>
        </w:tabs>
        <w:rPr>
          <w:sz w:val="20"/>
          <w:szCs w:val="20"/>
          <w:color w:val="auto"/>
        </w:rPr>
      </w:pPr>
      <w:r>
        <w:rPr>
          <w:rFonts w:ascii="Arial" w:cs="Arial" w:eastAsia="Arial" w:hAnsi="Arial"/>
          <w:sz w:val="18"/>
          <w:szCs w:val="18"/>
          <w:color w:val="auto"/>
        </w:rPr>
        <w:t>Scotts</w:t>
        <w:tab/>
        <w:t>Miracle-Gro</w:t>
        <w:tab/>
        <w:t>Company</w:t>
        <w:tab/>
        <w:t>Long-Term</w:t>
        <w:tab/>
        <w:t>Incentive</w:t>
      </w:r>
      <w:r>
        <w:rPr>
          <w:sz w:val="20"/>
          <w:szCs w:val="20"/>
          <w:color w:val="auto"/>
        </w:rPr>
        <w:tab/>
      </w:r>
      <w:r>
        <w:rPr>
          <w:rFonts w:ascii="Arial" w:cs="Arial" w:eastAsia="Arial" w:hAnsi="Arial"/>
          <w:sz w:val="16"/>
          <w:szCs w:val="16"/>
          <w:color w:val="auto"/>
        </w:rPr>
        <w:t>Plan)</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[January 20, 2010 through January 19, 2012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10.4]</w:t>
      </w:r>
    </w:p>
    <w:p>
      <w:pPr>
        <w:spacing w:after="0" w:line="788" w:lineRule="exact"/>
        <w:rPr>
          <w:sz w:val="20"/>
          <w:szCs w:val="20"/>
          <w:color w:val="auto"/>
        </w:rPr>
      </w:pPr>
    </w:p>
    <w:p>
      <w:pPr>
        <w:sectPr>
          <w:pgSz w:w="11900" w:h="16838" w:orient="portrait"/>
          <w:cols w:equalWidth="0" w:num="2">
            <w:col w:w="6360" w:space="200"/>
            <w:col w:w="484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10.6(h)(iii)†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and Restated 2006 Long-Term Incentive Plan (now known as The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Scotts Miracle-Gro Company Long-Term Incentive Plan) [January</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20, 2012 through January 17, 2013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2011 (File No. 1-11593) [Exhibit 10.3]</w:t>
      </w:r>
    </w:p>
    <w:p>
      <w:pPr>
        <w:spacing w:after="0" w:line="788" w:lineRule="exact"/>
        <w:rPr>
          <w:sz w:val="20"/>
          <w:szCs w:val="20"/>
          <w:color w:val="auto"/>
        </w:rPr>
      </w:pPr>
    </w:p>
    <w:p>
      <w:pPr>
        <w:sectPr>
          <w:pgSz w:w="11900" w:h="16838" w:orient="portrait"/>
          <w:cols w:equalWidth="0" w:num="2">
            <w:col w:w="6360" w:space="200"/>
            <w:col w:w="4840"/>
          </w:cols>
          <w:pgMar w:left="240" w:top="121" w:right="259" w:bottom="1440" w:gutter="0" w:footer="0" w:header="0"/>
          <w:type w:val="continuous"/>
        </w:sectPr>
      </w:pPr>
    </w:p>
    <w:p>
      <w:pPr>
        <w:ind w:left="40"/>
        <w:spacing w:after="0"/>
        <w:tabs>
          <w:tab w:leader="none" w:pos="1500" w:val="left"/>
        </w:tabs>
        <w:rPr>
          <w:sz w:val="20"/>
          <w:szCs w:val="20"/>
          <w:color w:val="auto"/>
        </w:rPr>
      </w:pPr>
      <w:r>
        <w:rPr>
          <w:rFonts w:ascii="Arial" w:cs="Arial" w:eastAsia="Arial" w:hAnsi="Arial"/>
          <w:sz w:val="18"/>
          <w:szCs w:val="18"/>
          <w:color w:val="auto"/>
        </w:rPr>
        <w:t>10.6(h)(iv)†</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both"/>
        <w:ind w:left="1520"/>
        <w:spacing w:after="0" w:line="254" w:lineRule="auto"/>
        <w:rPr>
          <w:sz w:val="20"/>
          <w:szCs w:val="20"/>
          <w:color w:val="auto"/>
        </w:rPr>
      </w:pPr>
      <w:r>
        <w:rPr>
          <w:rFonts w:ascii="Arial" w:cs="Arial" w:eastAsia="Arial" w:hAnsi="Arial"/>
          <w:sz w:val="18"/>
          <w:szCs w:val="18"/>
          <w:color w:val="auto"/>
        </w:rPr>
        <w:t>for Employees used to evidence grants of Nonqualified Stock Options which may be made under The Scotts Miracle-Gro Company Long-Term Incentive Plan [post-January 17, 2013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10.7]</w:t>
      </w:r>
    </w:p>
    <w:p>
      <w:pPr>
        <w:spacing w:after="0" w:line="572" w:lineRule="exact"/>
        <w:rPr>
          <w:sz w:val="20"/>
          <w:szCs w:val="20"/>
          <w:color w:val="auto"/>
        </w:rPr>
      </w:pPr>
    </w:p>
    <w:p>
      <w:pPr>
        <w:sectPr>
          <w:pgSz w:w="11900" w:h="16838" w:orient="portrait"/>
          <w:cols w:equalWidth="0" w:num="2">
            <w:col w:w="6360" w:space="200"/>
            <w:col w:w="484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10.7(a)†</w:t>
            </w:r>
          </w:p>
        </w:tc>
        <w:tc>
          <w:tcPr>
            <w:tcW w:w="5200" w:type="dxa"/>
            <w:vAlign w:val="bottom"/>
          </w:tcPr>
          <w:p>
            <w:pPr>
              <w:ind w:left="360"/>
              <w:spacing w:after="0"/>
              <w:rPr>
                <w:sz w:val="20"/>
                <w:szCs w:val="20"/>
                <w:color w:val="auto"/>
              </w:rPr>
            </w:pPr>
            <w:r>
              <w:rPr>
                <w:rFonts w:ascii="Arial" w:cs="Arial" w:eastAsia="Arial" w:hAnsi="Arial"/>
                <w:sz w:val="18"/>
                <w:szCs w:val="18"/>
                <w:color w:val="auto"/>
                <w:w w:val="99"/>
              </w:rPr>
              <w:t>The Scotts Company LLC Amended and Restated Executive</w:t>
            </w:r>
          </w:p>
        </w:tc>
      </w:tr>
      <w:tr>
        <w:trPr>
          <w:trHeight w:val="230"/>
        </w:trPr>
        <w:tc>
          <w:tcPr>
            <w:tcW w:w="116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Incentive Plan (effective as of January 30, 2014)</w:t>
            </w:r>
          </w:p>
        </w:tc>
      </w:tr>
      <w:tr>
        <w:trPr>
          <w:trHeight w:val="593"/>
        </w:trPr>
        <w:tc>
          <w:tcPr>
            <w:tcW w:w="1160" w:type="dxa"/>
            <w:vAlign w:val="bottom"/>
          </w:tcPr>
          <w:p>
            <w:pPr>
              <w:spacing w:after="0"/>
              <w:rPr>
                <w:sz w:val="20"/>
                <w:szCs w:val="20"/>
                <w:color w:val="auto"/>
              </w:rPr>
            </w:pPr>
            <w:r>
              <w:rPr>
                <w:rFonts w:ascii="Arial" w:cs="Arial" w:eastAsia="Arial" w:hAnsi="Arial"/>
                <w:sz w:val="18"/>
                <w:szCs w:val="18"/>
                <w:color w:val="auto"/>
              </w:rPr>
              <w:t>10.7(b)(i)†</w:t>
            </w:r>
          </w:p>
        </w:tc>
        <w:tc>
          <w:tcPr>
            <w:tcW w:w="5200" w:type="dxa"/>
            <w:vAlign w:val="bottom"/>
          </w:tcPr>
          <w:p>
            <w:pPr>
              <w:ind w:left="360"/>
              <w:spacing w:after="0"/>
              <w:rPr>
                <w:sz w:val="20"/>
                <w:szCs w:val="20"/>
                <w:color w:val="auto"/>
              </w:rPr>
            </w:pPr>
            <w:r>
              <w:rPr>
                <w:rFonts w:ascii="Arial" w:cs="Arial" w:eastAsia="Arial" w:hAnsi="Arial"/>
                <w:sz w:val="18"/>
                <w:szCs w:val="18"/>
                <w:color w:val="auto"/>
                <w:w w:val="99"/>
              </w:rPr>
              <w:t>Specimen form of Employee Confidentiality, Noncompetition,</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9"/>
              </w:rPr>
              <w:t>Nonsolicitation Agreement for employees participating in The</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4"/>
              </w:rPr>
              <w:t>Scotts  Company  Executive/Management  Incentive  Plan  (now</w:t>
            </w:r>
          </w:p>
        </w:tc>
      </w:tr>
      <w:tr>
        <w:trPr>
          <w:trHeight w:val="216"/>
        </w:trPr>
        <w:tc>
          <w:tcPr>
            <w:tcW w:w="116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known as The Scotts Company LLC Amended and Restated</w:t>
            </w:r>
          </w:p>
        </w:tc>
      </w:tr>
      <w:tr>
        <w:trPr>
          <w:trHeight w:val="230"/>
        </w:trPr>
        <w:tc>
          <w:tcPr>
            <w:tcW w:w="116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Executive Incentive Plan) [2005 version]</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February 5, 2014 (File No. 1-11593) [Exhibit 10.1]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10.2(b)(i)]</w:t>
      </w:r>
    </w:p>
    <w:p>
      <w:pPr>
        <w:spacing w:after="0" w:line="572" w:lineRule="exact"/>
        <w:rPr>
          <w:sz w:val="20"/>
          <w:szCs w:val="20"/>
          <w:color w:val="auto"/>
        </w:rPr>
      </w:pPr>
    </w:p>
    <w:p>
      <w:pPr>
        <w:sectPr>
          <w:pgSz w:w="11900" w:h="16838" w:orient="portrait"/>
          <w:cols w:equalWidth="0" w:num="2">
            <w:col w:w="6360" w:space="200"/>
            <w:col w:w="4840"/>
          </w:cols>
          <w:pgMar w:left="240" w:top="121" w:right="259" w:bottom="1440" w:gutter="0" w:footer="0" w:header="0"/>
          <w:type w:val="continuous"/>
        </w:sectPr>
      </w:pPr>
    </w:p>
    <w:p>
      <w:pPr>
        <w:spacing w:after="0"/>
        <w:tabs>
          <w:tab w:leader="none" w:pos="1500" w:val="left"/>
        </w:tabs>
        <w:rPr>
          <w:sz w:val="20"/>
          <w:szCs w:val="20"/>
          <w:color w:val="auto"/>
        </w:rPr>
      </w:pPr>
      <w:r>
        <w:rPr>
          <w:rFonts w:ascii="Arial" w:cs="Arial" w:eastAsia="Arial" w:hAnsi="Arial"/>
          <w:sz w:val="18"/>
          <w:szCs w:val="18"/>
          <w:color w:val="auto"/>
        </w:rPr>
        <w:t>10.7(b)(ii)†</w:t>
      </w:r>
      <w:r>
        <w:rPr>
          <w:sz w:val="20"/>
          <w:szCs w:val="20"/>
          <w:color w:val="auto"/>
        </w:rPr>
        <w:tab/>
      </w:r>
      <w:r>
        <w:rPr>
          <w:rFonts w:ascii="Arial" w:cs="Arial" w:eastAsia="Arial" w:hAnsi="Arial"/>
          <w:sz w:val="17"/>
          <w:szCs w:val="17"/>
          <w:color w:val="auto"/>
        </w:rPr>
        <w:t>Specimen form of Employee Confidentiality, Noncompetition,</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Nonsolicitation Agreement for employees participating in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Company LLC Executive/Management Incentive Plan (now</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known as The Scotts Company LLC Amended and Restated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Executive Incentive Plan) [post-2005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1-11593) [Exhibit 10.1]</w:t>
      </w:r>
    </w:p>
    <w:p>
      <w:pPr>
        <w:spacing w:after="0" w:line="572" w:lineRule="exact"/>
        <w:rPr>
          <w:sz w:val="20"/>
          <w:szCs w:val="20"/>
          <w:color w:val="auto"/>
        </w:rPr>
      </w:pPr>
    </w:p>
    <w:p>
      <w:pPr>
        <w:sectPr>
          <w:pgSz w:w="11900" w:h="16838" w:orient="portrait"/>
          <w:cols w:equalWidth="0" w:num="2">
            <w:col w:w="6360" w:space="200"/>
            <w:col w:w="4840"/>
          </w:cols>
          <w:pgMar w:left="240" w:top="121" w:right="259" w:bottom="1440" w:gutter="0" w:footer="0" w:header="0"/>
          <w:type w:val="continuous"/>
        </w:sectPr>
      </w:pPr>
    </w:p>
    <w:p>
      <w:pPr>
        <w:ind w:left="40"/>
        <w:spacing w:after="0"/>
        <w:tabs>
          <w:tab w:leader="none" w:pos="1500" w:val="left"/>
          <w:tab w:leader="none" w:pos="2460" w:val="left"/>
          <w:tab w:leader="none" w:pos="3800" w:val="left"/>
          <w:tab w:leader="none" w:pos="5240" w:val="left"/>
        </w:tabs>
        <w:rPr>
          <w:sz w:val="20"/>
          <w:szCs w:val="20"/>
          <w:color w:val="auto"/>
        </w:rPr>
      </w:pPr>
      <w:r>
        <w:rPr>
          <w:rFonts w:ascii="Arial" w:cs="Arial" w:eastAsia="Arial" w:hAnsi="Arial"/>
          <w:sz w:val="18"/>
          <w:szCs w:val="18"/>
          <w:color w:val="auto"/>
        </w:rPr>
        <w:t>10.7(b)(iii)†</w:t>
      </w:r>
      <w:r>
        <w:rPr>
          <w:sz w:val="20"/>
          <w:szCs w:val="20"/>
          <w:color w:val="auto"/>
        </w:rPr>
        <w:tab/>
      </w:r>
      <w:r>
        <w:rPr>
          <w:rFonts w:ascii="Arial" w:cs="Arial" w:eastAsia="Arial" w:hAnsi="Arial"/>
          <w:sz w:val="18"/>
          <w:szCs w:val="18"/>
          <w:color w:val="auto"/>
        </w:rPr>
        <w:t>Employee</w:t>
        <w:tab/>
        <w:t>Confidentiality,</w:t>
        <w:tab/>
        <w:t>Noncompetition,</w:t>
      </w:r>
      <w:r>
        <w:rPr>
          <w:sz w:val="20"/>
          <w:szCs w:val="20"/>
          <w:color w:val="auto"/>
        </w:rPr>
        <w:tab/>
      </w:r>
      <w:r>
        <w:rPr>
          <w:rFonts w:ascii="Arial" w:cs="Arial" w:eastAsia="Arial" w:hAnsi="Arial"/>
          <w:sz w:val="16"/>
          <w:szCs w:val="16"/>
          <w:color w:val="auto"/>
        </w:rPr>
        <w:t>Nonsolicitation</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Agreement, dated as of December 12, 2013, by and between The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Scotts Company LLC, all companies controlled by, controlling or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under common control with The Scotts Company LLC, and James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Hagedorn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(File No. 1-11593) [Exhibit 10.2]</w:t>
      </w:r>
    </w:p>
    <w:p>
      <w:pPr>
        <w:spacing w:after="0" w:line="572" w:lineRule="exact"/>
        <w:rPr>
          <w:sz w:val="20"/>
          <w:szCs w:val="20"/>
          <w:color w:val="auto"/>
        </w:rPr>
      </w:pPr>
    </w:p>
    <w:p>
      <w:pPr>
        <w:sectPr>
          <w:pgSz w:w="11900" w:h="16838" w:orient="portrait"/>
          <w:cols w:equalWidth="0" w:num="2">
            <w:col w:w="6360" w:space="200"/>
            <w:col w:w="484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10.7(c)†</w:t>
            </w: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Form of Retention Award Agreement evidencing the payment of a</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6"/>
              </w:rPr>
              <w:t>cash bonus on April 12, 2013 and the grant of Restricted Stock</w:t>
            </w:r>
          </w:p>
        </w:tc>
      </w:tr>
    </w:tbl>
    <w:p>
      <w:pPr>
        <w:jc w:val="both"/>
        <w:ind w:left="1520"/>
        <w:spacing w:after="0" w:line="292" w:lineRule="auto"/>
        <w:rPr>
          <w:sz w:val="20"/>
          <w:szCs w:val="20"/>
          <w:color w:val="auto"/>
        </w:rPr>
      </w:pPr>
      <w:r>
        <w:rPr>
          <w:rFonts w:ascii="Arial" w:cs="Arial" w:eastAsia="Arial" w:hAnsi="Arial"/>
          <w:sz w:val="16"/>
          <w:szCs w:val="16"/>
          <w:color w:val="auto"/>
        </w:rPr>
        <w:t>Units on May 8, 2013 under The Scotts Miracle-Gro Company Amended and Restated 2006 Long-Term Incentive Plan (now known as The Scotts Miracle-Gro Company Long-Term Incentive Plan) to Thomas Coleman (executed by The Scotts Company LLC on May 14, 2013 and by Thomas Coleman on May 16, 2013)</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 No. 1-11593) [Exhibit 10.2]</w:t>
      </w:r>
    </w:p>
    <w:p>
      <w:pPr>
        <w:spacing w:after="0" w:line="1004" w:lineRule="exact"/>
        <w:rPr>
          <w:sz w:val="20"/>
          <w:szCs w:val="20"/>
          <w:color w:val="auto"/>
        </w:rPr>
      </w:pPr>
    </w:p>
    <w:p>
      <w:pPr>
        <w:sectPr>
          <w:pgSz w:w="11900" w:h="16838" w:orient="portrait"/>
          <w:cols w:equalWidth="0" w:num="2">
            <w:col w:w="6360" w:space="200"/>
            <w:col w:w="484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10.7(d)†</w:t>
            </w:r>
          </w:p>
        </w:tc>
        <w:tc>
          <w:tcPr>
            <w:tcW w:w="5560" w:type="dxa"/>
            <w:vAlign w:val="bottom"/>
          </w:tcPr>
          <w:p>
            <w:pPr>
              <w:ind w:left="440"/>
              <w:spacing w:after="0"/>
              <w:rPr>
                <w:sz w:val="20"/>
                <w:szCs w:val="20"/>
                <w:color w:val="auto"/>
              </w:rPr>
            </w:pPr>
            <w:r>
              <w:rPr>
                <w:rFonts w:ascii="Arial" w:cs="Arial" w:eastAsia="Arial" w:hAnsi="Arial"/>
                <w:sz w:val="18"/>
                <w:szCs w:val="18"/>
                <w:color w:val="auto"/>
                <w:w w:val="97"/>
              </w:rPr>
              <w:t>Executive Officers of The Scotts Miracle-Gro Company who are  *</w:t>
            </w:r>
          </w:p>
        </w:tc>
      </w:tr>
      <w:tr>
        <w:trPr>
          <w:trHeight w:val="216"/>
        </w:trPr>
        <w:tc>
          <w:tcPr>
            <w:tcW w:w="10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parties to form of Employee Confidentiality, Noncompetition,</w:t>
            </w:r>
          </w:p>
        </w:tc>
      </w:tr>
      <w:tr>
        <w:trPr>
          <w:trHeight w:val="216"/>
        </w:trPr>
        <w:tc>
          <w:tcPr>
            <w:tcW w:w="104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Nonsolicitation Agreement for employees participating in The</w:t>
            </w:r>
          </w:p>
        </w:tc>
      </w:tr>
      <w:tr>
        <w:trPr>
          <w:trHeight w:val="230"/>
        </w:trPr>
        <w:tc>
          <w:tcPr>
            <w:tcW w:w="1040" w:type="dxa"/>
            <w:vAlign w:val="bottom"/>
          </w:tcPr>
          <w:p>
            <w:pPr>
              <w:spacing w:after="0"/>
              <w:rPr>
                <w:sz w:val="20"/>
                <w:szCs w:val="20"/>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w w:val="97"/>
              </w:rPr>
              <w:t>Scotts Company LLC Amended and Restated Executive Incentive</w:t>
            </w:r>
          </w:p>
        </w:tc>
      </w:tr>
    </w:tbl>
    <w:p>
      <w:pPr>
        <w:ind w:left="1520"/>
        <w:spacing w:after="0"/>
        <w:rPr>
          <w:sz w:val="20"/>
          <w:szCs w:val="20"/>
          <w:color w:val="auto"/>
        </w:rPr>
      </w:pPr>
      <w:r>
        <w:rPr>
          <w:rFonts w:ascii="Arial" w:cs="Arial" w:eastAsia="Arial" w:hAnsi="Arial"/>
          <w:sz w:val="18"/>
          <w:szCs w:val="18"/>
          <w:color w:val="auto"/>
        </w:rPr>
        <w:t>Plan incorporated in this Annual Report on Form 10-K as Exhibit</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10.7(b)(ii)</w:t>
      </w:r>
    </w:p>
    <w:p>
      <w:pPr>
        <w:sectPr>
          <w:pgSz w:w="11900" w:h="16838" w:orient="portrait"/>
          <w:cols w:equalWidth="0" w:num="1">
            <w:col w:w="11400"/>
          </w:cols>
          <w:pgMar w:left="240" w:top="121" w:right="259" w:bottom="1440" w:gutter="0" w:footer="0" w:header="0"/>
          <w:type w:val="continuous"/>
        </w:sectPr>
      </w:pP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10.8(a)(i)†</w:t>
            </w:r>
          </w:p>
        </w:tc>
        <w:tc>
          <w:tcPr>
            <w:tcW w:w="5200" w:type="dxa"/>
            <w:vAlign w:val="bottom"/>
          </w:tcPr>
          <w:p>
            <w:pPr>
              <w:ind w:left="360"/>
              <w:spacing w:after="0"/>
              <w:rPr>
                <w:sz w:val="20"/>
                <w:szCs w:val="20"/>
                <w:color w:val="auto"/>
              </w:rPr>
            </w:pPr>
            <w:r>
              <w:rPr>
                <w:rFonts w:ascii="Arial" w:cs="Arial" w:eastAsia="Arial" w:hAnsi="Arial"/>
                <w:sz w:val="18"/>
                <w:szCs w:val="18"/>
                <w:color w:val="auto"/>
                <w:w w:val="98"/>
              </w:rPr>
              <w:t>The  Scotts  Company  LLC  Executive  Retirement  Plan,  As</w:t>
            </w:r>
          </w:p>
        </w:tc>
      </w:tr>
      <w:tr>
        <w:trPr>
          <w:trHeight w:val="216"/>
        </w:trPr>
        <w:tc>
          <w:tcPr>
            <w:tcW w:w="11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89"/>
              </w:rPr>
              <w:t>Amended and Restated as of January 1, 2011 (executed December</w:t>
            </w:r>
          </w:p>
        </w:tc>
      </w:tr>
      <w:tr>
        <w:trPr>
          <w:trHeight w:val="230"/>
        </w:trPr>
        <w:tc>
          <w:tcPr>
            <w:tcW w:w="112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22, 2010)</w:t>
            </w: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1, 2011 (File No. 1-11593) [Exhibit 10.3]</w:t>
      </w:r>
    </w:p>
    <w:p>
      <w:pPr>
        <w:spacing w:after="0" w:line="200" w:lineRule="exact"/>
        <w:rPr>
          <w:sz w:val="20"/>
          <w:szCs w:val="20"/>
          <w:color w:val="auto"/>
        </w:rPr>
      </w:pPr>
    </w:p>
    <w:p>
      <w:pPr>
        <w:sectPr>
          <w:pgSz w:w="11900" w:h="16838" w:orient="portrait"/>
          <w:cols w:equalWidth="0" w:num="2">
            <w:col w:w="6360" w:space="200"/>
            <w:col w:w="4840"/>
          </w:cols>
          <w:pgMar w:left="240" w:top="121" w:right="259" w:bottom="1440" w:gutter="0" w:footer="0" w:header="0"/>
          <w:type w:val="continuous"/>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00"/>
          </w:cols>
          <w:pgMar w:left="240" w:top="121" w:right="259" w:bottom="1440" w:gutter="0" w:footer="0" w:header="0"/>
          <w:type w:val="continuous"/>
        </w:sectPr>
      </w:pPr>
    </w:p>
    <w:bookmarkStart w:id="121" w:name="page122"/>
    <w:bookmarkEnd w:id="121"/>
    <w:p>
      <w:pPr>
        <w:spacing w:after="0"/>
        <w:rPr>
          <w:rFonts w:ascii="Arial" w:cs="Arial" w:eastAsia="Arial" w:hAnsi="Arial"/>
          <w:sz w:val="12"/>
          <w:szCs w:val="12"/>
          <w:color w:val="FFFFFF"/>
        </w:rPr>
      </w:pPr>
      <w:hyperlink w:anchor="page49">
        <w:r>
          <w:rPr>
            <w:rFonts w:ascii="Arial" w:cs="Arial" w:eastAsia="Arial" w:hAnsi="Arial"/>
            <w:sz w:val="12"/>
            <w:szCs w:val="12"/>
            <w:color w:val="FFFFFF"/>
          </w:rPr>
          <w:t>Table of Contents</w:t>
        </w:r>
      </w:hyperlink>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ind w:left="40"/>
              <w:spacing w:after="0"/>
              <w:rPr>
                <w:sz w:val="20"/>
                <w:szCs w:val="20"/>
                <w:color w:val="auto"/>
              </w:rPr>
            </w:pPr>
            <w:r>
              <w:rPr>
                <w:rFonts w:ascii="Arial" w:cs="Arial" w:eastAsia="Arial" w:hAnsi="Arial"/>
                <w:sz w:val="18"/>
                <w:szCs w:val="18"/>
                <w:color w:val="auto"/>
              </w:rPr>
              <w:t>10.8(a)(ii)†</w:t>
            </w:r>
          </w:p>
        </w:tc>
        <w:tc>
          <w:tcPr>
            <w:tcW w:w="5140" w:type="dxa"/>
            <w:vAlign w:val="bottom"/>
          </w:tcPr>
          <w:p>
            <w:pPr>
              <w:ind w:left="300"/>
              <w:spacing w:after="0"/>
              <w:rPr>
                <w:sz w:val="20"/>
                <w:szCs w:val="20"/>
                <w:color w:val="auto"/>
              </w:rPr>
            </w:pPr>
            <w:r>
              <w:rPr>
                <w:rFonts w:ascii="Arial" w:cs="Arial" w:eastAsia="Arial" w:hAnsi="Arial"/>
                <w:sz w:val="18"/>
                <w:szCs w:val="18"/>
                <w:color w:val="auto"/>
                <w:w w:val="99"/>
              </w:rPr>
              <w:t>First  Amendment  to  The  Scotts  Company  LLC  Executive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Retirement Plan, as Amended and Restated as of January 1, 2011</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(effective as of January 1, 2011)</w:t>
            </w:r>
          </w:p>
        </w:tc>
      </w:tr>
      <w:tr>
        <w:trPr>
          <w:trHeight w:val="391"/>
        </w:trPr>
        <w:tc>
          <w:tcPr>
            <w:tcW w:w="1220" w:type="dxa"/>
            <w:vAlign w:val="bottom"/>
          </w:tcPr>
          <w:p>
            <w:pPr>
              <w:ind w:left="40"/>
              <w:spacing w:after="0"/>
              <w:rPr>
                <w:sz w:val="20"/>
                <w:szCs w:val="20"/>
                <w:color w:val="auto"/>
              </w:rPr>
            </w:pPr>
            <w:r>
              <w:rPr>
                <w:rFonts w:ascii="Arial" w:cs="Arial" w:eastAsia="Arial" w:hAnsi="Arial"/>
                <w:sz w:val="18"/>
                <w:szCs w:val="18"/>
                <w:color w:val="auto"/>
              </w:rPr>
              <w:t>10.8(a)(iii)†</w:t>
            </w:r>
          </w:p>
        </w:tc>
        <w:tc>
          <w:tcPr>
            <w:tcW w:w="5140" w:type="dxa"/>
            <w:vAlign w:val="bottom"/>
          </w:tcPr>
          <w:p>
            <w:pPr>
              <w:ind w:left="300"/>
              <w:spacing w:after="0"/>
              <w:rPr>
                <w:sz w:val="20"/>
                <w:szCs w:val="20"/>
                <w:color w:val="auto"/>
              </w:rPr>
            </w:pPr>
            <w:r>
              <w:rPr>
                <w:rFonts w:ascii="Arial" w:cs="Arial" w:eastAsia="Arial" w:hAnsi="Arial"/>
                <w:sz w:val="18"/>
                <w:szCs w:val="18"/>
                <w:color w:val="auto"/>
              </w:rPr>
              <w:t>Second Amendment to The Scotts Company LLC Executive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Retirement Plan, as Amended and Restated as of January 1, 2011</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(effective as of January 1, 2012)</w:t>
            </w:r>
          </w:p>
        </w:tc>
      </w:tr>
      <w:tr>
        <w:trPr>
          <w:trHeight w:val="391"/>
        </w:trPr>
        <w:tc>
          <w:tcPr>
            <w:tcW w:w="1220" w:type="dxa"/>
            <w:vAlign w:val="bottom"/>
          </w:tcPr>
          <w:p>
            <w:pPr>
              <w:ind w:left="40"/>
              <w:spacing w:after="0"/>
              <w:rPr>
                <w:sz w:val="20"/>
                <w:szCs w:val="20"/>
                <w:color w:val="auto"/>
              </w:rPr>
            </w:pPr>
            <w:r>
              <w:rPr>
                <w:rFonts w:ascii="Arial" w:cs="Arial" w:eastAsia="Arial" w:hAnsi="Arial"/>
                <w:sz w:val="18"/>
                <w:szCs w:val="18"/>
                <w:color w:val="auto"/>
              </w:rPr>
              <w:t>10.8(a)(iv)†</w:t>
            </w: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Third  Amendment  to  The  Scotts  Company  LLC  Executive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Retirement Plan, as Amended and Restated as of January 1, 2011</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(effective as of January 1, 2013)</w:t>
            </w:r>
          </w:p>
        </w:tc>
      </w:tr>
      <w:tr>
        <w:trPr>
          <w:trHeight w:val="391"/>
        </w:trPr>
        <w:tc>
          <w:tcPr>
            <w:tcW w:w="1220" w:type="dxa"/>
            <w:vAlign w:val="bottom"/>
          </w:tcPr>
          <w:p>
            <w:pPr>
              <w:ind w:left="40"/>
              <w:spacing w:after="0"/>
              <w:rPr>
                <w:sz w:val="20"/>
                <w:szCs w:val="20"/>
                <w:color w:val="auto"/>
              </w:rPr>
            </w:pPr>
            <w:r>
              <w:rPr>
                <w:rFonts w:ascii="Arial" w:cs="Arial" w:eastAsia="Arial" w:hAnsi="Arial"/>
                <w:sz w:val="18"/>
                <w:szCs w:val="18"/>
                <w:color w:val="auto"/>
              </w:rPr>
              <w:t>10.8(a)(v)†</w:t>
            </w: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Fourth  Amendment  to  The  Scotts  Company  LLC  Executive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Retirement Plan, as Amended and Restated as of January 1, 2011</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(effective as of January 1, 2014)</w:t>
            </w:r>
          </w:p>
        </w:tc>
      </w:tr>
      <w:tr>
        <w:trPr>
          <w:trHeight w:val="391"/>
        </w:trPr>
        <w:tc>
          <w:tcPr>
            <w:tcW w:w="1220" w:type="dxa"/>
            <w:vAlign w:val="bottom"/>
          </w:tcPr>
          <w:p>
            <w:pPr>
              <w:spacing w:after="0"/>
              <w:rPr>
                <w:sz w:val="20"/>
                <w:szCs w:val="20"/>
                <w:color w:val="auto"/>
              </w:rPr>
            </w:pPr>
            <w:r>
              <w:rPr>
                <w:rFonts w:ascii="Arial" w:cs="Arial" w:eastAsia="Arial" w:hAnsi="Arial"/>
                <w:sz w:val="18"/>
                <w:szCs w:val="18"/>
                <w:color w:val="auto"/>
              </w:rPr>
              <w:t>10.8(b)†</w:t>
            </w: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Form of Executive Retirement Plan Retention Award Agreement</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between The Scotts Company LLC and each of Barry W. Sanders,</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Denise S. Stump and Michael C. Lukemire (entered into on</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November 4, 2008)</w:t>
            </w:r>
          </w:p>
        </w:tc>
      </w:tr>
      <w:tr>
        <w:trPr>
          <w:trHeight w:val="377"/>
        </w:trPr>
        <w:tc>
          <w:tcPr>
            <w:tcW w:w="1220" w:type="dxa"/>
            <w:vAlign w:val="bottom"/>
          </w:tcPr>
          <w:p>
            <w:pPr>
              <w:ind w:left="40"/>
              <w:spacing w:after="0"/>
              <w:rPr>
                <w:sz w:val="20"/>
                <w:szCs w:val="20"/>
                <w:color w:val="auto"/>
              </w:rPr>
            </w:pPr>
            <w:r>
              <w:rPr>
                <w:rFonts w:ascii="Arial" w:cs="Arial" w:eastAsia="Arial" w:hAnsi="Arial"/>
                <w:sz w:val="18"/>
                <w:szCs w:val="18"/>
                <w:color w:val="auto"/>
              </w:rPr>
              <w:t>10.9†</w:t>
            </w: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Summary of Compensation for Nonemployee Directors of The</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Scotts Miracle-Gro Company (effective as of May 1, 2014)</w:t>
            </w:r>
          </w:p>
        </w:tc>
      </w:tr>
      <w:tr>
        <w:trPr>
          <w:trHeight w:val="377"/>
        </w:trPr>
        <w:tc>
          <w:tcPr>
            <w:tcW w:w="1220" w:type="dxa"/>
            <w:vAlign w:val="bottom"/>
          </w:tcPr>
          <w:p>
            <w:pPr>
              <w:spacing w:after="0"/>
              <w:rPr>
                <w:sz w:val="20"/>
                <w:szCs w:val="20"/>
                <w:color w:val="auto"/>
              </w:rPr>
            </w:pPr>
            <w:r>
              <w:rPr>
                <w:rFonts w:ascii="Arial" w:cs="Arial" w:eastAsia="Arial" w:hAnsi="Arial"/>
                <w:sz w:val="18"/>
                <w:szCs w:val="18"/>
                <w:color w:val="auto"/>
              </w:rPr>
              <w:t>10.10(a)†</w:t>
            </w:r>
          </w:p>
        </w:tc>
        <w:tc>
          <w:tcPr>
            <w:tcW w:w="5140" w:type="dxa"/>
            <w:vAlign w:val="bottom"/>
          </w:tcPr>
          <w:p>
            <w:pPr>
              <w:ind w:left="300"/>
              <w:spacing w:after="0"/>
              <w:rPr>
                <w:sz w:val="20"/>
                <w:szCs w:val="20"/>
                <w:color w:val="auto"/>
              </w:rPr>
            </w:pPr>
            <w:r>
              <w:rPr>
                <w:rFonts w:ascii="Arial" w:cs="Arial" w:eastAsia="Arial" w:hAnsi="Arial"/>
                <w:sz w:val="18"/>
                <w:szCs w:val="18"/>
                <w:color w:val="auto"/>
                <w:w w:val="91"/>
              </w:rPr>
              <w:t>Executive Severance Agreement, dated as of December 11, 2013,</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3"/>
              </w:rPr>
              <w:t>by and between The Scotts Company LLC and James Hagedorn</w:t>
            </w:r>
          </w:p>
        </w:tc>
      </w:tr>
      <w:tr>
        <w:trPr>
          <w:trHeight w:val="593"/>
        </w:trPr>
        <w:tc>
          <w:tcPr>
            <w:tcW w:w="1220" w:type="dxa"/>
            <w:vAlign w:val="bottom"/>
          </w:tcPr>
          <w:p>
            <w:pPr>
              <w:ind w:left="40"/>
              <w:spacing w:after="0"/>
              <w:rPr>
                <w:sz w:val="20"/>
                <w:szCs w:val="20"/>
                <w:color w:val="auto"/>
              </w:rPr>
            </w:pPr>
            <w:r>
              <w:rPr>
                <w:rFonts w:ascii="Arial" w:cs="Arial" w:eastAsia="Arial" w:hAnsi="Arial"/>
                <w:sz w:val="18"/>
                <w:szCs w:val="18"/>
                <w:color w:val="auto"/>
              </w:rPr>
              <w:t>10.10(b)†</w:t>
            </w:r>
          </w:p>
        </w:tc>
        <w:tc>
          <w:tcPr>
            <w:tcW w:w="5140" w:type="dxa"/>
            <w:vAlign w:val="bottom"/>
          </w:tcPr>
          <w:p>
            <w:pPr>
              <w:ind w:left="300"/>
              <w:spacing w:after="0"/>
              <w:rPr>
                <w:sz w:val="20"/>
                <w:szCs w:val="20"/>
                <w:color w:val="auto"/>
              </w:rPr>
            </w:pPr>
            <w:r>
              <w:rPr>
                <w:rFonts w:ascii="Arial" w:cs="Arial" w:eastAsia="Arial" w:hAnsi="Arial"/>
                <w:sz w:val="18"/>
                <w:szCs w:val="18"/>
                <w:color w:val="auto"/>
                <w:w w:val="90"/>
              </w:rPr>
              <w:t>Consulting Agreement, dated as of February 7, 2014, between The</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Scotts Miracle-Gro Company and Dr. Michael Porter</w:t>
            </w:r>
          </w:p>
        </w:tc>
      </w:tr>
      <w:tr>
        <w:trPr>
          <w:trHeight w:val="593"/>
        </w:trPr>
        <w:tc>
          <w:tcPr>
            <w:tcW w:w="1220" w:type="dxa"/>
            <w:vAlign w:val="bottom"/>
          </w:tcPr>
          <w:p>
            <w:pPr>
              <w:ind w:left="40"/>
              <w:spacing w:after="0"/>
              <w:rPr>
                <w:sz w:val="20"/>
                <w:szCs w:val="20"/>
                <w:color w:val="auto"/>
              </w:rPr>
            </w:pPr>
            <w:r>
              <w:rPr>
                <w:rFonts w:ascii="Arial" w:cs="Arial" w:eastAsia="Arial" w:hAnsi="Arial"/>
                <w:sz w:val="18"/>
                <w:szCs w:val="18"/>
                <w:color w:val="auto"/>
              </w:rPr>
              <w:t>10.10(c)†</w:t>
            </w:r>
          </w:p>
        </w:tc>
        <w:tc>
          <w:tcPr>
            <w:tcW w:w="5140" w:type="dxa"/>
            <w:vAlign w:val="bottom"/>
          </w:tcPr>
          <w:p>
            <w:pPr>
              <w:ind w:left="300"/>
              <w:spacing w:after="0"/>
              <w:rPr>
                <w:sz w:val="20"/>
                <w:szCs w:val="20"/>
                <w:color w:val="auto"/>
              </w:rPr>
            </w:pPr>
            <w:r>
              <w:rPr>
                <w:rFonts w:ascii="Arial" w:cs="Arial" w:eastAsia="Arial" w:hAnsi="Arial"/>
                <w:sz w:val="18"/>
                <w:szCs w:val="18"/>
                <w:color w:val="auto"/>
                <w:w w:val="91"/>
              </w:rPr>
              <w:t>Separation Agreement and Release of All Claims, by and between</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6"/>
              </w:rPr>
              <w:t>The Scotts Company LLC (executed on January 21, 2014) and</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James R. Lyski (executed on January 22, 2014)</w:t>
            </w:r>
          </w:p>
        </w:tc>
      </w:tr>
      <w:tr>
        <w:trPr>
          <w:trHeight w:val="377"/>
        </w:trPr>
        <w:tc>
          <w:tcPr>
            <w:tcW w:w="1220" w:type="dxa"/>
            <w:vAlign w:val="bottom"/>
          </w:tcPr>
          <w:p>
            <w:pPr>
              <w:ind w:left="40"/>
              <w:spacing w:after="0"/>
              <w:rPr>
                <w:sz w:val="20"/>
                <w:szCs w:val="20"/>
                <w:color w:val="auto"/>
              </w:rPr>
            </w:pPr>
            <w:r>
              <w:rPr>
                <w:rFonts w:ascii="Arial" w:cs="Arial" w:eastAsia="Arial" w:hAnsi="Arial"/>
                <w:sz w:val="18"/>
                <w:szCs w:val="18"/>
                <w:color w:val="auto"/>
              </w:rPr>
              <w:t>10.10(d)†</w:t>
            </w:r>
          </w:p>
        </w:tc>
        <w:tc>
          <w:tcPr>
            <w:tcW w:w="5140" w:type="dxa"/>
            <w:vAlign w:val="bottom"/>
          </w:tcPr>
          <w:p>
            <w:pPr>
              <w:ind w:left="300"/>
              <w:spacing w:after="0"/>
              <w:rPr>
                <w:sz w:val="20"/>
                <w:szCs w:val="20"/>
                <w:color w:val="auto"/>
              </w:rPr>
            </w:pPr>
            <w:r>
              <w:rPr>
                <w:rFonts w:ascii="Arial" w:cs="Arial" w:eastAsia="Arial" w:hAnsi="Arial"/>
                <w:sz w:val="18"/>
                <w:szCs w:val="18"/>
                <w:color w:val="auto"/>
                <w:w w:val="98"/>
              </w:rPr>
              <w:t>Consulting Agreement, dated February 7, 2014, between The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Scotts Miracle-Gro Company and Adam Hanft [expired on August</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1, 2014]</w:t>
            </w:r>
          </w:p>
        </w:tc>
      </w:tr>
      <w:tr>
        <w:trPr>
          <w:trHeight w:val="377"/>
        </w:trPr>
        <w:tc>
          <w:tcPr>
            <w:tcW w:w="1220" w:type="dxa"/>
            <w:vAlign w:val="bottom"/>
          </w:tcPr>
          <w:p>
            <w:pPr>
              <w:ind w:left="40"/>
              <w:spacing w:after="0"/>
              <w:rPr>
                <w:sz w:val="20"/>
                <w:szCs w:val="20"/>
                <w:color w:val="auto"/>
              </w:rPr>
            </w:pPr>
            <w:r>
              <w:rPr>
                <w:rFonts w:ascii="Arial" w:cs="Arial" w:eastAsia="Arial" w:hAnsi="Arial"/>
                <w:sz w:val="18"/>
                <w:szCs w:val="18"/>
                <w:color w:val="auto"/>
              </w:rPr>
              <w:t>10.10(e)†</w:t>
            </w: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Separation Agreement and Release of All Claims, entered into by</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and between The Scotts Company LLC (executed on April 15,</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2014) and Lawrence A. Hilsheimer (executed on April 17, 2014)</w:t>
            </w:r>
          </w:p>
        </w:tc>
      </w:tr>
      <w:tr>
        <w:trPr>
          <w:trHeight w:val="377"/>
        </w:trPr>
        <w:tc>
          <w:tcPr>
            <w:tcW w:w="1220" w:type="dxa"/>
            <w:vAlign w:val="bottom"/>
          </w:tcPr>
          <w:p>
            <w:pPr>
              <w:spacing w:after="0"/>
              <w:rPr>
                <w:sz w:val="20"/>
                <w:szCs w:val="20"/>
                <w:color w:val="auto"/>
              </w:rPr>
            </w:pPr>
            <w:r>
              <w:rPr>
                <w:rFonts w:ascii="Arial" w:cs="Arial" w:eastAsia="Arial" w:hAnsi="Arial"/>
                <w:sz w:val="18"/>
                <w:szCs w:val="18"/>
                <w:color w:val="auto"/>
              </w:rPr>
              <w:t>10.11(a)†</w:t>
            </w: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The Scotts Company LLC Executive Severance Plan, adopted on</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May 4, 2011</w:t>
            </w:r>
          </w:p>
        </w:tc>
      </w:tr>
      <w:tr>
        <w:trPr>
          <w:trHeight w:val="377"/>
        </w:trPr>
        <w:tc>
          <w:tcPr>
            <w:tcW w:w="1220" w:type="dxa"/>
            <w:vAlign w:val="bottom"/>
          </w:tcPr>
          <w:p>
            <w:pPr>
              <w:spacing w:after="0"/>
              <w:rPr>
                <w:sz w:val="20"/>
                <w:szCs w:val="20"/>
                <w:color w:val="auto"/>
              </w:rPr>
            </w:pPr>
            <w:r>
              <w:rPr>
                <w:rFonts w:ascii="Arial" w:cs="Arial" w:eastAsia="Arial" w:hAnsi="Arial"/>
                <w:sz w:val="18"/>
                <w:szCs w:val="18"/>
                <w:color w:val="auto"/>
              </w:rPr>
              <w:t>10.11(b)†</w:t>
            </w: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Form  of  Tier  1  Participation  Agreement  under  The  Scotts</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Company LLC Executive Severance Plan</w:t>
            </w:r>
          </w:p>
        </w:tc>
      </w:tr>
      <w:tr>
        <w:trPr>
          <w:trHeight w:val="377"/>
        </w:trPr>
        <w:tc>
          <w:tcPr>
            <w:tcW w:w="1220" w:type="dxa"/>
            <w:vAlign w:val="bottom"/>
          </w:tcPr>
          <w:p>
            <w:pPr>
              <w:spacing w:after="0"/>
              <w:rPr>
                <w:sz w:val="20"/>
                <w:szCs w:val="20"/>
                <w:color w:val="auto"/>
              </w:rPr>
            </w:pPr>
            <w:r>
              <w:rPr>
                <w:rFonts w:ascii="Arial" w:cs="Arial" w:eastAsia="Arial" w:hAnsi="Arial"/>
                <w:sz w:val="18"/>
                <w:szCs w:val="18"/>
                <w:color w:val="auto"/>
              </w:rPr>
              <w:t>10.11(c)†</w:t>
            </w: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Executive Officers of The Scotts Miracle-Gro Company who are</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1"/>
              </w:rPr>
              <w:t>parties to form of Tier 1 Participation Agreement under The Scotts</w:t>
            </w:r>
          </w:p>
        </w:tc>
      </w:tr>
      <w:tr>
        <w:trPr>
          <w:trHeight w:val="216"/>
        </w:trPr>
        <w:tc>
          <w:tcPr>
            <w:tcW w:w="12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8"/>
              </w:rPr>
              <w:t>Company LLC Executive Severance Plan incorporated in this</w:t>
            </w:r>
          </w:p>
        </w:tc>
      </w:tr>
      <w:tr>
        <w:trPr>
          <w:trHeight w:val="230"/>
        </w:trPr>
        <w:tc>
          <w:tcPr>
            <w:tcW w:w="12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Annual Report on Form 10-K as Exhibit 10.11(b)</w:t>
            </w:r>
          </w:p>
        </w:tc>
      </w:tr>
      <w:tr>
        <w:trPr>
          <w:trHeight w:val="608"/>
        </w:trPr>
        <w:tc>
          <w:tcPr>
            <w:tcW w:w="1220" w:type="dxa"/>
            <w:vAlign w:val="bottom"/>
          </w:tcPr>
          <w:p>
            <w:pPr>
              <w:spacing w:after="0"/>
              <w:rPr>
                <w:sz w:val="24"/>
                <w:szCs w:val="24"/>
                <w:color w:val="auto"/>
              </w:rPr>
            </w:pPr>
          </w:p>
        </w:tc>
        <w:tc>
          <w:tcPr>
            <w:tcW w:w="5140" w:type="dxa"/>
            <w:vAlign w:val="bottom"/>
          </w:tcPr>
          <w:p>
            <w:pPr>
              <w:ind w:left="4360"/>
              <w:spacing w:after="0"/>
              <w:rPr>
                <w:sz w:val="20"/>
                <w:szCs w:val="20"/>
                <w:color w:val="auto"/>
              </w:rPr>
            </w:pPr>
            <w:r>
              <w:rPr>
                <w:rFonts w:ascii="Arial" w:cs="Arial" w:eastAsia="Arial" w:hAnsi="Arial"/>
                <w:sz w:val="18"/>
                <w:szCs w:val="18"/>
                <w:color w:val="auto"/>
              </w:rPr>
              <w:t>122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10.8]</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10.9]</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2012 (File No. 1-11593) [Exhibit 10.10]</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28, 2013 (File No. 1-11593) [Exhibit 10.5]</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1-11593) [Exhibit 10.2]</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(File No. 1-11593) [Exhibit 10.1]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 No. 1-11593) [Exhibit 10.8]</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January 23, 2014 (File No. 1-11593) [Exhibit 10.1]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 No. 1-11593) [Exhibit 10.9]</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April 17, 2014 (File No. 1-11593) [Exhibit 10.1]</w:t>
      </w:r>
    </w:p>
    <w:p>
      <w:pPr>
        <w:spacing w:after="0" w:line="1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May 10, 2011 (File No. 1-11593) [Exhibit 10.1]</w:t>
      </w:r>
    </w:p>
    <w:p>
      <w:pPr>
        <w:spacing w:after="0" w:line="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Incorporated herein by reference to the Registrant’s Current Report on Form 8-K filed May 10, 2011 (File No. 1-11593) [Exhibit 10.2]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360" w:space="180"/>
            <w:col w:w="4860"/>
          </w:cols>
          <w:pgMar w:left="240" w:top="122" w:right="259" w:bottom="1440" w:gutter="0" w:footer="0" w:header="0"/>
          <w:type w:val="continuous"/>
        </w:sectPr>
      </w:pPr>
    </w:p>
    <w:bookmarkStart w:id="122" w:name="page123"/>
    <w:bookmarkEnd w:id="122"/>
    <w:p>
      <w:pPr>
        <w:spacing w:after="0"/>
        <w:rPr>
          <w:rFonts w:ascii="Arial" w:cs="Arial" w:eastAsia="Arial" w:hAnsi="Arial"/>
          <w:sz w:val="12"/>
          <w:szCs w:val="12"/>
          <w:color w:val="FFFFFF"/>
        </w:rPr>
      </w:pPr>
      <w:hyperlink w:anchor="page49">
        <w:r>
          <w:rPr>
            <w:rFonts w:ascii="Arial" w:cs="Arial" w:eastAsia="Arial" w:hAnsi="Arial"/>
            <w:sz w:val="12"/>
            <w:szCs w:val="12"/>
            <w:color w:val="FFFFFF"/>
          </w:rPr>
          <w:t>Table of Contents</w:t>
        </w:r>
      </w:hyperlink>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10.12(a)</w:t>
            </w: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Amended  and  Restated  Exclusive  Agency  and  Marketing</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Agreement,  effective  as  of  September  30,  1998,  between</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Monsanto Company and The Scotts Company LLC (as successor</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to The Scotts Company, an Ohio corporation)</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10.12(b)</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10, 2005, amending the Amended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bl>
    <w:p>
      <w:pPr>
        <w:ind w:left="1520"/>
        <w:spacing w:after="0" w:line="261" w:lineRule="auto"/>
        <w:rPr>
          <w:sz w:val="20"/>
          <w:szCs w:val="20"/>
          <w:color w:val="auto"/>
        </w:rPr>
      </w:pPr>
      <w:r>
        <w:rPr>
          <w:rFonts w:ascii="Arial" w:cs="Arial" w:eastAsia="Arial" w:hAnsi="Arial"/>
          <w:sz w:val="18"/>
          <w:szCs w:val="18"/>
          <w:color w:val="auto"/>
        </w:rPr>
        <w:t>Scotts Company LLC (as successor to The Scotts Company, an Ohio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10(x)]</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2009 (File No. 1-11593) [Exhibit 10.17(b)]</w:t>
      </w:r>
    </w:p>
    <w:p>
      <w:pPr>
        <w:spacing w:after="0" w:line="572"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10.12(c)</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28, 2008, amending the Amended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Scotts Company LLC</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5280" w:type="dxa"/>
            <w:vAlign w:val="bottom"/>
          </w:tcPr>
          <w:p>
            <w:pPr>
              <w:ind w:left="440"/>
              <w:spacing w:after="0"/>
              <w:rPr>
                <w:sz w:val="20"/>
                <w:szCs w:val="20"/>
                <w:color w:val="auto"/>
              </w:rPr>
            </w:pPr>
            <w:r>
              <w:rPr>
                <w:rFonts w:ascii="Arial" w:cs="Arial" w:eastAsia="Arial" w:hAnsi="Arial"/>
                <w:sz w:val="18"/>
                <w:szCs w:val="18"/>
                <w:color w:val="auto"/>
                <w:w w:val="88"/>
              </w:rPr>
              <w:t>Purchase Agreement, dated December 13, 2010, among The Scotts</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Miracle-Gro Company, the subsidiary guarantors named therein</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and Merrill Lynch, Pierce, Fenner &amp; Smith Incorporated, as</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representative of the several initial purchasers named therein</w:t>
            </w: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5280" w:type="dxa"/>
            <w:vAlign w:val="bottom"/>
          </w:tcPr>
          <w:p>
            <w:pPr>
              <w:ind w:left="440"/>
              <w:spacing w:after="0"/>
              <w:rPr>
                <w:sz w:val="20"/>
                <w:szCs w:val="20"/>
                <w:color w:val="auto"/>
              </w:rPr>
            </w:pPr>
            <w:r>
              <w:rPr>
                <w:rFonts w:ascii="Arial" w:cs="Arial" w:eastAsia="Arial" w:hAnsi="Arial"/>
                <w:sz w:val="18"/>
                <w:szCs w:val="18"/>
                <w:color w:val="auto"/>
                <w:w w:val="90"/>
              </w:rPr>
              <w:t>Share and Business Sale Agreement, dated February 23, 2011, by</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0"/>
              </w:rPr>
              <w:t>and among The Scotts Company LLC, as Seller, each of the Share</w:t>
            </w:r>
          </w:p>
        </w:tc>
      </w:tr>
    </w:tbl>
    <w:p>
      <w:pPr>
        <w:jc w:val="both"/>
        <w:ind w:left="1520"/>
        <w:spacing w:after="0" w:line="254" w:lineRule="auto"/>
        <w:rPr>
          <w:sz w:val="20"/>
          <w:szCs w:val="20"/>
          <w:color w:val="auto"/>
        </w:rPr>
      </w:pPr>
      <w:r>
        <w:rPr>
          <w:rFonts w:ascii="Arial" w:cs="Arial" w:eastAsia="Arial" w:hAnsi="Arial"/>
          <w:sz w:val="18"/>
          <w:szCs w:val="18"/>
          <w:color w:val="auto"/>
        </w:rPr>
        <w:t>Sellers and Business Sellers (as defined therein), Israel Chemicals Ltd., as Purchaser, each of the Share Purchasers and Business Purchasers (as defined therein) and The Scotts Miracle-Gro Company, as Seller Guarantor</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10.18(b)]</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[Exhibit 10.1]</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March 1, 2011 (File No. 1-11593) [Exhibit 10.1]</w:t>
      </w:r>
    </w:p>
    <w:p>
      <w:pPr>
        <w:spacing w:after="0" w:line="788"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jc w:val="both"/>
        <w:ind w:left="1520" w:hanging="1485"/>
        <w:spacing w:after="0" w:line="276" w:lineRule="auto"/>
        <w:tabs>
          <w:tab w:leader="none" w:pos="1500" w:val="left"/>
        </w:tabs>
        <w:rPr>
          <w:sz w:val="20"/>
          <w:szCs w:val="20"/>
          <w:color w:val="auto"/>
        </w:rPr>
      </w:pPr>
      <w:r>
        <w:rPr>
          <w:rFonts w:ascii="Arial" w:cs="Arial" w:eastAsia="Arial" w:hAnsi="Arial"/>
          <w:sz w:val="18"/>
          <w:szCs w:val="18"/>
          <w:color w:val="auto"/>
        </w:rPr>
        <w:t>10.15(a)</w:t>
      </w:r>
      <w:r>
        <w:rPr>
          <w:sz w:val="20"/>
          <w:szCs w:val="20"/>
          <w:color w:val="auto"/>
        </w:rPr>
        <w:tab/>
      </w:r>
      <w:r>
        <w:rPr>
          <w:rFonts w:ascii="Arial" w:cs="Arial" w:eastAsia="Arial" w:hAnsi="Arial"/>
          <w:sz w:val="17"/>
          <w:szCs w:val="17"/>
          <w:color w:val="auto"/>
        </w:rPr>
        <w:t>Master Accounts Receivable Purchase Agreement, dated as of November 15, 2012, by and among The Scotts Miracle-Gro Company, The Scotts Company LLC, The Bank of Nova Scotia, Suntrust Bank, RB Receivables LLC and Mizuho Corporate Bank, Ltd., as Administrative Agent and as a Bank</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2012 (File No. 1-11593) [Exhibit 10.16]</w:t>
      </w:r>
    </w:p>
    <w:p>
      <w:pPr>
        <w:spacing w:after="0" w:line="572"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p>
      <w:pPr>
        <w:jc w:val="both"/>
        <w:ind w:left="1520" w:hanging="1485"/>
        <w:spacing w:after="0" w:line="255" w:lineRule="auto"/>
        <w:tabs>
          <w:tab w:leader="none" w:pos="1500" w:val="left"/>
        </w:tabs>
        <w:rPr>
          <w:sz w:val="20"/>
          <w:szCs w:val="20"/>
          <w:color w:val="auto"/>
        </w:rPr>
      </w:pPr>
      <w:r>
        <w:rPr>
          <w:rFonts w:ascii="Arial" w:cs="Arial" w:eastAsia="Arial" w:hAnsi="Arial"/>
          <w:sz w:val="18"/>
          <w:szCs w:val="18"/>
          <w:color w:val="auto"/>
        </w:rPr>
        <w:t>10.15(b)</w:t>
      </w:r>
      <w:r>
        <w:rPr>
          <w:sz w:val="20"/>
          <w:szCs w:val="20"/>
          <w:color w:val="auto"/>
        </w:rPr>
        <w:tab/>
      </w:r>
      <w:r>
        <w:rPr>
          <w:rFonts w:ascii="Arial" w:cs="Arial" w:eastAsia="Arial" w:hAnsi="Arial"/>
          <w:sz w:val="18"/>
          <w:szCs w:val="18"/>
          <w:color w:val="auto"/>
        </w:rPr>
        <w:t>First Amendment, dated as of October 25, 2013, to the Master Accounts Receivable Purchase Agreement, dated as of November 15, 2012, among The Scotts Miracle-Gro Company, The Scotts Company LLC, The Bank of Nova Scotia, Suntrust Bank, RB Receivables LLC and Mizuho Bank, Ltd., as Administrative Agent and as a Bank</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October 31, 2013 (File No. 1-11593) [Exhibit 10.1]</w:t>
      </w:r>
    </w:p>
    <w:p>
      <w:pPr>
        <w:spacing w:after="0" w:line="789"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10.15(c)</w:t>
            </w:r>
          </w:p>
        </w:tc>
        <w:tc>
          <w:tcPr>
            <w:tcW w:w="5280" w:type="dxa"/>
            <w:vAlign w:val="bottom"/>
          </w:tcPr>
          <w:p>
            <w:pPr>
              <w:ind w:left="440"/>
              <w:spacing w:after="0"/>
              <w:rPr>
                <w:sz w:val="20"/>
                <w:szCs w:val="20"/>
                <w:color w:val="auto"/>
              </w:rPr>
            </w:pPr>
            <w:r>
              <w:rPr>
                <w:rFonts w:ascii="Arial" w:cs="Arial" w:eastAsia="Arial" w:hAnsi="Arial"/>
                <w:sz w:val="18"/>
                <w:szCs w:val="18"/>
                <w:color w:val="auto"/>
                <w:w w:val="93"/>
              </w:rPr>
              <w:t>Second Amendment, dated as of August 29, 2014, to the Master</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Accounts Receivable Purchase Agreement, dated as of November</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15, 2012, among The Scotts Miracle-Gro Company, The Scotts</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Company LLC, The Bank of Nova Scotia, Suntrust Bank, RB</w:t>
            </w:r>
          </w:p>
        </w:tc>
      </w:tr>
      <w:tr>
        <w:trPr>
          <w:trHeight w:val="216"/>
        </w:trPr>
        <w:tc>
          <w:tcPr>
            <w:tcW w:w="10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Receivables LLC and Mizuho Bank, Ltd., as Administrative Agent</w:t>
            </w:r>
          </w:p>
        </w:tc>
      </w:tr>
      <w:tr>
        <w:trPr>
          <w:trHeight w:val="230"/>
        </w:trPr>
        <w:tc>
          <w:tcPr>
            <w:tcW w:w="10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and as a Bank</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Current Report on Form 8-K filed September 4, 2014 (File No. 1-11593) [Exhibit 10.1]</w:t>
      </w:r>
    </w:p>
    <w:p>
      <w:pPr>
        <w:spacing w:after="0" w:line="802" w:lineRule="exact"/>
        <w:rPr>
          <w:sz w:val="20"/>
          <w:szCs w:val="20"/>
          <w:color w:val="auto"/>
        </w:rPr>
      </w:pPr>
    </w:p>
    <w:p>
      <w:pPr>
        <w:sectPr>
          <w:pgSz w:w="11900" w:h="16838" w:orient="portrait"/>
          <w:cols w:equalWidth="0" w:num="2">
            <w:col w:w="6360" w:space="180"/>
            <w:col w:w="4860"/>
          </w:cols>
          <w:pgMar w:left="240" w:top="122" w:right="25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12</w:t>
            </w:r>
          </w:p>
        </w:tc>
        <w:tc>
          <w:tcPr>
            <w:tcW w:w="5580" w:type="dxa"/>
            <w:vAlign w:val="bottom"/>
          </w:tcPr>
          <w:p>
            <w:pPr>
              <w:ind w:left="660"/>
              <w:spacing w:after="0"/>
              <w:rPr>
                <w:sz w:val="20"/>
                <w:szCs w:val="20"/>
                <w:color w:val="auto"/>
              </w:rPr>
            </w:pPr>
            <w:r>
              <w:rPr>
                <w:rFonts w:ascii="Arial" w:cs="Arial" w:eastAsia="Arial" w:hAnsi="Arial"/>
                <w:sz w:val="18"/>
                <w:szCs w:val="18"/>
                <w:color w:val="auto"/>
              </w:rPr>
              <w:t>Computation of Ratio of Earnings to Fixed Charges</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77"/>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14</w:t>
            </w:r>
          </w:p>
        </w:tc>
        <w:tc>
          <w:tcPr>
            <w:tcW w:w="5580" w:type="dxa"/>
            <w:vAlign w:val="bottom"/>
          </w:tcPr>
          <w:p>
            <w:pPr>
              <w:ind w:left="660"/>
              <w:spacing w:after="0"/>
              <w:rPr>
                <w:sz w:val="20"/>
                <w:szCs w:val="20"/>
                <w:color w:val="auto"/>
              </w:rPr>
            </w:pPr>
            <w:r>
              <w:rPr>
                <w:rFonts w:ascii="Arial" w:cs="Arial" w:eastAsia="Arial" w:hAnsi="Arial"/>
                <w:sz w:val="18"/>
                <w:szCs w:val="18"/>
                <w:color w:val="auto"/>
                <w:w w:val="97"/>
              </w:rPr>
              <w:t>The Scotts Miracle-Gro Company Code of Business Conduct &amp;</w:t>
            </w:r>
          </w:p>
        </w:tc>
        <w:tc>
          <w:tcPr>
            <w:tcW w:w="4960" w:type="dxa"/>
            <w:vAlign w:val="bottom"/>
          </w:tcPr>
          <w:p>
            <w:pPr>
              <w:ind w:left="100"/>
              <w:spacing w:after="0"/>
              <w:rPr>
                <w:sz w:val="20"/>
                <w:szCs w:val="20"/>
                <w:color w:val="auto"/>
              </w:rPr>
            </w:pPr>
            <w:r>
              <w:rPr>
                <w:rFonts w:ascii="Arial" w:cs="Arial" w:eastAsia="Arial" w:hAnsi="Arial"/>
                <w:sz w:val="18"/>
                <w:szCs w:val="18"/>
                <w:color w:val="auto"/>
                <w:w w:val="90"/>
              </w:rPr>
              <w:t>Incorporated herein by reference to the Registrant's Current Report</w:t>
            </w:r>
          </w:p>
        </w:tc>
      </w:tr>
      <w:tr>
        <w:trPr>
          <w:trHeight w:val="216"/>
        </w:trPr>
        <w:tc>
          <w:tcPr>
            <w:tcW w:w="820" w:type="dxa"/>
            <w:vAlign w:val="bottom"/>
          </w:tcPr>
          <w:p>
            <w:pPr>
              <w:spacing w:after="0"/>
              <w:rPr>
                <w:sz w:val="18"/>
                <w:szCs w:val="18"/>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Ethics (as revised effective January 18, 2012)</w:t>
            </w:r>
          </w:p>
        </w:tc>
        <w:tc>
          <w:tcPr>
            <w:tcW w:w="4960" w:type="dxa"/>
            <w:vAlign w:val="bottom"/>
          </w:tcPr>
          <w:p>
            <w:pPr>
              <w:ind w:left="100"/>
              <w:spacing w:after="0"/>
              <w:rPr>
                <w:sz w:val="20"/>
                <w:szCs w:val="20"/>
                <w:color w:val="auto"/>
              </w:rPr>
            </w:pPr>
            <w:r>
              <w:rPr>
                <w:rFonts w:ascii="Arial" w:cs="Arial" w:eastAsia="Arial" w:hAnsi="Arial"/>
                <w:sz w:val="18"/>
                <w:szCs w:val="18"/>
                <w:color w:val="auto"/>
                <w:w w:val="97"/>
              </w:rPr>
              <w:t>on Form 8-K filed January 24, 2012 (File No. 1-11593) [Exhibit</w:t>
            </w:r>
          </w:p>
        </w:tc>
      </w:tr>
      <w:tr>
        <w:trPr>
          <w:trHeight w:val="230"/>
        </w:trPr>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14.1]</w:t>
            </w:r>
          </w:p>
        </w:tc>
      </w:tr>
      <w:tr>
        <w:trPr>
          <w:trHeight w:val="392"/>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21</w:t>
            </w:r>
          </w:p>
        </w:tc>
        <w:tc>
          <w:tcPr>
            <w:tcW w:w="5580" w:type="dxa"/>
            <w:vAlign w:val="bottom"/>
          </w:tcPr>
          <w:p>
            <w:pPr>
              <w:ind w:left="660"/>
              <w:spacing w:after="0"/>
              <w:rPr>
                <w:sz w:val="20"/>
                <w:szCs w:val="20"/>
                <w:color w:val="auto"/>
              </w:rPr>
            </w:pPr>
            <w:r>
              <w:rPr>
                <w:rFonts w:ascii="Arial" w:cs="Arial" w:eastAsia="Arial" w:hAnsi="Arial"/>
                <w:sz w:val="18"/>
                <w:szCs w:val="18"/>
                <w:color w:val="auto"/>
              </w:rPr>
              <w:t>Subsidiaries of The Scotts Miracle-Gro Company</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77"/>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23</w:t>
            </w:r>
          </w:p>
        </w:tc>
        <w:tc>
          <w:tcPr>
            <w:tcW w:w="5580" w:type="dxa"/>
            <w:vAlign w:val="bottom"/>
          </w:tcPr>
          <w:p>
            <w:pPr>
              <w:ind w:left="660"/>
              <w:spacing w:after="0"/>
              <w:rPr>
                <w:sz w:val="20"/>
                <w:szCs w:val="20"/>
                <w:color w:val="auto"/>
              </w:rPr>
            </w:pPr>
            <w:r>
              <w:rPr>
                <w:rFonts w:ascii="Arial" w:cs="Arial" w:eastAsia="Arial" w:hAnsi="Arial"/>
                <w:sz w:val="18"/>
                <w:szCs w:val="18"/>
                <w:color w:val="auto"/>
                <w:w w:val="98"/>
              </w:rPr>
              <w:t>Consent of Independent Registered Public Accounting Firm —</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820" w:type="dxa"/>
            <w:vAlign w:val="bottom"/>
          </w:tcPr>
          <w:p>
            <w:pPr>
              <w:spacing w:after="0"/>
              <w:rPr>
                <w:sz w:val="20"/>
                <w:szCs w:val="20"/>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Deloitte &amp; Touche LLP</w:t>
            </w:r>
          </w:p>
        </w:tc>
        <w:tc>
          <w:tcPr>
            <w:tcW w:w="4960" w:type="dxa"/>
            <w:vAlign w:val="bottom"/>
          </w:tcPr>
          <w:p>
            <w:pPr>
              <w:spacing w:after="0"/>
              <w:rPr>
                <w:sz w:val="20"/>
                <w:szCs w:val="20"/>
                <w:color w:val="auto"/>
              </w:rPr>
            </w:pPr>
          </w:p>
        </w:tc>
      </w:tr>
      <w:tr>
        <w:trPr>
          <w:trHeight w:val="377"/>
        </w:trPr>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24</w:t>
            </w:r>
          </w:p>
        </w:tc>
        <w:tc>
          <w:tcPr>
            <w:tcW w:w="5580" w:type="dxa"/>
            <w:vAlign w:val="bottom"/>
          </w:tcPr>
          <w:p>
            <w:pPr>
              <w:ind w:left="660"/>
              <w:spacing w:after="0"/>
              <w:rPr>
                <w:sz w:val="20"/>
                <w:szCs w:val="20"/>
                <w:color w:val="auto"/>
              </w:rPr>
            </w:pPr>
            <w:r>
              <w:rPr>
                <w:rFonts w:ascii="Arial" w:cs="Arial" w:eastAsia="Arial" w:hAnsi="Arial"/>
                <w:sz w:val="18"/>
                <w:szCs w:val="18"/>
                <w:color w:val="auto"/>
                <w:w w:val="99"/>
              </w:rPr>
              <w:t>Powers of Attorney of Executive Officers and Directors of The</w:t>
            </w:r>
          </w:p>
        </w:tc>
        <w:tc>
          <w:tcPr>
            <w:tcW w:w="49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820" w:type="dxa"/>
            <w:vAlign w:val="bottom"/>
          </w:tcPr>
          <w:p>
            <w:pPr>
              <w:spacing w:after="0"/>
              <w:rPr>
                <w:sz w:val="20"/>
                <w:szCs w:val="20"/>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Scotts Miracle-Gro Company</w:t>
            </w:r>
          </w:p>
        </w:tc>
        <w:tc>
          <w:tcPr>
            <w:tcW w:w="49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00"/>
          </w:cols>
          <w:pgMar w:left="240" w:top="122" w:right="259" w:bottom="1440" w:gutter="0" w:footer="0" w:header="0"/>
          <w:type w:val="continuous"/>
        </w:sectPr>
      </w:pPr>
    </w:p>
    <w:bookmarkStart w:id="123" w:name="page124"/>
    <w:bookmarkEnd w:id="12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5340" w:type="dxa"/>
            <w:vAlign w:val="bottom"/>
          </w:tcPr>
          <w:p>
            <w:pPr>
              <w:ind w:left="400"/>
              <w:spacing w:after="0"/>
              <w:rPr>
                <w:sz w:val="20"/>
                <w:szCs w:val="20"/>
                <w:color w:val="auto"/>
              </w:rPr>
            </w:pPr>
            <w:r>
              <w:rPr>
                <w:rFonts w:ascii="Arial" w:cs="Arial" w:eastAsia="Arial" w:hAnsi="Arial"/>
                <w:sz w:val="18"/>
                <w:szCs w:val="18"/>
                <w:color w:val="auto"/>
                <w:w w:val="99"/>
              </w:rPr>
              <w:t>Rule  13a-14(a)/15d-14(a)  Certifications  (Principal  Executive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5340" w:type="dxa"/>
            <w:vAlign w:val="bottom"/>
          </w:tcPr>
          <w:p>
            <w:pPr>
              <w:ind w:left="400"/>
              <w:spacing w:after="0"/>
              <w:rPr>
                <w:sz w:val="20"/>
                <w:szCs w:val="20"/>
                <w:color w:val="auto"/>
              </w:rPr>
            </w:pPr>
            <w:r>
              <w:rPr>
                <w:rFonts w:ascii="Arial" w:cs="Arial" w:eastAsia="Arial" w:hAnsi="Arial"/>
                <w:sz w:val="18"/>
                <w:szCs w:val="18"/>
                <w:color w:val="auto"/>
              </w:rPr>
              <w:t>Rule  13a-14(a)/15d-14(a)  Certifications  (Principal  Financial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5340" w:type="dxa"/>
            <w:vAlign w:val="bottom"/>
          </w:tcPr>
          <w:p>
            <w:pPr>
              <w:ind w:left="400"/>
              <w:spacing w:after="0"/>
              <w:rPr>
                <w:sz w:val="20"/>
                <w:szCs w:val="20"/>
                <w:color w:val="auto"/>
              </w:rPr>
            </w:pPr>
            <w:r>
              <w:rPr>
                <w:rFonts w:ascii="Arial" w:cs="Arial" w:eastAsia="Arial" w:hAnsi="Arial"/>
                <w:sz w:val="18"/>
                <w:szCs w:val="18"/>
                <w:color w:val="auto"/>
                <w:w w:val="98"/>
              </w:rPr>
              <w:t>Section  1350  Certifications  (Principal  Executive  Officer  and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Principal Financial Officer)</w:t>
            </w:r>
          </w:p>
        </w:tc>
        <w:tc>
          <w:tcPr>
            <w:tcW w:w="180" w:type="dxa"/>
            <w:vAlign w:val="bottom"/>
          </w:tcPr>
          <w:p>
            <w:pPr>
              <w:spacing w:after="0"/>
              <w:rPr>
                <w:sz w:val="20"/>
                <w:szCs w:val="20"/>
                <w:color w:val="auto"/>
              </w:rPr>
            </w:pP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340" w:type="dxa"/>
            <w:vAlign w:val="bottom"/>
          </w:tcPr>
          <w:p>
            <w:pPr>
              <w:ind w:left="400"/>
              <w:spacing w:after="0"/>
              <w:rPr>
                <w:sz w:val="20"/>
                <w:szCs w:val="20"/>
                <w:color w:val="auto"/>
              </w:rPr>
            </w:pPr>
            <w:r>
              <w:rPr>
                <w:rFonts w:ascii="Arial" w:cs="Arial" w:eastAsia="Arial" w:hAnsi="Arial"/>
                <w:sz w:val="18"/>
                <w:szCs w:val="18"/>
                <w:color w:val="auto"/>
              </w:rPr>
              <w:t>XBRL Instance Document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340" w:type="dxa"/>
            <w:vAlign w:val="bottom"/>
          </w:tcPr>
          <w:p>
            <w:pPr>
              <w:ind w:left="400"/>
              <w:spacing w:after="0"/>
              <w:rPr>
                <w:sz w:val="20"/>
                <w:szCs w:val="20"/>
                <w:color w:val="auto"/>
              </w:rPr>
            </w:pPr>
            <w:r>
              <w:rPr>
                <w:rFonts w:ascii="Arial" w:cs="Arial" w:eastAsia="Arial" w:hAnsi="Arial"/>
                <w:sz w:val="18"/>
                <w:szCs w:val="18"/>
                <w:color w:val="auto"/>
              </w:rPr>
              <w:t>XBRL Taxonomy Extension Schema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34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34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340" w:type="dxa"/>
            <w:vAlign w:val="bottom"/>
          </w:tcPr>
          <w:p>
            <w:pPr>
              <w:ind w:left="400"/>
              <w:spacing w:after="0"/>
              <w:rPr>
                <w:sz w:val="20"/>
                <w:szCs w:val="20"/>
                <w:color w:val="auto"/>
              </w:rPr>
            </w:pPr>
            <w:r>
              <w:rPr>
                <w:rFonts w:ascii="Arial" w:cs="Arial" w:eastAsia="Arial" w:hAnsi="Arial"/>
                <w:sz w:val="18"/>
                <w:szCs w:val="18"/>
                <w:color w:val="auto"/>
              </w:rPr>
              <w:t>XBRL Taxonomy Extension Label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34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720" w:hanging="68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720" w:hanging="685"/>
        <w:spacing w:after="0"/>
        <w:tabs>
          <w:tab w:leader="none" w:pos="720" w:val="left"/>
        </w:tabs>
        <w:numPr>
          <w:ilvl w:val="0"/>
          <w:numId w:val="30"/>
        </w:numPr>
        <w:rPr>
          <w:rFonts w:ascii="Arial" w:cs="Arial" w:eastAsia="Arial" w:hAnsi="Arial"/>
          <w:sz w:val="13"/>
          <w:szCs w:val="13"/>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219"/>
          </w:cols>
          <w:pgMar w:left="240" w:top="121"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18080" cy="488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418080" cy="488950"/>
                    </a:xfrm>
                    <a:prstGeom prst="rect">
                      <a:avLst/>
                    </a:prstGeom>
                    <a:noFill/>
                  </pic:spPr>
                </pic:pic>
              </a:graphicData>
            </a:graphic>
          </wp:anchor>
        </w:drawing>
        <w:t>Exhibit 4.3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25, 2014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100 F Street, N.E.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68" w:lineRule="exact"/>
        <w:rPr>
          <w:sz w:val="20"/>
          <w:szCs w:val="20"/>
          <w:color w:val="auto"/>
        </w:rPr>
      </w:pPr>
    </w:p>
    <w:p>
      <w:pPr>
        <w:ind w:left="1960" w:right="300" w:hanging="659"/>
        <w:spacing w:after="0" w:line="315" w:lineRule="auto"/>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The Scotts Miracle-Gro Company – Annual Report on Form 10-K for the fiscal year ended September 30, 2014</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74" w:lineRule="exact"/>
        <w:rPr>
          <w:sz w:val="20"/>
          <w:szCs w:val="20"/>
          <w:color w:val="auto"/>
        </w:rPr>
      </w:pPr>
    </w:p>
    <w:p>
      <w:pPr>
        <w:ind w:right="760" w:firstLine="648"/>
        <w:spacing w:after="0" w:line="315" w:lineRule="auto"/>
        <w:rPr>
          <w:sz w:val="20"/>
          <w:szCs w:val="20"/>
          <w:color w:val="auto"/>
        </w:rPr>
      </w:pPr>
      <w:r>
        <w:rPr>
          <w:rFonts w:ascii="Arial" w:cs="Arial" w:eastAsia="Arial" w:hAnsi="Arial"/>
          <w:sz w:val="22"/>
          <w:szCs w:val="22"/>
          <w:color w:val="auto"/>
        </w:rPr>
        <w:t>The Scotts Miracle-Gro Company, an Ohio corporation (“Scotts Miracle-Gro”), is today filing its Annual Report on Form 10-K for the fiscal year ended September 30, 2014 (the “Form 10-K”).</w:t>
      </w:r>
    </w:p>
    <w:p>
      <w:pPr>
        <w:spacing w:after="0" w:line="173" w:lineRule="exact"/>
        <w:rPr>
          <w:sz w:val="20"/>
          <w:szCs w:val="20"/>
          <w:color w:val="auto"/>
        </w:rPr>
      </w:pPr>
    </w:p>
    <w:p>
      <w:pPr>
        <w:ind w:right="260" w:firstLine="648"/>
        <w:spacing w:after="0" w:line="351"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jc w:val="center"/>
        <w:ind w:left="320"/>
        <w:spacing w:after="0"/>
        <w:rPr>
          <w:sz w:val="20"/>
          <w:szCs w:val="20"/>
          <w:color w:val="auto"/>
        </w:rPr>
      </w:pPr>
      <w:r>
        <w:rPr>
          <w:rFonts w:ascii="Arial" w:cs="Arial" w:eastAsia="Arial" w:hAnsi="Arial"/>
          <w:sz w:val="22"/>
          <w:szCs w:val="22"/>
          <w:color w:val="auto"/>
        </w:rPr>
        <w:t>THE SCOTTS MIRACLE-GRO COMPANY</w:t>
      </w:r>
    </w:p>
    <w:p>
      <w:pPr>
        <w:spacing w:after="0" w:line="368"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/s/ THOMAS RANDAL COLEMAN</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14111 Scottslawn Road Marysville, OH 43041 937-644-0011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41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10.7(d)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 are parties to form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Confidentiality, Noncompetition,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Nonsolicitation Agreement for employees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participating in The Scotts Company LLC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Date of Employee Confidentiality,</w:t>
            </w:r>
          </w:p>
        </w:tc>
      </w:tr>
      <w:tr>
        <w:trPr>
          <w:trHeight w:val="29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Name and Principal Position</w:t>
            </w: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Noncompetition, Nonsolicitation</w:t>
            </w:r>
          </w:p>
        </w:tc>
      </w:tr>
      <w:tr>
        <w:trPr>
          <w:trHeight w:val="29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with The Scotts Miracle-Gro Company</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Agreement</w:t>
            </w:r>
          </w:p>
        </w:tc>
      </w:tr>
      <w:tr>
        <w:trPr>
          <w:trHeight w:val="54"/>
        </w:trPr>
        <w:tc>
          <w:tcPr>
            <w:tcW w:w="7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50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Barry W. Sanders, President and Chief Operating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April 22, 2005</w:t>
            </w:r>
          </w:p>
        </w:tc>
      </w:tr>
      <w:tr>
        <w:trPr>
          <w:trHeight w:val="540"/>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Thomas Randal Coleman, Executive Vice President and Chief Financial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May 15, 2006</w:t>
            </w:r>
          </w:p>
        </w:tc>
      </w:tr>
      <w:tr>
        <w:trPr>
          <w:trHeight w:val="540"/>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Michael C. Lukemire, Executive Vice President, North American Operations</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June 26, 2006</w:t>
            </w:r>
          </w:p>
        </w:tc>
      </w:tr>
      <w:tr>
        <w:trPr>
          <w:trHeight w:val="553"/>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Ivan C. Smith, Executive Vice President, General Counsel, Corporate Secretary and Chief</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June 26, 2006</w:t>
            </w:r>
          </w:p>
        </w:tc>
      </w:tr>
      <w:tr>
        <w:trPr>
          <w:trHeight w:val="230"/>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Compliance Officer</w:t>
            </w:r>
          </w:p>
        </w:tc>
        <w:tc>
          <w:tcPr>
            <w:tcW w:w="3980" w:type="dxa"/>
            <w:vAlign w:val="bottom"/>
          </w:tcPr>
          <w:p>
            <w:pPr>
              <w:spacing w:after="0"/>
              <w:rPr>
                <w:sz w:val="20"/>
                <w:szCs w:val="20"/>
                <w:color w:val="auto"/>
              </w:rPr>
            </w:pPr>
          </w:p>
        </w:tc>
      </w:tr>
      <w:tr>
        <w:trPr>
          <w:trHeight w:val="567"/>
        </w:trPr>
        <w:tc>
          <w:tcPr>
            <w:tcW w:w="7440" w:type="dxa"/>
            <w:vAlign w:val="bottom"/>
            <w:gridSpan w:val="2"/>
          </w:tcPr>
          <w:p>
            <w:pPr>
              <w:ind w:left="80"/>
              <w:spacing w:after="0"/>
              <w:rPr>
                <w:sz w:val="20"/>
                <w:szCs w:val="20"/>
                <w:color w:val="auto"/>
              </w:rPr>
            </w:pPr>
            <w:r>
              <w:rPr>
                <w:rFonts w:ascii="Arial" w:cs="Arial" w:eastAsia="Arial" w:hAnsi="Arial"/>
                <w:sz w:val="18"/>
                <w:szCs w:val="18"/>
                <w:color w:val="auto"/>
                <w:w w:val="97"/>
              </w:rPr>
              <w:t>Denise S. Stump, Executive Vice President, Global Human Resources and Chief Ethics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August 8, 2006</w:t>
            </w:r>
          </w:p>
        </w:tc>
      </w:tr>
    </w:tbl>
    <w:p>
      <w:pPr>
        <w:sectPr>
          <w:pgSz w:w="11900" w:h="16838" w:orient="portrait"/>
          <w:cols w:equalWidth="0" w:num="1">
            <w:col w:w="11420"/>
          </w:cols>
          <w:pgMar w:left="240" w:top="86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Compensation for Nonemployee Directors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as of May 1, 2014</w:t>
      </w:r>
    </w:p>
    <w:p>
      <w:pPr>
        <w:spacing w:after="0" w:line="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_____________________________________</w:t>
      </w:r>
    </w:p>
    <w:p>
      <w:pPr>
        <w:spacing w:after="0" w:line="242"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At the meeting of the Board of Directors (the “Board”) of The Scotts Miracle-Gro Company (the “Company”) held on January 29, 2014, the Board approved the recommendations of the Nominating and Governance Committee of the Board (the “Committee”) with respect to compensation for the 2014 calendar year for nonemployee members of the Board (“Nonemployee Directors”) and the Lead Independent Director of the Company. At a subsequent meeting of the Board held on May 1, 2014, the Board approved the recommendations of the Committee with respect to an updated compensation structure for the 2014 calendar year for Nonemployee Directors and the Lead Independent Director of the Company (the “Updated Compensation Structure”). The Updated Compensation Structure is described below.</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Cash Retainer; Reimbursement of Expenses</w:t>
      </w:r>
    </w:p>
    <w:p>
      <w:pPr>
        <w:spacing w:after="0" w:line="260"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Each of the Nonemployee Directors will be paid an annual cash retainer in the amount of $100,000 and the Lead Independent Director will be paid an additional annual cash retainer in the amount of $15,000. The annual cash retainer(s) will be paid on a quarterly basis, in January, April, July and October; provided, that, the Nonemployee Directors have the option to elect, in advance, to receive up to 100% of their quarterly cash retainers in cash or fully-vested deferred stock units. Nonemployee Directors receive reimbursement of all reasonable travel and other expenses associated with attending Board and Board committee meetings. The Updated Compensation Structure maintained the annual cash retainer amounts and payment schedule and the reimbursement of expenses policy.</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Deferred Stock Units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January 31, 2014 (prior to the approval of the Updated Compensation Structure): (a) each Nonemployee Director was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granted deferred stock units having a value of $70,000; (b) the Lead Independent Director was granted additional deferred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units having a value of $35,000; (c) each Nonemployee Director was granted additional deferred stock units having a value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$12,500 for each committee of the Board on which such Nonemployee Director serves; (d) each Nonemployee Director serving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chairperson of a committee of the Board was granted additional deferred stock units having a value of $25,000; and (e) each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Nonemployee Director serving on the Audit and Finance Committee of the Board was granted additional deferred stock units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having a value of $5,000. The number of deferred stock units (and related dividend equivalents) granted to each Nonemployee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Director was calculated by dividing the aggregate value of deferred stock units to be granted to such Nonemployee Director by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closing price of the Company’s common shares on the January 31, 2014 grant date ($59.39) and rounding any resulting fractional</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deferred stock unit up to the next whole deferred stock unit.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127" w:name="page128"/>
    <w:bookmarkEnd w:id="127"/>
    <w:p>
      <w:pPr>
        <w:ind w:firstLine="648"/>
        <w:spacing w:after="0" w:line="288" w:lineRule="auto"/>
        <w:rPr>
          <w:sz w:val="20"/>
          <w:szCs w:val="20"/>
          <w:color w:val="auto"/>
        </w:rPr>
      </w:pPr>
      <w:r>
        <w:rPr>
          <w:rFonts w:ascii="Arial" w:cs="Arial" w:eastAsia="Arial" w:hAnsi="Arial"/>
          <w:sz w:val="19"/>
          <w:szCs w:val="19"/>
          <w:color w:val="auto"/>
        </w:rPr>
        <w:t>On May 1, 2014, pursuant to the Updated Compensation Structure, each Nonemployee Director was granted additional deferred stock units (bringing the total deferred stock value granted to each Nonemployee Director for the 2014 calendar year to $170,000, including any deferred stock units granted for serving as Board committee chairs or members but excluding the additional deferred stock units granted to the Lead Independent Director). The equity portion of the Updated Compensation Structure is intended to award deferred stock units having an annualized value of $170,000 to all Nonemployee Directors with no additional deferred stock units awarded for serving as Board committee chairs or members. The number of additional deferred stock units (and related dividend equivalents) granted to each Nonemployee Director on May 1, 2014 pursuant to the Updated Compensation Structure was calculated by dividing the aggregate value of additional deferred stock units to be granted to such Nonemployee Director by the closing price of the Company’s common shares on the May 1, 2014 grant date ($61.19) and rounding any resulting fractional deferred stock unit up to the next whole deferred stock unit.</w:t>
      </w:r>
    </w:p>
    <w:p>
      <w:pPr>
        <w:spacing w:after="0" w:line="201"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The deferred stock units (and related dividend equivalents) were granted under The Scotts Miracle-Gro Company Long-Term Incentive Plan (Effective as of January 17, 2013) (the “2013 Plan”). Each whole deferred stock unit represents the right to receive one full common share of the Company at the time and in the manner described in the Deferred Stock Unit Award Agreement for Nonemployee Directors (with Related Dividend Equivalents) evidencing the award. Each dividend equivalent represents the right to receive additional deferred stock units (rounded to the nearest whole deferred stock unit) in respect of dividends that are declared and paid during the period beginning on the grant date and ending on the settlement date with respect to the common share of the Company represented by the related deferred stock unit.</w:t>
      </w:r>
    </w:p>
    <w:p>
      <w:pPr>
        <w:spacing w:after="0" w:line="222" w:lineRule="exact"/>
        <w:rPr>
          <w:sz w:val="20"/>
          <w:szCs w:val="20"/>
          <w:color w:val="auto"/>
        </w:rPr>
      </w:pPr>
    </w:p>
    <w:p>
      <w:pPr>
        <w:ind w:right="180" w:firstLine="648"/>
        <w:spacing w:after="0" w:line="289" w:lineRule="auto"/>
        <w:rPr>
          <w:sz w:val="20"/>
          <w:szCs w:val="20"/>
          <w:color w:val="auto"/>
        </w:rPr>
      </w:pPr>
      <w:r>
        <w:rPr>
          <w:rFonts w:ascii="Arial" w:cs="Arial" w:eastAsia="Arial" w:hAnsi="Arial"/>
          <w:sz w:val="19"/>
          <w:szCs w:val="19"/>
          <w:color w:val="auto"/>
        </w:rPr>
        <w:t>The deferred stock units, including any deferred stock units received in respect of dividend equivalents on or prior to the vesting date, will generally become 100% vested on the earlier to occur of (a) January 31, 2015 and (b) the date of the annual meeting of the Company’s shareholders in 2015 (the “Vesting Date”). Any deferred stock units received in respect of dividend equivalents following the vesting date will be 100% vested on the date they are credited to the Nonemployee Director. If a Nonemployee Director ceases to be a member of the Board as a result of their death or becoming totally disabled, then all of the Nonemployee Director’s deferred stock units (and related dividend equivalents) will become 100% vested as of the date the Nonemployee Director’s service on the Board terminates. If a Nonemployee Director ceases to be a member of the Board prior to the vesting date for any reason not described in the preceding sentence, the Nonemployee Director’s deferred stock units (and related dividend equivalents) will be immediately forfeited.</w:t>
      </w:r>
    </w:p>
    <w:p>
      <w:pPr>
        <w:spacing w:after="0" w:line="19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Subject to the terms of the 2013 Plan, vested deferred stock units will be settled in a lump sum as soon as administratively practicable, but no later than 90 days, following the earliest to occur of (a) a Nonemployee Director ceasing to be a member of the Board as a result of their death or becoming totally disabled and (b) January 31, 2017. Whole deferred stock units will be settled in full common shares of the Company and any fractional deferred stock units will be settled in cash, determined based on the fair market value of a common share of the Company on the settlement date.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375" w:right="279" w:bottom="1440" w:gutter="0" w:footer="0" w:header="0"/>
        </w:sectPr>
      </w:pPr>
    </w:p>
    <w:bookmarkStart w:id="128" w:name="page129"/>
    <w:bookmarkEnd w:id="128"/>
    <w:p>
      <w:pPr>
        <w:ind w:firstLine="648"/>
        <w:spacing w:after="0" w:line="253" w:lineRule="auto"/>
        <w:rPr>
          <w:sz w:val="20"/>
          <w:szCs w:val="20"/>
          <w:color w:val="auto"/>
        </w:rPr>
      </w:pPr>
      <w:r>
        <w:rPr>
          <w:rFonts w:ascii="Arial" w:cs="Arial" w:eastAsia="Arial" w:hAnsi="Arial"/>
          <w:sz w:val="22"/>
          <w:szCs w:val="22"/>
          <w:color w:val="auto"/>
        </w:rPr>
        <w:t>If there is a Change in Control (as defined in the 2013 Plan), each Nonemployee Director’s deferred stock units (and related dividend equivalents) will become 100% vested on the date of the Change in Control and will be settled as described in the 2013 Plan.</w:t>
      </w:r>
    </w:p>
    <w:p>
      <w:pPr>
        <w:spacing w:after="0" w:line="226" w:lineRule="exact"/>
        <w:rPr>
          <w:sz w:val="20"/>
          <w:szCs w:val="20"/>
          <w:color w:val="auto"/>
        </w:rPr>
      </w:pPr>
    </w:p>
    <w:p>
      <w:pPr>
        <w:ind w:right="120" w:firstLine="648"/>
        <w:spacing w:after="0" w:line="246" w:lineRule="auto"/>
        <w:rPr>
          <w:sz w:val="20"/>
          <w:szCs w:val="20"/>
          <w:color w:val="auto"/>
        </w:rPr>
      </w:pPr>
      <w:r>
        <w:rPr>
          <w:rFonts w:ascii="Arial" w:cs="Arial" w:eastAsia="Arial" w:hAnsi="Arial"/>
          <w:sz w:val="22"/>
          <w:szCs w:val="22"/>
          <w:color w:val="auto"/>
        </w:rPr>
        <w:t>For more information about the deferred stock units (and related dividend equivalents) granted to the Nonemployee Directors, please refer to: (a) the form of Deferred Stock Unit Award Agreement for Nonemployee Directors (with Related Dividend Equivalents) that is included as Exhibit 10.8 to the Company’s Quarterly Report on Form 10-Q for the quarterly period ended December 28, 2013; (b) the form of Deferred Stock Unit Award Agreement for Nonemployee Directors (with Related Dividend Equivalents) that is included as Exhibit 10.11 to the Company’s Quarterly Report on Form 10-Q for the quarterly period ended March 29, 2014; and (c) the 2013 Plan that is included as Exhibit 10.1 to the Company’s Current Report on Form 8-K filed January 24, 2013.</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375" w:right="2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Executive Officers of</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Scotts Miracle-Gro Company</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who are parties to form of</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Tier 1 Participation Agreement under</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The Scotts Company LLC Executive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3"/>
              </w:rPr>
              <w:t>Effective Date of</w:t>
            </w:r>
          </w:p>
        </w:tc>
      </w:tr>
      <w:tr>
        <w:trPr>
          <w:trHeight w:val="297"/>
        </w:trPr>
        <w:tc>
          <w:tcPr>
            <w:tcW w:w="5220" w:type="dxa"/>
            <w:vAlign w:val="bottom"/>
            <w:gridSpan w:val="2"/>
          </w:tcPr>
          <w:p>
            <w:pPr>
              <w:ind w:left="1540"/>
              <w:spacing w:after="0"/>
              <w:rPr>
                <w:sz w:val="20"/>
                <w:szCs w:val="20"/>
                <w:color w:val="auto"/>
              </w:rPr>
            </w:pPr>
            <w:r>
              <w:rPr>
                <w:rFonts w:ascii="Arial" w:cs="Arial" w:eastAsia="Arial" w:hAnsi="Arial"/>
                <w:sz w:val="18"/>
                <w:szCs w:val="18"/>
                <w:color w:val="auto"/>
              </w:rPr>
              <w:t>Name and Principal Position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Tier 1 Participation</w:t>
            </w:r>
          </w:p>
        </w:tc>
      </w:tr>
      <w:tr>
        <w:trPr>
          <w:trHeight w:val="297"/>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with The Scotts Miracle-Gro Company</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Agreement</w:t>
            </w:r>
          </w:p>
        </w:tc>
      </w:tr>
      <w:tr>
        <w:trPr>
          <w:trHeight w:val="54"/>
        </w:trPr>
        <w:tc>
          <w:tcPr>
            <w:tcW w:w="5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r>
      <w:tr>
        <w:trPr>
          <w:trHeight w:val="507"/>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Barry W. Sanders, President and Chief Operating Officer</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November 5, 2011</w:t>
            </w:r>
          </w:p>
        </w:tc>
      </w:tr>
      <w:tr>
        <w:trPr>
          <w:trHeight w:val="526"/>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Denise S. Stump, Executive Vice President, Global Human</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November 5, 2011</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Resources and Chief Ethics Officer</w:t>
            </w:r>
          </w:p>
        </w:tc>
        <w:tc>
          <w:tcPr>
            <w:tcW w:w="3740" w:type="dxa"/>
            <w:vAlign w:val="bottom"/>
          </w:tcPr>
          <w:p>
            <w:pPr>
              <w:spacing w:after="0"/>
              <w:rPr>
                <w:sz w:val="20"/>
                <w:szCs w:val="20"/>
                <w:color w:val="auto"/>
              </w:rPr>
            </w:pPr>
          </w:p>
        </w:tc>
      </w:tr>
      <w:tr>
        <w:trPr>
          <w:trHeight w:val="526"/>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Michael C. Lukemire, Executive Vice President, North American</w:t>
            </w: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April 26, 2012</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Operations</w:t>
            </w:r>
          </w:p>
        </w:tc>
        <w:tc>
          <w:tcPr>
            <w:tcW w:w="3740" w:type="dxa"/>
            <w:vAlign w:val="bottom"/>
          </w:tcPr>
          <w:p>
            <w:pPr>
              <w:spacing w:after="0"/>
              <w:rPr>
                <w:sz w:val="20"/>
                <w:szCs w:val="20"/>
                <w:color w:val="auto"/>
              </w:rPr>
            </w:pPr>
          </w:p>
        </w:tc>
      </w:tr>
      <w:tr>
        <w:trPr>
          <w:trHeight w:val="526"/>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Ivan C. Smith, Executive Vice President, General Counsel,</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July 10, 2013</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Corporate Secretary and Chief Compliance Officer</w:t>
            </w:r>
          </w:p>
        </w:tc>
        <w:tc>
          <w:tcPr>
            <w:tcW w:w="3740" w:type="dxa"/>
            <w:vAlign w:val="bottom"/>
          </w:tcPr>
          <w:p>
            <w:pPr>
              <w:spacing w:after="0"/>
              <w:rPr>
                <w:sz w:val="20"/>
                <w:szCs w:val="20"/>
                <w:color w:val="auto"/>
              </w:rPr>
            </w:pPr>
          </w:p>
        </w:tc>
      </w:tr>
      <w:tr>
        <w:trPr>
          <w:trHeight w:val="526"/>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Thomas Randal Coleman, Executive Vice President and Chief</w:t>
            </w: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April 15, 2014</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Financial Officer</w:t>
            </w:r>
          </w:p>
        </w:tc>
        <w:tc>
          <w:tcPr>
            <w:tcW w:w="3740" w:type="dxa"/>
            <w:vAlign w:val="bottom"/>
          </w:tcPr>
          <w:p>
            <w:pPr>
              <w:spacing w:after="0"/>
              <w:rPr>
                <w:sz w:val="20"/>
                <w:szCs w:val="20"/>
                <w:color w:val="auto"/>
              </w:rPr>
            </w:pPr>
          </w:p>
        </w:tc>
      </w:tr>
    </w:tbl>
    <w:p>
      <w:pPr>
        <w:sectPr>
          <w:pgSz w:w="11900" w:h="16838" w:orient="portrait"/>
          <w:cols w:equalWidth="0" w:num="1">
            <w:col w:w="10220"/>
          </w:cols>
          <w:pgMar w:left="1440" w:top="864"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360"/>
        </w:trPr>
        <w:tc>
          <w:tcPr>
            <w:tcW w:w="5260" w:type="dxa"/>
            <w:vAlign w:val="bottom"/>
          </w:tcPr>
          <w:p>
            <w:pPr>
              <w:spacing w:after="0"/>
              <w:rPr>
                <w:sz w:val="20"/>
                <w:szCs w:val="20"/>
                <w:color w:val="auto"/>
              </w:rPr>
            </w:pPr>
            <w:r>
              <w:rPr>
                <w:rFonts w:ascii="Arial" w:cs="Arial" w:eastAsia="Arial" w:hAnsi="Arial"/>
                <w:sz w:val="18"/>
                <w:szCs w:val="18"/>
                <w:b w:val="1"/>
                <w:bCs w:val="1"/>
                <w:color w:val="auto"/>
              </w:rPr>
              <w:t>The Scotts Miracle-Gro Company</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IN MILLIONS)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adjusted earnings available for payment of fixed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expense representative of interest factor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2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Ratio of Earnings to Fixed Charges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20" w:hanging="316"/>
        <w:spacing w:after="0" w:line="29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amortization of capitalized interest, adjustments for non-controlling interests in consolidated subsidiaries and distributed earnings of equity investees. Interest expense recorded on tax exposures has been recorded in income tax expense and has therefore been excluded from the calculation.</w:t>
      </w: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amortization of deferred financing and issuance costs related to indebtedness.</w:t>
      </w:r>
    </w:p>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1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Directly owned subsidiaries are located at the left margin, each subsidiary tier thereunder is indented. Subsidiaries are listed under the names of their respective parent entities. Unless otherwise noted, the subsidiaries are wholly-owned.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Switzerland Holdings, SA</w:t>
            </w:r>
          </w:p>
        </w:tc>
        <w:tc>
          <w:tcPr>
            <w:tcW w:w="25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SMGM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Scotts-Sierra Investments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ASEF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Asia,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Australia Pty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920" w:type="dxa"/>
            <w:vAlign w:val="bottom"/>
            <w:gridSpan w:val="2"/>
          </w:tcPr>
          <w:p>
            <w:pPr>
              <w:ind w:left="420"/>
              <w:spacing w:after="0"/>
              <w:rPr>
                <w:sz w:val="20"/>
                <w:szCs w:val="20"/>
                <w:color w:val="auto"/>
              </w:rPr>
            </w:pPr>
            <w:r>
              <w:rPr>
                <w:rFonts w:ascii="Arial" w:cs="Arial" w:eastAsia="Arial" w:hAnsi="Arial"/>
                <w:sz w:val="18"/>
                <w:szCs w:val="18"/>
                <w:color w:val="auto"/>
              </w:rPr>
              <w:t>Scotts Gardening Fertilizer (Wuhan) Co., Ltd.</w:t>
            </w:r>
          </w:p>
        </w:tc>
        <w:tc>
          <w:tcPr>
            <w:tcW w:w="25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31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3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Canada Ltd.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Fafard &amp; Brothers Ltd.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Czech s.r.o.</w:t>
            </w:r>
          </w:p>
        </w:tc>
        <w:tc>
          <w:tcPr>
            <w:tcW w:w="250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31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France Holdings SARL</w:t>
            </w:r>
          </w:p>
        </w:tc>
        <w:tc>
          <w:tcPr>
            <w:tcW w:w="25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Scotts France SAS</w:t>
            </w:r>
          </w:p>
        </w:tc>
        <w:tc>
          <w:tcPr>
            <w:tcW w:w="25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Celaflor GmbH</w:t>
            </w:r>
          </w:p>
        </w:tc>
        <w:tc>
          <w:tcPr>
            <w:tcW w:w="25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Scotts Celaflor HGmbH</w:t>
            </w:r>
          </w:p>
        </w:tc>
        <w:tc>
          <w:tcPr>
            <w:tcW w:w="250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Holdings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Levington Group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The Scotts Company (UK)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920" w:type="dxa"/>
            <w:vAlign w:val="bottom"/>
            <w:gridSpan w:val="2"/>
          </w:tcPr>
          <w:p>
            <w:pPr>
              <w:ind w:left="700"/>
              <w:spacing w:after="0"/>
              <w:rPr>
                <w:sz w:val="20"/>
                <w:szCs w:val="20"/>
                <w:color w:val="auto"/>
              </w:rPr>
            </w:pPr>
            <w:r>
              <w:rPr>
                <w:rFonts w:ascii="Arial" w:cs="Arial" w:eastAsia="Arial" w:hAnsi="Arial"/>
                <w:sz w:val="18"/>
                <w:szCs w:val="18"/>
                <w:color w:val="auto"/>
              </w:rPr>
              <w:t>The Scotts Company (Manufacturing)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Humax Horticulture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O M Scott International Investments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Poland Sp.z.o.o.</w:t>
            </w:r>
          </w:p>
        </w:tc>
        <w:tc>
          <w:tcPr>
            <w:tcW w:w="250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Teak 2, Ltd.</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Turf-Seed (Europe)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368"/>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The Scotts Company LLC</w:t>
            </w:r>
            <w:r>
              <w:rPr>
                <w:rFonts w:ascii="Arial" w:cs="Arial" w:eastAsia="Arial" w:hAnsi="Arial"/>
                <w:sz w:val="25"/>
                <w:szCs w:val="25"/>
                <w:color w:val="auto"/>
                <w:vertAlign w:val="superscript"/>
              </w:rPr>
              <w:t>5</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07"/>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1" w:lineRule="auto"/>
        <w:tabs>
          <w:tab w:leader="none" w:pos="1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SMG Growing Media, Inc.'s ownership is 33.14%.</w:t>
      </w:r>
    </w:p>
    <w:p>
      <w:pPr>
        <w:ind w:left="140" w:hanging="105"/>
        <w:spacing w:after="0" w:line="181" w:lineRule="auto"/>
        <w:tabs>
          <w:tab w:leader="none" w:pos="1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Also conducts business under the assumed name The Hawthorne Garden Products Company.</w:t>
      </w:r>
    </w:p>
    <w:p>
      <w:pPr>
        <w:ind w:left="140" w:hanging="105"/>
        <w:spacing w:after="0" w:line="180" w:lineRule="auto"/>
        <w:tabs>
          <w:tab w:leader="none" w:pos="1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OMS Investments, Inc. owns 0.1% and Scotts-Sierra Investments LLC owns the remaining 99.9%.</w:t>
      </w:r>
    </w:p>
    <w:p>
      <w:pPr>
        <w:ind w:left="140" w:hanging="105"/>
        <w:spacing w:after="0" w:line="181" w:lineRule="auto"/>
        <w:tabs>
          <w:tab w:leader="none" w:pos="1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The Scotts Company LLC owns 0.5% and Scotts-Sierra Investments LLC owns the remaining 99.5%.</w:t>
      </w:r>
    </w:p>
    <w:p>
      <w:pPr>
        <w:ind w:left="120" w:right="660" w:hanging="98"/>
        <w:spacing w:after="0" w:line="211" w:lineRule="auto"/>
        <w:tabs>
          <w:tab w:leader="none" w:pos="123"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Also conducts business under the assumed names Scotts Miracle-Gro Products, The Ortho Group, The Scotts Company, Tomcat Brands, The Scotts Company of Ohio LLC, The Scotts Company LLC of Ohio, and The Scotts Company of Ohio.</w:t>
      </w:r>
    </w:p>
    <w:p>
      <w:pPr>
        <w:sectPr>
          <w:pgSz w:w="11900" w:h="16838" w:orient="portrait"/>
          <w:cols w:equalWidth="0" w:num="1">
            <w:col w:w="11420"/>
          </w:cols>
          <w:pgMar w:left="240" w:top="405"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7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EG Systems, Inc.</w:t>
            </w:r>
            <w:r>
              <w:rPr>
                <w:rFonts w:ascii="Arial" w:cs="Arial" w:eastAsia="Arial" w:hAnsi="Arial"/>
                <w:sz w:val="25"/>
                <w:szCs w:val="25"/>
                <w:color w:val="auto"/>
                <w:vertAlign w:val="superscript"/>
              </w:rPr>
              <w:t>6</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SLS Franchise Systems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7</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7</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140" w:hanging="105"/>
        <w:spacing w:after="0"/>
        <w:tabs>
          <w:tab w:leader="none" w:pos="1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Also conducts business under the assumed name Scotts LawnService.</w:t>
      </w:r>
    </w:p>
    <w:p>
      <w:pPr>
        <w:ind w:left="140" w:hanging="105"/>
        <w:spacing w:after="0" w:line="183" w:lineRule="auto"/>
        <w:tabs>
          <w:tab w:leader="none" w:pos="1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ectPr>
          <w:pgSz w:w="11900" w:h="16838" w:orient="portrait"/>
          <w:cols w:equalWidth="0" w:num="1">
            <w:col w:w="11420"/>
          </w:cols>
          <w:pgMar w:left="240" w:top="95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66"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We consent to the incorporation by reference in Registration Statement Nos. 033-47073, 333-06061, 333-27561, 333-72715, 333-76697, 333-104490, 333-124503, 333-131466, 333-147397, 333-153925, 333-154364 and 333-186187 on Form S-8 and Registration Statement No. 333-185493 on Form S-3 of our reports dated November 25, 2014 relating to the consolidated financial statements and consolidated financial statement schedules of The Scotts Miracle−Gro Company and subsidiaries (the “Company”), and the effectiveness of the Company’s internal control over financial reporting, appearing in this Annual Report on Form 10-K of The Scotts Miracle-Gro Company for the year ended September 30,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2014</w:t>
      </w:r>
    </w:p>
    <w:p>
      <w:pPr>
        <w:sectPr>
          <w:pgSz w:w="11900" w:h="16838" w:orient="portrait"/>
          <w:cols w:equalWidth="0" w:num="1">
            <w:col w:w="11420"/>
          </w:cols>
          <w:pgMar w:left="240" w:top="63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24</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ind w:right="60"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420"/>
          </w:cols>
          <w:pgMar w:left="240" w:top="463" w:right="239" w:bottom="1440" w:gutter="0" w:footer="0" w:header="0"/>
        </w:sectPr>
      </w:pPr>
    </w:p>
    <w:bookmarkStart w:id="135" w:name="page136"/>
    <w:bookmarkEnd w:id="135"/>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/s/ 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31750</wp:posOffset>
            </wp:positionV>
            <wp:extent cx="23412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Alan H. Barry</w:t>
      </w:r>
    </w:p>
    <w:p>
      <w:pPr>
        <w:sectPr>
          <w:pgSz w:w="11900" w:h="16838" w:orient="portrait"/>
          <w:cols w:equalWidth="0" w:num="1">
            <w:col w:w="9800"/>
          </w:cols>
          <w:pgMar w:left="900" w:top="766" w:right="1199" w:bottom="1440" w:gutter="0" w:footer="0" w:header="0"/>
          <w:type w:val="continuous"/>
        </w:sectPr>
      </w:pPr>
    </w:p>
    <w:bookmarkStart w:id="136" w:name="page137"/>
    <w:bookmarkEnd w:id="13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3412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James Hagedorn</w:t>
      </w:r>
    </w:p>
    <w:p>
      <w:pPr>
        <w:sectPr>
          <w:pgSz w:w="11900" w:h="16838" w:orient="portrait"/>
          <w:cols w:equalWidth="0" w:num="1">
            <w:col w:w="9800"/>
          </w:cols>
          <w:pgMar w:left="900" w:top="766" w:right="1199" w:bottom="1440" w:gutter="0" w:footer="0" w:header="0"/>
          <w:type w:val="continuous"/>
        </w:sectPr>
      </w:pPr>
    </w:p>
    <w:bookmarkStart w:id="138" w:name="page139"/>
    <w:bookmarkEnd w:id="13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39" w:name="page140"/>
    <w:bookmarkEnd w:id="139"/>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31750</wp:posOffset>
            </wp:positionV>
            <wp:extent cx="23412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Adam Hanft</w:t>
      </w:r>
    </w:p>
    <w:p>
      <w:pPr>
        <w:sectPr>
          <w:pgSz w:w="11900" w:h="16838" w:orient="portrait"/>
          <w:cols w:equalWidth="0" w:num="1">
            <w:col w:w="9800"/>
          </w:cols>
          <w:pgMar w:left="900" w:top="766" w:right="1199" w:bottom="1440" w:gutter="0" w:footer="0" w:header="0"/>
          <w:type w:val="continuous"/>
        </w:sectPr>
      </w:pPr>
    </w:p>
    <w:bookmarkStart w:id="140" w:name="page141"/>
    <w:bookmarkEnd w:id="140"/>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MICHELLE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3412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Michelle A. Johnson</w:t>
      </w:r>
    </w:p>
    <w:p>
      <w:pPr>
        <w:sectPr>
          <w:pgSz w:w="11900" w:h="16838" w:orient="portrait"/>
          <w:cols w:equalWidth="0" w:num="1">
            <w:col w:w="9800"/>
          </w:cols>
          <w:pgMar w:left="900" w:top="766" w:right="1199" w:bottom="1440" w:gutter="0" w:footer="0" w:header="0"/>
          <w:type w:val="continuous"/>
        </w:sectPr>
      </w:pPr>
    </w:p>
    <w:bookmarkStart w:id="142" w:name="page143"/>
    <w:bookmarkEnd w:id="14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43" w:name="page144"/>
    <w:bookmarkEnd w:id="143"/>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3412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Stephen L. Johnson</w:t>
      </w:r>
    </w:p>
    <w:p>
      <w:pPr>
        <w:sectPr>
          <w:pgSz w:w="11900" w:h="16838" w:orient="portrait"/>
          <w:cols w:equalWidth="0" w:num="1">
            <w:col w:w="9800"/>
          </w:cols>
          <w:pgMar w:left="900" w:top="766" w:right="1199" w:bottom="1440" w:gutter="0" w:footer="0" w:header="0"/>
          <w:type w:val="continuous"/>
        </w:sectPr>
      </w:pPr>
    </w:p>
    <w:bookmarkStart w:id="144" w:name="page145"/>
    <w:bookmarkEnd w:id="144"/>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3412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Thomas N. Kelly Jr.</w:t>
      </w:r>
    </w:p>
    <w:p>
      <w:pPr>
        <w:sectPr>
          <w:pgSz w:w="11900" w:h="16838" w:orient="portrait"/>
          <w:cols w:equalWidth="0" w:num="1">
            <w:col w:w="9800"/>
          </w:cols>
          <w:pgMar w:left="900" w:top="766" w:right="1199" w:bottom="1440" w:gutter="0" w:footer="0" w:header="0"/>
          <w:type w:val="continuous"/>
        </w:sectPr>
      </w:pPr>
    </w:p>
    <w:bookmarkStart w:id="146" w:name="page147"/>
    <w:bookmarkEnd w:id="14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KATHERINE HAGEDORN</w:t>
      </w:r>
    </w:p>
    <w:p>
      <w:pPr>
        <w:spacing w:after="0" w:line="43"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13335</wp:posOffset>
            </wp:positionV>
            <wp:extent cx="252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6"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Katherine Hagedorn Littlefield</w:t>
      </w:r>
    </w:p>
    <w:p>
      <w:pPr>
        <w:sectPr>
          <w:pgSz w:w="11900" w:h="16838" w:orient="portrait"/>
          <w:cols w:equalWidth="0" w:num="1">
            <w:col w:w="9800"/>
          </w:cols>
          <w:pgMar w:left="900" w:top="766" w:right="1199" w:bottom="1440" w:gutter="0" w:footer="0" w:header="0"/>
          <w:type w:val="continuous"/>
        </w:sectPr>
      </w:pPr>
    </w:p>
    <w:bookmarkStart w:id="148" w:name="page149"/>
    <w:bookmarkEnd w:id="14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JAMES F.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3412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James F. McCann</w:t>
      </w:r>
    </w:p>
    <w:p>
      <w:pPr>
        <w:sectPr>
          <w:pgSz w:w="11900" w:h="16838" w:orient="portrait"/>
          <w:cols w:equalWidth="0" w:num="1">
            <w:col w:w="9800"/>
          </w:cols>
          <w:pgMar w:left="900" w:top="766" w:right="1199" w:bottom="1440" w:gutter="0" w:footer="0" w:header="0"/>
          <w:type w:val="continuous"/>
        </w:sectPr>
      </w:pPr>
    </w:p>
    <w:bookmarkStart w:id="150" w:name="page151"/>
    <w:bookmarkEnd w:id="150"/>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3412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Nancy G. Mistretta</w:t>
      </w:r>
    </w:p>
    <w:p>
      <w:pPr>
        <w:sectPr>
          <w:pgSz w:w="11900" w:h="16838" w:orient="portrait"/>
          <w:cols w:equalWidth="0" w:num="1">
            <w:col w:w="9800"/>
          </w:cols>
          <w:pgMar w:left="900" w:top="766" w:right="1199" w:bottom="1440" w:gutter="0" w:footer="0" w:header="0"/>
          <w:type w:val="continuous"/>
        </w:sectPr>
      </w:pPr>
    </w:p>
    <w:bookmarkStart w:id="152" w:name="page153"/>
    <w:bookmarkEnd w:id="15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7"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MICHAEL E.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3412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Michael E. Porter</w:t>
      </w:r>
    </w:p>
    <w:p>
      <w:pPr>
        <w:sectPr>
          <w:pgSz w:w="11900" w:h="16838" w:orient="portrait"/>
          <w:cols w:equalWidth="0" w:num="1">
            <w:col w:w="9800"/>
          </w:cols>
          <w:pgMar w:left="900" w:top="767" w:right="1199" w:bottom="1440" w:gutter="0" w:footer="0" w:header="0"/>
          <w:type w:val="continuous"/>
        </w:sectPr>
      </w:pPr>
    </w:p>
    <w:bookmarkStart w:id="154" w:name="page155"/>
    <w:bookmarkEnd w:id="154"/>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360"/>
          </w:cols>
          <w:pgMar w:left="240" w:top="603" w:right="29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3412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John R. Vines</w:t>
      </w:r>
    </w:p>
    <w:p>
      <w:pPr>
        <w:sectPr>
          <w:pgSz w:w="11900" w:h="16838" w:orient="portrait"/>
          <w:cols w:equalWidth="0" w:num="1">
            <w:col w:w="9800"/>
          </w:cols>
          <w:pgMar w:left="900" w:top="766" w:right="1199" w:bottom="1440" w:gutter="0" w:footer="0" w:header="0"/>
          <w:type w:val="continuous"/>
        </w:sectPr>
      </w:pPr>
    </w:p>
    <w:bookmarkStart w:id="156" w:name="page157"/>
    <w:bookmarkEnd w:id="156"/>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592" w:lineRule="exact"/>
        <w:rPr>
          <w:sz w:val="20"/>
          <w:szCs w:val="20"/>
          <w:color w:val="auto"/>
        </w:rPr>
      </w:pPr>
      <w:r>
        <w:rPr>
          <w:rFonts w:ascii="Arial" w:cs="Arial" w:eastAsia="Arial" w:hAnsi="Arial"/>
          <w:sz w:val="19"/>
          <w:szCs w:val="19"/>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2014,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ectPr>
          <w:pgSz w:w="11900" w:h="16838" w:orient="portrait"/>
          <w:cols w:equalWidth="0" w:num="1">
            <w:col w:w="11420"/>
          </w:cols>
          <w:pgMar w:left="240" w:top="603" w:right="2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IN WITNESS WHEREOF, the undersigned has executed this Power of Attorney this 1st day of November, 2014.</w:t>
      </w:r>
    </w:p>
    <w:p>
      <w:pPr>
        <w:sectPr>
          <w:pgSz w:w="11900" w:h="16838" w:orient="portrait"/>
          <w:cols w:equalWidth="0" w:num="1">
            <w:col w:w="9800"/>
          </w:cols>
          <w:pgMar w:left="900" w:top="766"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21"/>
          <w:szCs w:val="21"/>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31750</wp:posOffset>
            </wp:positionV>
            <wp:extent cx="23412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Thomas Randal Coleman</w:t>
      </w:r>
    </w:p>
    <w:p>
      <w:pPr>
        <w:sectPr>
          <w:pgSz w:w="11900" w:h="16838" w:orient="portrait"/>
          <w:cols w:equalWidth="0" w:num="1">
            <w:col w:w="9800"/>
          </w:cols>
          <w:pgMar w:left="900" w:top="766" w:right="1199"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2014;</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November 25,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2014;</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November 25,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2014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November 25, 2014</w:t>
            </w:r>
          </w:p>
        </w:tc>
        <w:tc>
          <w:tcPr>
            <w:tcW w:w="5580" w:type="dxa"/>
            <w:vAlign w:val="bottom"/>
          </w:tcPr>
          <w:p>
            <w:pPr>
              <w:ind w:left="360"/>
              <w:spacing w:after="0"/>
              <w:rPr>
                <w:sz w:val="20"/>
                <w:szCs w:val="20"/>
                <w:color w:val="auto"/>
              </w:rPr>
            </w:pPr>
            <w:r>
              <w:rPr>
                <w:rFonts w:ascii="Arial" w:cs="Arial" w:eastAsia="Arial" w:hAnsi="Arial"/>
                <w:sz w:val="18"/>
                <w:szCs w:val="18"/>
                <w:color w:val="auto"/>
              </w:rPr>
              <w:t>November 25, 2014</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bullet"/>
      <w:start w:val="1"/>
    </w:lvl>
  </w:abstractNum>
  <w:abstractNum w:abstractNumId="4">
    <w:nsid w:val="6763845E"/>
    <w:multiLevelType w:val="hybridMultilevel"/>
    <w:lvl w:ilvl="0">
      <w:lvlJc w:val="left"/>
      <w:lvlText w:val="2"/>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2"/>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3"/>
    </w:lvl>
    <w:lvl w:ilvl="1">
      <w:lvlJc w:val="left"/>
      <w:lvlText w:val="(%2)"/>
      <w:numFmt w:val="lowerRoman"/>
      <w:start w:val="1"/>
    </w:lvl>
  </w:abstractNum>
  <w:abstractNum w:abstractNumId="11">
    <w:nsid w:val="54E49EB4"/>
    <w:multiLevelType w:val="hybridMultilevel"/>
    <w:lvl w:ilvl="0">
      <w:lvlJc w:val="left"/>
      <w:lvlText w:val="(%1)"/>
      <w:numFmt w:val="decimal"/>
      <w:start w:val="7"/>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lvl w:ilvl="1">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2"/>
    </w:lvl>
  </w:abstractNum>
  <w:abstractNum w:abstractNumId="24">
    <w:nsid w:val="3006C83E"/>
    <w:multiLevelType w:val="hybridMultilevel"/>
    <w:lvl w:ilvl="0">
      <w:lvlJc w:val="left"/>
      <w:lvlText w:val="(%1)"/>
      <w:numFmt w:val="lowerLetter"/>
      <w:start w:val="3"/>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bullet"/>
      <w:start w:val="1"/>
    </w:lvl>
  </w:abstractNum>
  <w:abstractNum w:abstractNumId="32">
    <w:nsid w:val="7724C67E"/>
    <w:multiLevelType w:val="hybridMultilevel"/>
    <w:lvl w:ilvl="0">
      <w:lvlJc w:val="left"/>
      <w:lvlText w:val="2"/>
      <w:numFmt w:val="bullet"/>
      <w:start w:val="1"/>
    </w:lvl>
  </w:abstractNum>
  <w:abstractNum w:abstractNumId="33">
    <w:nsid w:val="5C482A97"/>
    <w:multiLevelType w:val="hybridMultilevel"/>
    <w:lvl w:ilvl="0">
      <w:lvlJc w:val="left"/>
      <w:lvlText w:val="3"/>
      <w:numFmt w:val="bullet"/>
      <w:start w:val="1"/>
    </w:lvl>
  </w:abstractNum>
  <w:abstractNum w:abstractNumId="34">
    <w:nsid w:val="2463B9EA"/>
    <w:multiLevelType w:val="hybridMultilevel"/>
    <w:lvl w:ilvl="0">
      <w:lvlJc w:val="left"/>
      <w:lvlText w:val="4"/>
      <w:numFmt w:val="bullet"/>
      <w:start w:val="1"/>
    </w:lvl>
  </w:abstractNum>
  <w:abstractNum w:abstractNumId="35">
    <w:nsid w:val="5E884ADC"/>
    <w:multiLevelType w:val="hybridMultilevel"/>
    <w:lvl w:ilvl="0">
      <w:lvlJc w:val="left"/>
      <w:lvlText w:val="5"/>
      <w:numFmt w:val="bullet"/>
      <w:start w:val="1"/>
    </w:lvl>
  </w:abstractNum>
  <w:abstractNum w:abstractNumId="36">
    <w:nsid w:val="51EAD36B"/>
    <w:multiLevelType w:val="hybridMultilevel"/>
    <w:lvl w:ilvl="0">
      <w:lvlJc w:val="left"/>
      <w:lvlText w:val="6"/>
      <w:numFmt w:val="bullet"/>
      <w:start w:val="1"/>
    </w:lvl>
  </w:abstractNum>
  <w:abstractNum w:abstractNumId="37">
    <w:nsid w:val="2D517796"/>
    <w:multiLevelType w:val="hybridMultilevel"/>
    <w:lvl w:ilvl="0">
      <w:lvlJc w:val="left"/>
      <w:lvlText w:val="7"/>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2019-12-06T01:17:54Z</dcterms:created>
  <dcterms:modified xsi:type="dcterms:W3CDTF">2019-12-06T01:17:54Z</dcterms:modified>
</cp:coreProperties>
</file>