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8-K/A</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(Amendment No. 1)</w:t>
      </w:r>
    </w:p>
    <w:p>
      <w:pPr>
        <w:spacing w:after="0" w:line="8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4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18"/>
          <w:szCs w:val="18"/>
          <w:b w:val="1"/>
          <w:bCs w:val="1"/>
          <w:color w:val="auto"/>
        </w:rPr>
        <w:t>November 22, 2016</w:t>
      </w:r>
    </w:p>
    <w:p>
      <w:pPr>
        <w:spacing w:after="0" w:line="24"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Scotts Miracle-Gro Company</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178"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390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Ohio</w:t>
            </w:r>
          </w:p>
        </w:tc>
        <w:tc>
          <w:tcPr>
            <w:tcW w:w="306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001-11593</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31-1414921</w:t>
            </w:r>
          </w:p>
        </w:tc>
      </w:tr>
      <w:tr>
        <w:trPr>
          <w:trHeight w:val="270"/>
        </w:trPr>
        <w:tc>
          <w:tcPr>
            <w:tcW w:w="3900" w:type="dxa"/>
            <w:vAlign w:val="bottom"/>
          </w:tcPr>
          <w:p>
            <w:pPr>
              <w:jc w:val="center"/>
              <w:ind w:right="1010"/>
              <w:spacing w:after="0"/>
              <w:rPr>
                <w:sz w:val="20"/>
                <w:szCs w:val="20"/>
                <w:color w:val="auto"/>
              </w:rPr>
            </w:pPr>
            <w:r>
              <w:rPr>
                <w:rFonts w:ascii="Arial" w:cs="Arial" w:eastAsia="Arial" w:hAnsi="Arial"/>
                <w:sz w:val="18"/>
                <w:szCs w:val="18"/>
                <w:color w:val="auto"/>
                <w:w w:val="91"/>
              </w:rPr>
              <w:t>(State or other jurisdiction</w:t>
            </w:r>
          </w:p>
        </w:tc>
        <w:tc>
          <w:tcPr>
            <w:tcW w:w="3060" w:type="dxa"/>
            <w:vAlign w:val="bottom"/>
          </w:tcPr>
          <w:p>
            <w:pPr>
              <w:ind w:left="780"/>
              <w:spacing w:after="0"/>
              <w:rPr>
                <w:sz w:val="20"/>
                <w:szCs w:val="20"/>
                <w:color w:val="auto"/>
              </w:rPr>
            </w:pPr>
            <w:r>
              <w:rPr>
                <w:rFonts w:ascii="Arial" w:cs="Arial" w:eastAsia="Arial" w:hAnsi="Arial"/>
                <w:sz w:val="18"/>
                <w:szCs w:val="18"/>
                <w:color w:val="auto"/>
              </w:rPr>
              <w:t>(Commission</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70"/>
        </w:trPr>
        <w:tc>
          <w:tcPr>
            <w:tcW w:w="3900" w:type="dxa"/>
            <w:vAlign w:val="bottom"/>
          </w:tcPr>
          <w:p>
            <w:pPr>
              <w:jc w:val="center"/>
              <w:ind w:right="1010"/>
              <w:spacing w:after="0"/>
              <w:rPr>
                <w:sz w:val="20"/>
                <w:szCs w:val="20"/>
                <w:color w:val="auto"/>
              </w:rPr>
            </w:pPr>
            <w:r>
              <w:rPr>
                <w:rFonts w:ascii="Arial" w:cs="Arial" w:eastAsia="Arial" w:hAnsi="Arial"/>
                <w:sz w:val="18"/>
                <w:szCs w:val="18"/>
                <w:color w:val="auto"/>
                <w:w w:val="92"/>
              </w:rPr>
              <w:t>of incorporation or organization)</w:t>
            </w:r>
          </w:p>
        </w:tc>
        <w:tc>
          <w:tcPr>
            <w:tcW w:w="3060" w:type="dxa"/>
            <w:vAlign w:val="bottom"/>
          </w:tcPr>
          <w:p>
            <w:pPr>
              <w:ind w:left="800"/>
              <w:spacing w:after="0"/>
              <w:rPr>
                <w:sz w:val="20"/>
                <w:szCs w:val="20"/>
                <w:color w:val="auto"/>
              </w:rPr>
            </w:pPr>
            <w:r>
              <w:rPr>
                <w:rFonts w:ascii="Arial" w:cs="Arial" w:eastAsia="Arial" w:hAnsi="Arial"/>
                <w:sz w:val="18"/>
                <w:szCs w:val="18"/>
                <w:color w:val="auto"/>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405"/>
        </w:trPr>
        <w:tc>
          <w:tcPr>
            <w:tcW w:w="3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14111 Scottslawn Road, Marysville, Ohio</w:t>
            </w:r>
          </w:p>
        </w:tc>
        <w:tc>
          <w:tcPr>
            <w:tcW w:w="3060" w:type="dxa"/>
            <w:vAlign w:val="bottom"/>
          </w:tcPr>
          <w:p>
            <w:pPr>
              <w:spacing w:after="0"/>
              <w:rPr>
                <w:sz w:val="24"/>
                <w:szCs w:val="24"/>
                <w:color w:val="auto"/>
              </w:rPr>
            </w:pP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43041</w:t>
            </w:r>
          </w:p>
        </w:tc>
      </w:tr>
      <w:tr>
        <w:trPr>
          <w:trHeight w:val="270"/>
        </w:trPr>
        <w:tc>
          <w:tcPr>
            <w:tcW w:w="39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spacing w:after="0"/>
              <w:rPr>
                <w:sz w:val="23"/>
                <w:szCs w:val="23"/>
                <w:color w:val="auto"/>
              </w:rPr>
            </w:pP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(937) 644-0011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5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Scotts Miracle-Gro Company (the “Company”) is hereby filing this Amendment No. 1 to its Current Report on Form 8-K which was filed with the Securities and Exchange Commission on November 3, 2016 (the “Original Form 8-K”), to adjust certain information regarding its results of operations for the three and twelve-months ended September 30, 2016 and its financial condition as of September 30, 2016.</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3, 2016, the Company issued a news release reporting information regarding its results of operations for the three and twelve-months ended September 30, 2016 and its financial condition as of September 30, 2016. The news release was furnished as Exhibit 99.1 to the Original Form 8-K. Subsequent to the filing of the Original Form 8-K, the Company revised “Income (loss) from discontinued operations, net of tax” to reflect updated estimates of assets transferred included within the gain on the divestiture of the Scotts LawnService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business. This revision had no impact on GAAP income from continuing operations, adjusted income attributable to controlling interest from continuing operations, Pro Forma Adjusted Earnings or Adjusted EBITDA.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2.02. Results of Operations and Financial Condition.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revised information regarding the Company’s results of operations for the three and twelve-months ended September 30, 2016 and its financial condition as of September 30, 2016 is furnished herewith as Exhibit 99.1 to this Current Report on Form 8-K/A and incorporated herein by reference.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revised information regarding the Company’s results of operations for the three and twelve-months ended September 30, 2016 and its financial condition as of September 30, 2016 includes the following non-GAAP financial measures as defined in Regulation G:</w:t>
      </w:r>
    </w:p>
    <w:p>
      <w:pPr>
        <w:spacing w:after="0" w:line="116"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Adjusted net income (loss) attributable to controlling interest from continuing operations and adjusted diluted income (loss) per common share attributable to controlling interest from continuing operations (“Adjusted Earnings”) — These measures exclude charges or credits relating to impairments, restructurings, discontinued operations and other unusual items such as costs or gains related to discrete projects or transactions that are apart from and not indicative of the results of the operations of the business. In compliance with Regulation G, the Company has provided a reconciliation of adjusted net income (loss) attributable to controlling interest from continuing operations and adjusted diluted income (loss) per common share attributable to controlling interest from continuing operations to their most directly comparable financial measures calculated and presented in accordance with accounting principles generally accepted in the United States of America (“GAAP”). These reconciliations of non-GAAP financial measures are provided solely for the purpose of complying with Regulation G and not as an indication that these non-GAAP financial measures are substitutes for any of the Company’s GAAP financial measures.</w:t>
      </w:r>
    </w:p>
    <w:p>
      <w:pPr>
        <w:spacing w:after="0" w:line="12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Adjusted EBITDA — This measure is calculated as income (loss) before interest, taxes, depreciation and amortization as well as certain other items such as the impact of the cumulative effect of changes in accounting, costs associated with debt refinancing and other non-recurring or non-cash items affecting net income (loss). This measure provides additional information for determining the Company’s ability to meet debt service requirements. The presentation of adjusted EBITDA is intended to be consistent with the calculation of that measure as required by the Company’s borrowing arrangements, and used to calculate a leverage ratio (maximum of 4.50 at September 30, 2016) and an interest coverage ratio (minimum of 3.00 for the twelve months ended September 30, 2016). The Company’s calculation of adjusted EBITDA does not represent and should not be considered as an alternative to net income (loss) or cash flow from operations as determined by GAAP. The Company makes no representation or assertion that adjusted EBITDA is indicative of its cash flows from operations or results of operations. The Company has provided a reconciliation of income (loss) from continuing operations to adjusted EBITDA solely for the purpose of complying with Regulation G and not as an indication that adjusted EBITDA is a substitute measure for income (loss) from continuing operations.</w:t>
      </w:r>
    </w:p>
    <w:p>
      <w:pPr>
        <w:spacing w:after="0" w:line="124"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Pro Forma Adjusted Earnings (Loss) and Pro Forma Adjusted Earnings (Loss) per common share — These measures are calculated as net income (loss) attributable to controlling interest, excluding charges or credits relating to impairments, restructurings and other unusual items such as costs or gains related to discrete projects or transactions that are apart from and not indicative of the results of the operations of the business. These measures also include income (loss) from discontinued operations related to the SLS Business; however, exclude the gain on the contribution of the SLS Business to the Joint Venture. The Company has provided a reconciliation of Pro Forma Adjusted Earnings (Loss) and Pro Forma Adjusted Earnings (Loss) per common share to their most directly comparable financial measures calculated and presented in accordance with GAAP. These reconciliations of non-GAAP financial measures are provided solely for the purpose of complying with Regulation G and not as an indication that these non-GAAP financial measures are substitutes for any of the Company’s GAAP financial measures.</w:t>
      </w:r>
    </w:p>
    <w:p>
      <w:pPr>
        <w:spacing w:after="0" w:line="1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management believes that these non-GAAP financial measures are indicative of the Company’s ongoing earnings capabilities and that disclosure of these non-GAAP financial measures therefore provides useful information to investors and other users of the financial statements, such as lenders. Non-GAAP financial measures should be viewed in addition to, and not as an alternative for, the Company’s reported results prepared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p>
    <w:p>
      <w:pPr>
        <w:spacing w:after="0" w:line="229" w:lineRule="exact"/>
        <w:rPr>
          <w:sz w:val="20"/>
          <w:szCs w:val="20"/>
          <w:color w:val="auto"/>
        </w:rPr>
      </w:pPr>
    </w:p>
    <w:p>
      <w:pPr>
        <w:ind w:right="7980" w:firstLine="8"/>
        <w:spacing w:after="0" w:line="336"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 xml:space="preserve">Financial statements of businesses acquired: </w:t>
      </w:r>
      <w:r>
        <w:rPr>
          <w:rFonts w:ascii="Arial" w:cs="Arial" w:eastAsia="Arial" w:hAnsi="Arial"/>
          <w:sz w:val="18"/>
          <w:szCs w:val="18"/>
          <w:color w:val="auto"/>
        </w:rPr>
        <w:t>Not applicable.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77" w:lineRule="exact"/>
        <w:rPr>
          <w:sz w:val="20"/>
          <w:szCs w:val="20"/>
          <w:color w:val="auto"/>
        </w:rPr>
      </w:pPr>
    </w:p>
    <w:p>
      <w:pPr>
        <w:ind w:right="9140" w:firstLine="8"/>
        <w:spacing w:after="0" w:line="336"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Shell company transactions: </w:t>
      </w:r>
      <w:r>
        <w:rPr>
          <w:rFonts w:ascii="Arial" w:cs="Arial" w:eastAsia="Arial" w:hAnsi="Arial"/>
          <w:sz w:val="18"/>
          <w:szCs w:val="18"/>
          <w:color w:val="auto"/>
        </w:rPr>
        <w:t>Not applicable.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0480" w:type="dxa"/>
            <w:vAlign w:val="bottom"/>
            <w:gridSpan w:val="3"/>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480" w:type="dxa"/>
            <w:vAlign w:val="bottom"/>
            <w:gridSpan w:val="3"/>
          </w:tcPr>
          <w:p>
            <w:pPr>
              <w:ind w:left="840"/>
              <w:spacing w:after="0"/>
              <w:rPr>
                <w:sz w:val="20"/>
                <w:szCs w:val="20"/>
                <w:color w:val="auto"/>
              </w:rPr>
            </w:pPr>
            <w:r>
              <w:rPr>
                <w:rFonts w:ascii="Arial" w:cs="Arial" w:eastAsia="Arial" w:hAnsi="Arial"/>
                <w:sz w:val="18"/>
                <w:szCs w:val="18"/>
                <w:color w:val="auto"/>
                <w:w w:val="90"/>
              </w:rPr>
              <w:t>Revised results of operations for the three and twelve-months ended September 30, 2016 and financial condition as of September 30,</w:t>
            </w:r>
          </w:p>
        </w:tc>
      </w:tr>
      <w:tr>
        <w:trPr>
          <w:trHeight w:val="230"/>
        </w:trPr>
        <w:tc>
          <w:tcPr>
            <w:tcW w:w="880" w:type="dxa"/>
            <w:vAlign w:val="bottom"/>
          </w:tcPr>
          <w:p>
            <w:pPr>
              <w:spacing w:after="0"/>
              <w:rPr>
                <w:sz w:val="20"/>
                <w:szCs w:val="20"/>
                <w:color w:val="auto"/>
              </w:rPr>
            </w:pPr>
          </w:p>
        </w:tc>
        <w:tc>
          <w:tcPr>
            <w:tcW w:w="10480" w:type="dxa"/>
            <w:vAlign w:val="bottom"/>
            <w:gridSpan w:val="3"/>
          </w:tcPr>
          <w:p>
            <w:pPr>
              <w:ind w:left="840"/>
              <w:spacing w:after="0"/>
              <w:rPr>
                <w:sz w:val="20"/>
                <w:szCs w:val="20"/>
                <w:color w:val="auto"/>
              </w:rPr>
            </w:pPr>
            <w:r>
              <w:rPr>
                <w:rFonts w:ascii="Arial" w:cs="Arial" w:eastAsia="Arial" w:hAnsi="Arial"/>
                <w:sz w:val="18"/>
                <w:szCs w:val="18"/>
                <w:color w:val="auto"/>
              </w:rPr>
              <w:t>2016 for The Scotts Miracle-Gro Company</w:t>
            </w:r>
          </w:p>
        </w:tc>
      </w:tr>
      <w:tr>
        <w:trPr>
          <w:trHeight w:val="486"/>
        </w:trPr>
        <w:tc>
          <w:tcPr>
            <w:tcW w:w="880" w:type="dxa"/>
            <w:vAlign w:val="bottom"/>
          </w:tcPr>
          <w:p>
            <w:pPr>
              <w:spacing w:after="0"/>
              <w:rPr>
                <w:sz w:val="24"/>
                <w:szCs w:val="24"/>
                <w:color w:val="auto"/>
              </w:rPr>
            </w:pPr>
          </w:p>
        </w:tc>
        <w:tc>
          <w:tcPr>
            <w:tcW w:w="10480" w:type="dxa"/>
            <w:vAlign w:val="bottom"/>
            <w:gridSpan w:val="3"/>
          </w:tcPr>
          <w:p>
            <w:pPr>
              <w:jc w:val="right"/>
              <w:ind w:right="55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364" w:right="239" w:bottom="711"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THE SCOTTS MIRACLE-GRO COMPANY</w:t>
      </w:r>
    </w:p>
    <w:p>
      <w:pPr>
        <w:spacing w:after="0" w:line="360" w:lineRule="exact"/>
        <w:rPr>
          <w:sz w:val="20"/>
          <w:szCs w:val="20"/>
          <w:color w:val="auto"/>
        </w:rPr>
      </w:pPr>
    </w:p>
    <w:p>
      <w:pPr>
        <w:ind w:left="40"/>
        <w:spacing w:after="0"/>
        <w:tabs>
          <w:tab w:leader="none" w:pos="3340" w:val="left"/>
          <w:tab w:leader="none" w:pos="3780" w:val="left"/>
        </w:tabs>
        <w:rPr>
          <w:sz w:val="20"/>
          <w:szCs w:val="20"/>
          <w:color w:val="auto"/>
        </w:rPr>
      </w:pPr>
      <w:r>
        <w:rPr>
          <w:rFonts w:ascii="Arial" w:cs="Arial" w:eastAsia="Arial" w:hAnsi="Arial"/>
          <w:sz w:val="18"/>
          <w:szCs w:val="18"/>
          <w:color w:val="auto"/>
        </w:rPr>
        <w:t>Dated: November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66040</wp:posOffset>
            </wp:positionV>
            <wp:extent cx="4853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INDEX TO EXHIBITS</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Current Report on Form 8-K</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November 22, 2016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Scotts Miracle-Gro Company</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17"/>
                <w:szCs w:val="17"/>
                <w:color w:val="auto"/>
              </w:rPr>
            </w:pP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54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2"/>
              </w:rPr>
              <w:t>Revised results of operations for the three and twelve-months ended September 30, 2016 and financial condition as of September 30,</w:t>
            </w:r>
          </w:p>
        </w:tc>
      </w:tr>
      <w:tr>
        <w:trPr>
          <w:trHeight w:val="230"/>
        </w:trPr>
        <w:tc>
          <w:tcPr>
            <w:tcW w:w="880" w:type="dxa"/>
            <w:vAlign w:val="bottom"/>
          </w:tcPr>
          <w:p>
            <w:pPr>
              <w:spacing w:after="0"/>
              <w:rPr>
                <w:sz w:val="20"/>
                <w:szCs w:val="20"/>
                <w:color w:val="auto"/>
              </w:rPr>
            </w:pPr>
          </w:p>
        </w:tc>
        <w:tc>
          <w:tcPr>
            <w:tcW w:w="10480" w:type="dxa"/>
            <w:vAlign w:val="bottom"/>
            <w:gridSpan w:val="3"/>
          </w:tcPr>
          <w:p>
            <w:pPr>
              <w:ind w:left="600"/>
              <w:spacing w:after="0"/>
              <w:rPr>
                <w:sz w:val="20"/>
                <w:szCs w:val="20"/>
                <w:color w:val="auto"/>
              </w:rPr>
            </w:pPr>
            <w:r>
              <w:rPr>
                <w:rFonts w:ascii="Arial" w:cs="Arial" w:eastAsia="Arial" w:hAnsi="Arial"/>
                <w:sz w:val="18"/>
                <w:szCs w:val="18"/>
                <w:color w:val="auto"/>
              </w:rPr>
              <w:t>2016 for The Scotts Miracle-Gro Company</w:t>
            </w:r>
          </w:p>
        </w:tc>
      </w:tr>
      <w:tr>
        <w:trPr>
          <w:trHeight w:val="918"/>
        </w:trPr>
        <w:tc>
          <w:tcPr>
            <w:tcW w:w="880" w:type="dxa"/>
            <w:vAlign w:val="bottom"/>
          </w:tcPr>
          <w:p>
            <w:pPr>
              <w:spacing w:after="0"/>
              <w:rPr>
                <w:sz w:val="24"/>
                <w:szCs w:val="24"/>
                <w:color w:val="auto"/>
              </w:rPr>
            </w:pPr>
          </w:p>
        </w:tc>
        <w:tc>
          <w:tcPr>
            <w:tcW w:w="10480" w:type="dxa"/>
            <w:vAlign w:val="bottom"/>
            <w:gridSpan w:val="3"/>
          </w:tcPr>
          <w:p>
            <w:pPr>
              <w:jc w:val="right"/>
              <w:ind w:right="556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60"/>
          </w:cols>
          <w:pgMar w:left="28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auto"/>
        </w:rPr>
        <w:t xml:space="preserve">THE SCOTTS MIRACLE-GRO COMPANY </w:t>
      </w:r>
      <w:r>
        <w:rPr>
          <w:rFonts w:ascii="Arial" w:cs="Arial" w:eastAsia="Arial" w:hAnsi="Arial"/>
          <w:sz w:val="18"/>
          <w:szCs w:val="18"/>
          <w:b w:val="1"/>
          <w:bCs w:val="1"/>
          <w:color w:val="auto"/>
        </w:rPr>
        <w:t>Exhibit 99.1</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for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color w:val="auto"/>
              </w:rPr>
              <w:t>Twelve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3"/>
                <w:szCs w:val="13"/>
                <w:color w:val="auto"/>
              </w:rPr>
            </w:pPr>
          </w:p>
        </w:tc>
        <w:tc>
          <w:tcPr>
            <w:tcW w:w="1160" w:type="dxa"/>
            <w:vAlign w:val="bottom"/>
          </w:tcPr>
          <w:p>
            <w:pPr>
              <w:jc w:val="right"/>
              <w:ind w:right="188"/>
              <w:spacing w:after="0" w:line="157" w:lineRule="exact"/>
              <w:rPr>
                <w:sz w:val="20"/>
                <w:szCs w:val="20"/>
                <w:color w:val="auto"/>
              </w:rPr>
            </w:pPr>
            <w:r>
              <w:rPr>
                <w:rFonts w:ascii="Arial" w:cs="Arial" w:eastAsia="Arial" w:hAnsi="Arial"/>
                <w:sz w:val="14"/>
                <w:szCs w:val="14"/>
                <w:color w:val="auto"/>
                <w:w w:val="95"/>
              </w:rPr>
              <w:t>September 30,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3"/>
                <w:szCs w:val="13"/>
                <w:color w:val="auto"/>
              </w:rPr>
            </w:pPr>
          </w:p>
        </w:tc>
        <w:tc>
          <w:tcPr>
            <w:tcW w:w="1120" w:type="dxa"/>
            <w:vAlign w:val="bottom"/>
          </w:tcPr>
          <w:p>
            <w:pPr>
              <w:jc w:val="right"/>
              <w:ind w:right="168"/>
              <w:spacing w:after="0" w:line="157" w:lineRule="exact"/>
              <w:rPr>
                <w:sz w:val="20"/>
                <w:szCs w:val="20"/>
                <w:color w:val="auto"/>
              </w:rPr>
            </w:pPr>
            <w:r>
              <w:rPr>
                <w:rFonts w:ascii="Arial" w:cs="Arial" w:eastAsia="Arial" w:hAnsi="Arial"/>
                <w:sz w:val="14"/>
                <w:szCs w:val="14"/>
                <w:color w:val="auto"/>
                <w:w w:val="93"/>
              </w:rPr>
              <w:t>September 30,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Footnotes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2,836.1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2,728.0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300.4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281.6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1,833.0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1,813.4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sales—impairment, restructuring and other</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995.4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908.0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of sales</w:t>
            </w: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Impairment, restructuring and other</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Income (loss) from operations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(54.0)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262.1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of sales</w:t>
            </w: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Equity in income of unconsolidated affiliates</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related to refinancing</w:t>
            </w: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Income (loss) from continuing operations before</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Income tax expense (benefit) from continuing</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operations</w:t>
            </w: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4"/>
              </w:rPr>
              <w:t>Income (loss) from discontinued operations, net of tax</w:t>
            </w:r>
          </w:p>
        </w:tc>
        <w:tc>
          <w:tcPr>
            <w:tcW w:w="8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158.7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9"/>
              </w:rPr>
              <w:t>Net income (loss) attributable to controlling interest</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income (loss) per common share:</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280"/>
              <w:spacing w:after="0"/>
              <w:rPr>
                <w:sz w:val="20"/>
                <w:szCs w:val="20"/>
                <w:color w:val="auto"/>
              </w:rPr>
            </w:pPr>
            <w:r>
              <w:rPr>
                <w:rFonts w:ascii="Arial" w:cs="Arial" w:eastAsia="Arial" w:hAnsi="Arial"/>
                <w:sz w:val="14"/>
                <w:szCs w:val="14"/>
                <w:color w:val="auto"/>
              </w:rPr>
              <w:t>Income (loss) from continuing operations</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(0.65)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2.27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(loss) from discontinued operations</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0.35</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Diluted income (loss) per common share:</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(loss) from continuing operations</w:t>
            </w: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(loss) from discontinued operations</w:t>
            </w: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2"/>
              </w:rPr>
              <w:t>Common shares used in basic income (loss) per share</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calculation</w:t>
            </w: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line="151" w:lineRule="exact"/>
              <w:rPr>
                <w:sz w:val="20"/>
                <w:szCs w:val="20"/>
                <w:color w:val="auto"/>
              </w:rPr>
            </w:pPr>
            <w:r>
              <w:rPr>
                <w:rFonts w:ascii="Arial" w:cs="Arial" w:eastAsia="Arial" w:hAnsi="Arial"/>
                <w:sz w:val="14"/>
                <w:szCs w:val="14"/>
                <w:color w:val="auto"/>
                <w:w w:val="92"/>
              </w:rPr>
              <w:t>Common shares and potential common shares used in</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2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income (loss) per share calculation</w:t>
            </w: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51"/>
        </w:trPr>
        <w:tc>
          <w:tcPr>
            <w:tcW w:w="3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Non-GAAP results:</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Adjusted net income (loss) attributable to controlling</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241.6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197.4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from continuing operations</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line="151" w:lineRule="exact"/>
              <w:rPr>
                <w:sz w:val="20"/>
                <w:szCs w:val="20"/>
                <w:color w:val="auto"/>
              </w:rPr>
            </w:pPr>
            <w:r>
              <w:rPr>
                <w:rFonts w:ascii="Arial" w:cs="Arial" w:eastAsia="Arial" w:hAnsi="Arial"/>
                <w:sz w:val="14"/>
                <w:szCs w:val="14"/>
                <w:color w:val="auto"/>
              </w:rPr>
              <w:t>Adjusted diluted income (loss) per common share</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2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from continuing operations</w:t>
            </w:r>
          </w:p>
        </w:tc>
        <w:tc>
          <w:tcPr>
            <w:tcW w:w="8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 (4)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 Forma Adjusted Earnings (Loss)</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 (4)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219.3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line="151" w:lineRule="exact"/>
              <w:rPr>
                <w:sz w:val="20"/>
                <w:szCs w:val="20"/>
                <w:color w:val="auto"/>
              </w:rPr>
            </w:pPr>
            <w:r>
              <w:rPr>
                <w:rFonts w:ascii="Arial" w:cs="Arial" w:eastAsia="Arial" w:hAnsi="Arial"/>
                <w:sz w:val="14"/>
                <w:szCs w:val="14"/>
                <w:color w:val="auto"/>
              </w:rPr>
              <w:t>Pro Forma Adjusted Earnings (Loss) per common</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2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w:t>
            </w:r>
          </w:p>
        </w:tc>
        <w:tc>
          <w:tcPr>
            <w:tcW w:w="8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 (4)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 (5)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517.4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471.8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4"/>
                <w:szCs w:val="14"/>
                <w:color w:val="auto"/>
              </w:rPr>
              <w:t>Note: See accompanying footnotes on page 7</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2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17"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and Income (Loss) from Continuing Operations before Income Taxes by Segment</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divides its business into three reportable segments: U.S. Consumer, Europe Consumer and Other. These segments differ from those used in prior periods due to the change in the Company’s internal organization structure associated with Project Focus, which is a series of initiatives announced in the first quarter of fiscal 2016 designed to maximize the value of the Company’s non-core assets and concentrate its focus on emerging categories of the lawn and garden industry in its core U.S. business. On April 13, 2016, as part of this project, the Company completed the contribution of the Scotts lawn service business (the “SLS Business”) to a newly formed subsidiary of TruGreen Holding Corporation (the “Joint Venture”)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prior period amounts have been reclassified to conform with the new segments. This division of reportable segments is consistent with how the segments report to and are managed by the chief operating decision maker of the Company. U.S. Consumer consists of the Company’s consumer lawn and garden business located in the geographic United States. Europe Consumer consists of the Company’s consumer lawn and garden business located in geographic Europe. Other consists of the Company’s consumer lawn and garden business in geographies other than the U.S. and Europe, the Company’s indoor, urban and hydroponics gardening business, and revenues and expenses associated with the Company’s supply agreements with Israel Chemicals, Ltd. Corporate consists of general and administrative expenses and certain other income/expense items not allocated to the business segments.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amortization, impairment, restructuring and other charges, which is not a generally accepted accounting principle (“GAAP”) measure. Senior management uses this measure of operating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80" w:type="dxa"/>
            <w:vAlign w:val="bottom"/>
            <w:gridSpan w:val="4"/>
          </w:tcPr>
          <w:p>
            <w:pPr>
              <w:jc w:val="right"/>
              <w:ind w:right="15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4"/>
          </w:tcPr>
          <w:p>
            <w:pPr>
              <w:jc w:val="right"/>
              <w:ind w:right="90"/>
              <w:spacing w:after="0"/>
              <w:rPr>
                <w:sz w:val="20"/>
                <w:szCs w:val="20"/>
                <w:color w:val="auto"/>
              </w:rPr>
            </w:pPr>
            <w:r>
              <w:rPr>
                <w:rFonts w:ascii="Arial" w:cs="Arial" w:eastAsia="Arial" w:hAnsi="Arial"/>
                <w:sz w:val="18"/>
                <w:szCs w:val="18"/>
                <w:color w:val="auto"/>
              </w:rPr>
              <w:t>Twelve Months Ended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9"/>
                <w:szCs w:val="19"/>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 Change</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 Change</w:t>
            </w:r>
          </w:p>
        </w:tc>
      </w:tr>
      <w:tr>
        <w:trPr>
          <w:trHeight w:val="27"/>
        </w:trPr>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Net Sales:</w:t>
            </w:r>
          </w:p>
        </w:tc>
        <w:tc>
          <w:tcPr>
            <w:tcW w:w="1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U.S. Consumer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277.8</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2,187.4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2,141.8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Europe Consumer</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2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2,728.0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146050</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Income (Loss) from Continuing Operations before Income Taxes: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U.S. Consumer</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38 %</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500.4</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439.2</w:t>
            </w:r>
          </w:p>
        </w:tc>
        <w:tc>
          <w:tcPr>
            <w:tcW w:w="12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 Consumer</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300 %</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24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Total</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465.6</w:t>
            </w: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w:t>
            </w: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Intangible asset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w w:val="96"/>
              </w:rPr>
              <w:t>Impairment, restructuring and</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income of</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unconsolidated affiliates</w:t>
            </w: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6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32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53 %</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211.6</w:t>
            </w:r>
          </w:p>
        </w:tc>
        <w:tc>
          <w:tcPr>
            <w:tcW w:w="124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vMerge w:val="restart"/>
          </w:tcPr>
          <w:p>
            <w:pPr>
              <w:jc w:val="right"/>
              <w:ind w:right="1070"/>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color w:val="auto"/>
                <w:w w:val="99"/>
              </w:rPr>
              <w:t>September 30,</w:t>
            </w:r>
          </w:p>
        </w:tc>
      </w:tr>
      <w:tr>
        <w:trPr>
          <w:trHeight w:val="20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611"/>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r>
      <w:tr>
        <w:trPr>
          <w:trHeight w:val="243"/>
        </w:trPr>
        <w:tc>
          <w:tcPr>
            <w:tcW w:w="7900" w:type="dxa"/>
            <w:vAlign w:val="bottom"/>
          </w:tcPr>
          <w:p>
            <w:pPr>
              <w:ind w:left="8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310.6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395.8</w:t>
            </w:r>
          </w:p>
        </w:tc>
      </w:tr>
      <w:tr>
        <w:trPr>
          <w:trHeight w:val="243"/>
        </w:trPr>
        <w:tc>
          <w:tcPr>
            <w:tcW w:w="7900" w:type="dxa"/>
            <w:vAlign w:val="bottom"/>
          </w:tcPr>
          <w:p>
            <w:pPr>
              <w:ind w:left="82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220.3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Prepaids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r>
      <w:tr>
        <w:trPr>
          <w:trHeight w:val="237"/>
        </w:trPr>
        <w:tc>
          <w:tcPr>
            <w:tcW w:w="7900" w:type="dxa"/>
            <w:vAlign w:val="bottom"/>
          </w:tcPr>
          <w:p>
            <w:pPr>
              <w:ind w:left="12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444.1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655.1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97"/>
        </w:trPr>
        <w:tc>
          <w:tcPr>
            <w:tcW w:w="7900" w:type="dxa"/>
            <w:vAlign w:val="bottom"/>
            <w:tcBorders>
              <w:bottom w:val="single" w:sz="8" w:color="CCEEFF"/>
            </w:tcBorders>
          </w:tcPr>
          <w:p>
            <w:pPr>
              <w:ind w:left="12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2,808.8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r>
      <w:tr>
        <w:trPr>
          <w:trHeight w:val="210"/>
        </w:trPr>
        <w:tc>
          <w:tcPr>
            <w:tcW w:w="79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Current portion of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790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193.1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Liabilities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r>
      <w:tr>
        <w:trPr>
          <w:trHeight w:val="243"/>
        </w:trPr>
        <w:tc>
          <w:tcPr>
            <w:tcW w:w="7900" w:type="dxa"/>
            <w:vAlign w:val="bottom"/>
          </w:tcPr>
          <w:p>
            <w:pPr>
              <w:ind w:left="8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251.2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618.6</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1,025.0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r>
      <w:tr>
        <w:trPr>
          <w:trHeight w:val="237"/>
        </w:trPr>
        <w:tc>
          <w:tcPr>
            <w:tcW w:w="7900" w:type="dxa"/>
            <w:vAlign w:val="bottom"/>
          </w:tcPr>
          <w:p>
            <w:pPr>
              <w:ind w:left="12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r>
      <w:tr>
        <w:trPr>
          <w:trHeight w:val="257"/>
        </w:trPr>
        <w:tc>
          <w:tcPr>
            <w:tcW w:w="7900" w:type="dxa"/>
            <w:vAlign w:val="bottom"/>
          </w:tcPr>
          <w:p>
            <w:pPr>
              <w:ind w:left="12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2,808.8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7"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5"/>
          <w:szCs w:val="25"/>
          <w:b w:val="1"/>
          <w:bCs w:val="1"/>
          <w:color w:val="auto"/>
        </w:rPr>
        <w:t>THE SCOTTS MIRACLE-GRO COMPANY</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Non-GAAP Disclosure Items (4)</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common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6"/>
          </w:tcPr>
          <w:p>
            <w:pPr>
              <w:jc w:val="center"/>
              <w:ind w:right="240"/>
              <w:spacing w:after="0"/>
              <w:rPr>
                <w:sz w:val="20"/>
                <w:szCs w:val="20"/>
                <w:color w:val="auto"/>
              </w:rPr>
            </w:pPr>
            <w:r>
              <w:rPr>
                <w:rFonts w:ascii="Arial" w:cs="Arial" w:eastAsia="Arial" w:hAnsi="Arial"/>
                <w:sz w:val="16"/>
                <w:szCs w:val="16"/>
                <w:color w:val="auto"/>
                <w:w w:val="91"/>
              </w:rPr>
              <w:t>Three Months Ended September 30, 2016</w:t>
            </w:r>
          </w:p>
        </w:tc>
        <w:tc>
          <w:tcPr>
            <w:tcW w:w="160" w:type="dxa"/>
            <w:vAlign w:val="bottom"/>
          </w:tcPr>
          <w:p>
            <w:pPr>
              <w:spacing w:after="0"/>
              <w:rPr>
                <w:sz w:val="17"/>
                <w:szCs w:val="17"/>
                <w:color w:val="auto"/>
              </w:rPr>
            </w:pPr>
          </w:p>
        </w:tc>
        <w:tc>
          <w:tcPr>
            <w:tcW w:w="3360" w:type="dxa"/>
            <w:vAlign w:val="bottom"/>
            <w:gridSpan w:val="5"/>
          </w:tcPr>
          <w:p>
            <w:pPr>
              <w:jc w:val="right"/>
              <w:ind w:right="328"/>
              <w:spacing w:after="0"/>
              <w:rPr>
                <w:sz w:val="20"/>
                <w:szCs w:val="20"/>
                <w:color w:val="auto"/>
              </w:rPr>
            </w:pPr>
            <w:r>
              <w:rPr>
                <w:rFonts w:ascii="Arial" w:cs="Arial" w:eastAsia="Arial" w:hAnsi="Arial"/>
                <w:sz w:val="16"/>
                <w:szCs w:val="16"/>
                <w:color w:val="auto"/>
                <w:w w:val="98"/>
              </w:rPr>
              <w:t>Three Months Ended September 30, 2015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68"/>
              <w:spacing w:after="0" w:line="151" w:lineRule="exact"/>
              <w:rPr>
                <w:sz w:val="20"/>
                <w:szCs w:val="20"/>
                <w:color w:val="auto"/>
              </w:rPr>
            </w:pPr>
            <w:r>
              <w:rPr>
                <w:rFonts w:ascii="Arial" w:cs="Arial" w:eastAsia="Arial" w:hAnsi="Arial"/>
                <w:sz w:val="14"/>
                <w:szCs w:val="14"/>
                <w:color w:val="auto"/>
                <w:w w:val="94"/>
              </w:rPr>
              <w:t>Impairment,</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68"/>
              <w:spacing w:after="0" w:line="151" w:lineRule="exact"/>
              <w:rPr>
                <w:sz w:val="20"/>
                <w:szCs w:val="20"/>
                <w:color w:val="auto"/>
              </w:rPr>
            </w:pPr>
            <w:r>
              <w:rPr>
                <w:rFonts w:ascii="Arial" w:cs="Arial" w:eastAsia="Arial" w:hAnsi="Arial"/>
                <w:sz w:val="14"/>
                <w:szCs w:val="14"/>
                <w:color w:val="auto"/>
                <w:w w:val="94"/>
              </w:rPr>
              <w:t>Impairment,</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Restructuring and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Restructuring and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Footnotes</w:t>
            </w:r>
          </w:p>
        </w:tc>
        <w:tc>
          <w:tcPr>
            <w:tcW w:w="16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As Reported</w:t>
            </w:r>
          </w:p>
        </w:tc>
        <w:tc>
          <w:tcPr>
            <w:tcW w:w="160" w:type="dxa"/>
            <w:vAlign w:val="bottom"/>
          </w:tcPr>
          <w:p>
            <w:pPr>
              <w:spacing w:after="0"/>
              <w:rPr>
                <w:sz w:val="16"/>
                <w:szCs w:val="16"/>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Adjusted</w:t>
            </w:r>
          </w:p>
        </w:tc>
        <w:tc>
          <w:tcPr>
            <w:tcW w:w="16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As Reported</w:t>
            </w:r>
          </w:p>
        </w:tc>
        <w:tc>
          <w:tcPr>
            <w:tcW w:w="160" w:type="dxa"/>
            <w:vAlign w:val="bottom"/>
          </w:tcPr>
          <w:p>
            <w:pPr>
              <w:spacing w:after="0"/>
              <w:rPr>
                <w:sz w:val="16"/>
                <w:szCs w:val="16"/>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color w:val="auto"/>
                <w:w w:val="96"/>
              </w:rPr>
              <w:t>Other</w:t>
            </w:r>
          </w:p>
        </w:tc>
        <w:tc>
          <w:tcPr>
            <w:tcW w:w="24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7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402.3</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375.4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373.3</w:t>
            </w:r>
          </w:p>
        </w:tc>
        <w:tc>
          <w:tcPr>
            <w:tcW w:w="0" w:type="dxa"/>
            <w:vAlign w:val="bottom"/>
          </w:tcPr>
          <w:p>
            <w:pPr>
              <w:spacing w:after="0"/>
              <w:rPr>
                <w:sz w:val="1"/>
                <w:szCs w:val="1"/>
                <w:color w:val="auto"/>
              </w:rPr>
            </w:pP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300.4</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300.4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281.6</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sales—impairment, restructuring and other</w:t>
            </w: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99.7</w:t>
            </w: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90.8</w:t>
            </w: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of sales</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24.8 %</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131.0</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121.9</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64"/>
        </w:trPr>
        <w:tc>
          <w:tcPr>
            <w:tcW w:w="3380" w:type="dxa"/>
            <w:vAlign w:val="bottom"/>
          </w:tcPr>
          <w:p>
            <w:pPr>
              <w:ind w:left="160"/>
              <w:spacing w:after="0"/>
              <w:rPr>
                <w:sz w:val="20"/>
                <w:szCs w:val="20"/>
                <w:color w:val="auto"/>
              </w:rPr>
            </w:pPr>
            <w:r>
              <w:rPr>
                <w:rFonts w:ascii="Arial" w:cs="Arial" w:eastAsia="Arial" w:hAnsi="Arial"/>
                <w:sz w:val="14"/>
                <w:szCs w:val="14"/>
                <w:color w:val="auto"/>
              </w:rPr>
              <w:t>Impairment, restructuring and other</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22.6</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2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expense, net</w:t>
            </w: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(29.1)</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(54.0)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24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of sales</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in income of unconsolidated affiliates</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3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Loss from continuing operations before interest expense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income taxes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(17.8)</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64"/>
        </w:trPr>
        <w:tc>
          <w:tcPr>
            <w:tcW w:w="3380" w:type="dxa"/>
            <w:vAlign w:val="bottom"/>
          </w:tcPr>
          <w:p>
            <w:pPr>
              <w:ind w:left="20"/>
              <w:spacing w:after="0"/>
              <w:rPr>
                <w:sz w:val="20"/>
                <w:szCs w:val="20"/>
                <w:color w:val="auto"/>
              </w:rPr>
            </w:pPr>
            <w:r>
              <w:rPr>
                <w:rFonts w:ascii="Arial" w:cs="Arial" w:eastAsia="Arial" w:hAnsi="Arial"/>
                <w:sz w:val="14"/>
                <w:szCs w:val="14"/>
                <w:color w:val="auto"/>
              </w:rPr>
              <w:t>% of sales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13.3</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11.5</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4"/>
                <w:szCs w:val="14"/>
                <w:color w:val="auto"/>
              </w:rPr>
              <w:t>Loss from continuing operations before income taxes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(65.5)</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24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from continuing operations</w:t>
            </w: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4"/>
                <w:szCs w:val="14"/>
                <w:color w:val="auto"/>
              </w:rPr>
              <w:t>Loss from continuing operations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(41.3)</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w:t>
            </w:r>
          </w:p>
        </w:tc>
        <w:tc>
          <w:tcPr>
            <w:tcW w:w="24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7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3"/>
        </w:trPr>
        <w:tc>
          <w:tcPr>
            <w:tcW w:w="33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Net loss attributable to controlling interest from</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(19.9)</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(0.9)</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(40.3)</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Basic loss per common share from continuing operations</w:t>
            </w: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line="153" w:lineRule="exact"/>
              <w:rPr>
                <w:sz w:val="20"/>
                <w:szCs w:val="20"/>
                <w:color w:val="auto"/>
              </w:rPr>
            </w:pPr>
            <w:r>
              <w:rPr>
                <w:rFonts w:ascii="Arial" w:cs="Arial" w:eastAsia="Arial" w:hAnsi="Arial"/>
                <w:sz w:val="14"/>
                <w:szCs w:val="14"/>
                <w:b w:val="1"/>
                <w:bCs w:val="1"/>
                <w:color w:val="auto"/>
              </w:rPr>
              <w:t>Diluted loss per common share from continuing</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3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(0.33)</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(0.02)</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(0.31)</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(0.65)</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(0.26)</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(0.39)</w:t>
            </w: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operations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Common shares used in basic loss per share calculation</w:t>
            </w: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60.6</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60.6</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61.4</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61.4</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line="151" w:lineRule="exact"/>
              <w:rPr>
                <w:sz w:val="20"/>
                <w:szCs w:val="20"/>
                <w:color w:val="auto"/>
              </w:rPr>
            </w:pPr>
            <w:r>
              <w:rPr>
                <w:rFonts w:ascii="Arial" w:cs="Arial" w:eastAsia="Arial" w:hAnsi="Arial"/>
                <w:sz w:val="14"/>
                <w:szCs w:val="14"/>
                <w:color w:val="auto"/>
                <w:w w:val="98"/>
              </w:rPr>
              <w:t>Common shares and potential common shares used in</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3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color w:val="auto"/>
              </w:rPr>
              <w:t>60.6</w:t>
            </w:r>
          </w:p>
        </w:tc>
        <w:tc>
          <w:tcPr>
            <w:tcW w:w="160" w:type="dxa"/>
            <w:vAlign w:val="bottom"/>
          </w:tcPr>
          <w:p>
            <w:pPr>
              <w:spacing w:after="0"/>
              <w:rPr>
                <w:sz w:val="9"/>
                <w:szCs w:val="9"/>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60.6</w:t>
            </w:r>
          </w:p>
        </w:tc>
        <w:tc>
          <w:tcPr>
            <w:tcW w:w="220" w:type="dxa"/>
            <w:vAlign w:val="bottom"/>
          </w:tcPr>
          <w:p>
            <w:pPr>
              <w:spacing w:after="0"/>
              <w:rPr>
                <w:sz w:val="9"/>
                <w:szCs w:val="9"/>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color w:val="auto"/>
              </w:rPr>
              <w:t>61.4</w:t>
            </w:r>
          </w:p>
        </w:tc>
        <w:tc>
          <w:tcPr>
            <w:tcW w:w="160" w:type="dxa"/>
            <w:vAlign w:val="bottom"/>
          </w:tcPr>
          <w:p>
            <w:pPr>
              <w:spacing w:after="0"/>
              <w:rPr>
                <w:sz w:val="9"/>
                <w:szCs w:val="9"/>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61.4</w:t>
            </w:r>
          </w:p>
        </w:tc>
        <w:tc>
          <w:tcPr>
            <w:tcW w:w="240" w:type="dxa"/>
            <w:vAlign w:val="bottom"/>
          </w:tcPr>
          <w:p>
            <w:pPr>
              <w:spacing w:after="0"/>
              <w:rPr>
                <w:sz w:val="9"/>
                <w:szCs w:val="9"/>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81"/>
        </w:trPr>
        <w:tc>
          <w:tcPr>
            <w:tcW w:w="3380" w:type="dxa"/>
            <w:vAlign w:val="bottom"/>
          </w:tcPr>
          <w:p>
            <w:pPr>
              <w:ind w:left="20"/>
              <w:spacing w:after="0"/>
              <w:rPr>
                <w:sz w:val="20"/>
                <w:szCs w:val="20"/>
                <w:color w:val="auto"/>
              </w:rPr>
            </w:pPr>
            <w:r>
              <w:rPr>
                <w:rFonts w:ascii="Arial" w:cs="Arial" w:eastAsia="Arial" w:hAnsi="Arial"/>
                <w:sz w:val="14"/>
                <w:szCs w:val="14"/>
                <w:color w:val="auto"/>
              </w:rPr>
              <w:t>diluted loss per share calculation</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23773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Calculation of Adjusted EBITDA </w:t>
      </w:r>
      <w:r>
        <w:rPr>
          <w:rFonts w:ascii="Arial" w:cs="Arial" w:eastAsia="Arial" w:hAnsi="Arial"/>
          <w:sz w:val="14"/>
          <w:szCs w:val="14"/>
          <w:color w:val="auto"/>
        </w:rPr>
        <w:t>(4) (5)</w:t>
      </w:r>
      <w:r>
        <w:rPr>
          <w:rFonts w:ascii="Arial" w:cs="Arial" w:eastAsia="Arial" w:hAnsi="Arial"/>
          <w:sz w:val="14"/>
          <w:szCs w:val="14"/>
          <w:b w:val="1"/>
          <w:bCs w:val="1"/>
          <w:color w:val="auto"/>
        </w:rPr>
        <w:t xml:space="preserve"> :</w:t>
      </w:r>
    </w:p>
    <w:p>
      <w:pPr>
        <w:sectPr>
          <w:pgSz w:w="11900" w:h="16838" w:orient="portrait"/>
          <w:cols w:equalWidth="0" w:num="1">
            <w:col w:w="11400"/>
          </w:cols>
          <w:pgMar w:left="260" w:top="117" w:right="239" w:bottom="1440" w:gutter="0" w:footer="0" w:header="0"/>
        </w:sectPr>
      </w:pPr>
    </w:p>
    <w:p>
      <w:pPr>
        <w:spacing w:after="0" w:line="1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Loss from continuing operations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Income tax benefit from continuing operations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Income (loss) from discontinued operations, net of tax</w:t>
      </w:r>
    </w:p>
    <w:p>
      <w:pPr>
        <w:spacing w:after="0" w:line="53" w:lineRule="exact"/>
        <w:rPr>
          <w:sz w:val="20"/>
          <w:szCs w:val="20"/>
          <w:color w:val="auto"/>
        </w:rPr>
      </w:pPr>
    </w:p>
    <w:p>
      <w:pPr>
        <w:ind w:left="160" w:right="660"/>
        <w:spacing w:after="0" w:line="253" w:lineRule="auto"/>
        <w:rPr>
          <w:sz w:val="20"/>
          <w:szCs w:val="20"/>
          <w:color w:val="auto"/>
        </w:rPr>
      </w:pPr>
      <w:r>
        <w:rPr>
          <w:rFonts w:ascii="Arial" w:cs="Arial" w:eastAsia="Arial" w:hAnsi="Arial"/>
          <w:sz w:val="14"/>
          <w:szCs w:val="14"/>
          <w:color w:val="auto"/>
        </w:rPr>
        <w:t>Income tax expense (benefit) from discontinued operations</w:t>
      </w:r>
    </w:p>
    <w:p>
      <w:pPr>
        <w:spacing w:after="0" w:line="12" w:lineRule="exact"/>
        <w:rPr>
          <w:sz w:val="20"/>
          <w:szCs w:val="20"/>
          <w:color w:val="auto"/>
        </w:rPr>
      </w:pPr>
    </w:p>
    <w:p>
      <w:pPr>
        <w:ind w:left="160" w:right="380"/>
        <w:spacing w:after="0" w:line="253" w:lineRule="auto"/>
        <w:rPr>
          <w:sz w:val="20"/>
          <w:szCs w:val="20"/>
          <w:color w:val="auto"/>
        </w:rPr>
      </w:pPr>
      <w:r>
        <w:rPr>
          <w:rFonts w:ascii="Arial" w:cs="Arial" w:eastAsia="Arial" w:hAnsi="Arial"/>
          <w:sz w:val="14"/>
          <w:szCs w:val="14"/>
          <w:color w:val="auto"/>
        </w:rPr>
        <w:t>Adjustment to gain on contribution of SLS Business, net of tax</w:t>
      </w:r>
    </w:p>
    <w:p>
      <w:pPr>
        <w:spacing w:after="0" w:line="12" w:lineRule="exact"/>
        <w:rPr>
          <w:sz w:val="20"/>
          <w:szCs w:val="20"/>
          <w:color w:val="auto"/>
        </w:rPr>
      </w:pPr>
    </w:p>
    <w:p>
      <w:pPr>
        <w:ind w:left="160" w:right="660"/>
        <w:spacing w:after="0" w:line="253" w:lineRule="auto"/>
        <w:rPr>
          <w:sz w:val="20"/>
          <w:szCs w:val="20"/>
          <w:color w:val="auto"/>
        </w:rPr>
      </w:pPr>
      <w:r>
        <w:rPr>
          <w:rFonts w:ascii="Arial" w:cs="Arial" w:eastAsia="Arial" w:hAnsi="Arial"/>
          <w:sz w:val="14"/>
          <w:szCs w:val="14"/>
          <w:color w:val="auto"/>
        </w:rPr>
        <w:t>Adjustment to income tax expense from gain on contribution of SLS Business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Depreciation</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Amortization</w:t>
      </w:r>
    </w:p>
    <w:p>
      <w:pPr>
        <w:spacing w:after="0" w:line="42" w:lineRule="exact"/>
        <w:rPr>
          <w:sz w:val="20"/>
          <w:szCs w:val="20"/>
          <w:color w:val="auto"/>
        </w:rPr>
      </w:pPr>
    </w:p>
    <w:p>
      <w:pPr>
        <w:ind w:left="160" w:right="400"/>
        <w:spacing w:after="0" w:line="253" w:lineRule="auto"/>
        <w:rPr>
          <w:sz w:val="20"/>
          <w:szCs w:val="20"/>
          <w:color w:val="auto"/>
        </w:rPr>
      </w:pPr>
      <w:r>
        <w:rPr>
          <w:rFonts w:ascii="Arial" w:cs="Arial" w:eastAsia="Arial" w:hAnsi="Arial"/>
          <w:sz w:val="14"/>
          <w:szCs w:val="14"/>
          <w:color w:val="auto"/>
        </w:rPr>
        <w:t>Impairment, restructuring and other from continuing operations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Mark-to-market adjustments on derivatives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Expense on certain leases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Share-based compensation expense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See accompanying footnotes on page 7</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660" w:hanging="657"/>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(20.2)</w:t>
      </w:r>
    </w:p>
    <w:p>
      <w:pPr>
        <w:spacing w:after="0" w:line="120"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3"/>
          <w:szCs w:val="13"/>
          <w:color w:val="auto"/>
        </w:rPr>
        <w:t>(10.9)</w:t>
      </w:r>
    </w:p>
    <w:p>
      <w:pPr>
        <w:spacing w:after="0" w:line="120"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-306705</wp:posOffset>
            </wp:positionV>
            <wp:extent cx="72377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35560</wp:posOffset>
            </wp:positionV>
            <wp:extent cx="723773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193" w:lineRule="exact"/>
        <w:rPr>
          <w:sz w:val="20"/>
          <w:szCs w:val="20"/>
          <w:color w:val="auto"/>
        </w:rPr>
      </w:pPr>
    </w:p>
    <w:p>
      <w:pPr>
        <w:jc w:val="right"/>
        <w:ind w:right="1880"/>
        <w:spacing w:after="0"/>
        <w:rPr>
          <w:sz w:val="20"/>
          <w:szCs w:val="20"/>
          <w:color w:val="auto"/>
        </w:rPr>
      </w:pPr>
      <w:r>
        <w:rPr>
          <w:rFonts w:ascii="Arial" w:cs="Arial" w:eastAsia="Arial" w:hAnsi="Arial"/>
          <w:sz w:val="14"/>
          <w:szCs w:val="14"/>
          <w:color w:val="auto"/>
        </w:rPr>
        <w:t>(4.7)</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20955</wp:posOffset>
            </wp:positionV>
            <wp:extent cx="723773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170" w:lineRule="exact"/>
        <w:rPr>
          <w:sz w:val="20"/>
          <w:szCs w:val="20"/>
          <w:color w:val="auto"/>
        </w:rPr>
      </w:pPr>
    </w:p>
    <w:p>
      <w:pPr>
        <w:jc w:val="right"/>
        <w:ind w:right="1920"/>
        <w:spacing w:after="0"/>
        <w:rPr>
          <w:sz w:val="20"/>
          <w:szCs w:val="20"/>
          <w:color w:val="auto"/>
        </w:rPr>
      </w:pPr>
      <w:r>
        <w:rPr>
          <w:rFonts w:ascii="Arial" w:cs="Arial" w:eastAsia="Arial" w:hAnsi="Arial"/>
          <w:sz w:val="14"/>
          <w:szCs w:val="14"/>
          <w:color w:val="auto"/>
        </w:rPr>
        <w:t>4.3</w:t>
      </w:r>
    </w:p>
    <w:p>
      <w:pPr>
        <w:spacing w:after="0" w:line="109" w:lineRule="exact"/>
        <w:rPr>
          <w:sz w:val="20"/>
          <w:szCs w:val="20"/>
          <w:color w:val="auto"/>
        </w:rPr>
      </w:pPr>
    </w:p>
    <w:p>
      <w:pPr>
        <w:jc w:val="right"/>
        <w:ind w:right="1920"/>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20955</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jc w:val="right"/>
        <w:ind w:right="1920"/>
        <w:spacing w:after="0"/>
        <w:rPr>
          <w:sz w:val="20"/>
          <w:szCs w:val="20"/>
          <w:color w:val="auto"/>
        </w:rPr>
      </w:pPr>
      <w:r>
        <w:rPr>
          <w:rFonts w:ascii="Arial" w:cs="Arial" w:eastAsia="Arial" w:hAnsi="Arial"/>
          <w:sz w:val="14"/>
          <w:szCs w:val="14"/>
          <w:color w:val="auto"/>
        </w:rPr>
        <w:t>13.6</w:t>
      </w:r>
    </w:p>
    <w:p>
      <w:pPr>
        <w:spacing w:after="0" w:line="109" w:lineRule="exact"/>
        <w:rPr>
          <w:sz w:val="20"/>
          <w:szCs w:val="20"/>
          <w:color w:val="auto"/>
        </w:rPr>
      </w:pPr>
    </w:p>
    <w:p>
      <w:pPr>
        <w:jc w:val="right"/>
        <w:ind w:right="192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20955</wp:posOffset>
            </wp:positionV>
            <wp:extent cx="723773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1.4</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20955</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0.9</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20955</wp:posOffset>
            </wp:positionV>
            <wp:extent cx="723773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85" w:lineRule="exact"/>
        <w:rPr>
          <w:sz w:val="20"/>
          <w:szCs w:val="20"/>
          <w:color w:val="auto"/>
        </w:rPr>
      </w:pPr>
    </w:p>
    <w:p>
      <w:pPr>
        <w:ind w:left="780" w:hanging="777"/>
        <w:spacing w:after="0"/>
        <w:tabs>
          <w:tab w:leader="none" w:pos="7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40640</wp:posOffset>
            </wp:positionV>
            <wp:extent cx="823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660" w:hanging="651"/>
        <w:spacing w:after="0"/>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(41.3)</w:t>
      </w:r>
    </w:p>
    <w:p>
      <w:pPr>
        <w:spacing w:after="0" w:line="120"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3"/>
          <w:szCs w:val="13"/>
          <w:color w:val="auto"/>
        </w:rPr>
        <w:t>(24.2)</w:t>
      </w:r>
    </w:p>
    <w:p>
      <w:pPr>
        <w:spacing w:after="0" w:line="120" w:lineRule="exact"/>
        <w:rPr>
          <w:rFonts w:ascii="Arial" w:cs="Arial" w:eastAsia="Arial" w:hAnsi="Arial"/>
          <w:sz w:val="13"/>
          <w:szCs w:val="13"/>
          <w:color w:val="auto"/>
        </w:rPr>
      </w:pPr>
    </w:p>
    <w:p>
      <w:pPr>
        <w:ind w:left="720"/>
        <w:spacing w:after="0"/>
        <w:rPr>
          <w:rFonts w:ascii="Arial" w:cs="Arial" w:eastAsia="Arial" w:hAnsi="Arial"/>
          <w:sz w:val="13"/>
          <w:szCs w:val="13"/>
          <w:color w:val="auto"/>
        </w:rPr>
      </w:pPr>
      <w:r>
        <w:rPr>
          <w:rFonts w:ascii="Arial" w:cs="Arial" w:eastAsia="Arial" w:hAnsi="Arial"/>
          <w:sz w:val="14"/>
          <w:szCs w:val="14"/>
          <w:color w:val="auto"/>
        </w:rPr>
        <w:t>16.7</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10.9</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w:t>
      </w:r>
    </w:p>
    <w:p>
      <w:pPr>
        <w:spacing w:after="0" w:line="190" w:lineRule="exact"/>
        <w:rPr>
          <w:sz w:val="20"/>
          <w:szCs w:val="20"/>
          <w:color w:val="auto"/>
        </w:rPr>
      </w:pPr>
    </w:p>
    <w:p>
      <w:pPr>
        <w:jc w:val="right"/>
        <w:ind w:right="254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ind w:right="2540"/>
        <w:spacing w:after="0"/>
        <w:rPr>
          <w:sz w:val="20"/>
          <w:szCs w:val="20"/>
          <w:color w:val="auto"/>
        </w:rPr>
      </w:pPr>
      <w:r>
        <w:rPr>
          <w:rFonts w:ascii="Arial" w:cs="Arial" w:eastAsia="Arial" w:hAnsi="Arial"/>
          <w:sz w:val="14"/>
          <w:szCs w:val="14"/>
          <w:color w:val="auto"/>
        </w:rPr>
        <w:t>11.5</w:t>
      </w:r>
    </w:p>
    <w:p>
      <w:pPr>
        <w:spacing w:after="0" w:line="109" w:lineRule="exact"/>
        <w:rPr>
          <w:sz w:val="20"/>
          <w:szCs w:val="20"/>
          <w:color w:val="auto"/>
        </w:rPr>
      </w:pPr>
    </w:p>
    <w:p>
      <w:pPr>
        <w:jc w:val="right"/>
        <w:ind w:right="2540"/>
        <w:spacing w:after="0"/>
        <w:rPr>
          <w:sz w:val="20"/>
          <w:szCs w:val="20"/>
          <w:color w:val="auto"/>
        </w:rPr>
      </w:pPr>
      <w:r>
        <w:rPr>
          <w:rFonts w:ascii="Arial" w:cs="Arial" w:eastAsia="Arial" w:hAnsi="Arial"/>
          <w:sz w:val="14"/>
          <w:szCs w:val="14"/>
          <w:color w:val="auto"/>
        </w:rPr>
        <w:t>13.2</w:t>
      </w:r>
    </w:p>
    <w:p>
      <w:pPr>
        <w:spacing w:after="0" w:line="109" w:lineRule="exact"/>
        <w:rPr>
          <w:sz w:val="20"/>
          <w:szCs w:val="20"/>
          <w:color w:val="auto"/>
        </w:rPr>
      </w:pPr>
    </w:p>
    <w:p>
      <w:pPr>
        <w:jc w:val="right"/>
        <w:ind w:right="2540"/>
        <w:spacing w:after="0"/>
        <w:rPr>
          <w:sz w:val="20"/>
          <w:szCs w:val="20"/>
          <w:color w:val="auto"/>
        </w:rPr>
      </w:pPr>
      <w:r>
        <w:rPr>
          <w:rFonts w:ascii="Arial" w:cs="Arial" w:eastAsia="Arial" w:hAnsi="Arial"/>
          <w:sz w:val="14"/>
          <w:szCs w:val="14"/>
          <w:color w:val="auto"/>
        </w:rPr>
        <w:t>5.3</w:t>
      </w:r>
    </w:p>
    <w:p>
      <w:pPr>
        <w:spacing w:after="0" w:line="190" w:lineRule="exact"/>
        <w:rPr>
          <w:sz w:val="20"/>
          <w:szCs w:val="20"/>
          <w:color w:val="auto"/>
        </w:rPr>
      </w:pPr>
    </w:p>
    <w:p>
      <w:pPr>
        <w:jc w:val="right"/>
        <w:ind w:right="2540"/>
        <w:spacing w:after="0"/>
        <w:rPr>
          <w:sz w:val="20"/>
          <w:szCs w:val="20"/>
          <w:color w:val="auto"/>
        </w:rPr>
      </w:pPr>
      <w:r>
        <w:rPr>
          <w:rFonts w:ascii="Arial" w:cs="Arial" w:eastAsia="Arial" w:hAnsi="Arial"/>
          <w:sz w:val="14"/>
          <w:szCs w:val="14"/>
          <w:color w:val="auto"/>
        </w:rPr>
        <w:t>25.0</w:t>
      </w:r>
    </w:p>
    <w:p>
      <w:pPr>
        <w:spacing w:after="0" w:line="109" w:lineRule="exact"/>
        <w:rPr>
          <w:sz w:val="20"/>
          <w:szCs w:val="20"/>
          <w:color w:val="auto"/>
        </w:rPr>
      </w:pPr>
    </w:p>
    <w:p>
      <w:pPr>
        <w:jc w:val="right"/>
        <w:ind w:right="254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ind w:right="2540"/>
        <w:spacing w:after="0"/>
        <w:rPr>
          <w:sz w:val="20"/>
          <w:szCs w:val="20"/>
          <w:color w:val="auto"/>
        </w:rPr>
      </w:pPr>
      <w:r>
        <w:rPr>
          <w:rFonts w:ascii="Arial" w:cs="Arial" w:eastAsia="Arial" w:hAnsi="Arial"/>
          <w:sz w:val="14"/>
          <w:szCs w:val="14"/>
          <w:color w:val="auto"/>
        </w:rPr>
        <w:t>0.9</w:t>
      </w:r>
    </w:p>
    <w:p>
      <w:pPr>
        <w:spacing w:after="0" w:line="109" w:lineRule="exact"/>
        <w:rPr>
          <w:sz w:val="20"/>
          <w:szCs w:val="20"/>
          <w:color w:val="auto"/>
        </w:rPr>
      </w:pPr>
    </w:p>
    <w:p>
      <w:pPr>
        <w:jc w:val="right"/>
        <w:ind w:right="2540"/>
        <w:spacing w:after="0"/>
        <w:rPr>
          <w:sz w:val="20"/>
          <w:szCs w:val="20"/>
          <w:color w:val="auto"/>
        </w:rPr>
      </w:pPr>
      <w:r>
        <w:rPr>
          <w:rFonts w:ascii="Arial" w:cs="Arial" w:eastAsia="Arial" w:hAnsi="Arial"/>
          <w:sz w:val="14"/>
          <w:szCs w:val="14"/>
          <w:color w:val="auto"/>
        </w:rPr>
        <w:t>1.8</w:t>
      </w:r>
    </w:p>
    <w:p>
      <w:pPr>
        <w:spacing w:after="0" w:line="105" w:lineRule="exact"/>
        <w:rPr>
          <w:sz w:val="20"/>
          <w:szCs w:val="20"/>
          <w:color w:val="auto"/>
        </w:rPr>
      </w:pPr>
    </w:p>
    <w:p>
      <w:pPr>
        <w:ind w:left="720" w:hanging="711"/>
        <w:spacing w:after="0"/>
        <w:tabs>
          <w:tab w:leader="none" w:pos="72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54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3">
            <w:col w:w="3580" w:space="720"/>
            <w:col w:w="2880" w:space="720"/>
            <w:col w:w="3500"/>
          </w:cols>
          <w:pgMar w:left="260" w:top="117" w:right="239" w:bottom="1440" w:gutter="0" w:footer="0" w:header="0"/>
          <w:type w:val="continuous"/>
        </w:sectPr>
      </w:pP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117"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5"/>
          <w:szCs w:val="25"/>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Disclosure Items (4)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gridSpan w:val="8"/>
          </w:tcPr>
          <w:p>
            <w:pPr>
              <w:ind w:left="220"/>
              <w:spacing w:after="0"/>
              <w:rPr>
                <w:sz w:val="20"/>
                <w:szCs w:val="20"/>
                <w:color w:val="auto"/>
              </w:rPr>
            </w:pPr>
            <w:r>
              <w:rPr>
                <w:rFonts w:ascii="Arial" w:cs="Arial" w:eastAsia="Arial" w:hAnsi="Arial"/>
                <w:sz w:val="16"/>
                <w:szCs w:val="16"/>
                <w:color w:val="auto"/>
              </w:rPr>
              <w:t>Twelve Months Ended September 30, 2016</w:t>
            </w:r>
          </w:p>
        </w:tc>
        <w:tc>
          <w:tcPr>
            <w:tcW w:w="100" w:type="dxa"/>
            <w:vAlign w:val="bottom"/>
          </w:tcPr>
          <w:p>
            <w:pPr>
              <w:spacing w:after="0"/>
              <w:rPr>
                <w:sz w:val="17"/>
                <w:szCs w:val="17"/>
                <w:color w:val="auto"/>
              </w:rPr>
            </w:pPr>
          </w:p>
        </w:tc>
        <w:tc>
          <w:tcPr>
            <w:tcW w:w="3240" w:type="dxa"/>
            <w:vAlign w:val="bottom"/>
            <w:gridSpan w:val="5"/>
          </w:tcPr>
          <w:p>
            <w:pPr>
              <w:jc w:val="right"/>
              <w:ind w:right="188"/>
              <w:spacing w:after="0"/>
              <w:rPr>
                <w:sz w:val="20"/>
                <w:szCs w:val="20"/>
                <w:color w:val="auto"/>
              </w:rPr>
            </w:pPr>
            <w:r>
              <w:rPr>
                <w:rFonts w:ascii="Arial" w:cs="Arial" w:eastAsia="Arial" w:hAnsi="Arial"/>
                <w:sz w:val="16"/>
                <w:szCs w:val="16"/>
                <w:color w:val="auto"/>
                <w:w w:val="96"/>
              </w:rPr>
              <w:t>Twelve Months Ended September 30, 2015</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8"/>
              <w:spacing w:after="0" w:line="151" w:lineRule="exact"/>
              <w:rPr>
                <w:sz w:val="20"/>
                <w:szCs w:val="20"/>
                <w:color w:val="auto"/>
              </w:rPr>
            </w:pPr>
            <w:r>
              <w:rPr>
                <w:rFonts w:ascii="Arial" w:cs="Arial" w:eastAsia="Arial" w:hAnsi="Arial"/>
                <w:sz w:val="14"/>
                <w:szCs w:val="14"/>
                <w:color w:val="auto"/>
                <w:w w:val="94"/>
              </w:rPr>
              <w:t>Impairment,</w:t>
            </w:r>
          </w:p>
        </w:tc>
        <w:tc>
          <w:tcPr>
            <w:tcW w:w="900" w:type="dxa"/>
            <w:vAlign w:val="bottom"/>
            <w:gridSpan w:val="2"/>
          </w:tcPr>
          <w:p>
            <w:pPr>
              <w:jc w:val="center"/>
              <w:spacing w:after="0" w:line="151" w:lineRule="exact"/>
              <w:rPr>
                <w:sz w:val="20"/>
                <w:szCs w:val="20"/>
                <w:color w:val="auto"/>
              </w:rPr>
            </w:pPr>
            <w:r>
              <w:rPr>
                <w:rFonts w:ascii="Arial" w:cs="Arial" w:eastAsia="Arial" w:hAnsi="Arial"/>
                <w:sz w:val="14"/>
                <w:szCs w:val="14"/>
                <w:color w:val="auto"/>
                <w:w w:val="90"/>
              </w:rPr>
              <w:t>Costs Related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8"/>
              <w:spacing w:after="0" w:line="151" w:lineRule="exact"/>
              <w:rPr>
                <w:sz w:val="20"/>
                <w:szCs w:val="20"/>
                <w:color w:val="auto"/>
              </w:rPr>
            </w:pPr>
            <w:r>
              <w:rPr>
                <w:rFonts w:ascii="Arial" w:cs="Arial" w:eastAsia="Arial" w:hAnsi="Arial"/>
                <w:sz w:val="14"/>
                <w:szCs w:val="14"/>
                <w:color w:val="auto"/>
                <w:w w:val="97"/>
              </w:rPr>
              <w:t>Impairment,</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Restructuring</w:t>
            </w:r>
          </w:p>
        </w:tc>
        <w:tc>
          <w:tcPr>
            <w:tcW w:w="260" w:type="dxa"/>
            <w:vAlign w:val="bottom"/>
          </w:tcPr>
          <w:p>
            <w:pPr>
              <w:spacing w:after="0"/>
              <w:rPr>
                <w:sz w:val="12"/>
                <w:szCs w:val="12"/>
                <w:color w:val="auto"/>
              </w:rPr>
            </w:pPr>
          </w:p>
        </w:tc>
        <w:tc>
          <w:tcPr>
            <w:tcW w:w="64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85"/>
              </w:rPr>
              <w:t>to</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4"/>
              </w:rPr>
              <w:t>Restructuring and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Footnotes</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w w:val="97"/>
              </w:rPr>
              <w:t>As Reported</w:t>
            </w:r>
          </w:p>
        </w:tc>
        <w:tc>
          <w:tcPr>
            <w:tcW w:w="12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3"/>
              </w:rPr>
              <w:t>and Other</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4"/>
              </w:rPr>
              <w:t>Refinancing</w:t>
            </w:r>
          </w:p>
        </w:tc>
        <w:tc>
          <w:tcPr>
            <w:tcW w:w="14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Adjusted</w:t>
            </w:r>
          </w:p>
        </w:tc>
        <w:tc>
          <w:tcPr>
            <w:tcW w:w="1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w w:val="92"/>
              </w:rPr>
              <w:t>As Reported</w:t>
            </w:r>
          </w:p>
        </w:tc>
        <w:tc>
          <w:tcPr>
            <w:tcW w:w="10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70"/>
        </w:trPr>
        <w:tc>
          <w:tcPr>
            <w:tcW w:w="3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2,836.1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2,836.1</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2,728.0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2,736.5</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1,833.0</w:t>
            </w:r>
          </w:p>
        </w:tc>
        <w:tc>
          <w:tcPr>
            <w:tcW w:w="12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1,832.9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1,813.4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1,815.1</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sales—impairment, restructuring and other</w:t>
            </w: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5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995.4</w:t>
            </w: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1,003.2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908.0</w:t>
            </w:r>
          </w:p>
        </w:tc>
        <w:tc>
          <w:tcPr>
            <w:tcW w:w="1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921.4</w:t>
            </w: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of sales</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597.1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571.4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571.4</w:t>
            </w:r>
          </w:p>
        </w:tc>
        <w:tc>
          <w:tcPr>
            <w:tcW w:w="0" w:type="dxa"/>
            <w:vAlign w:val="bottom"/>
          </w:tcPr>
          <w:p>
            <w:pPr>
              <w:spacing w:after="0"/>
              <w:rPr>
                <w:sz w:val="1"/>
                <w:szCs w:val="1"/>
                <w:color w:val="auto"/>
              </w:rPr>
            </w:pPr>
          </w:p>
        </w:tc>
      </w:tr>
      <w:tr>
        <w:trPr>
          <w:trHeight w:val="264"/>
        </w:trPr>
        <w:tc>
          <w:tcPr>
            <w:tcW w:w="3520" w:type="dxa"/>
            <w:vAlign w:val="bottom"/>
          </w:tcPr>
          <w:p>
            <w:pPr>
              <w:ind w:left="180"/>
              <w:spacing w:after="0"/>
              <w:rPr>
                <w:sz w:val="20"/>
                <w:szCs w:val="20"/>
                <w:color w:val="auto"/>
              </w:rPr>
            </w:pPr>
            <w:r>
              <w:rPr>
                <w:rFonts w:ascii="Arial" w:cs="Arial" w:eastAsia="Arial" w:hAnsi="Arial"/>
                <w:sz w:val="14"/>
                <w:szCs w:val="14"/>
                <w:color w:val="auto"/>
              </w:rPr>
              <w:t>Impairment, restructuring and other</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(47.2)</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76.6</w:t>
            </w:r>
          </w:p>
        </w:tc>
        <w:tc>
          <w:tcPr>
            <w:tcW w:w="22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net</w:t>
            </w: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0"/>
        </w:trPr>
        <w:tc>
          <w:tcPr>
            <w:tcW w:w="3520" w:type="dxa"/>
            <w:vAlign w:val="bottom"/>
          </w:tcPr>
          <w:p>
            <w:pPr>
              <w:ind w:left="40"/>
              <w:spacing w:after="0"/>
              <w:rPr>
                <w:sz w:val="20"/>
                <w:szCs w:val="20"/>
                <w:color w:val="auto"/>
              </w:rPr>
            </w:pPr>
            <w:r>
              <w:rPr>
                <w:rFonts w:ascii="Arial" w:cs="Arial" w:eastAsia="Arial" w:hAnsi="Arial"/>
                <w:sz w:val="14"/>
                <w:szCs w:val="14"/>
                <w:color w:val="auto"/>
              </w:rPr>
              <w:t>Income from operations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459.3</w:t>
            </w:r>
          </w:p>
        </w:tc>
        <w:tc>
          <w:tcPr>
            <w:tcW w:w="12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39.4</w:t>
            </w:r>
          </w:p>
        </w:tc>
        <w:tc>
          <w:tcPr>
            <w:tcW w:w="26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419.9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(90.0)</w:t>
            </w:r>
          </w:p>
        </w:tc>
        <w:tc>
          <w:tcPr>
            <w:tcW w:w="220" w:type="dxa"/>
            <w:vAlign w:val="bottom"/>
          </w:tcPr>
          <w:p>
            <w:pPr>
              <w:spacing w:after="0"/>
              <w:rPr>
                <w:sz w:val="21"/>
                <w:szCs w:val="21"/>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352.1</w:t>
            </w: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of sales</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income of unconsolidated affiliates</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4"/>
              </w:rPr>
              <w:t>Income from continuing operations before interest expense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income taxes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467.1</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262.1</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352.1</w:t>
            </w:r>
          </w:p>
        </w:tc>
        <w:tc>
          <w:tcPr>
            <w:tcW w:w="0" w:type="dxa"/>
            <w:vAlign w:val="bottom"/>
          </w:tcPr>
          <w:p>
            <w:pPr>
              <w:spacing w:after="0"/>
              <w:rPr>
                <w:sz w:val="1"/>
                <w:szCs w:val="1"/>
                <w:color w:val="auto"/>
              </w:rPr>
            </w:pPr>
          </w:p>
        </w:tc>
      </w:tr>
      <w:tr>
        <w:trPr>
          <w:trHeight w:val="264"/>
        </w:trPr>
        <w:tc>
          <w:tcPr>
            <w:tcW w:w="3520" w:type="dxa"/>
            <w:vAlign w:val="bottom"/>
          </w:tcPr>
          <w:p>
            <w:pPr>
              <w:ind w:left="40"/>
              <w:spacing w:after="0"/>
              <w:rPr>
                <w:sz w:val="20"/>
                <w:szCs w:val="20"/>
                <w:color w:val="auto"/>
              </w:rPr>
            </w:pPr>
            <w:r>
              <w:rPr>
                <w:rFonts w:ascii="Arial" w:cs="Arial" w:eastAsia="Arial" w:hAnsi="Arial"/>
                <w:sz w:val="14"/>
                <w:szCs w:val="14"/>
                <w:color w:val="auto"/>
              </w:rPr>
              <w:t>% of sales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related to refinancing</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65.6</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392.7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211.6</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301.6</w:t>
            </w: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from continuing operations</w:t>
            </w: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139.4</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253.3</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w:t>
            </w: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241.1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137.8</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196.3</w:t>
            </w: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9"/>
        </w:trPr>
        <w:tc>
          <w:tcPr>
            <w:tcW w:w="352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Net income attributable to controlling interest from</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253.8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17.9</w:t>
            </w:r>
          </w:p>
        </w:tc>
        <w:tc>
          <w:tcPr>
            <w:tcW w:w="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241.6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138.9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(58.5)</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197.4</w:t>
            </w:r>
          </w:p>
        </w:tc>
        <w:tc>
          <w:tcPr>
            <w:tcW w:w="0" w:type="dxa"/>
            <w:vAlign w:val="bottom"/>
          </w:tcPr>
          <w:p>
            <w:pPr>
              <w:spacing w:after="0"/>
              <w:rPr>
                <w:sz w:val="1"/>
                <w:szCs w:val="1"/>
                <w:color w:val="auto"/>
              </w:rPr>
            </w:pPr>
          </w:p>
        </w:tc>
      </w:tr>
      <w:tr>
        <w:trPr>
          <w:trHeight w:val="185"/>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continuing operations</w:t>
            </w: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ind w:left="40"/>
              <w:spacing w:after="0" w:line="151" w:lineRule="exact"/>
              <w:rPr>
                <w:sz w:val="20"/>
                <w:szCs w:val="20"/>
                <w:color w:val="auto"/>
              </w:rPr>
            </w:pPr>
            <w:r>
              <w:rPr>
                <w:rFonts w:ascii="Arial" w:cs="Arial" w:eastAsia="Arial" w:hAnsi="Arial"/>
                <w:sz w:val="14"/>
                <w:szCs w:val="14"/>
                <w:color w:val="auto"/>
              </w:rPr>
              <w:t>Basic income per common share from continuing</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5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4.15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0.29</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(0.09)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2.27</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(0.96)</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21"/>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operations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52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Diluted income per common share from continuing</w:t>
            </w: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0.28</w:t>
            </w:r>
          </w:p>
        </w:tc>
        <w:tc>
          <w:tcPr>
            <w:tcW w:w="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(0.09)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3.90</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(0.94)</w:t>
            </w:r>
          </w:p>
        </w:tc>
        <w:tc>
          <w:tcPr>
            <w:tcW w:w="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3.17</w:t>
            </w:r>
          </w:p>
        </w:tc>
        <w:tc>
          <w:tcPr>
            <w:tcW w:w="0" w:type="dxa"/>
            <w:vAlign w:val="bottom"/>
          </w:tcPr>
          <w:p>
            <w:pPr>
              <w:spacing w:after="0"/>
              <w:rPr>
                <w:sz w:val="1"/>
                <w:szCs w:val="1"/>
                <w:color w:val="auto"/>
              </w:rPr>
            </w:pPr>
          </w:p>
        </w:tc>
      </w:tr>
      <w:tr>
        <w:trPr>
          <w:trHeight w:val="185"/>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operations</w:t>
            </w: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3"/>
              </w:rPr>
              <w:t>Common shares used in basic income per share calculation</w:t>
            </w: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61.1</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61.1</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61.1</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10"/>
        </w:trPr>
        <w:tc>
          <w:tcPr>
            <w:tcW w:w="352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Common shares and potential common shares used in</w:t>
            </w: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2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62.2</w:t>
            </w:r>
          </w:p>
        </w:tc>
        <w:tc>
          <w:tcPr>
            <w:tcW w:w="22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1"/>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income per share calculation</w:t>
            </w: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Calculation of Adjusted EBITDA </w:t>
            </w:r>
            <w:r>
              <w:rPr>
                <w:rFonts w:ascii="Arial" w:cs="Arial" w:eastAsia="Arial" w:hAnsi="Arial"/>
                <w:sz w:val="14"/>
                <w:szCs w:val="14"/>
                <w:color w:val="auto"/>
              </w:rPr>
              <w:t>(4) (5)</w:t>
            </w:r>
            <w:r>
              <w:rPr>
                <w:rFonts w:ascii="Arial" w:cs="Arial" w:eastAsia="Arial" w:hAnsi="Arial"/>
                <w:sz w:val="14"/>
                <w:szCs w:val="14"/>
                <w:b w:val="1"/>
                <w:bCs w:val="1"/>
                <w:color w:val="auto"/>
              </w:rPr>
              <w:t xml:space="preserve"> :</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2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180"/>
              <w:spacing w:after="0"/>
              <w:rPr>
                <w:sz w:val="20"/>
                <w:szCs w:val="20"/>
                <w:color w:val="auto"/>
              </w:rPr>
            </w:pPr>
            <w:r>
              <w:rPr>
                <w:rFonts w:ascii="Arial" w:cs="Arial" w:eastAsia="Arial" w:hAnsi="Arial"/>
                <w:sz w:val="14"/>
                <w:szCs w:val="14"/>
                <w:color w:val="auto"/>
              </w:rPr>
              <w:t>Income tax expense from continuing operations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discontinued operations, net of tax</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180"/>
              <w:spacing w:after="0"/>
              <w:rPr>
                <w:sz w:val="20"/>
                <w:szCs w:val="20"/>
                <w:color w:val="auto"/>
              </w:rPr>
            </w:pPr>
            <w:r>
              <w:rPr>
                <w:rFonts w:ascii="Arial" w:cs="Arial" w:eastAsia="Arial" w:hAnsi="Arial"/>
                <w:sz w:val="14"/>
                <w:szCs w:val="14"/>
                <w:color w:val="auto"/>
              </w:rPr>
              <w:t>Income tax expense from discontinued operations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contribution of SLS Business, net of tax</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20" w:type="dxa"/>
            <w:vAlign w:val="bottom"/>
          </w:tcPr>
          <w:p>
            <w:pPr>
              <w:ind w:left="180"/>
              <w:spacing w:after="0" w:line="157" w:lineRule="exact"/>
              <w:rPr>
                <w:sz w:val="20"/>
                <w:szCs w:val="20"/>
                <w:color w:val="auto"/>
              </w:rPr>
            </w:pPr>
            <w:r>
              <w:rPr>
                <w:rFonts w:ascii="Arial" w:cs="Arial" w:eastAsia="Arial" w:hAnsi="Arial"/>
                <w:sz w:val="14"/>
                <w:szCs w:val="14"/>
                <w:color w:val="auto"/>
              </w:rPr>
              <w:t>Income tax expense from gain on contribution of SLS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ind w:left="180"/>
              <w:spacing w:after="0"/>
              <w:rPr>
                <w:sz w:val="20"/>
                <w:szCs w:val="20"/>
                <w:color w:val="auto"/>
              </w:rPr>
            </w:pPr>
            <w:r>
              <w:rPr>
                <w:rFonts w:ascii="Arial" w:cs="Arial" w:eastAsia="Arial" w:hAnsi="Arial"/>
                <w:sz w:val="14"/>
                <w:szCs w:val="14"/>
                <w:color w:val="auto"/>
              </w:rPr>
              <w:t>Business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 related to refinancing</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18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restructuring and other from continuing</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520" w:type="dxa"/>
            <w:vAlign w:val="bottom"/>
          </w:tcPr>
          <w:p>
            <w:pPr>
              <w:ind w:left="180"/>
              <w:spacing w:after="0" w:line="157" w:lineRule="exact"/>
              <w:rPr>
                <w:sz w:val="20"/>
                <w:szCs w:val="20"/>
                <w:color w:val="auto"/>
              </w:rPr>
            </w:pPr>
            <w:r>
              <w:rPr>
                <w:rFonts w:ascii="Arial" w:cs="Arial" w:eastAsia="Arial" w:hAnsi="Arial"/>
                <w:sz w:val="14"/>
                <w:szCs w:val="14"/>
                <w:color w:val="auto"/>
                <w:w w:val="99"/>
              </w:rPr>
              <w:t>Impairment, restructuring and other from discontinued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ind w:left="180"/>
              <w:spacing w:after="0"/>
              <w:rPr>
                <w:sz w:val="20"/>
                <w:szCs w:val="20"/>
                <w:color w:val="auto"/>
              </w:rPr>
            </w:pPr>
            <w:r>
              <w:rPr>
                <w:rFonts w:ascii="Arial" w:cs="Arial" w:eastAsia="Arial" w:hAnsi="Arial"/>
                <w:sz w:val="14"/>
                <w:szCs w:val="14"/>
                <w:color w:val="auto"/>
              </w:rPr>
              <w:t>operations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 on certain leases</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 expense</w:t>
            </w: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517.4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471.8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 See accompanying footnotes on page 7</w:t>
      </w:r>
    </w:p>
    <w:p>
      <w:pPr>
        <w:sectPr>
          <w:pgSz w:w="11900" w:h="16838" w:orient="portrait"/>
          <w:cols w:equalWidth="0" w:num="1">
            <w:col w:w="11420"/>
          </w:cols>
          <w:pgMar w:left="240" w:top="117"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17"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5"/>
          <w:szCs w:val="25"/>
          <w:b w:val="1"/>
          <w:bCs w:val="1"/>
          <w:color w:val="auto"/>
        </w:rPr>
        <w:t>THE SCOTTS MIRACLE-GRO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Disclosure Items (4)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gridSpan w:val="3"/>
          </w:tcPr>
          <w:p>
            <w:pPr>
              <w:jc w:val="right"/>
              <w:ind w:right="48"/>
              <w:spacing w:after="0"/>
              <w:rPr>
                <w:sz w:val="20"/>
                <w:szCs w:val="20"/>
                <w:color w:val="auto"/>
              </w:rPr>
            </w:pPr>
            <w:r>
              <w:rPr>
                <w:rFonts w:ascii="Arial" w:cs="Arial" w:eastAsia="Arial" w:hAnsi="Arial"/>
                <w:sz w:val="16"/>
                <w:szCs w:val="16"/>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ind w:left="240"/>
              <w:spacing w:after="0"/>
              <w:rPr>
                <w:sz w:val="20"/>
                <w:szCs w:val="20"/>
                <w:color w:val="auto"/>
              </w:rPr>
            </w:pPr>
            <w:r>
              <w:rPr>
                <w:rFonts w:ascii="Arial" w:cs="Arial" w:eastAsia="Arial" w:hAnsi="Arial"/>
                <w:sz w:val="16"/>
                <w:szCs w:val="16"/>
                <w:color w:val="auto"/>
                <w:w w:val="94"/>
              </w:rPr>
              <w:t>Twelve Months Ended</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060" w:type="dxa"/>
            <w:vAlign w:val="bottom"/>
          </w:tcPr>
          <w:p>
            <w:pPr>
              <w:spacing w:after="0"/>
              <w:rPr>
                <w:sz w:val="22"/>
                <w:szCs w:val="22"/>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September 30, 2016</w:t>
            </w:r>
          </w:p>
        </w:tc>
        <w:tc>
          <w:tcPr>
            <w:tcW w:w="1360" w:type="dxa"/>
            <w:vAlign w:val="bottom"/>
            <w:gridSpan w:val="3"/>
          </w:tcPr>
          <w:p>
            <w:pPr>
              <w:ind w:left="60"/>
              <w:spacing w:after="0"/>
              <w:rPr>
                <w:sz w:val="20"/>
                <w:szCs w:val="20"/>
                <w:color w:val="auto"/>
              </w:rPr>
            </w:pPr>
            <w:r>
              <w:rPr>
                <w:rFonts w:ascii="Arial" w:cs="Arial" w:eastAsia="Arial" w:hAnsi="Arial"/>
                <w:sz w:val="14"/>
                <w:szCs w:val="14"/>
                <w:color w:val="auto"/>
              </w:rPr>
              <w:t>September 30, 2015</w:t>
            </w:r>
          </w:p>
        </w:tc>
        <w:tc>
          <w:tcPr>
            <w:tcW w:w="1360" w:type="dxa"/>
            <w:vAlign w:val="bottom"/>
            <w:gridSpan w:val="3"/>
          </w:tcPr>
          <w:p>
            <w:pPr>
              <w:ind w:left="60"/>
              <w:spacing w:after="0"/>
              <w:rPr>
                <w:sz w:val="20"/>
                <w:szCs w:val="20"/>
                <w:color w:val="auto"/>
              </w:rPr>
            </w:pPr>
            <w:r>
              <w:rPr>
                <w:rFonts w:ascii="Arial" w:cs="Arial" w:eastAsia="Arial" w:hAnsi="Arial"/>
                <w:sz w:val="14"/>
                <w:szCs w:val="14"/>
                <w:color w:val="auto"/>
              </w:rPr>
              <w:t>September 30, 2016</w:t>
            </w:r>
          </w:p>
        </w:tc>
        <w:tc>
          <w:tcPr>
            <w:tcW w:w="1240" w:type="dxa"/>
            <w:vAlign w:val="bottom"/>
            <w:gridSpan w:val="2"/>
          </w:tcPr>
          <w:p>
            <w:pPr>
              <w:ind w:left="40"/>
              <w:spacing w:after="0"/>
              <w:rPr>
                <w:sz w:val="20"/>
                <w:szCs w:val="20"/>
                <w:color w:val="auto"/>
              </w:rPr>
            </w:pPr>
            <w:r>
              <w:rPr>
                <w:rFonts w:ascii="Arial" w:cs="Arial" w:eastAsia="Arial" w:hAnsi="Arial"/>
                <w:sz w:val="14"/>
                <w:szCs w:val="14"/>
                <w:color w:val="auto"/>
                <w:w w:val="92"/>
              </w:rPr>
              <w:t>September 30, 2015</w:t>
            </w:r>
          </w:p>
        </w:tc>
        <w:tc>
          <w:tcPr>
            <w:tcW w:w="0" w:type="dxa"/>
            <w:vAlign w:val="bottom"/>
          </w:tcPr>
          <w:p>
            <w:pPr>
              <w:spacing w:after="0"/>
              <w:rPr>
                <w:sz w:val="1"/>
                <w:szCs w:val="1"/>
                <w:color w:val="auto"/>
              </w:rPr>
            </w:pPr>
          </w:p>
        </w:tc>
      </w:tr>
      <w:tr>
        <w:trPr>
          <w:trHeight w:val="270"/>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Calculation of Pro Forma Adjusted Earnings:</w:t>
            </w:r>
          </w:p>
        </w:tc>
        <w:tc>
          <w:tcPr>
            <w:tcW w:w="3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Income (loss) from 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4"/>
                <w:szCs w:val="14"/>
                <w:color w:val="auto"/>
              </w:rPr>
              <w:t>Net income (loss) attributable to controlling interest from 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1"/>
                <w:szCs w:val="21"/>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net of tax</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Costs related to refinancing, net of tax</w:t>
            </w:r>
          </w:p>
        </w:tc>
        <w:tc>
          <w:tcPr>
            <w:tcW w:w="38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(loss) attributable to controlling interest from continuing operations</w:t>
            </w: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241.6</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Income (loss) from discontinued operations, net of tax</w:t>
            </w:r>
          </w:p>
        </w:tc>
        <w:tc>
          <w:tcPr>
            <w:tcW w:w="3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 on contribution of SLS Business, net of tax</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280"/>
              <w:spacing w:after="0"/>
              <w:rPr>
                <w:sz w:val="20"/>
                <w:szCs w:val="20"/>
                <w:color w:val="auto"/>
              </w:rPr>
            </w:pPr>
            <w:r>
              <w:rPr>
                <w:rFonts w:ascii="Arial" w:cs="Arial" w:eastAsia="Arial" w:hAnsi="Arial"/>
                <w:sz w:val="14"/>
                <w:szCs w:val="14"/>
                <w:color w:val="auto"/>
              </w:rPr>
              <w:t>Income (loss) from SLS Business in discontinued operations, net of tax</w:t>
            </w:r>
          </w:p>
        </w:tc>
        <w:tc>
          <w:tcPr>
            <w:tcW w:w="3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from SLS Business in discontinued operations, net of tax</w:t>
            </w:r>
          </w:p>
        </w:tc>
        <w:tc>
          <w:tcPr>
            <w:tcW w:w="3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83"/>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Pro Forma Adjusted Earnings (Loss)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(18.6)</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232.6</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219.3</w:t>
            </w: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Diluted income (loss) per common share from 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2"/>
                <w:szCs w:val="22"/>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net of tax</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Costs related to refinancing, net of tax</w:t>
            </w:r>
          </w:p>
        </w:tc>
        <w:tc>
          <w:tcPr>
            <w:tcW w:w="38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diluted income (loss) per common share from continuing operations</w:t>
            </w: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(0.31)</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Income (loss) from SLS Business in discontinued operations, net of tax</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(0.29)</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from SLS Business in discontinued operations, net of tax</w:t>
            </w:r>
          </w:p>
        </w:tc>
        <w:tc>
          <w:tcPr>
            <w:tcW w:w="3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83"/>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Pro Forma Adjusted Earnings (Loss) per common share</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(0.30)</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(0.12)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3.75</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3.53</w:t>
            </w:r>
          </w:p>
        </w:tc>
        <w:tc>
          <w:tcPr>
            <w:tcW w:w="0" w:type="dxa"/>
            <w:vAlign w:val="bottom"/>
          </w:tcPr>
          <w:p>
            <w:pPr>
              <w:spacing w:after="0"/>
              <w:rPr>
                <w:sz w:val="1"/>
                <w:szCs w:val="1"/>
                <w:color w:val="auto"/>
              </w:rPr>
            </w:pPr>
          </w:p>
        </w:tc>
      </w:tr>
      <w:tr>
        <w:trPr>
          <w:trHeight w:val="110"/>
        </w:trPr>
        <w:tc>
          <w:tcPr>
            <w:tcW w:w="606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Common shares and potential common shares used in Pro Forma Adjusted Earnings (Loss) per share</w:t>
            </w:r>
          </w:p>
        </w:tc>
        <w:tc>
          <w:tcPr>
            <w:tcW w:w="3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calculation</w:t>
            </w:r>
          </w:p>
        </w:tc>
        <w:tc>
          <w:tcPr>
            <w:tcW w:w="3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 See accompanying footnotes on 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7" w:right="239" w:bottom="1440" w:gutter="0" w:footer="0" w:header="0"/>
        </w:sectPr>
      </w:pPr>
    </w:p>
    <w:bookmarkStart w:id="10" w:name="page11"/>
    <w:bookmarkEnd w:id="10"/>
    <w:p>
      <w:pPr>
        <w:jc w:val="center"/>
        <w:ind w:right="160"/>
        <w:spacing w:after="0"/>
        <w:rPr>
          <w:sz w:val="20"/>
          <w:szCs w:val="20"/>
          <w:color w:val="auto"/>
        </w:rPr>
      </w:pPr>
      <w:r>
        <w:rPr>
          <w:rFonts w:ascii="Arial" w:cs="Arial" w:eastAsia="Arial" w:hAnsi="Arial"/>
          <w:sz w:val="25"/>
          <w:szCs w:val="25"/>
          <w:b w:val="1"/>
          <w:bCs w:val="1"/>
          <w:color w:val="auto"/>
        </w:rPr>
        <w:t>THE SCOTTS MIRACLE-GRO COMPANY</w:t>
      </w:r>
    </w:p>
    <w:p>
      <w:pPr>
        <w:spacing w:after="0" w:line="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Footnotes to Preceding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656590</wp:posOffset>
            </wp:positionV>
            <wp:extent cx="725487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0" w:right="360" w:hanging="420"/>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Basic income (loss) per common share amounts are calculated by dividing income (loss) from continuing operations, income (loss) from discontinued operations and net income (loss) attributable to controlling interest by the weighted average number of common shares outstanding during the period.</w:t>
      </w:r>
    </w:p>
    <w:p>
      <w:pPr>
        <w:spacing w:after="0" w:line="262" w:lineRule="exact"/>
        <w:rPr>
          <w:rFonts w:ascii="Arial" w:cs="Arial" w:eastAsia="Arial" w:hAnsi="Arial"/>
          <w:sz w:val="18"/>
          <w:szCs w:val="18"/>
          <w:color w:val="auto"/>
        </w:rPr>
      </w:pPr>
    </w:p>
    <w:p>
      <w:pPr>
        <w:ind w:left="420" w:right="120" w:hanging="420"/>
        <w:spacing w:after="0" w:line="25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income (loss) per common share amounts are calculated by dividing income (loss) from continuing operations, income (loss) from discontinued operations and net income (loss) attributable to controlling interest by the weighted average number of common shares, plus all potential dilutive securities (common stock options, stock appreciation rights, performance shares, performance units, restricted stock and restricted stock units) outstanding during the period.</w:t>
      </w:r>
    </w:p>
    <w:p>
      <w:pPr>
        <w:spacing w:after="0" w:line="267" w:lineRule="exact"/>
        <w:rPr>
          <w:rFonts w:ascii="Arial" w:cs="Arial" w:eastAsia="Arial" w:hAnsi="Arial"/>
          <w:sz w:val="18"/>
          <w:szCs w:val="18"/>
          <w:color w:val="auto"/>
        </w:rPr>
      </w:pPr>
    </w:p>
    <w:p>
      <w:pPr>
        <w:ind w:left="420" w:right="40" w:hanging="420"/>
        <w:spacing w:after="0" w:line="270"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April 13, 2016, pursuant to the terms of the Contribution and Distribution Agreement, by and among the Company and TruGreen Holding Corporation (“TruGreen Holdings”), the Company completed the contribution of the Scotts lawn service business (the “SLS Business”) to a newly formed subsidiary of TruGreen Holdings (the “Joint Venture”) in exchange for a minority equity interest of approximately 30% in the Joint Venture. As a result, effective in its second quarter of fiscal 2016, the Company classified its results of operations for all periods presented to reflect the SLS Business as a discontinued operation. The Company’s after-tax gain on the contribution of $79.3 million has been recorded within results from discontinued operations for fiscal 2016. The Company’s approximately 30% interest in the Joint Venture has been accounted for using the equity method of accounting, with the Company's proportionate share of Joint Venture earnings reflected in the consolidated statements of operations. Adjusted Earnings excludes charges or credits relating to transaction related costs, restructurings and other discrete projects or transactions including a non-cash fair value write down adjustment related to deferred revenue and advertising as part of the transaction accounting that are apart from and not indicative of the results of the operations of the Joint Venture.</w:t>
      </w:r>
    </w:p>
    <w:p>
      <w:pPr>
        <w:spacing w:after="0" w:line="258" w:lineRule="exact"/>
        <w:rPr>
          <w:rFonts w:ascii="Arial" w:cs="Arial" w:eastAsia="Arial" w:hAnsi="Arial"/>
          <w:sz w:val="17"/>
          <w:szCs w:val="17"/>
          <w:color w:val="auto"/>
        </w:rPr>
      </w:pPr>
    </w:p>
    <w:p>
      <w:pPr>
        <w:ind w:left="420" w:hanging="42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Reconciliation of Non-GAAP Disclosure Items includes the following non-GAAP financial measures:</w:t>
      </w:r>
    </w:p>
    <w:p>
      <w:pPr>
        <w:spacing w:after="0" w:line="225" w:lineRule="exact"/>
        <w:rPr>
          <w:rFonts w:ascii="Arial" w:cs="Arial" w:eastAsia="Arial" w:hAnsi="Arial"/>
          <w:sz w:val="18"/>
          <w:szCs w:val="18"/>
          <w:color w:val="auto"/>
        </w:rPr>
      </w:pPr>
    </w:p>
    <w:p>
      <w:pPr>
        <w:ind w:left="420"/>
        <w:spacing w:after="0" w:line="259" w:lineRule="auto"/>
        <w:rPr>
          <w:rFonts w:ascii="Arial" w:cs="Arial" w:eastAsia="Arial" w:hAnsi="Arial"/>
          <w:sz w:val="18"/>
          <w:szCs w:val="18"/>
          <w:color w:val="auto"/>
        </w:rPr>
      </w:pPr>
      <w:r>
        <w:rPr>
          <w:rFonts w:ascii="Arial" w:cs="Arial" w:eastAsia="Arial" w:hAnsi="Arial"/>
          <w:sz w:val="18"/>
          <w:szCs w:val="18"/>
          <w:color w:val="auto"/>
        </w:rPr>
        <w:t>Adjusted net income (loss) attributable to controlling interest from continuing operations and adjusted diluted income (loss) per common share attributable to controlling interest from continuing operations (“Adjusted Earnings”) — These measures exclude charges or credits relating to impairments, restructurings, discontinued operations and other unusual items such as costs or gains related to discrete projects or transactions that are apart from and not indicative of the results of the operations of the business.</w:t>
      </w:r>
    </w:p>
    <w:p>
      <w:pPr>
        <w:spacing w:after="0" w:line="240" w:lineRule="exact"/>
        <w:rPr>
          <w:rFonts w:ascii="Arial" w:cs="Arial" w:eastAsia="Arial" w:hAnsi="Arial"/>
          <w:sz w:val="18"/>
          <w:szCs w:val="18"/>
          <w:color w:val="auto"/>
        </w:rPr>
      </w:pPr>
    </w:p>
    <w:p>
      <w:pPr>
        <w:ind w:left="420" w:right="120"/>
        <w:spacing w:after="0" w:line="255" w:lineRule="auto"/>
        <w:rPr>
          <w:rFonts w:ascii="Arial" w:cs="Arial" w:eastAsia="Arial" w:hAnsi="Arial"/>
          <w:sz w:val="18"/>
          <w:szCs w:val="18"/>
          <w:color w:val="auto"/>
        </w:rPr>
      </w:pPr>
      <w:r>
        <w:rPr>
          <w:rFonts w:ascii="Arial" w:cs="Arial" w:eastAsia="Arial" w:hAnsi="Arial"/>
          <w:sz w:val="18"/>
          <w:szCs w:val="18"/>
          <w:color w:val="auto"/>
        </w:rPr>
        <w:t>Adjusted EBITDA — This measure is calculated as income (loss) before interest, taxes, depreciation and amortization as well as certain other items such as the impact of the cumulative effect of changes in accounting, costs associated with debt refinancing and other non-recurring or non-cash items affecting net income (loss). The Company believes this measure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4.50 at September 30, 2016) and an interest coverage ratio (minimum of 3.00 for the twelve months ended September 30, 2016). The Company was in compliance with the terms of all debt covenants at September 30, 2016.</w:t>
      </w:r>
    </w:p>
    <w:p>
      <w:pPr>
        <w:spacing w:after="0" w:line="243" w:lineRule="exact"/>
        <w:rPr>
          <w:rFonts w:ascii="Arial" w:cs="Arial" w:eastAsia="Arial" w:hAnsi="Arial"/>
          <w:sz w:val="18"/>
          <w:szCs w:val="18"/>
          <w:color w:val="auto"/>
        </w:rPr>
      </w:pPr>
    </w:p>
    <w:p>
      <w:pPr>
        <w:ind w:left="420" w:right="60"/>
        <w:spacing w:after="0" w:line="257" w:lineRule="auto"/>
        <w:rPr>
          <w:rFonts w:ascii="Arial" w:cs="Arial" w:eastAsia="Arial" w:hAnsi="Arial"/>
          <w:sz w:val="18"/>
          <w:szCs w:val="18"/>
          <w:color w:val="auto"/>
        </w:rPr>
      </w:pPr>
      <w:r>
        <w:rPr>
          <w:rFonts w:ascii="Arial" w:cs="Arial" w:eastAsia="Arial" w:hAnsi="Arial"/>
          <w:sz w:val="18"/>
          <w:szCs w:val="18"/>
          <w:color w:val="auto"/>
        </w:rPr>
        <w:t>Pro Forma Adjusted Earnings (Loss) and Pro Forma Adjusted Earnings (Loss) per common share — These measures are calculated as net income (loss) attributable to controlling interest, excluding charges or credits relating to impairments, restructurings and other unusual items such as costs or gains related to discrete projects or transactions that are apart from and not indicative of the results of the operations of the business. This measure also includes income (loss) from discontinued operations related to the SLS Business; however, excludes the gain on the contribution of the SLS Business to the Joint Venture.</w:t>
      </w:r>
    </w:p>
    <w:p>
      <w:pPr>
        <w:spacing w:after="0" w:line="242" w:lineRule="exact"/>
        <w:rPr>
          <w:rFonts w:ascii="Arial" w:cs="Arial" w:eastAsia="Arial" w:hAnsi="Arial"/>
          <w:sz w:val="18"/>
          <w:szCs w:val="18"/>
          <w:color w:val="auto"/>
        </w:rPr>
      </w:pPr>
    </w:p>
    <w:p>
      <w:pPr>
        <w:ind w:left="420" w:right="40"/>
        <w:spacing w:after="0" w:line="273" w:lineRule="auto"/>
        <w:rPr>
          <w:rFonts w:ascii="Arial" w:cs="Arial" w:eastAsia="Arial" w:hAnsi="Arial"/>
          <w:sz w:val="18"/>
          <w:szCs w:val="18"/>
          <w:color w:val="auto"/>
        </w:rPr>
      </w:pPr>
      <w:r>
        <w:rPr>
          <w:rFonts w:ascii="Arial" w:cs="Arial" w:eastAsia="Arial" w:hAnsi="Arial"/>
          <w:sz w:val="17"/>
          <w:szCs w:val="17"/>
          <w:color w:val="auto"/>
        </w:rPr>
        <w:t>The Company reports its financial results in accordance with U.S. generally accepted accounting principles (“GAAP”). However, management believes that certain non-GAAP financial measures used in managing the business may provide users of this financial information additional meaningful comparison between current results and results in prior operating periods. The Company believes that these non-GAAP financial measures are indicative of the Company’s ongoing earnings capabilities and that disclosure of these non-GAAP financial measures therefore provides useful information to investors and other users of its financial statements, such as lenders. Non-GAAP financial measures should be viewed in addition to, and not as an alternative for, the Company’s reported results prepared in accordance with GAAP.</w:t>
      </w:r>
    </w:p>
    <w:p>
      <w:pPr>
        <w:spacing w:after="0" w:line="259" w:lineRule="exact"/>
        <w:rPr>
          <w:rFonts w:ascii="Arial" w:cs="Arial" w:eastAsia="Arial" w:hAnsi="Arial"/>
          <w:sz w:val="18"/>
          <w:szCs w:val="18"/>
          <w:color w:val="auto"/>
        </w:rPr>
      </w:pPr>
    </w:p>
    <w:p>
      <w:pPr>
        <w:ind w:left="420" w:right="240" w:hanging="420"/>
        <w:spacing w:after="0" w:line="25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fiscal 2015, the Company changed its calculation of adjusted EBITDA to reflect the measure as defined in our fourth amended credit agreement. Prior periods have not been adjusted as they reflect the presentation consistent with the calculation as required by our borrowing arrangements in place at that time. The revised calculation adds adjustments for share-based compensation expense, expense on certain leases, and impairment, restructuring and other charges (including cash and non-cash charges) and no longer includes an adjustment for mark-to-market adjustments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-7014210</wp:posOffset>
            </wp:positionV>
            <wp:extent cx="7254875" cy="7031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7031990"/>
                    </a:xfrm>
                    <a:prstGeom prst="rect">
                      <a:avLst/>
                    </a:prstGeom>
                    <a:noFill/>
                  </pic:spPr>
                </pic:pic>
              </a:graphicData>
            </a:graphic>
          </wp:anchor>
        </w:drawing>
      </w:r>
    </w:p>
    <w:p>
      <w:pPr>
        <w:sectPr>
          <w:pgSz w:w="11900" w:h="16838" w:orient="portrait"/>
          <w:cols w:equalWidth="0" w:num="1">
            <w:col w:w="11180"/>
          </w:cols>
          <w:pgMar w:left="440" w:top="117" w:right="279" w:bottom="1440" w:gutter="0" w:footer="0" w:header="0"/>
        </w:sectPr>
      </w:pPr>
    </w:p>
    <w:p>
      <w:pPr>
        <w:spacing w:after="0" w:line="25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sectPr>
      <w:pgSz w:w="11900" w:h="16838" w:orient="portrait"/>
      <w:cols w:equalWidth="0" w:num="1">
        <w:col w:w="11180"/>
      </w:cols>
      <w:pgMar w:left="440" w:top="117"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2019-12-05T20:50:47Z</dcterms:created>
  <dcterms:modified xsi:type="dcterms:W3CDTF">2019-12-05T20:50:47Z</dcterms:modified>
</cp:coreProperties>
</file>