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6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00" w:lineRule="exact"/>
        <w:rPr>
          <w:sz w:val="24"/>
          <w:szCs w:val="24"/>
          <w:color w:val="auto"/>
        </w:rPr>
      </w:pP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96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26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(Commission</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File Number)</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805"/>
        </w:trPr>
        <w:tc>
          <w:tcPr>
            <w:tcW w:w="3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14111 Scottslawn Road, Marysville, Ohio</w:t>
            </w:r>
          </w:p>
        </w:tc>
        <w:tc>
          <w:tcPr>
            <w:tcW w:w="2960" w:type="dxa"/>
            <w:vAlign w:val="bottom"/>
          </w:tcPr>
          <w:p>
            <w:pPr>
              <w:spacing w:after="0"/>
              <w:rPr>
                <w:sz w:val="24"/>
                <w:szCs w:val="24"/>
                <w:color w:val="auto"/>
              </w:rPr>
            </w:pPr>
          </w:p>
        </w:tc>
        <w:tc>
          <w:tcPr>
            <w:tcW w:w="26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8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60" w:type="dxa"/>
            <w:vAlign w:val="bottom"/>
          </w:tcPr>
          <w:p>
            <w:pPr>
              <w:spacing w:after="0"/>
              <w:rPr>
                <w:sz w:val="20"/>
                <w:szCs w:val="20"/>
                <w:color w:val="auto"/>
              </w:rPr>
            </w:pPr>
          </w:p>
        </w:tc>
        <w:tc>
          <w:tcPr>
            <w:tcW w:w="26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Dimiter Todorov</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937-644-0011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180" w:right="3180" w:hanging="172"/>
        <w:spacing w:after="0" w:line="282"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43"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Scotts Miracle-Gro Company (including its consolidated subsidiaries, the “Company”) is filing this Form SD pursuant to Rule 13p-1 under the Securities Exchange Act of 1934, as amended, for the reporting period from January 1, 2023 to December 31, 2023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320" w:firstLine="441"/>
        <w:spacing w:after="0" w:line="242"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minerals</w:t>
      </w:r>
      <w:r>
        <w:rPr>
          <w:rFonts w:ascii="Times New Roman" w:cs="Times New Roman" w:eastAsia="Times New Roman" w:hAnsi="Times New Roman"/>
          <w:sz w:val="18"/>
          <w:szCs w:val="18"/>
          <w:color w:val="auto"/>
        </w:rPr>
        <w:t>” as: (i)(a) columbite-tantalite, (b) cassiterite, (c) gold and (d) wolframite, or their derivatives, which are currently limited to tantalum, tin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360" w:firstLine="441"/>
        <w:spacing w:after="0" w:line="266" w:lineRule="auto"/>
        <w:rPr>
          <w:sz w:val="20"/>
          <w:szCs w:val="20"/>
          <w:color w:val="auto"/>
        </w:rPr>
      </w:pPr>
      <w:r>
        <w:rPr>
          <w:rFonts w:ascii="Times New Roman" w:cs="Times New Roman" w:eastAsia="Times New Roman" w:hAnsi="Times New Roman"/>
          <w:sz w:val="18"/>
          <w:szCs w:val="18"/>
          <w:color w:val="auto"/>
        </w:rPr>
        <w:t>During the Reporting Period, the Company manufactured or contracted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237"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color w:val="auto"/>
        </w:rPr>
        <w:t>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its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description of the Company’s RCOI regarding the Subject Minerals is set out below.</w:t>
      </w:r>
    </w:p>
    <w:p>
      <w:pPr>
        <w:spacing w:after="0" w:line="239" w:lineRule="exact"/>
        <w:rPr>
          <w:sz w:val="20"/>
          <w:szCs w:val="20"/>
          <w:color w:val="auto"/>
        </w:rPr>
      </w:pPr>
    </w:p>
    <w:p>
      <w:pPr>
        <w:ind w:right="40" w:firstLine="441"/>
        <w:spacing w:after="0" w:line="242" w:lineRule="auto"/>
        <w:rPr>
          <w:sz w:val="20"/>
          <w:szCs w:val="20"/>
          <w:color w:val="auto"/>
        </w:rPr>
      </w:pPr>
      <w:r>
        <w:rPr>
          <w:rFonts w:ascii="Times New Roman" w:cs="Times New Roman" w:eastAsia="Times New Roman" w:hAnsi="Times New Roman"/>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198" w:lineRule="exact"/>
        <w:rPr>
          <w:sz w:val="20"/>
          <w:szCs w:val="20"/>
          <w:color w:val="auto"/>
        </w:rPr>
      </w:pPr>
    </w:p>
    <w:p>
      <w:pPr>
        <w:ind w:right="80" w:firstLine="441"/>
        <w:spacing w:after="0" w:line="239" w:lineRule="auto"/>
        <w:rPr>
          <w:sz w:val="20"/>
          <w:szCs w:val="20"/>
          <w:color w:val="auto"/>
        </w:rPr>
      </w:pPr>
      <w:r>
        <w:rPr>
          <w:rFonts w:ascii="Times New Roman" w:cs="Times New Roman" w:eastAsia="Times New Roman" w:hAnsi="Times New Roman"/>
          <w:sz w:val="18"/>
          <w:szCs w:val="18"/>
          <w:color w:val="auto"/>
        </w:rPr>
        <w:t>The Company’s research and development, supply chain, legal and compliance departments worked together to search the Company’s Product Life-cycle Management (“</w:t>
      </w:r>
      <w:r>
        <w:rPr>
          <w:rFonts w:ascii="Times New Roman" w:cs="Times New Roman" w:eastAsia="Times New Roman" w:hAnsi="Times New Roman"/>
          <w:sz w:val="18"/>
          <w:szCs w:val="18"/>
          <w:b w:val="1"/>
          <w:bCs w:val="1"/>
          <w:i w:val="1"/>
          <w:iCs w:val="1"/>
          <w:color w:val="auto"/>
        </w:rPr>
        <w:t>PLM</w:t>
      </w:r>
      <w:r>
        <w:rPr>
          <w:rFonts w:ascii="Times New Roman" w:cs="Times New Roman" w:eastAsia="Times New Roman" w:hAnsi="Times New Roman"/>
          <w:sz w:val="18"/>
          <w:szCs w:val="18"/>
          <w:color w:val="auto"/>
        </w:rPr>
        <w:t>”) database to identify where Subject Minerals were used in its products. While no responsive conflict mineral matches were uncovered in this system, the cross functional team recognized that several product lines would not necessarily be identified by PLM as containing Subject Minerals. As a result, the Company identified suppliers of materials for products falling outside the PLM database that contained metallic parts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The Company put in place a survey of the Covered Suppliers to confirm whether the Subject Minerals were contained in these products. The Company inventoried the responses it received from Covered Suppliers and determined that several vendors utilized Subject Minerals originating in the Covered Countries in products it supplied the Company. These materials and products were incorporated into finished goods sold by the Company to its customers.</w:t>
      </w:r>
    </w:p>
    <w:p>
      <w:pPr>
        <w:spacing w:after="0" w:line="214"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The RCOI conducted by the Company identified evidence that the Subject Minerals contained in several of its products during the Reporting Period originated in the Covered Countries.</w:t>
      </w:r>
    </w:p>
    <w:p>
      <w:pPr>
        <w:spacing w:after="0" w:line="18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As required by Form SD, the disclosure contained in this Form SD regarding the Company’s RCOI is available on the Company’s website located at http://investor.scotts.com.</w:t>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9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52" w:lineRule="exact"/>
        <w:rPr>
          <w:sz w:val="20"/>
          <w:szCs w:val="20"/>
          <w:color w:val="auto"/>
        </w:rPr>
      </w:pPr>
    </w:p>
    <w:p>
      <w:pPr>
        <w:ind w:left="1380"/>
        <w:spacing w:after="0"/>
        <w:tabs>
          <w:tab w:leader="none" w:pos="5940" w:val="left"/>
        </w:tabs>
        <w:rPr>
          <w:sz w:val="20"/>
          <w:szCs w:val="20"/>
          <w:color w:val="auto"/>
        </w:rPr>
      </w:pPr>
      <w:r>
        <w:rPr>
          <w:rFonts w:ascii="Times New Roman" w:cs="Times New Roman" w:eastAsia="Times New Roman" w:hAnsi="Times New Roman"/>
          <w:sz w:val="18"/>
          <w:szCs w:val="18"/>
          <w:color w:val="auto"/>
        </w:rPr>
        <w:t>Dated: May 21, 2024</w:t>
      </w:r>
      <w:r>
        <w:rPr>
          <w:sz w:val="20"/>
          <w:szCs w:val="20"/>
          <w:color w:val="auto"/>
        </w:rPr>
        <w:tab/>
      </w:r>
      <w:r>
        <w:rPr>
          <w:rFonts w:ascii="Times New Roman" w:cs="Times New Roman" w:eastAsia="Times New Roman" w:hAnsi="Times New Roman"/>
          <w:sz w:val="17"/>
          <w:szCs w:val="17"/>
          <w:color w:val="auto"/>
        </w:rPr>
        <w:t>By: /s/ DIMITER TODOROV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2529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20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Printed Name: Dimiter Todorov</w:t>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Executive Vice President, General Counsel,</w:t>
      </w:r>
    </w:p>
    <w:p>
      <w:pPr>
        <w:ind w:left="5920"/>
        <w:spacing w:after="0"/>
        <w:rPr>
          <w:sz w:val="20"/>
          <w:szCs w:val="20"/>
          <w:color w:val="auto"/>
        </w:rPr>
      </w:pPr>
      <w:r>
        <w:rPr>
          <w:rFonts w:ascii="Times New Roman" w:cs="Times New Roman" w:eastAsia="Times New Roman" w:hAnsi="Times New Roman"/>
          <w:sz w:val="18"/>
          <w:szCs w:val="18"/>
          <w:color w:val="auto"/>
        </w:rPr>
        <w:t>Corporate Secretary and Chief Compliance Officer</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2024-05-21T07:31:14Z</dcterms:created>
  <dcterms:modified xsi:type="dcterms:W3CDTF">2024-05-21T07:31:14Z</dcterms:modified>
</cp:coreProperties>
</file>