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As filed with the Securities and Exchange Commission on December 11, 2000</w:t>
      </w:r>
    </w:p>
    <w:p>
      <w:pPr>
        <w:spacing w:after="0" w:line="360" w:lineRule="exact"/>
        <w:rPr>
          <w:sz w:val="24"/>
          <w:szCs w:val="24"/>
          <w:color w:val="auto"/>
        </w:rPr>
      </w:pPr>
    </w:p>
    <w:p>
      <w:pPr>
        <w:ind w:left="5064"/>
        <w:spacing w:after="0"/>
        <w:rPr>
          <w:sz w:val="20"/>
          <w:szCs w:val="20"/>
          <w:color w:val="auto"/>
        </w:rPr>
      </w:pPr>
      <w:r>
        <w:rPr>
          <w:rFonts w:ascii="Courier New" w:cs="Courier New" w:eastAsia="Courier New" w:hAnsi="Courier New"/>
          <w:sz w:val="16"/>
          <w:szCs w:val="16"/>
          <w:color w:val="auto"/>
        </w:rPr>
        <w:t>REGISTRATION NO. 333-76739</w:t>
      </w:r>
    </w:p>
    <w:p>
      <w:pPr>
        <w:spacing w:after="0" w:line="18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ind w:left="2824"/>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AMENDMENT NO. 5</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TO</w:t>
      </w:r>
    </w:p>
    <w:p>
      <w:pPr>
        <w:ind w:left="3384"/>
        <w:spacing w:after="0"/>
        <w:rPr>
          <w:sz w:val="20"/>
          <w:szCs w:val="20"/>
          <w:color w:val="auto"/>
        </w:rPr>
      </w:pPr>
      <w:r>
        <w:rPr>
          <w:rFonts w:ascii="Courier New" w:cs="Courier New" w:eastAsia="Courier New" w:hAnsi="Courier New"/>
          <w:sz w:val="16"/>
          <w:szCs w:val="16"/>
          <w:color w:val="auto"/>
        </w:rPr>
        <w:t>FORM S-4</w:t>
      </w:r>
    </w:p>
    <w:p>
      <w:pPr>
        <w:ind w:left="2724"/>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64"/>
        <w:spacing w:after="0"/>
        <w:rPr>
          <w:sz w:val="20"/>
          <w:szCs w:val="20"/>
          <w:color w:val="auto"/>
        </w:rPr>
      </w:pPr>
      <w:r>
        <w:rPr>
          <w:rFonts w:ascii="Courier New" w:cs="Courier New" w:eastAsia="Courier New" w:hAnsi="Courier New"/>
          <w:sz w:val="16"/>
          <w:szCs w:val="16"/>
          <w:color w:val="auto"/>
        </w:rPr>
        <w:t>UNDER</w:t>
      </w:r>
    </w:p>
    <w:p>
      <w:pPr>
        <w:ind w:left="2524"/>
        <w:spacing w:after="0" w:line="238" w:lineRule="auto"/>
        <w:rPr>
          <w:sz w:val="20"/>
          <w:szCs w:val="20"/>
          <w:color w:val="auto"/>
        </w:rPr>
      </w:pPr>
      <w:r>
        <w:rPr>
          <w:rFonts w:ascii="Courier New" w:cs="Courier New" w:eastAsia="Courier New" w:hAnsi="Courier New"/>
          <w:sz w:val="16"/>
          <w:szCs w:val="16"/>
          <w:color w:val="auto"/>
        </w:rPr>
        <w:t>THE SECURITIES ACT OF 1933</w:t>
      </w:r>
    </w:p>
    <w:p>
      <w:pPr>
        <w:ind w:left="28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THE SCOTTS COMPANY</w:t>
      </w:r>
    </w:p>
    <w:p>
      <w:pPr>
        <w:ind w:left="1304"/>
        <w:spacing w:after="0"/>
        <w:rPr>
          <w:sz w:val="20"/>
          <w:szCs w:val="20"/>
          <w:color w:val="auto"/>
        </w:rPr>
      </w:pPr>
      <w:r>
        <w:rPr>
          <w:rFonts w:ascii="Courier New" w:cs="Courier New" w:eastAsia="Courier New" w:hAnsi="Courier New"/>
          <w:sz w:val="16"/>
          <w:szCs w:val="16"/>
          <w:color w:val="auto"/>
        </w:rPr>
        <w:t>and the Guarantors identified in footnote (1) below</w:t>
      </w:r>
    </w:p>
    <w:p>
      <w:pPr>
        <w:ind w:left="1224"/>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OHIO</w:t>
            </w:r>
          </w:p>
        </w:tc>
        <w:tc>
          <w:tcPr>
            <w:tcW w:w="900" w:type="dxa"/>
            <w:vAlign w:val="bottom"/>
          </w:tcPr>
          <w:p>
            <w:pPr>
              <w:spacing w:after="0"/>
              <w:rPr>
                <w:sz w:val="15"/>
                <w:szCs w:val="15"/>
                <w:color w:val="auto"/>
              </w:rPr>
            </w:pPr>
          </w:p>
        </w:tc>
        <w:tc>
          <w:tcPr>
            <w:tcW w:w="31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2875</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31-1199481</w:t>
            </w:r>
          </w:p>
        </w:tc>
      </w:tr>
      <w:tr>
        <w:trPr>
          <w:trHeight w:val="361"/>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(Primary Standard Industrial</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(I.R.S. Employer</w:t>
            </w:r>
          </w:p>
        </w:tc>
      </w:tr>
      <w:tr>
        <w:trPr>
          <w:trHeight w:val="180"/>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Classification Code Number)</w:t>
            </w:r>
          </w:p>
        </w:tc>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Identification No.)</w:t>
            </w:r>
          </w:p>
        </w:tc>
      </w:tr>
      <w:tr>
        <w:trPr>
          <w:trHeight w:val="721"/>
        </w:trPr>
        <w:tc>
          <w:tcPr>
            <w:tcW w:w="7960" w:type="dxa"/>
            <w:vAlign w:val="bottom"/>
            <w:gridSpan w:val="4"/>
          </w:tcPr>
          <w:p>
            <w:pPr>
              <w:jc w:val="center"/>
              <w:ind w:right="382"/>
              <w:spacing w:after="0"/>
              <w:rPr>
                <w:sz w:val="20"/>
                <w:szCs w:val="20"/>
                <w:color w:val="auto"/>
              </w:rPr>
            </w:pPr>
            <w:r>
              <w:rPr>
                <w:rFonts w:ascii="Courier New" w:cs="Courier New" w:eastAsia="Courier New" w:hAnsi="Courier New"/>
                <w:sz w:val="16"/>
                <w:szCs w:val="16"/>
                <w:color w:val="auto"/>
                <w:w w:val="97"/>
              </w:rPr>
              <w:t>41 SOUTH HIGH STREET, SUITE 3500, COLUMBUS, OHIO 43215, (614) 719-5500</w:t>
            </w:r>
          </w:p>
        </w:tc>
      </w:tr>
      <w:tr>
        <w:trPr>
          <w:trHeight w:val="180"/>
        </w:trPr>
        <w:tc>
          <w:tcPr>
            <w:tcW w:w="6180" w:type="dxa"/>
            <w:vAlign w:val="bottom"/>
            <w:gridSpan w:val="3"/>
          </w:tcPr>
          <w:p>
            <w:pPr>
              <w:jc w:val="center"/>
              <w:ind w:left="1322"/>
              <w:spacing w:after="0"/>
              <w:rPr>
                <w:sz w:val="20"/>
                <w:szCs w:val="20"/>
                <w:color w:val="auto"/>
              </w:rPr>
            </w:pPr>
            <w:r>
              <w:rPr>
                <w:rFonts w:ascii="Courier New" w:cs="Courier New" w:eastAsia="Courier New" w:hAnsi="Courier New"/>
                <w:sz w:val="16"/>
                <w:szCs w:val="16"/>
                <w:color w:val="auto"/>
                <w:w w:val="97"/>
              </w:rPr>
              <w:t>(Address, including zip code, and telephone number,</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including area</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code, of Registrant's principal executive offices)</w:t>
            </w:r>
          </w:p>
        </w:tc>
      </w:tr>
      <w:tr>
        <w:trPr>
          <w:trHeight w:val="361"/>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80" w:type="dxa"/>
            <w:vAlign w:val="bottom"/>
          </w:tcPr>
          <w:p>
            <w:pPr>
              <w:jc w:val="center"/>
              <w:ind w:right="1502"/>
              <w:spacing w:after="0"/>
              <w:rPr>
                <w:sz w:val="20"/>
                <w:szCs w:val="20"/>
                <w:color w:val="auto"/>
              </w:rPr>
            </w:pPr>
            <w:r>
              <w:rPr>
                <w:rFonts w:ascii="Courier New" w:cs="Courier New" w:eastAsia="Courier New" w:hAnsi="Courier New"/>
                <w:sz w:val="16"/>
                <w:szCs w:val="16"/>
                <w:color w:val="auto"/>
                <w:w w:val="97"/>
              </w:rPr>
              <w:t>G. ROBERT LUCAS</w:t>
            </w:r>
          </w:p>
        </w:tc>
        <w:tc>
          <w:tcPr>
            <w:tcW w:w="1780" w:type="dxa"/>
            <w:vAlign w:val="bottom"/>
          </w:tcPr>
          <w:p>
            <w:pPr>
              <w:spacing w:after="0"/>
              <w:rPr>
                <w:sz w:val="24"/>
                <w:szCs w:val="24"/>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22"/>
              <w:spacing w:after="0"/>
              <w:rPr>
                <w:sz w:val="20"/>
                <w:szCs w:val="20"/>
                <w:color w:val="auto"/>
              </w:rPr>
            </w:pPr>
            <w:r>
              <w:rPr>
                <w:rFonts w:ascii="Courier New" w:cs="Courier New" w:eastAsia="Courier New" w:hAnsi="Courier New"/>
                <w:sz w:val="16"/>
                <w:szCs w:val="16"/>
                <w:color w:val="auto"/>
                <w:w w:val="97"/>
              </w:rPr>
              <w:t>41 SOUTH HIGH STREET, SUITE 3500</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02"/>
              <w:spacing w:after="0"/>
              <w:rPr>
                <w:sz w:val="20"/>
                <w:szCs w:val="20"/>
                <w:color w:val="auto"/>
              </w:rPr>
            </w:pPr>
            <w:r>
              <w:rPr>
                <w:rFonts w:ascii="Courier New" w:cs="Courier New" w:eastAsia="Courier New" w:hAnsi="Courier New"/>
                <w:sz w:val="16"/>
                <w:szCs w:val="16"/>
                <w:color w:val="auto"/>
                <w:w w:val="96"/>
              </w:rPr>
              <w:t>COLUMBUS, OHIO 43215</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(614) 719-5500</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(Name,</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address, including zip code, and telephone</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including area code, of agent for service)</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center"/>
              <w:ind w:right="1602"/>
              <w:spacing w:after="0"/>
              <w:rPr>
                <w:sz w:val="20"/>
                <w:szCs w:val="20"/>
                <w:color w:val="auto"/>
              </w:rPr>
            </w:pPr>
            <w:r>
              <w:rPr>
                <w:rFonts w:ascii="Courier New" w:cs="Courier New" w:eastAsia="Courier New" w:hAnsi="Courier New"/>
                <w:sz w:val="16"/>
                <w:szCs w:val="16"/>
                <w:color w:val="auto"/>
                <w:w w:val="97"/>
              </w:rPr>
              <w:t>COPIES TO:</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02"/>
              <w:spacing w:after="0"/>
              <w:rPr>
                <w:sz w:val="20"/>
                <w:szCs w:val="20"/>
                <w:color w:val="auto"/>
              </w:rPr>
            </w:pPr>
            <w:r>
              <w:rPr>
                <w:rFonts w:ascii="Courier New" w:cs="Courier New" w:eastAsia="Courier New" w:hAnsi="Courier New"/>
                <w:sz w:val="16"/>
                <w:szCs w:val="16"/>
                <w:color w:val="auto"/>
                <w:w w:val="97"/>
              </w:rPr>
              <w:t>RONALD A. ROBINS, JR.</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VORYS, SATER, SEYMOUR AND PEASE LLP</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52 EAST GAY STREET, P.O. BOX 1008</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COLUMBUS, OHIO 43216-1008</w:t>
            </w:r>
          </w:p>
        </w:tc>
        <w:tc>
          <w:tcPr>
            <w:tcW w:w="1780" w:type="dxa"/>
            <w:vAlign w:val="bottom"/>
          </w:tcPr>
          <w:p>
            <w:pPr>
              <w:spacing w:after="0"/>
              <w:rPr>
                <w:sz w:val="15"/>
                <w:szCs w:val="15"/>
                <w:color w:val="auto"/>
              </w:rPr>
            </w:pPr>
          </w:p>
        </w:tc>
      </w:tr>
      <w:tr>
        <w:trPr>
          <w:trHeight w:val="180"/>
        </w:trPr>
        <w:tc>
          <w:tcPr>
            <w:tcW w:w="618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APPROXIMATE DATE</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COMMENCEMENT OF PROPOSED SALE OF THE SECURITIES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TO THE PUBLIC: As soon</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 practicable after the effective date of this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Statement</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the Registrant shall determine.</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If the securities</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being registered on this Form are being offered in</w:t>
            </w:r>
          </w:p>
        </w:tc>
      </w:tr>
      <w:tr>
        <w:trPr>
          <w:trHeight w:val="180"/>
        </w:trPr>
        <w:tc>
          <w:tcPr>
            <w:tcW w:w="7960" w:type="dxa"/>
            <w:vAlign w:val="bottom"/>
            <w:gridSpan w:val="4"/>
          </w:tcPr>
          <w:p>
            <w:pPr>
              <w:spacing w:after="0"/>
              <w:rPr>
                <w:sz w:val="20"/>
                <w:szCs w:val="20"/>
                <w:color w:val="auto"/>
              </w:rPr>
            </w:pPr>
            <w:r>
              <w:rPr>
                <w:rFonts w:ascii="Courier New" w:cs="Courier New" w:eastAsia="Courier New" w:hAnsi="Courier New"/>
                <w:sz w:val="16"/>
                <w:szCs w:val="16"/>
                <w:color w:val="auto"/>
              </w:rPr>
              <w:t>connection with the formation of a holding company and there is compliance with</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General Instruction G,</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following box: [ ]</w:t>
            </w:r>
          </w:p>
        </w:tc>
        <w:tc>
          <w:tcPr>
            <w:tcW w:w="1780" w:type="dxa"/>
            <w:vAlign w:val="bottom"/>
          </w:tcPr>
          <w:p>
            <w:pPr>
              <w:spacing w:after="0"/>
              <w:rPr>
                <w:sz w:val="15"/>
                <w:szCs w:val="15"/>
                <w:color w:val="auto"/>
              </w:rPr>
            </w:pPr>
          </w:p>
        </w:tc>
      </w:tr>
    </w:tbl>
    <w:p>
      <w:pPr>
        <w:spacing w:after="0" w:line="185" w:lineRule="exact"/>
        <w:rPr>
          <w:sz w:val="24"/>
          <w:szCs w:val="24"/>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4"/>
          <w:szCs w:val="24"/>
          <w:color w:val="auto"/>
        </w:rPr>
      </w:pPr>
    </w:p>
    <w:p>
      <w:pPr>
        <w:ind w:left="4" w:right="2899" w:hanging="4"/>
        <w:spacing w:after="0" w:line="254" w:lineRule="auto"/>
        <w:tabs>
          <w:tab w:leader="none" w:pos="7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domestic direct and indirect subsidiaries of Scotts are guarantors of the notes and co-registrants. Each of the guarantors is incorporated in the State of Ohio, unless otherwise indicated, and has the I.R.S. Employer Identification Number indicated: Scotts' Miracle-Gro Products, Inc., a New York corporation (31-1433894); Miracle-Gro Lawn Products, Inc., a New York corporation (11-3186421); Miracle-Gro Products Ltd., a New York corporation (11-3028862); OMS Investments, Inc., a Delaware corporation</w:t>
      </w:r>
    </w:p>
    <w:p>
      <w:pPr>
        <w:spacing w:after="0" w:line="3" w:lineRule="exact"/>
        <w:rPr>
          <w:rFonts w:ascii="Courier New" w:cs="Courier New" w:eastAsia="Courier New" w:hAnsi="Courier New"/>
          <w:sz w:val="15"/>
          <w:szCs w:val="15"/>
          <w:color w:val="auto"/>
        </w:rPr>
      </w:pPr>
    </w:p>
    <w:p>
      <w:pPr>
        <w:ind w:left="4" w:right="28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(51-0357374); Old Fort Financial Corp., a Delaware corporation (13-3052947); Hyponex Corporation, a Delaware corporation (31-1254519); EarthGro, Inc., a Connecticut corporation (06-1317438); Scotts Products Co., an Ohio corporation (31-1269080); Scotts Professional Products Co., an Ohio corporation</w:t>
      </w:r>
    </w:p>
    <w:p>
      <w:pPr>
        <w:spacing w:after="0" w:line="2" w:lineRule="exact"/>
        <w:rPr>
          <w:rFonts w:ascii="Courier New" w:cs="Courier New" w:eastAsia="Courier New" w:hAnsi="Courier New"/>
          <w:sz w:val="15"/>
          <w:szCs w:val="15"/>
          <w:color w:val="auto"/>
        </w:rPr>
      </w:pPr>
    </w:p>
    <w:p>
      <w:pPr>
        <w:ind w:left="4"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(31-1269066); Republic Tool &amp; Manufacturing Corp., a Delaware corporation (33-0536684); Scotts-Sierra Horticultural Products Company, a California corporation (94-1634227); Scotts-Sierra Crop Protection Company, a California corporation (77-0153275); Scotts-Sierra Investments, Inc., a Delaware corporation (51-0371209); and Swiss Farms Products, Inc., a Delaware corporation (88-0407223).</w:t>
      </w:r>
    </w:p>
    <w:p>
      <w:pPr>
        <w:sectPr>
          <w:pgSz w:w="11900" w:h="16838" w:orient="portrait"/>
          <w:cols w:equalWidth="0" w:num="1">
            <w:col w:w="10223"/>
          </w:cols>
          <w:pgMar w:left="236" w:top="233" w:right="1440" w:bottom="0" w:gutter="0" w:footer="0" w:header="0"/>
        </w:sectPr>
      </w:pPr>
    </w:p>
    <w:bookmarkStart w:id="1" w:name="page2"/>
    <w:bookmarkEnd w:id="1"/>
    <w:p>
      <w:pPr>
        <w:ind w:left="2344"/>
        <w:spacing w:after="0"/>
        <w:rPr>
          <w:sz w:val="20"/>
          <w:szCs w:val="20"/>
          <w:color w:val="auto"/>
        </w:rPr>
      </w:pPr>
      <w:r>
        <w:rPr>
          <w:rFonts w:ascii="Courier New" w:cs="Courier New" w:eastAsia="Courier New" w:hAnsi="Courier New"/>
          <w:sz w:val="16"/>
          <w:szCs w:val="16"/>
          <w:color w:val="auto"/>
        </w:rPr>
        <w:t>CALCULATION OF REGISTRATION FEE</w:t>
      </w: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24"/>
        <w:spacing w:after="0"/>
        <w:tabs>
          <w:tab w:leader="none" w:pos="4943" w:val="left"/>
          <w:tab w:leader="none" w:pos="7303" w:val="left"/>
          <w:tab w:leader="none" w:pos="10203"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ind w:left="844"/>
        <w:spacing w:after="0"/>
        <w:tabs>
          <w:tab w:leader="none" w:pos="5043" w:val="left"/>
          <w:tab w:leader="none" w:pos="7023" w:val="left"/>
          <w:tab w:leader="none" w:pos="9823"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OFFERING PRICE PER UNIT</w:t>
      </w:r>
      <w:r>
        <w:rPr>
          <w:sz w:val="20"/>
          <w:szCs w:val="20"/>
          <w:color w:val="auto"/>
        </w:rPr>
        <w:tab/>
      </w:r>
      <w:r>
        <w:rPr>
          <w:rFonts w:ascii="Courier New" w:cs="Courier New" w:eastAsia="Courier New" w:hAnsi="Courier New"/>
          <w:sz w:val="15"/>
          <w:szCs w:val="15"/>
          <w:color w:val="auto"/>
        </w:rPr>
        <w:t>REGISTRATION FEE</w:t>
      </w:r>
    </w:p>
    <w:p>
      <w:pPr>
        <w:spacing w:after="0" w:line="35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8.625% Senior Subordinated 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100%</w:t>
      </w:r>
      <w:r>
        <w:rPr>
          <w:sz w:val="20"/>
          <w:szCs w:val="20"/>
          <w:color w:val="auto"/>
        </w:rPr>
        <w:tab/>
      </w:r>
      <w:r>
        <w:rPr>
          <w:rFonts w:ascii="Courier New" w:cs="Courier New" w:eastAsia="Courier New" w:hAnsi="Courier New"/>
          <w:sz w:val="15"/>
          <w:szCs w:val="15"/>
          <w:color w:val="auto"/>
        </w:rPr>
        <w:t>$91,740(2)</w:t>
      </w:r>
    </w:p>
    <w:p>
      <w:pPr>
        <w:ind w:left="4"/>
        <w:spacing w:after="0"/>
        <w:rPr>
          <w:sz w:val="20"/>
          <w:szCs w:val="20"/>
          <w:color w:val="auto"/>
        </w:rPr>
      </w:pPr>
      <w:r>
        <w:rPr>
          <w:rFonts w:ascii="Courier New" w:cs="Courier New" w:eastAsia="Courier New" w:hAnsi="Courier New"/>
          <w:sz w:val="16"/>
          <w:szCs w:val="16"/>
          <w:color w:val="auto"/>
        </w:rPr>
        <w:t>Guarantee of 8.625% Senior Subordinated</w:t>
      </w: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w:t>
      </w:r>
    </w:p>
    <w:p>
      <w:pPr>
        <w:spacing w:after="0" w:line="184" w:lineRule="exact"/>
        <w:rPr>
          <w:rFonts w:ascii="Courier New" w:cs="Courier New" w:eastAsia="Courier New" w:hAnsi="Courier New"/>
          <w:sz w:val="16"/>
          <w:szCs w:val="16"/>
          <w:color w:val="auto"/>
        </w:rPr>
      </w:pPr>
    </w:p>
    <w:p>
      <w:pPr>
        <w:ind w:left="564" w:right="4680" w:hanging="564"/>
        <w:spacing w:after="0" w:line="259" w:lineRule="auto"/>
        <w:tabs>
          <w:tab w:leader="none" w:pos="56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consideration for the Guarantees of the 8.625% Senior Subordinated Notes due 2009 will be furnished. Pursuant to Rule 457(n), no separate fee is payable with respect to such Guarantees.</w:t>
      </w:r>
    </w:p>
    <w:p>
      <w:pPr>
        <w:spacing w:after="0" w:line="200" w:lineRule="exact"/>
        <w:rPr>
          <w:sz w:val="20"/>
          <w:szCs w:val="20"/>
          <w:color w:val="auto"/>
        </w:rPr>
      </w:pPr>
    </w:p>
    <w:p>
      <w:pPr>
        <w:spacing w:after="0" w:line="332" w:lineRule="exact"/>
        <w:rPr>
          <w:sz w:val="20"/>
          <w:szCs w:val="20"/>
          <w:color w:val="auto"/>
        </w:rPr>
      </w:pPr>
    </w:p>
    <w:p>
      <w:pPr>
        <w:ind w:left="4" w:right="4120"/>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524"/>
          </w:cols>
          <w:pgMar w:left="236" w:top="137"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5" w:lineRule="exact"/>
        <w:rPr>
          <w:sz w:val="20"/>
          <w:szCs w:val="20"/>
          <w:color w:val="auto"/>
        </w:rPr>
      </w:pPr>
    </w:p>
    <w:p>
      <w:pPr>
        <w:ind w:left="1020" w:right="3099"/>
        <w:spacing w:after="0" w:line="25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35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SUBJECT TO COMPLETION, DATED DECEMBER 11, 2000</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PROSPECTUS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SCOTTS COMPANY</w:t>
      </w:r>
    </w:p>
    <w:p>
      <w:pPr>
        <w:ind w:left="2720"/>
        <w:spacing w:after="0"/>
        <w:rPr>
          <w:sz w:val="20"/>
          <w:szCs w:val="20"/>
          <w:color w:val="auto"/>
        </w:rPr>
      </w:pPr>
      <w:r>
        <w:rPr>
          <w:rFonts w:ascii="Courier New" w:cs="Courier New" w:eastAsia="Courier New" w:hAnsi="Courier New"/>
          <w:sz w:val="16"/>
          <w:szCs w:val="16"/>
          <w:color w:val="auto"/>
        </w:rPr>
        <w:t>OFFER TO EXCHANGE ITS</w:t>
      </w:r>
    </w:p>
    <w:p>
      <w:pPr>
        <w:ind w:left="2240"/>
        <w:spacing w:after="0" w:line="237" w:lineRule="auto"/>
        <w:rPr>
          <w:sz w:val="20"/>
          <w:szCs w:val="20"/>
          <w:color w:val="auto"/>
        </w:rPr>
      </w:pPr>
      <w:r>
        <w:rPr>
          <w:rFonts w:ascii="Courier New" w:cs="Courier New" w:eastAsia="Courier New" w:hAnsi="Courier New"/>
          <w:sz w:val="16"/>
          <w:szCs w:val="16"/>
          <w:color w:val="auto"/>
        </w:rPr>
        <w:t>8.625% SENIOR SUBORDINATED NOTES</w:t>
      </w:r>
    </w:p>
    <w:p>
      <w:pPr>
        <w:ind w:left="1600"/>
        <w:spacing w:after="0"/>
        <w:rPr>
          <w:sz w:val="20"/>
          <w:szCs w:val="20"/>
          <w:color w:val="auto"/>
        </w:rPr>
      </w:pPr>
      <w:r>
        <w:rPr>
          <w:rFonts w:ascii="Courier New" w:cs="Courier New" w:eastAsia="Courier New" w:hAnsi="Courier New"/>
          <w:sz w:val="16"/>
          <w:szCs w:val="16"/>
          <w:color w:val="auto"/>
        </w:rPr>
        <w:t>DUE 2009, WHICH HAVE BEEN REGISTERED UNDER THE</w:t>
      </w:r>
    </w:p>
    <w:p>
      <w:pPr>
        <w:ind w:left="2720"/>
        <w:spacing w:after="0" w:line="238" w:lineRule="auto"/>
        <w:rPr>
          <w:sz w:val="20"/>
          <w:szCs w:val="20"/>
          <w:color w:val="auto"/>
        </w:rPr>
      </w:pPr>
      <w:r>
        <w:rPr>
          <w:rFonts w:ascii="Courier New" w:cs="Courier New" w:eastAsia="Courier New" w:hAnsi="Courier New"/>
          <w:sz w:val="16"/>
          <w:szCs w:val="16"/>
          <w:color w:val="auto"/>
        </w:rPr>
        <w:t>SECURITIES ACT OF 1933</w:t>
      </w:r>
    </w:p>
    <w:p>
      <w:pPr>
        <w:ind w:left="2060"/>
        <w:spacing w:after="0"/>
        <w:rPr>
          <w:sz w:val="20"/>
          <w:szCs w:val="20"/>
          <w:color w:val="auto"/>
        </w:rPr>
      </w:pPr>
      <w:r>
        <w:rPr>
          <w:rFonts w:ascii="Courier New" w:cs="Courier New" w:eastAsia="Courier New" w:hAnsi="Courier New"/>
          <w:sz w:val="16"/>
          <w:szCs w:val="16"/>
          <w:color w:val="auto"/>
        </w:rPr>
        <w:t>FOR AN EQUAL PRINCIPAL AMOUNT OF ITS</w:t>
      </w:r>
    </w:p>
    <w:p>
      <w:pPr>
        <w:ind w:left="1780"/>
        <w:spacing w:after="0" w:line="238" w:lineRule="auto"/>
        <w:rPr>
          <w:sz w:val="20"/>
          <w:szCs w:val="20"/>
          <w:color w:val="auto"/>
        </w:rPr>
      </w:pPr>
      <w:r>
        <w:rPr>
          <w:rFonts w:ascii="Courier New" w:cs="Courier New" w:eastAsia="Courier New" w:hAnsi="Courier New"/>
          <w:sz w:val="16"/>
          <w:szCs w:val="16"/>
          <w:color w:val="auto"/>
        </w:rPr>
        <w:t>8.625% SENIOR SUBORDINATED NOTES DUE 2009,</w:t>
      </w:r>
    </w:p>
    <w:p>
      <w:pPr>
        <w:ind w:left="2340"/>
        <w:spacing w:after="0"/>
        <w:rPr>
          <w:sz w:val="20"/>
          <w:szCs w:val="20"/>
          <w:color w:val="auto"/>
        </w:rPr>
      </w:pPr>
      <w:r>
        <w:rPr>
          <w:rFonts w:ascii="Courier New" w:cs="Courier New" w:eastAsia="Courier New" w:hAnsi="Courier New"/>
          <w:sz w:val="16"/>
          <w:szCs w:val="16"/>
          <w:color w:val="auto"/>
        </w:rPr>
        <w:t>WHICH HAVE NOT BEEN REGISTERED</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DIFFERENCES IN TERMS OF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The new notes and the original notes are identical, except</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that the original notes contained transfer restrictions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and registration rights that the new notes do not contain.</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PROCEDURE FOR EXCHANGING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To exchange your notes, you must complete the accompanying</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letter of transmittal and mail it and your original notes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our exchange agent, as described in the letter of</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transmittal.</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DEADLINE:</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Unless we extend the exchange offer, it will expire at</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5:00 p.m., New York City time, on</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WITHDRAWAL RIGHTS: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Notes delivered for exchange may be withdrawn at any time</w:t>
            </w:r>
          </w:p>
        </w:tc>
      </w:tr>
      <w:tr>
        <w:trPr>
          <w:trHeight w:val="180"/>
        </w:trPr>
        <w:tc>
          <w:tcPr>
            <w:tcW w:w="3800" w:type="dxa"/>
            <w:vAlign w:val="bottom"/>
          </w:tcPr>
          <w:p>
            <w:pPr>
              <w:spacing w:after="0"/>
              <w:rPr>
                <w:sz w:val="15"/>
                <w:szCs w:val="15"/>
                <w:color w:val="auto"/>
              </w:rPr>
            </w:pP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prior to 5:00 p.m., New York City time, on</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 2000.</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MARKET FOR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The notes are expected to trade in the Private Offerings,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Resales, and Trading through Automatic Linkages Market.</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We will pay all expenses of the exchange offer.</w:t>
            </w:r>
          </w:p>
        </w:tc>
        <w:tc>
          <w:tcPr>
            <w:tcW w:w="940" w:type="dxa"/>
            <w:vAlign w:val="bottom"/>
          </w:tcPr>
          <w:p>
            <w:pPr>
              <w:spacing w:after="0"/>
              <w:rPr>
                <w:sz w:val="15"/>
                <w:szCs w:val="15"/>
                <w:color w:val="auto"/>
              </w:rPr>
            </w:pPr>
          </w:p>
        </w:tc>
      </w:tr>
      <w:tr>
        <w:trPr>
          <w:trHeight w:val="54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7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8"/>
              </w:rPr>
              <w:t>INVESTING IN THE NOTES INVOLVES RISKS. SEE "RISK FACTORS" BEGINNING ON PAGE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w w:val="98"/>
              </w:rPr>
              <w:t>Neither the Securities and Exchange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Commission nor any state securities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commission has approved or disapproved these securities or determined if this prospectus is truthful or complete. Any representation to the contrary is a criminal offense.</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721"/>
        </w:trPr>
        <w:tc>
          <w:tcPr>
            <w:tcW w:w="5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5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Prospectus Summary..........................................</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Risk Factors................................................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Ratio of Earnings to Fixed Charges..........................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Capitalization..............................................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Selected Consolidated Financial Data........................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The Exchange Offer..........................................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Description of Notes........................................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United States Federal Tax Considerations....................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Legal Matters...............................................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Independent Auditors........................................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Where You Can Find More Information.........................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Disclosure Regarding Forward-Looking Statements.............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r>
      <w:tr>
        <w:trPr>
          <w:trHeight w:val="541"/>
        </w:trPr>
        <w:tc>
          <w:tcPr>
            <w:tcW w:w="5720" w:type="dxa"/>
            <w:vAlign w:val="bottom"/>
          </w:tcPr>
          <w:p>
            <w:pPr>
              <w:ind w:left="3740"/>
              <w:spacing w:after="0"/>
              <w:rPr>
                <w:sz w:val="20"/>
                <w:szCs w:val="20"/>
                <w:color w:val="auto"/>
              </w:rPr>
            </w:pPr>
            <w:r>
              <w:rPr>
                <w:rFonts w:ascii="Courier New" w:cs="Courier New" w:eastAsia="Courier New" w:hAnsi="Courier New"/>
                <w:sz w:val="16"/>
                <w:szCs w:val="16"/>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PROSPECTUS SUMMARY</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ABOUT OUR COMPANY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national retailers. Our portfolio of consumer brands that we believe hold a top one or two leading U.S. market share position in their market includes the following:</w:t>
      </w:r>
    </w:p>
    <w:p>
      <w:pPr>
        <w:spacing w:after="0" w:line="184" w:lineRule="exact"/>
        <w:rPr>
          <w:sz w:val="20"/>
          <w:szCs w:val="20"/>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ORTHO(R)</w:t>
      </w:r>
    </w:p>
    <w:p>
      <w:pPr>
        <w:spacing w:after="0" w:line="184" w:lineRule="exact"/>
        <w:rPr>
          <w:rFonts w:ascii="Courier New" w:cs="Courier New" w:eastAsia="Courier New" w:hAnsi="Courier New"/>
          <w:sz w:val="16"/>
          <w:szCs w:val="16"/>
          <w:color w:val="auto"/>
        </w:rPr>
      </w:pPr>
    </w:p>
    <w:p>
      <w:pPr>
        <w:ind w:left="660" w:right="3279" w:hanging="195"/>
        <w:spacing w:after="0" w:line="263" w:lineRule="auto"/>
        <w:tabs>
          <w:tab w:leader="none" w:pos="6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which is a registered trademark of Monsanto Company. We market and distribute consumer Roundup(R) products for Monsanto.</w:t>
      </w:r>
    </w:p>
    <w:p>
      <w:pPr>
        <w:spacing w:after="0" w:line="16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HYPONEX(R)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portfolio of European Union brands includes the following:</w:t>
      </w:r>
    </w:p>
    <w:p>
      <w:pPr>
        <w:spacing w:after="0" w:line="179" w:lineRule="exact"/>
        <w:rPr>
          <w:sz w:val="20"/>
          <w:szCs w:val="20"/>
          <w:color w:val="auto"/>
        </w:rPr>
      </w:pPr>
    </w:p>
    <w:p>
      <w:pPr>
        <w:ind w:left="660" w:hanging="195"/>
        <w:spacing w:after="0"/>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 WEEDOL(R), LEVINGTON(R), KB(R), FERTILIGENE(R),</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CELAFLOR(R) AND NEXA-LOTTE(R)</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THE ISSUANCE OF THE ORIGINAL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original notes were issued and sold on January 21, 1999, in a transaction not registered under the Securities Act in reliance upon an exemption from registration. The initial purchaser of the original notes was Salomon Smith Barney Inc. Salomon Smith Barney subsequently resold the original notes under Rule 144A and Regulation S under the Securities Act. In connection with the issuance of the original notes, we entered into a registration rights agreement with Salomon Smith Barney which provides the holders of the notes with registration and exchange rights. The exchange offer is intended to satisfy our obligations under the registration rights agreement.</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original notes are represented by two, permanent global notes which are registered in the name of a nominee of The Depositary Trust Company. Participants in the DTC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5"/>
          <w:szCs w:val="15"/>
          <w:color w:val="auto"/>
        </w:rPr>
        <w:t>We are offering to exchange up to $330 million in</w:t>
      </w:r>
    </w:p>
    <w:p>
      <w:pPr>
        <w:ind w:left="2720"/>
        <w:spacing w:after="0"/>
        <w:rPr>
          <w:sz w:val="20"/>
          <w:szCs w:val="20"/>
          <w:color w:val="auto"/>
        </w:rPr>
      </w:pPr>
      <w:r>
        <w:rPr>
          <w:rFonts w:ascii="Courier New" w:cs="Courier New" w:eastAsia="Courier New" w:hAnsi="Courier New"/>
          <w:sz w:val="16"/>
          <w:szCs w:val="16"/>
          <w:color w:val="auto"/>
        </w:rPr>
        <w:t>principal amount of notes which have been</w:t>
      </w:r>
    </w:p>
    <w:p>
      <w:pPr>
        <w:ind w:left="2720"/>
        <w:spacing w:after="0" w:line="237" w:lineRule="auto"/>
        <w:rPr>
          <w:sz w:val="20"/>
          <w:szCs w:val="20"/>
          <w:color w:val="auto"/>
        </w:rPr>
      </w:pPr>
      <w:r>
        <w:rPr>
          <w:rFonts w:ascii="Courier New" w:cs="Courier New" w:eastAsia="Courier New" w:hAnsi="Courier New"/>
          <w:sz w:val="16"/>
          <w:szCs w:val="16"/>
          <w:color w:val="auto"/>
        </w:rPr>
        <w:t>registered under the Securities Act for a like</w:t>
      </w:r>
    </w:p>
    <w:p>
      <w:pPr>
        <w:ind w:left="2720"/>
        <w:spacing w:after="0"/>
        <w:rPr>
          <w:sz w:val="20"/>
          <w:szCs w:val="20"/>
          <w:color w:val="auto"/>
        </w:rPr>
      </w:pPr>
      <w:r>
        <w:rPr>
          <w:rFonts w:ascii="Courier New" w:cs="Courier New" w:eastAsia="Courier New" w:hAnsi="Courier New"/>
          <w:sz w:val="16"/>
          <w:szCs w:val="16"/>
          <w:color w:val="auto"/>
        </w:rPr>
        <w:t>principal amount of original notes which were</w:t>
      </w:r>
    </w:p>
    <w:p>
      <w:pPr>
        <w:ind w:left="2720"/>
        <w:spacing w:after="0" w:line="238" w:lineRule="auto"/>
        <w:rPr>
          <w:sz w:val="20"/>
          <w:szCs w:val="20"/>
          <w:color w:val="auto"/>
        </w:rPr>
      </w:pPr>
      <w:r>
        <w:rPr>
          <w:rFonts w:ascii="Courier New" w:cs="Courier New" w:eastAsia="Courier New" w:hAnsi="Courier New"/>
          <w:sz w:val="16"/>
          <w:szCs w:val="16"/>
          <w:color w:val="auto"/>
        </w:rPr>
        <w:t>issued without registration.</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5"/>
          <w:szCs w:val="15"/>
          <w:color w:val="auto"/>
        </w:rPr>
        <w:t>This exchange offer will expire at 5:00 p.m., New</w:t>
      </w:r>
    </w:p>
    <w:tbl>
      <w:tblPr>
        <w:tblLayout w:type="fixed"/>
        <w:tblInd w:w="0" w:type="dxa"/>
        <w:tblCellMar>
          <w:top w:w="0" w:type="dxa"/>
          <w:left w:w="0" w:type="dxa"/>
          <w:bottom w:w="0" w:type="dxa"/>
          <w:right w:w="0" w:type="dxa"/>
        </w:tblCellMar>
      </w:tblP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York City time, on</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w w:val="99"/>
              </w:rPr>
              <w:t>, 2000. If</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w w:val="94"/>
              </w:rPr>
              <w:t>we choose</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rPr>
              <w:t>to extend the exchange offer, the expiration date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will be the latest date and time to which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it is</w:t>
            </w:r>
          </w:p>
        </w:tc>
      </w:t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extended.</w:t>
            </w: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PROCEDURES FOR EXCHANGING</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6600" w:type="dxa"/>
            <w:vAlign w:val="bottom"/>
            <w:gridSpan w:val="2"/>
          </w:tcPr>
          <w:p>
            <w:pPr>
              <w:spacing w:after="0"/>
              <w:rPr>
                <w:sz w:val="20"/>
                <w:szCs w:val="20"/>
                <w:color w:val="auto"/>
              </w:rPr>
            </w:pPr>
            <w:r>
              <w:rPr>
                <w:rFonts w:ascii="Courier New" w:cs="Courier New" w:eastAsia="Courier New" w:hAnsi="Courier New"/>
                <w:sz w:val="16"/>
                <w:szCs w:val="16"/>
                <w:color w:val="auto"/>
                <w:w w:val="97"/>
              </w:rPr>
              <w:t>NOTES......................  If you want to accept the exchange offer,</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you must</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w w:val="99"/>
              </w:rPr>
              <w:t>complete, sign and date the accompanying letter of</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transmittal and deliver it, together with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original notes and any other required</w:t>
            </w:r>
          </w:p>
        </w:tc>
        <w:tc>
          <w:tcPr>
            <w:tcW w:w="900" w:type="dxa"/>
            <w:vAlign w:val="bottom"/>
          </w:tcPr>
          <w:p>
            <w:pPr>
              <w:spacing w:after="0"/>
              <w:rPr>
                <w:sz w:val="15"/>
                <w:szCs w:val="15"/>
                <w:color w:val="auto"/>
              </w:rPr>
            </w:pPr>
          </w:p>
        </w:tc>
      </w:tr>
    </w:tbl>
    <w:p>
      <w:pPr>
        <w:ind w:left="2720"/>
        <w:spacing w:after="0"/>
        <w:rPr>
          <w:sz w:val="20"/>
          <w:szCs w:val="20"/>
          <w:color w:val="auto"/>
        </w:rPr>
      </w:pPr>
      <w:r>
        <w:rPr>
          <w:rFonts w:ascii="Courier New" w:cs="Courier New" w:eastAsia="Courier New" w:hAnsi="Courier New"/>
          <w:sz w:val="16"/>
          <w:szCs w:val="16"/>
          <w:color w:val="auto"/>
        </w:rPr>
        <w:t>documentation, to the exchange agent before the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expiration date. THE LETTER OF TRANSMITTAL INCLUDES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DETAILED INSTRUCTIONS FOR ITS COMPLETION, EXECUTION</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AND DELIVERY WHICH MUST BE FOLLOWED METICULOUSLY.</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2620" w:type="dxa"/>
            <w:vAlign w:val="bottom"/>
          </w:tcPr>
          <w:p>
            <w:pPr>
              <w:jc w:val="right"/>
              <w:ind w:right="2162"/>
              <w:spacing w:after="0"/>
              <w:rPr>
                <w:sz w:val="20"/>
                <w:szCs w:val="20"/>
                <w:color w:val="auto"/>
              </w:rPr>
            </w:pPr>
            <w:r>
              <w:rPr>
                <w:rFonts w:ascii="Courier New" w:cs="Courier New" w:eastAsia="Courier New" w:hAnsi="Courier New"/>
                <w:sz w:val="16"/>
                <w:szCs w:val="16"/>
                <w:color w:val="auto"/>
              </w:rPr>
              <w:t>5</w:t>
            </w:r>
          </w:p>
        </w:tc>
        <w:tc>
          <w:tcPr>
            <w:tcW w:w="488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SPECIAL PROCEDURES FOR</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BENEFICIAL OWNERS........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If your original notes are registered in the name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of a broker, dealer, commercial bank, trust company</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or other nominee and you wish to exchange your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notes, you should contact the registered holder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promptly and instruct it to exchange the notes on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your behalf.</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GUARANTEED DELIVERY</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PROCEDURES...............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If you cannot deliver the original notes,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letter of transmittal or any other documents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required by the letter of transmittal to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exchange agent prior to the expiration date, and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you cannot comply with the procedures for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book-entry transfer, you must follow the guaranteed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delivery procedures. See "The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Offer -- Guaranteed Delivery Procedures."</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WITHDRAWAL RIGHTS..........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Notes delivered for exchange may be withdrawn at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any time prior to 5:00 p.m., New York City time, on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the expiration date.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ACCEPTANCE OF ORIGINAL</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AND DELIVERY OF NEW</w:t>
            </w:r>
          </w:p>
        </w:tc>
        <w:tc>
          <w:tcPr>
            <w:tcW w:w="4880" w:type="dxa"/>
            <w:vAlign w:val="bottom"/>
          </w:tcPr>
          <w:p>
            <w:pPr>
              <w:spacing w:after="0"/>
              <w:rPr>
                <w:sz w:val="15"/>
                <w:szCs w:val="15"/>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We will accept for exchange any original notes that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are properly delivered prior to 5:00 p.m., New York</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City time, on the expiration date. We will deliver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new notes promptly following the expiration date.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CONSEQUENCES OF FAILURE TO</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EXCHANGE.................</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If you are eligible to participate in the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offer but do not exchange your original notes, you</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will not have any exchange rights following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closing of this exchange offer. Your original notes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will remain restricted securities and may be resold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only:</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Scotts;</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a qualified institutional buyer under Rule</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144A or Rule 144 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 in an offshore transaction under Rule 903 or Rule</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904 of Regulation S 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an institutional accredited investor;</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in a transaction otherwise exempt from</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registration under the Securities Act; or</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pursuant to an effective registration statement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under the Securities Act.</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RESALE OF THE NOTES........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Based on interpretations by the staff of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Commission in no-action letters to third parties,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we believe that the notes to be issued in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for original notes may be offered for resale and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may be resold or otherwise transferred without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restriction, except as follows:</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a broker-dealer who purchased original notes</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directly from Scotts for resale under Rule 144A</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or another exemption under the Securities Act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w w:val="99"/>
              </w:rPr>
              <w:t>must comply with the registration and prospectus</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delivery provisions of the Securities Act; and</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 a person that is an "affiliate" of Scotts within</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w w:val="97"/>
              </w:rPr>
              <w:t>the meaning of Rule 405 under the Securities Act,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must sell under Rule 144 or another exemption</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If a broker-dealer or affiliate transfers notes in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violation of the prospectus delivery provisions of</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the Securities Act or without an</w:t>
            </w:r>
          </w:p>
        </w:tc>
      </w:tr>
    </w:tbl>
    <w:p>
      <w:pPr>
        <w:spacing w:after="0" w:line="179" w:lineRule="exact"/>
        <w:rPr>
          <w:sz w:val="20"/>
          <w:szCs w:val="20"/>
          <w:color w:val="auto"/>
        </w:rPr>
      </w:pPr>
    </w:p>
    <w:p>
      <w:pPr>
        <w:sectPr>
          <w:pgSz w:w="11900" w:h="16838" w:orient="portrait"/>
          <w:cols w:equalWidth="0" w:num="1">
            <w:col w:w="10219"/>
          </w:cols>
          <w:pgMar w:left="240" w:top="293" w:right="1440" w:bottom="1440" w:gutter="0" w:footer="0" w:header="0"/>
        </w:sect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exemption from registration, it may incur liability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under the Securities Act. We do not indemnify</w:t>
      </w:r>
    </w:p>
    <w:p>
      <w:pPr>
        <w:ind w:left="2720"/>
        <w:spacing w:after="0"/>
        <w:rPr>
          <w:sz w:val="20"/>
          <w:szCs w:val="20"/>
          <w:color w:val="auto"/>
        </w:rPr>
      </w:pPr>
      <w:r>
        <w:rPr>
          <w:rFonts w:ascii="Courier New" w:cs="Courier New" w:eastAsia="Courier New" w:hAnsi="Courier New"/>
          <w:sz w:val="16"/>
          <w:szCs w:val="16"/>
          <w:color w:val="auto"/>
        </w:rPr>
        <w:t>holders of notes against liability under the</w:t>
      </w:r>
    </w:p>
    <w:p>
      <w:pPr>
        <w:ind w:left="2720"/>
        <w:spacing w:after="0" w:line="237" w:lineRule="auto"/>
        <w:rPr>
          <w:sz w:val="20"/>
          <w:szCs w:val="20"/>
          <w:color w:val="auto"/>
        </w:rPr>
      </w:pPr>
      <w:r>
        <w:rPr>
          <w:rFonts w:ascii="Courier New" w:cs="Courier New" w:eastAsia="Courier New" w:hAnsi="Courier New"/>
          <w:sz w:val="16"/>
          <w:szCs w:val="16"/>
          <w:color w:val="auto"/>
        </w:rPr>
        <w:t>Securities Act.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Each broker-dealer that is issued notes in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exchange offer for its own account in exchange for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which were acquired by the broker-dealer as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result of market-making or other trading</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activities, must acknowledge that it will deliver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prospectus meeting the requirements of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Securities Act in connection with any resale of the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issued in the exchange offer. We have agreed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that a broker-dealer may use this prospectus for 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to resell, resale or other retransfer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 issued to it in the exchange offer.</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All resales of notes must be made in compliance</w:t>
      </w:r>
    </w:p>
    <w:p>
      <w:pPr>
        <w:ind w:left="2720"/>
        <w:spacing w:after="0"/>
        <w:rPr>
          <w:sz w:val="20"/>
          <w:szCs w:val="20"/>
          <w:color w:val="auto"/>
        </w:rPr>
      </w:pPr>
      <w:r>
        <w:rPr>
          <w:rFonts w:ascii="Courier New" w:cs="Courier New" w:eastAsia="Courier New" w:hAnsi="Courier New"/>
          <w:sz w:val="16"/>
          <w:szCs w:val="16"/>
          <w:color w:val="auto"/>
        </w:rPr>
        <w:t>with applicable state securities or "blue sky"</w:t>
      </w:r>
    </w:p>
    <w:p>
      <w:pPr>
        <w:ind w:left="2720"/>
        <w:spacing w:after="0" w:line="237" w:lineRule="auto"/>
        <w:rPr>
          <w:sz w:val="20"/>
          <w:szCs w:val="20"/>
          <w:color w:val="auto"/>
        </w:rPr>
      </w:pPr>
      <w:r>
        <w:rPr>
          <w:rFonts w:ascii="Courier New" w:cs="Courier New" w:eastAsia="Courier New" w:hAnsi="Courier New"/>
          <w:sz w:val="16"/>
          <w:szCs w:val="16"/>
          <w:color w:val="auto"/>
        </w:rPr>
        <w:t>laws. We assume no responsibility for your</w:t>
      </w:r>
    </w:p>
    <w:p>
      <w:pPr>
        <w:ind w:left="2720"/>
        <w:spacing w:after="0"/>
        <w:rPr>
          <w:sz w:val="20"/>
          <w:szCs w:val="20"/>
          <w:color w:val="auto"/>
        </w:rPr>
      </w:pPr>
      <w:r>
        <w:rPr>
          <w:rFonts w:ascii="Courier New" w:cs="Courier New" w:eastAsia="Courier New" w:hAnsi="Courier New"/>
          <w:sz w:val="16"/>
          <w:szCs w:val="16"/>
          <w:color w:val="auto"/>
        </w:rPr>
        <w:t>compliance with these requirements. We are not</w:t>
      </w:r>
    </w:p>
    <w:p>
      <w:pPr>
        <w:ind w:left="2720"/>
        <w:spacing w:after="0" w:line="238" w:lineRule="auto"/>
        <w:rPr>
          <w:sz w:val="20"/>
          <w:szCs w:val="20"/>
          <w:color w:val="auto"/>
        </w:rPr>
      </w:pPr>
      <w:r>
        <w:rPr>
          <w:rFonts w:ascii="Courier New" w:cs="Courier New" w:eastAsia="Courier New" w:hAnsi="Courier New"/>
          <w:sz w:val="16"/>
          <w:szCs w:val="16"/>
          <w:color w:val="auto"/>
        </w:rPr>
        <w:t>making the exchange offer to, and will not accept</w:t>
      </w:r>
    </w:p>
    <w:p>
      <w:pPr>
        <w:ind w:left="2720"/>
        <w:spacing w:after="0"/>
        <w:rPr>
          <w:sz w:val="20"/>
          <w:szCs w:val="20"/>
          <w:color w:val="auto"/>
        </w:rPr>
      </w:pPr>
      <w:r>
        <w:rPr>
          <w:rFonts w:ascii="Courier New" w:cs="Courier New" w:eastAsia="Courier New" w:hAnsi="Courier New"/>
          <w:sz w:val="16"/>
          <w:szCs w:val="16"/>
          <w:color w:val="auto"/>
        </w:rPr>
        <w:t>surrenders for exchange from, holders of original</w:t>
      </w:r>
    </w:p>
    <w:p>
      <w:pPr>
        <w:ind w:left="2720"/>
        <w:spacing w:after="0" w:line="238" w:lineRule="auto"/>
        <w:rPr>
          <w:sz w:val="20"/>
          <w:szCs w:val="20"/>
          <w:color w:val="auto"/>
        </w:rPr>
      </w:pPr>
      <w:r>
        <w:rPr>
          <w:rFonts w:ascii="Courier New" w:cs="Courier New" w:eastAsia="Courier New" w:hAnsi="Courier New"/>
          <w:sz w:val="16"/>
          <w:szCs w:val="16"/>
          <w:color w:val="auto"/>
        </w:rPr>
        <w:t>notes in any jurisdiction in which the exchange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or the acceptance of the exchange offer would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 be in compliance with the applicable securities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or "blue sky" laws.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We will require that each holder who wants to</w:t>
      </w:r>
    </w:p>
    <w:p>
      <w:pPr>
        <w:ind w:left="2720"/>
        <w:spacing w:after="0"/>
        <w:rPr>
          <w:sz w:val="20"/>
          <w:szCs w:val="20"/>
          <w:color w:val="auto"/>
        </w:rPr>
      </w:pPr>
      <w:r>
        <w:rPr>
          <w:rFonts w:ascii="Courier New" w:cs="Courier New" w:eastAsia="Courier New" w:hAnsi="Courier New"/>
          <w:sz w:val="16"/>
          <w:szCs w:val="16"/>
          <w:color w:val="auto"/>
        </w:rPr>
        <w:t>participate in the exchange offer represent to</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Scotts in the letter of transmittal that the holder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is acquiring the notes to be issued in the exchange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in the ordinary course of business and is not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participating, and has no arrangement or</w:t>
      </w:r>
    </w:p>
    <w:p>
      <w:pPr>
        <w:ind w:left="2720"/>
        <w:spacing w:after="0"/>
        <w:rPr>
          <w:sz w:val="20"/>
          <w:szCs w:val="20"/>
          <w:color w:val="auto"/>
        </w:rPr>
      </w:pPr>
      <w:r>
        <w:rPr>
          <w:rFonts w:ascii="Courier New" w:cs="Courier New" w:eastAsia="Courier New" w:hAnsi="Courier New"/>
          <w:sz w:val="16"/>
          <w:szCs w:val="16"/>
          <w:color w:val="auto"/>
        </w:rPr>
        <w:t>understanding with any person to participate, in</w:t>
      </w:r>
    </w:p>
    <w:p>
      <w:pPr>
        <w:ind w:left="2720"/>
        <w:spacing w:after="0" w:line="237" w:lineRule="auto"/>
        <w:rPr>
          <w:sz w:val="20"/>
          <w:szCs w:val="20"/>
          <w:color w:val="auto"/>
        </w:rPr>
      </w:pPr>
      <w:r>
        <w:rPr>
          <w:rFonts w:ascii="Courier New" w:cs="Courier New" w:eastAsia="Courier New" w:hAnsi="Courier New"/>
          <w:sz w:val="16"/>
          <w:szCs w:val="16"/>
          <w:color w:val="auto"/>
        </w:rPr>
        <w:t>the distribution of the notes to be issued in the</w:t>
      </w:r>
    </w:p>
    <w:p>
      <w:pPr>
        <w:ind w:left="2720"/>
        <w:spacing w:after="0"/>
        <w:rPr>
          <w:sz w:val="20"/>
          <w:szCs w:val="20"/>
          <w:color w:val="auto"/>
        </w:rPr>
      </w:pPr>
      <w:r>
        <w:rPr>
          <w:rFonts w:ascii="Courier New" w:cs="Courier New" w:eastAsia="Courier New" w:hAnsi="Courier New"/>
          <w:sz w:val="16"/>
          <w:szCs w:val="16"/>
          <w:color w:val="auto"/>
        </w:rPr>
        <w:t>exchange offer. If a holder inaccurately makes</w:t>
      </w:r>
    </w:p>
    <w:p>
      <w:pPr>
        <w:ind w:left="2720"/>
        <w:spacing w:after="0" w:line="238" w:lineRule="auto"/>
        <w:rPr>
          <w:sz w:val="20"/>
          <w:szCs w:val="20"/>
          <w:color w:val="auto"/>
        </w:rPr>
      </w:pPr>
      <w:r>
        <w:rPr>
          <w:rFonts w:ascii="Courier New" w:cs="Courier New" w:eastAsia="Courier New" w:hAnsi="Courier New"/>
          <w:sz w:val="16"/>
          <w:szCs w:val="16"/>
          <w:color w:val="auto"/>
        </w:rPr>
        <w:t>these representations and transfers notes in</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violation of the prospectus delivery provisions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and without an exemption from</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registration, the holder may incur liability under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Scotts does not assume or</w:t>
      </w:r>
    </w:p>
    <w:p>
      <w:pPr>
        <w:ind w:left="2720"/>
        <w:spacing w:after="0"/>
        <w:rPr>
          <w:sz w:val="20"/>
          <w:szCs w:val="20"/>
          <w:color w:val="auto"/>
        </w:rPr>
      </w:pPr>
      <w:r>
        <w:rPr>
          <w:rFonts w:ascii="Courier New" w:cs="Courier New" w:eastAsia="Courier New" w:hAnsi="Courier New"/>
          <w:sz w:val="16"/>
          <w:szCs w:val="16"/>
          <w:color w:val="auto"/>
        </w:rPr>
        <w:t>indemnify holders of notes issued in the exchange</w:t>
      </w:r>
    </w:p>
    <w:p>
      <w:pPr>
        <w:ind w:left="2720"/>
        <w:spacing w:after="0" w:line="237" w:lineRule="auto"/>
        <w:rPr>
          <w:sz w:val="20"/>
          <w:szCs w:val="20"/>
          <w:color w:val="auto"/>
        </w:rPr>
      </w:pPr>
      <w:r>
        <w:rPr>
          <w:rFonts w:ascii="Courier New" w:cs="Courier New" w:eastAsia="Courier New" w:hAnsi="Courier New"/>
          <w:sz w:val="16"/>
          <w:szCs w:val="16"/>
          <w:color w:val="auto"/>
        </w:rPr>
        <w:t>offer against liability under the Securities Act,</w:t>
      </w:r>
    </w:p>
    <w:p>
      <w:pPr>
        <w:ind w:left="2720"/>
        <w:spacing w:after="0"/>
        <w:rPr>
          <w:sz w:val="20"/>
          <w:szCs w:val="20"/>
          <w:color w:val="auto"/>
        </w:rPr>
      </w:pPr>
      <w:r>
        <w:rPr>
          <w:rFonts w:ascii="Courier New" w:cs="Courier New" w:eastAsia="Courier New" w:hAnsi="Courier New"/>
          <w:sz w:val="16"/>
          <w:szCs w:val="16"/>
          <w:color w:val="auto"/>
        </w:rPr>
        <w:t>although, if the representations are true, Scotts</w:t>
      </w:r>
    </w:p>
    <w:p>
      <w:pPr>
        <w:ind w:left="2720"/>
        <w:spacing w:after="0" w:line="238" w:lineRule="auto"/>
        <w:rPr>
          <w:sz w:val="20"/>
          <w:szCs w:val="20"/>
          <w:color w:val="auto"/>
        </w:rPr>
      </w:pPr>
      <w:r>
        <w:rPr>
          <w:rFonts w:ascii="Courier New" w:cs="Courier New" w:eastAsia="Courier New" w:hAnsi="Courier New"/>
          <w:sz w:val="16"/>
          <w:szCs w:val="16"/>
          <w:color w:val="auto"/>
        </w:rPr>
        <w:t>does not believe that any liability should exist.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If you are unable to participate in the exchange</w:t>
      </w:r>
    </w:p>
    <w:p>
      <w:pPr>
        <w:ind w:left="2720"/>
        <w:spacing w:after="0"/>
        <w:rPr>
          <w:sz w:val="20"/>
          <w:szCs w:val="20"/>
          <w:color w:val="auto"/>
        </w:rPr>
      </w:pPr>
      <w:r>
        <w:rPr>
          <w:rFonts w:ascii="Courier New" w:cs="Courier New" w:eastAsia="Courier New" w:hAnsi="Courier New"/>
          <w:sz w:val="16"/>
          <w:szCs w:val="16"/>
          <w:color w:val="auto"/>
        </w:rPr>
        <w:t>offer because of applicable law, the Commission's</w:t>
      </w:r>
    </w:p>
    <w:p>
      <w:pPr>
        <w:ind w:left="2720"/>
        <w:spacing w:after="0" w:line="237" w:lineRule="auto"/>
        <w:rPr>
          <w:sz w:val="20"/>
          <w:szCs w:val="20"/>
          <w:color w:val="auto"/>
        </w:rPr>
      </w:pPr>
      <w:r>
        <w:rPr>
          <w:rFonts w:ascii="Courier New" w:cs="Courier New" w:eastAsia="Courier New" w:hAnsi="Courier New"/>
          <w:sz w:val="16"/>
          <w:szCs w:val="16"/>
          <w:color w:val="auto"/>
        </w:rPr>
        <w:t>policies or your status as an affiliate of Scotts</w:t>
      </w:r>
    </w:p>
    <w:p>
      <w:pPr>
        <w:ind w:left="2720"/>
        <w:spacing w:after="0"/>
        <w:rPr>
          <w:sz w:val="20"/>
          <w:szCs w:val="20"/>
          <w:color w:val="auto"/>
        </w:rPr>
      </w:pPr>
      <w:r>
        <w:rPr>
          <w:rFonts w:ascii="Courier New" w:cs="Courier New" w:eastAsia="Courier New" w:hAnsi="Courier New"/>
          <w:sz w:val="16"/>
          <w:szCs w:val="16"/>
          <w:color w:val="auto"/>
        </w:rPr>
        <w:t>or as a broker-dealer who acquired notes directly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from us or one of our affiliates, we have agreed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file another registration statement with the</w:t>
      </w:r>
    </w:p>
    <w:p>
      <w:pPr>
        <w:ind w:left="2720"/>
        <w:spacing w:after="0"/>
        <w:rPr>
          <w:sz w:val="20"/>
          <w:szCs w:val="20"/>
          <w:color w:val="auto"/>
        </w:rPr>
      </w:pPr>
      <w:r>
        <w:rPr>
          <w:rFonts w:ascii="Courier New" w:cs="Courier New" w:eastAsia="Courier New" w:hAnsi="Courier New"/>
          <w:sz w:val="16"/>
          <w:szCs w:val="16"/>
          <w:color w:val="auto"/>
        </w:rPr>
        <w:t>Commission. This second registration statement</w:t>
      </w:r>
    </w:p>
    <w:p>
      <w:pPr>
        <w:ind w:left="2720"/>
        <w:spacing w:after="0" w:line="237" w:lineRule="auto"/>
        <w:rPr>
          <w:sz w:val="20"/>
          <w:szCs w:val="20"/>
          <w:color w:val="auto"/>
        </w:rPr>
      </w:pPr>
      <w:r>
        <w:rPr>
          <w:rFonts w:ascii="Courier New" w:cs="Courier New" w:eastAsia="Courier New" w:hAnsi="Courier New"/>
          <w:sz w:val="16"/>
          <w:szCs w:val="16"/>
          <w:color w:val="auto"/>
        </w:rPr>
        <w:t>would cover periodic resales of the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unregistered notes by the holders who are unable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participate in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OF THE EXCHANGE</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5"/>
          <w:szCs w:val="15"/>
          <w:color w:val="auto"/>
        </w:rPr>
        <w:t>If we determine that applicable federal law or the</w:t>
      </w:r>
    </w:p>
    <w:p>
      <w:pPr>
        <w:ind w:left="2720"/>
        <w:spacing w:after="0" w:line="237" w:lineRule="auto"/>
        <w:rPr>
          <w:sz w:val="20"/>
          <w:szCs w:val="20"/>
          <w:color w:val="auto"/>
        </w:rPr>
      </w:pPr>
      <w:r>
        <w:rPr>
          <w:rFonts w:ascii="Courier New" w:cs="Courier New" w:eastAsia="Courier New" w:hAnsi="Courier New"/>
          <w:sz w:val="16"/>
          <w:szCs w:val="16"/>
          <w:color w:val="auto"/>
        </w:rPr>
        <w:t>Commission's staff interpretations do not permit</w:t>
      </w:r>
    </w:p>
    <w:p>
      <w:pPr>
        <w:ind w:left="2720"/>
        <w:spacing w:after="0"/>
        <w:rPr>
          <w:sz w:val="20"/>
          <w:szCs w:val="20"/>
          <w:color w:val="auto"/>
        </w:rPr>
      </w:pPr>
      <w:r>
        <w:rPr>
          <w:rFonts w:ascii="Courier New" w:cs="Courier New" w:eastAsia="Courier New" w:hAnsi="Courier New"/>
          <w:sz w:val="16"/>
          <w:szCs w:val="16"/>
          <w:color w:val="auto"/>
        </w:rPr>
        <w:t>the exchange offer, we may terminate the exchange</w:t>
      </w:r>
    </w:p>
    <w:p>
      <w:pPr>
        <w:ind w:left="2720"/>
        <w:spacing w:after="0" w:line="238" w:lineRule="auto"/>
        <w:rPr>
          <w:sz w:val="20"/>
          <w:szCs w:val="20"/>
          <w:color w:val="auto"/>
        </w:rPr>
      </w:pPr>
      <w:r>
        <w:rPr>
          <w:rFonts w:ascii="Courier New" w:cs="Courier New" w:eastAsia="Courier New" w:hAnsi="Courier New"/>
          <w:sz w:val="16"/>
          <w:szCs w:val="16"/>
          <w:color w:val="auto"/>
        </w:rPr>
        <w:t>offer.</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exchange offer is not conditioned upon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tender of any minimum principal amount of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To accept the exchange offer, you must represent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 in writing that you are acquiring the notes</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being issued in the ordinary course of business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that you are not participating in, and have no</w:t>
      </w:r>
    </w:p>
    <w:p>
      <w:pPr>
        <w:ind w:left="2720"/>
        <w:spacing w:after="0"/>
        <w:rPr>
          <w:sz w:val="20"/>
          <w:szCs w:val="20"/>
          <w:color w:val="auto"/>
        </w:rPr>
      </w:pPr>
      <w:r>
        <w:rPr>
          <w:rFonts w:ascii="Courier New" w:cs="Courier New" w:eastAsia="Courier New" w:hAnsi="Courier New"/>
          <w:sz w:val="16"/>
          <w:szCs w:val="16"/>
          <w:color w:val="auto"/>
        </w:rPr>
        <w:t>arrangement or understanding with any person to</w:t>
      </w:r>
    </w:p>
    <w:p>
      <w:pPr>
        <w:ind w:left="2720"/>
        <w:spacing w:after="0" w:line="237" w:lineRule="auto"/>
        <w:rPr>
          <w:sz w:val="20"/>
          <w:szCs w:val="20"/>
          <w:color w:val="auto"/>
        </w:rPr>
      </w:pPr>
      <w:r>
        <w:rPr>
          <w:rFonts w:ascii="Courier New" w:cs="Courier New" w:eastAsia="Courier New" w:hAnsi="Courier New"/>
          <w:sz w:val="16"/>
          <w:szCs w:val="16"/>
          <w:color w:val="auto"/>
        </w:rPr>
        <w:t>participate in, the distribution of the notes.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5"/>
          <w:szCs w:val="15"/>
          <w:color w:val="auto"/>
        </w:rPr>
        <w:t>The exchange of notes will generally not be a</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taxable event for U.S. federal income tax purposes.</w:t>
      </w:r>
    </w:p>
    <w:p>
      <w:pPr>
        <w:spacing w:after="0" w:line="186"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5"/>
          <w:szCs w:val="15"/>
          <w:color w:val="auto"/>
        </w:rPr>
        <w:t>State Street Bank and Trust Company</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NOTES ISSUED IN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terms of the notes to be issued in the exchange offer will be substantially identical to those of the original notes except that they will be registered under the Securities Act and will not bear legends restricting transfer. The registration rights agreement will not apply to the new notes. The new notes will evidence the same debt as the original notes and both series of notes will be entitled to the benefits of the indenture and treated as a single class of debt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AMOUNT OF NOTES</w:t>
      </w:r>
    </w:p>
    <w:p>
      <w:pPr>
        <w:spacing w:after="0"/>
        <w:tabs>
          <w:tab w:leader="none" w:pos="2700" w:val="left"/>
        </w:tabs>
        <w:rPr>
          <w:sz w:val="20"/>
          <w:szCs w:val="20"/>
          <w:color w:val="auto"/>
        </w:rPr>
      </w:pPr>
      <w:r>
        <w:rPr>
          <w:rFonts w:ascii="Courier New" w:cs="Courier New" w:eastAsia="Courier New" w:hAnsi="Courier New"/>
          <w:sz w:val="16"/>
          <w:szCs w:val="16"/>
          <w:color w:val="auto"/>
        </w:rPr>
        <w:t>OFFERED....................</w:t>
      </w:r>
      <w:r>
        <w:rPr>
          <w:sz w:val="20"/>
          <w:szCs w:val="20"/>
          <w:color w:val="auto"/>
        </w:rPr>
        <w:tab/>
      </w:r>
      <w:r>
        <w:rPr>
          <w:rFonts w:ascii="Courier New" w:cs="Courier New" w:eastAsia="Courier New" w:hAnsi="Courier New"/>
          <w:sz w:val="15"/>
          <w:szCs w:val="15"/>
          <w:color w:val="auto"/>
        </w:rPr>
        <w:t>$330 million in principal amount of 8.625% Senior</w:t>
      </w:r>
    </w:p>
    <w:p>
      <w:pPr>
        <w:ind w:left="2720"/>
        <w:spacing w:after="0" w:line="237" w:lineRule="auto"/>
        <w:rPr>
          <w:sz w:val="20"/>
          <w:szCs w:val="20"/>
          <w:color w:val="auto"/>
        </w:rPr>
      </w:pPr>
      <w:r>
        <w:rPr>
          <w:rFonts w:ascii="Courier New" w:cs="Courier New" w:eastAsia="Courier New" w:hAnsi="Courier New"/>
          <w:sz w:val="16"/>
          <w:szCs w:val="16"/>
          <w:color w:val="auto"/>
        </w:rPr>
        <w:t>Subordinated Notes due 2009 registered under the</w:t>
      </w:r>
    </w:p>
    <w:p>
      <w:pPr>
        <w:ind w:left="2720"/>
        <w:spacing w:after="0"/>
        <w:rPr>
          <w:sz w:val="20"/>
          <w:szCs w:val="20"/>
          <w:color w:val="auto"/>
        </w:rPr>
      </w:pPr>
      <w:r>
        <w:rPr>
          <w:rFonts w:ascii="Courier New" w:cs="Courier New" w:eastAsia="Courier New" w:hAnsi="Courier New"/>
          <w:sz w:val="16"/>
          <w:szCs w:val="16"/>
          <w:color w:val="auto"/>
        </w:rPr>
        <w:t>Securities Act.</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5"/>
          <w:szCs w:val="15"/>
          <w:color w:val="auto"/>
        </w:rPr>
        <w:t>January 15, 2009.</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5"/>
          <w:szCs w:val="15"/>
          <w:color w:val="auto"/>
        </w:rPr>
        <w:t>Annual fixed rate -- 8.625%. Payment frequency</w:t>
      </w:r>
    </w:p>
    <w:p>
      <w:pPr>
        <w:ind w:left="2820"/>
        <w:spacing w:after="0"/>
        <w:rPr>
          <w:sz w:val="20"/>
          <w:szCs w:val="20"/>
          <w:color w:val="auto"/>
        </w:rPr>
      </w:pPr>
      <w:r>
        <w:rPr>
          <w:rFonts w:ascii="Courier New" w:cs="Courier New" w:eastAsia="Courier New" w:hAnsi="Courier New"/>
          <w:sz w:val="16"/>
          <w:szCs w:val="16"/>
          <w:color w:val="auto"/>
        </w:rPr>
        <w:t>-- every six months on January 15 and July 15.</w:t>
      </w:r>
    </w:p>
    <w:p>
      <w:pPr>
        <w:ind w:left="2720"/>
        <w:spacing w:after="0" w:line="237" w:lineRule="auto"/>
        <w:rPr>
          <w:sz w:val="20"/>
          <w:szCs w:val="20"/>
          <w:color w:val="auto"/>
        </w:rPr>
      </w:pPr>
      <w:r>
        <w:rPr>
          <w:rFonts w:ascii="Courier New" w:cs="Courier New" w:eastAsia="Courier New" w:hAnsi="Courier New"/>
          <w:sz w:val="16"/>
          <w:szCs w:val="16"/>
          <w:color w:val="auto"/>
        </w:rPr>
        <w:t>First payment -- July 15, 1999.</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SUBSIDIARY GUARANTORS......</w:t>
      </w:r>
      <w:r>
        <w:rPr>
          <w:sz w:val="20"/>
          <w:szCs w:val="20"/>
          <w:color w:val="auto"/>
        </w:rPr>
        <w:tab/>
      </w:r>
      <w:r>
        <w:rPr>
          <w:rFonts w:ascii="Courier New" w:cs="Courier New" w:eastAsia="Courier New" w:hAnsi="Courier New"/>
          <w:sz w:val="15"/>
          <w:szCs w:val="15"/>
          <w:color w:val="auto"/>
        </w:rPr>
        <w:t>Each subsidiary guarantor is a wholly owned</w:t>
      </w:r>
    </w:p>
    <w:p>
      <w:pPr>
        <w:ind w:left="2720"/>
        <w:spacing w:after="0"/>
        <w:rPr>
          <w:sz w:val="20"/>
          <w:szCs w:val="20"/>
          <w:color w:val="auto"/>
        </w:rPr>
      </w:pPr>
      <w:r>
        <w:rPr>
          <w:rFonts w:ascii="Courier New" w:cs="Courier New" w:eastAsia="Courier New" w:hAnsi="Courier New"/>
          <w:sz w:val="16"/>
          <w:szCs w:val="16"/>
          <w:color w:val="auto"/>
        </w:rPr>
        <w:t>domestic subsidiary of Scotts. Scotts' foreign</w:t>
      </w:r>
    </w:p>
    <w:p>
      <w:pPr>
        <w:ind w:left="2720"/>
        <w:spacing w:after="0" w:line="237" w:lineRule="auto"/>
        <w:rPr>
          <w:sz w:val="20"/>
          <w:szCs w:val="20"/>
          <w:color w:val="auto"/>
        </w:rPr>
      </w:pPr>
      <w:r>
        <w:rPr>
          <w:rFonts w:ascii="Courier New" w:cs="Courier New" w:eastAsia="Courier New" w:hAnsi="Courier New"/>
          <w:sz w:val="16"/>
          <w:szCs w:val="16"/>
          <w:color w:val="auto"/>
        </w:rPr>
        <w:t>subsidiaries are not subsidiary guarantors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If Scotts cannot make payments on the notes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when they are due, the subsidiary guarantors must</w:t>
      </w:r>
    </w:p>
    <w:p>
      <w:pPr>
        <w:ind w:left="2720"/>
        <w:spacing w:after="0"/>
        <w:rPr>
          <w:sz w:val="20"/>
          <w:szCs w:val="20"/>
          <w:color w:val="auto"/>
        </w:rPr>
      </w:pPr>
      <w:r>
        <w:rPr>
          <w:rFonts w:ascii="Courier New" w:cs="Courier New" w:eastAsia="Courier New" w:hAnsi="Courier New"/>
          <w:sz w:val="16"/>
          <w:szCs w:val="16"/>
          <w:color w:val="auto"/>
        </w:rPr>
        <w:t>make them instead.</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RANKING....................</w:t>
      </w:r>
      <w:r>
        <w:rPr>
          <w:sz w:val="20"/>
          <w:szCs w:val="20"/>
          <w:color w:val="auto"/>
        </w:rPr>
        <w:tab/>
      </w:r>
      <w:r>
        <w:rPr>
          <w:rFonts w:ascii="Courier New" w:cs="Courier New" w:eastAsia="Courier New" w:hAnsi="Courier New"/>
          <w:sz w:val="15"/>
          <w:szCs w:val="15"/>
          <w:color w:val="auto"/>
        </w:rPr>
        <w:t>The notes and the subsidiary guarantees are</w:t>
      </w:r>
    </w:p>
    <w:p>
      <w:pPr>
        <w:ind w:left="2720"/>
        <w:spacing w:after="0"/>
        <w:rPr>
          <w:sz w:val="20"/>
          <w:szCs w:val="20"/>
          <w:color w:val="auto"/>
        </w:rPr>
      </w:pPr>
      <w:r>
        <w:rPr>
          <w:rFonts w:ascii="Courier New" w:cs="Courier New" w:eastAsia="Courier New" w:hAnsi="Courier New"/>
          <w:sz w:val="16"/>
          <w:szCs w:val="16"/>
          <w:color w:val="auto"/>
        </w:rPr>
        <w:t>unsecured senior subordinated debts. They rank</w:t>
      </w:r>
    </w:p>
    <w:p>
      <w:pPr>
        <w:ind w:left="2720"/>
        <w:spacing w:after="0" w:line="237" w:lineRule="auto"/>
        <w:rPr>
          <w:sz w:val="20"/>
          <w:szCs w:val="20"/>
          <w:color w:val="auto"/>
        </w:rPr>
      </w:pPr>
      <w:r>
        <w:rPr>
          <w:rFonts w:ascii="Courier New" w:cs="Courier New" w:eastAsia="Courier New" w:hAnsi="Courier New"/>
          <w:sz w:val="16"/>
          <w:szCs w:val="16"/>
          <w:color w:val="auto"/>
        </w:rPr>
        <w:t>behind all of Scotts' and its subsidiary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guarantors' current and future indebtedness, except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trade payables and indebtedness that expressly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provides that it is not senior to the notes and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subsidiary guarantees.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As of April 1, 2000, the notes and the subsidiary</w:t>
      </w:r>
    </w:p>
    <w:p>
      <w:pPr>
        <w:ind w:left="2720"/>
        <w:spacing w:after="0"/>
        <w:rPr>
          <w:sz w:val="20"/>
          <w:szCs w:val="20"/>
          <w:color w:val="auto"/>
        </w:rPr>
      </w:pPr>
      <w:r>
        <w:rPr>
          <w:rFonts w:ascii="Courier New" w:cs="Courier New" w:eastAsia="Courier New" w:hAnsi="Courier New"/>
          <w:sz w:val="16"/>
          <w:szCs w:val="16"/>
          <w:color w:val="auto"/>
        </w:rPr>
        <w:t>guarantees were subordinated to $830.9 million of</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senior debt. In addition, the subsidiary guarantees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will be effectively subordinated to any current</w:t>
      </w:r>
    </w:p>
    <w:p>
      <w:pPr>
        <w:ind w:left="2720"/>
        <w:spacing w:after="0"/>
        <w:rPr>
          <w:sz w:val="20"/>
          <w:szCs w:val="20"/>
          <w:color w:val="auto"/>
        </w:rPr>
      </w:pPr>
      <w:r>
        <w:rPr>
          <w:rFonts w:ascii="Courier New" w:cs="Courier New" w:eastAsia="Courier New" w:hAnsi="Courier New"/>
          <w:sz w:val="16"/>
          <w:szCs w:val="16"/>
          <w:color w:val="auto"/>
        </w:rPr>
        <w:t>operating liabilities of the non-guarantor</w:t>
      </w:r>
    </w:p>
    <w:p>
      <w:pPr>
        <w:ind w:left="2720"/>
        <w:spacing w:after="0" w:line="237" w:lineRule="auto"/>
        <w:rPr>
          <w:sz w:val="20"/>
          <w:szCs w:val="20"/>
          <w:color w:val="auto"/>
        </w:rPr>
      </w:pPr>
      <w:r>
        <w:rPr>
          <w:rFonts w:ascii="Courier New" w:cs="Courier New" w:eastAsia="Courier New" w:hAnsi="Courier New"/>
          <w:sz w:val="16"/>
          <w:szCs w:val="16"/>
          <w:color w:val="auto"/>
        </w:rPr>
        <w:t>subsidiaries, because the creditors of any</w:t>
      </w:r>
    </w:p>
    <w:p>
      <w:pPr>
        <w:ind w:left="2720"/>
        <w:spacing w:after="0"/>
        <w:rPr>
          <w:sz w:val="20"/>
          <w:szCs w:val="20"/>
          <w:color w:val="auto"/>
        </w:rPr>
      </w:pPr>
      <w:r>
        <w:rPr>
          <w:rFonts w:ascii="Courier New" w:cs="Courier New" w:eastAsia="Courier New" w:hAnsi="Courier New"/>
          <w:sz w:val="16"/>
          <w:szCs w:val="16"/>
          <w:color w:val="auto"/>
        </w:rPr>
        <w:t>non-guarantor subsidiary will be entitled to the</w:t>
      </w:r>
    </w:p>
    <w:p>
      <w:pPr>
        <w:ind w:left="2720"/>
        <w:spacing w:after="0" w:line="238" w:lineRule="auto"/>
        <w:rPr>
          <w:sz w:val="20"/>
          <w:szCs w:val="20"/>
          <w:color w:val="auto"/>
        </w:rPr>
      </w:pPr>
      <w:r>
        <w:rPr>
          <w:rFonts w:ascii="Courier New" w:cs="Courier New" w:eastAsia="Courier New" w:hAnsi="Courier New"/>
          <w:sz w:val="16"/>
          <w:szCs w:val="16"/>
          <w:color w:val="auto"/>
        </w:rPr>
        <w:t>assets of that subsidiary in payment for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current operating liabilities before the assets can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 used to repay any indebtedness of Scotts. As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April 1, 2000, the non-guarantor subsidiaries had</w:t>
      </w:r>
    </w:p>
    <w:p>
      <w:pPr>
        <w:ind w:left="2720"/>
        <w:spacing w:after="0"/>
        <w:rPr>
          <w:sz w:val="20"/>
          <w:szCs w:val="20"/>
          <w:color w:val="auto"/>
        </w:rPr>
      </w:pPr>
      <w:r>
        <w:rPr>
          <w:rFonts w:ascii="Courier New" w:cs="Courier New" w:eastAsia="Courier New" w:hAnsi="Courier New"/>
          <w:sz w:val="16"/>
          <w:szCs w:val="16"/>
          <w:color w:val="auto"/>
        </w:rPr>
        <w:t>current operating liabilities of $162.5 million.</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On or after January 15, 2004, Scotts may redeem</w:t>
      </w:r>
    </w:p>
    <w:p>
      <w:pPr>
        <w:ind w:left="2720"/>
        <w:spacing w:after="0"/>
        <w:rPr>
          <w:sz w:val="20"/>
          <w:szCs w:val="20"/>
          <w:color w:val="auto"/>
        </w:rPr>
      </w:pPr>
      <w:r>
        <w:rPr>
          <w:rFonts w:ascii="Courier New" w:cs="Courier New" w:eastAsia="Courier New" w:hAnsi="Courier New"/>
          <w:sz w:val="16"/>
          <w:szCs w:val="16"/>
          <w:color w:val="auto"/>
        </w:rPr>
        <w:t>some or all of the notes at any time at the</w:t>
      </w:r>
    </w:p>
    <w:p>
      <w:pPr>
        <w:ind w:left="2720"/>
        <w:spacing w:after="0" w:line="237" w:lineRule="auto"/>
        <w:rPr>
          <w:sz w:val="20"/>
          <w:szCs w:val="20"/>
          <w:color w:val="auto"/>
        </w:rPr>
      </w:pPr>
      <w:r>
        <w:rPr>
          <w:rFonts w:ascii="Courier New" w:cs="Courier New" w:eastAsia="Courier New" w:hAnsi="Courier New"/>
          <w:sz w:val="16"/>
          <w:szCs w:val="16"/>
          <w:color w:val="auto"/>
        </w:rPr>
        <w:t>redemption prices listed in the "Description of</w:t>
      </w:r>
    </w:p>
    <w:p>
      <w:pPr>
        <w:ind w:left="2720"/>
        <w:spacing w:after="0"/>
        <w:rPr>
          <w:sz w:val="20"/>
          <w:szCs w:val="20"/>
          <w:color w:val="auto"/>
        </w:rPr>
      </w:pPr>
      <w:r>
        <w:rPr>
          <w:rFonts w:ascii="Courier New" w:cs="Courier New" w:eastAsia="Courier New" w:hAnsi="Courier New"/>
          <w:sz w:val="16"/>
          <w:szCs w:val="16"/>
          <w:color w:val="auto"/>
        </w:rPr>
        <w:t>Notes" section under the heading "Optional</w:t>
      </w:r>
    </w:p>
    <w:p>
      <w:pPr>
        <w:ind w:left="2720"/>
        <w:spacing w:after="0" w:line="238" w:lineRule="auto"/>
        <w:rPr>
          <w:sz w:val="20"/>
          <w:szCs w:val="20"/>
          <w:color w:val="auto"/>
        </w:rPr>
      </w:pPr>
      <w:r>
        <w:rPr>
          <w:rFonts w:ascii="Courier New" w:cs="Courier New" w:eastAsia="Courier New" w:hAnsi="Courier New"/>
          <w:sz w:val="16"/>
          <w:szCs w:val="16"/>
          <w:color w:val="auto"/>
        </w:rPr>
        <w:t>Redemption."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Before January 15, 2002, Scotts may redeem up to</w:t>
      </w:r>
    </w:p>
    <w:p>
      <w:pPr>
        <w:ind w:left="2720"/>
        <w:spacing w:after="0"/>
        <w:rPr>
          <w:sz w:val="20"/>
          <w:szCs w:val="20"/>
          <w:color w:val="auto"/>
        </w:rPr>
      </w:pPr>
      <w:r>
        <w:rPr>
          <w:rFonts w:ascii="Courier New" w:cs="Courier New" w:eastAsia="Courier New" w:hAnsi="Courier New"/>
          <w:sz w:val="16"/>
          <w:szCs w:val="16"/>
          <w:color w:val="auto"/>
        </w:rPr>
        <w:t>35% of the notes with the proceeds of one or more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public equity offerings of Scotts' common shares at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price listed in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"Optional 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OFFER TO</w:t>
      </w:r>
    </w:p>
    <w:p>
      <w:pPr>
        <w:spacing w:after="0"/>
        <w:tabs>
          <w:tab w:leader="none" w:pos="2700" w:val="left"/>
        </w:tabs>
        <w:rPr>
          <w:sz w:val="20"/>
          <w:szCs w:val="20"/>
          <w:color w:val="auto"/>
        </w:rPr>
      </w:pPr>
      <w:r>
        <w:rPr>
          <w:rFonts w:ascii="Courier New" w:cs="Courier New" w:eastAsia="Courier New" w:hAnsi="Courier New"/>
          <w:sz w:val="16"/>
          <w:szCs w:val="16"/>
          <w:color w:val="auto"/>
        </w:rPr>
        <w:t>REPURCHASE.................</w:t>
      </w:r>
      <w:r>
        <w:rPr>
          <w:sz w:val="20"/>
          <w:szCs w:val="20"/>
          <w:color w:val="auto"/>
        </w:rPr>
        <w:tab/>
      </w:r>
      <w:r>
        <w:rPr>
          <w:rFonts w:ascii="Courier New" w:cs="Courier New" w:eastAsia="Courier New" w:hAnsi="Courier New"/>
          <w:sz w:val="15"/>
          <w:szCs w:val="15"/>
          <w:color w:val="auto"/>
        </w:rPr>
        <w:t>If Scotts sells a significant amount of assets or</w:t>
      </w:r>
    </w:p>
    <w:p>
      <w:pPr>
        <w:ind w:left="2720"/>
        <w:spacing w:after="0" w:line="237" w:lineRule="auto"/>
        <w:rPr>
          <w:sz w:val="20"/>
          <w:szCs w:val="20"/>
          <w:color w:val="auto"/>
        </w:rPr>
      </w:pPr>
      <w:r>
        <w:rPr>
          <w:rFonts w:ascii="Courier New" w:cs="Courier New" w:eastAsia="Courier New" w:hAnsi="Courier New"/>
          <w:sz w:val="16"/>
          <w:szCs w:val="16"/>
          <w:color w:val="auto"/>
        </w:rPr>
        <w:t>experiences specific kinds of changes of control,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it must offer to repurchase the notes at the prices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listed in the "Description of Notes" section under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heading "Redemption at the Option of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COVENANTS OF</w:t>
      </w:r>
    </w:p>
    <w:p>
      <w:pPr>
        <w:spacing w:after="0"/>
        <w:tabs>
          <w:tab w:leader="none" w:pos="270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5"/>
          <w:szCs w:val="15"/>
          <w:color w:val="auto"/>
        </w:rPr>
        <w:t>Scotts will issue the notes under an indenture with</w:t>
      </w:r>
    </w:p>
    <w:p>
      <w:pPr>
        <w:ind w:left="2720"/>
        <w:spacing w:after="0" w:line="237" w:lineRule="auto"/>
        <w:rPr>
          <w:sz w:val="20"/>
          <w:szCs w:val="20"/>
          <w:color w:val="auto"/>
        </w:rPr>
      </w:pPr>
      <w:r>
        <w:rPr>
          <w:rFonts w:ascii="Courier New" w:cs="Courier New" w:eastAsia="Courier New" w:hAnsi="Courier New"/>
          <w:sz w:val="16"/>
          <w:szCs w:val="16"/>
          <w:color w:val="auto"/>
        </w:rPr>
        <w:t>State Street Bank and Trust Company, as trustee.</w:t>
      </w:r>
    </w:p>
    <w:p>
      <w:pPr>
        <w:ind w:left="2720"/>
        <w:spacing w:after="0"/>
        <w:rPr>
          <w:sz w:val="20"/>
          <w:szCs w:val="20"/>
          <w:color w:val="auto"/>
        </w:rPr>
      </w:pPr>
      <w:r>
        <w:rPr>
          <w:rFonts w:ascii="Courier New" w:cs="Courier New" w:eastAsia="Courier New" w:hAnsi="Courier New"/>
          <w:sz w:val="16"/>
          <w:szCs w:val="16"/>
          <w:color w:val="auto"/>
        </w:rPr>
        <w:t>The indenture restricts Scotts' ability and the</w:t>
      </w:r>
    </w:p>
    <w:p>
      <w:pPr>
        <w:ind w:left="2720"/>
        <w:spacing w:after="0" w:line="238" w:lineRule="auto"/>
        <w:rPr>
          <w:sz w:val="20"/>
          <w:szCs w:val="20"/>
          <w:color w:val="auto"/>
        </w:rPr>
      </w:pPr>
      <w:r>
        <w:rPr>
          <w:rFonts w:ascii="Courier New" w:cs="Courier New" w:eastAsia="Courier New" w:hAnsi="Courier New"/>
          <w:sz w:val="16"/>
          <w:szCs w:val="16"/>
          <w:color w:val="auto"/>
        </w:rPr>
        <w:t>ability of its subsidiaries to:</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borrow money;</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pay dividends on stock or purchase stock;</w:t>
      </w:r>
    </w:p>
    <w:p>
      <w:pPr>
        <w:sectPr>
          <w:pgSz w:w="11900" w:h="16838" w:orient="portrait"/>
          <w:cols w:equalWidth="0" w:num="1">
            <w:col w:w="10219"/>
          </w:cols>
          <w:pgMar w:left="240" w:top="293" w:right="1440" w:bottom="287"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3" w:right="1440" w:bottom="287"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2900" w:hanging="184"/>
        <w:spacing w:after="0"/>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investments;</w:t>
      </w:r>
    </w:p>
    <w:p>
      <w:pPr>
        <w:spacing w:after="0" w:line="184" w:lineRule="exact"/>
        <w:rPr>
          <w:rFonts w:ascii="Courier New" w:cs="Courier New" w:eastAsia="Courier New" w:hAnsi="Courier New"/>
          <w:sz w:val="16"/>
          <w:szCs w:val="16"/>
          <w:color w:val="auto"/>
        </w:rPr>
      </w:pPr>
    </w:p>
    <w:p>
      <w:pPr>
        <w:ind w:left="2900" w:hanging="184"/>
        <w:spacing w:after="0"/>
        <w:tabs>
          <w:tab w:leader="none" w:pos="2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assets as security in other transactions; and</w:t>
      </w:r>
    </w:p>
    <w:p>
      <w:pPr>
        <w:spacing w:after="0" w:line="190" w:lineRule="exact"/>
        <w:rPr>
          <w:rFonts w:ascii="Courier New" w:cs="Courier New" w:eastAsia="Courier New" w:hAnsi="Courier New"/>
          <w:sz w:val="15"/>
          <w:szCs w:val="15"/>
          <w:color w:val="auto"/>
        </w:rPr>
      </w:pPr>
    </w:p>
    <w:p>
      <w:pPr>
        <w:ind w:left="2900" w:right="2719" w:hanging="184"/>
        <w:spacing w:after="0" w:line="236" w:lineRule="auto"/>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 significant amount of assets or merge with or into other companies.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For more details, see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"Covenants."</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5"/>
          <w:szCs w:val="15"/>
          <w:color w:val="auto"/>
        </w:rPr>
        <w:t>See "Risk Factors" beginning on page 9 for a</w:t>
      </w:r>
    </w:p>
    <w:p>
      <w:pPr>
        <w:ind w:left="2720"/>
        <w:spacing w:after="0"/>
        <w:rPr>
          <w:sz w:val="20"/>
          <w:szCs w:val="20"/>
          <w:color w:val="auto"/>
        </w:rPr>
      </w:pPr>
      <w:r>
        <w:rPr>
          <w:rFonts w:ascii="Courier New" w:cs="Courier New" w:eastAsia="Courier New" w:hAnsi="Courier New"/>
          <w:sz w:val="16"/>
          <w:szCs w:val="16"/>
          <w:color w:val="auto"/>
        </w:rPr>
        <w:t>discussion of factors that you should carefully</w:t>
      </w:r>
    </w:p>
    <w:p>
      <w:pPr>
        <w:ind w:left="2720"/>
        <w:spacing w:after="0" w:line="237" w:lineRule="auto"/>
        <w:rPr>
          <w:sz w:val="20"/>
          <w:szCs w:val="20"/>
          <w:color w:val="auto"/>
        </w:rPr>
      </w:pPr>
      <w:r>
        <w:rPr>
          <w:rFonts w:ascii="Courier New" w:cs="Courier New" w:eastAsia="Courier New" w:hAnsi="Courier New"/>
          <w:sz w:val="16"/>
          <w:szCs w:val="16"/>
          <w:color w:val="auto"/>
        </w:rPr>
        <w:t>consider. In particular, we note the following</w:t>
      </w:r>
    </w:p>
    <w:p>
      <w:pPr>
        <w:ind w:left="2720"/>
        <w:spacing w:after="0"/>
        <w:rPr>
          <w:sz w:val="20"/>
          <w:szCs w:val="20"/>
          <w:color w:val="auto"/>
        </w:rPr>
      </w:pPr>
      <w:r>
        <w:rPr>
          <w:rFonts w:ascii="Courier New" w:cs="Courier New" w:eastAsia="Courier New" w:hAnsi="Courier New"/>
          <w:sz w:val="16"/>
          <w:szCs w:val="16"/>
          <w:color w:val="auto"/>
        </w:rPr>
        <w:t>risks:</w:t>
      </w:r>
    </w:p>
    <w:p>
      <w:pPr>
        <w:spacing w:after="0" w:line="184" w:lineRule="exact"/>
        <w:rPr>
          <w:sz w:val="20"/>
          <w:szCs w:val="20"/>
          <w:color w:val="auto"/>
        </w:rPr>
      </w:pPr>
    </w:p>
    <w:p>
      <w:pPr>
        <w:ind w:left="2900" w:right="2899" w:hanging="184"/>
        <w:spacing w:after="0" w:line="259" w:lineRule="auto"/>
        <w:tabs>
          <w:tab w:leader="none" w:pos="2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 under the notes.</w:t>
      </w:r>
    </w:p>
    <w:p>
      <w:pPr>
        <w:spacing w:after="0" w:line="171" w:lineRule="exact"/>
        <w:rPr>
          <w:rFonts w:ascii="Courier New" w:cs="Courier New" w:eastAsia="Courier New" w:hAnsi="Courier New"/>
          <w:sz w:val="15"/>
          <w:szCs w:val="15"/>
          <w:color w:val="auto"/>
        </w:rPr>
      </w:pPr>
    </w:p>
    <w:p>
      <w:pPr>
        <w:ind w:left="2900" w:right="299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4" w:lineRule="exact"/>
        <w:rPr>
          <w:rFonts w:ascii="Courier New" w:cs="Courier New" w:eastAsia="Courier New" w:hAnsi="Courier New"/>
          <w:sz w:val="16"/>
          <w:szCs w:val="16"/>
          <w:color w:val="auto"/>
        </w:rPr>
      </w:pPr>
    </w:p>
    <w:p>
      <w:pPr>
        <w:ind w:left="2900" w:right="317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4" w:lineRule="exact"/>
        <w:rPr>
          <w:rFonts w:ascii="Courier New" w:cs="Courier New" w:eastAsia="Courier New" w:hAnsi="Courier New"/>
          <w:sz w:val="16"/>
          <w:szCs w:val="16"/>
          <w:color w:val="auto"/>
        </w:rPr>
      </w:pPr>
    </w:p>
    <w:p>
      <w:pPr>
        <w:ind w:left="2900" w:right="271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SUMMARY CONSOLIDATED FINANCIAL DATA</w:t>
      </w:r>
    </w:p>
    <w:p>
      <w:pPr>
        <w:jc w:val="center"/>
        <w:ind w:right="3100"/>
        <w:spacing w:after="0"/>
        <w:rPr>
          <w:sz w:val="20"/>
          <w:szCs w:val="20"/>
          <w:color w:val="auto"/>
        </w:rPr>
      </w:pPr>
      <w:r>
        <w:rPr>
          <w:rFonts w:ascii="Courier New" w:cs="Courier New" w:eastAsia="Courier New" w:hAnsi="Courier New"/>
          <w:sz w:val="16"/>
          <w:szCs w:val="16"/>
          <w:color w:val="auto"/>
        </w:rPr>
        <w:t>(IN MILLIONS)</w:t>
      </w:r>
    </w:p>
    <w:p>
      <w:pPr>
        <w:spacing w:after="0" w:line="184" w:lineRule="exact"/>
        <w:rPr>
          <w:sz w:val="20"/>
          <w:szCs w:val="20"/>
          <w:color w:val="auto"/>
        </w:rPr>
      </w:pPr>
    </w:p>
    <w:p>
      <w:pPr>
        <w:ind w:right="310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and unaudited consolidated financial statements which are incorporated by reference. You should read the following information in conjunction with our consolidated financial statements and the related notes and the information contained in "Management's Discussion and Analysis of Financial Condition and Results of Operations," all of which we are incorporating in this prospectus.</w:t>
      </w:r>
    </w:p>
    <w:p>
      <w:pPr>
        <w:spacing w:after="0" w:line="185"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We have restated our financial statements as of and for the nine months ended July 1, 2000. In connection with the Agency and Marketing Agreement with Monsanto Company (now Pharmacia Corporation)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our fiscal 2000 Quarterly Reports on Form 10-Q/A.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5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6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YEAR</w:t>
            </w:r>
          </w:p>
        </w:tc>
        <w:tc>
          <w:tcPr>
            <w:tcW w:w="2160" w:type="dxa"/>
            <w:vAlign w:val="bottom"/>
            <w:gridSpan w:val="4"/>
          </w:tcPr>
          <w:p>
            <w:pPr>
              <w:jc w:val="right"/>
              <w:ind w:right="302"/>
              <w:spacing w:after="0"/>
              <w:rPr>
                <w:sz w:val="20"/>
                <w:szCs w:val="20"/>
                <w:color w:val="auto"/>
              </w:rPr>
            </w:pPr>
            <w:r>
              <w:rPr>
                <w:rFonts w:ascii="Courier New" w:cs="Courier New" w:eastAsia="Courier New" w:hAnsi="Courier New"/>
                <w:sz w:val="16"/>
                <w:szCs w:val="16"/>
                <w:color w:val="auto"/>
                <w:w w:val="96"/>
              </w:rPr>
              <w:t>ENDED SEPTEMBER 30,</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JULY 1,</w:t>
            </w:r>
          </w:p>
        </w:tc>
      </w:tr>
      <w:tr>
        <w:trPr>
          <w:trHeight w:val="180"/>
        </w:trPr>
        <w:tc>
          <w:tcPr>
            <w:tcW w:w="55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JULY 3,</w:t>
            </w:r>
          </w:p>
        </w:tc>
        <w:tc>
          <w:tcPr>
            <w:tcW w:w="28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103"/>
              <w:spacing w:after="0"/>
              <w:rPr>
                <w:sz w:val="20"/>
                <w:szCs w:val="20"/>
                <w:color w:val="auto"/>
              </w:rPr>
            </w:pPr>
            <w:r>
              <w:rPr>
                <w:rFonts w:ascii="Courier New" w:cs="Courier New" w:eastAsia="Courier New" w:hAnsi="Courier New"/>
                <w:sz w:val="16"/>
                <w:szCs w:val="16"/>
                <w:color w:val="auto"/>
              </w:rPr>
              <w:t>1997</w:t>
            </w:r>
          </w:p>
        </w:tc>
        <w:tc>
          <w:tcPr>
            <w:tcW w:w="3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Sales..................................................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$899.3</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$1,113.0</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$1,648.3</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$1,402.2</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$1,510.6</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Cost of sales..........................................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573.6</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715.0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989.1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832.1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881.4</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Gross profit...........................................</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325.7</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659.2</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570.1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629.2</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Gross commission earned from agency agreement..........</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26.1</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Contribution expenses under agency agreement...........</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Net commission earned from agency agreement............</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18.4</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Advertising and promotion..............................</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83.9</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189.0</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166.6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186.8</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Selling, general &amp; administrative......................</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131.6</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209.6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229.8</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10.2</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19.4</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Restructuring and other charges........................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Other expense (income), net............................</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5.2</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Income from operations.................................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94.8</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205.3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212.4</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Interest expense.......................................</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25.2</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74.4</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Income before income taxes.............................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69.6</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117.0</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138.0</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Income taxes...........................................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30.1</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52.6</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Income before extraordinary item.......................</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39.5</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Extraordinary loss on early extinguishment of debt, net</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of income tax benefit................................</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Net income.............................................</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39.5</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63.2</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80.5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Preferred stock dividends..............................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rPr>
              <w:t>9.8</w:t>
            </w:r>
          </w:p>
        </w:tc>
        <w:tc>
          <w:tcPr>
            <w:tcW w:w="3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Income applicable to common shareholders...............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$ 29.7</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79.0</w:t>
            </w:r>
          </w:p>
        </w:tc>
      </w:tr>
      <w:tr>
        <w:trPr>
          <w:trHeight w:val="180"/>
        </w:trPr>
        <w:tc>
          <w:tcPr>
            <w:tcW w:w="554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54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4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per common share before extraordinary</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items................................................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$ 1.60</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Basic earnings per common share........................</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$ 1.60</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554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per common share before extraordinary</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items................................................</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$ 1.35</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55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Diluted earnings per common share......................</w:t>
            </w:r>
          </w:p>
        </w:tc>
        <w:tc>
          <w:tcPr>
            <w:tcW w:w="640" w:type="dxa"/>
            <w:vAlign w:val="bottom"/>
          </w:tcPr>
          <w:p>
            <w:pPr>
              <w:jc w:val="right"/>
              <w:ind w:right="3"/>
              <w:spacing w:after="0"/>
              <w:rPr>
                <w:sz w:val="20"/>
                <w:szCs w:val="20"/>
                <w:color w:val="auto"/>
              </w:rPr>
            </w:pPr>
            <w:r>
              <w:rPr>
                <w:rFonts w:ascii="Courier New" w:cs="Courier New" w:eastAsia="Courier New" w:hAnsi="Courier New"/>
                <w:sz w:val="16"/>
                <w:szCs w:val="16"/>
                <w:color w:val="auto"/>
                <w:w w:val="93"/>
              </w:rPr>
              <w:t>$ 1.35</w:t>
            </w: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902"/>
        </w:trPr>
        <w:tc>
          <w:tcPr>
            <w:tcW w:w="5540" w:type="dxa"/>
            <w:vAlign w:val="bottom"/>
          </w:tcPr>
          <w:p>
            <w:pPr>
              <w:spacing w:after="0"/>
              <w:rPr>
                <w:sz w:val="24"/>
                <w:szCs w:val="24"/>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AS OF JULY 1, 2000</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5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5"/>
              </w:rPr>
              <w:t>(RESTATED)</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40" w:type="dxa"/>
            <w:vAlign w:val="bottom"/>
          </w:tcPr>
          <w:p>
            <w:pPr>
              <w:spacing w:after="0"/>
              <w:rPr>
                <w:sz w:val="15"/>
                <w:szCs w:val="15"/>
                <w:color w:val="auto"/>
              </w:rPr>
            </w:pPr>
          </w:p>
        </w:tc>
        <w:tc>
          <w:tcPr>
            <w:tcW w:w="2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55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180" w:type="dxa"/>
            <w:vAlign w:val="bottom"/>
            <w:gridSpan w:val="2"/>
          </w:tcPr>
          <w:p>
            <w:pPr>
              <w:spacing w:after="0"/>
              <w:rPr>
                <w:sz w:val="20"/>
                <w:szCs w:val="20"/>
                <w:color w:val="auto"/>
              </w:rPr>
            </w:pPr>
            <w:r>
              <w:rPr>
                <w:rFonts w:ascii="Courier New" w:cs="Courier New" w:eastAsia="Courier New" w:hAnsi="Courier New"/>
                <w:sz w:val="16"/>
                <w:szCs w:val="16"/>
                <w:color w:val="auto"/>
              </w:rPr>
              <w:t>Working capital.............................................</w:t>
            </w:r>
          </w:p>
        </w:tc>
        <w:tc>
          <w:tcPr>
            <w:tcW w:w="3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290.0</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80" w:type="dxa"/>
            <w:vAlign w:val="bottom"/>
            <w:gridSpan w:val="2"/>
          </w:tcPr>
          <w:p>
            <w:pPr>
              <w:spacing w:after="0"/>
              <w:rPr>
                <w:sz w:val="20"/>
                <w:szCs w:val="20"/>
                <w:color w:val="auto"/>
              </w:rPr>
            </w:pPr>
            <w:r>
              <w:rPr>
                <w:rFonts w:ascii="Courier New" w:cs="Courier New" w:eastAsia="Courier New" w:hAnsi="Courier New"/>
                <w:sz w:val="16"/>
                <w:szCs w:val="16"/>
                <w:color w:val="auto"/>
              </w:rPr>
              <w:t>Total assets................................................</w:t>
            </w: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1,895.1</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80" w:type="dxa"/>
            <w:vAlign w:val="bottom"/>
            <w:gridSpan w:val="2"/>
          </w:tcPr>
          <w:p>
            <w:pPr>
              <w:spacing w:after="0"/>
              <w:rPr>
                <w:sz w:val="20"/>
                <w:szCs w:val="20"/>
                <w:color w:val="auto"/>
              </w:rPr>
            </w:pPr>
            <w:r>
              <w:rPr>
                <w:rFonts w:ascii="Courier New" w:cs="Courier New" w:eastAsia="Courier New" w:hAnsi="Courier New"/>
                <w:sz w:val="16"/>
                <w:szCs w:val="16"/>
                <w:color w:val="auto"/>
              </w:rPr>
              <w:t>Total debt..................................................</w:t>
            </w:r>
          </w:p>
        </w:tc>
        <w:tc>
          <w:tcPr>
            <w:tcW w:w="3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886.2</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180" w:type="dxa"/>
            <w:vAlign w:val="bottom"/>
            <w:gridSpan w:val="2"/>
          </w:tcPr>
          <w:p>
            <w:pPr>
              <w:spacing w:after="0"/>
              <w:rPr>
                <w:sz w:val="20"/>
                <w:szCs w:val="20"/>
                <w:color w:val="auto"/>
              </w:rPr>
            </w:pPr>
            <w:r>
              <w:rPr>
                <w:rFonts w:ascii="Courier New" w:cs="Courier New" w:eastAsia="Courier New" w:hAnsi="Courier New"/>
                <w:sz w:val="16"/>
                <w:szCs w:val="16"/>
                <w:color w:val="auto"/>
              </w:rPr>
              <w:t>Total shareholders' equity..................................</w:t>
            </w:r>
          </w:p>
        </w:tc>
        <w:tc>
          <w:tcPr>
            <w:tcW w:w="3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494.6</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500"/>
          </w:cols>
          <w:pgMar w:left="240" w:top="293" w:right="1159" w:bottom="107" w:gutter="0" w:footer="0" w:header="0"/>
        </w:sectPr>
      </w:pPr>
    </w:p>
    <w:p>
      <w:pPr>
        <w:spacing w:after="0" w:line="16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500"/>
          </w:cols>
          <w:pgMar w:left="240" w:top="293" w:right="1159" w:bottom="107"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 UNDER THE NOTES.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following table shows our outstanding indebtedness as of July 1, 2000 (dollars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14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AT JULY 1, 2000</w:t>
            </w:r>
          </w:p>
        </w:tc>
      </w:tr>
      <w:tr>
        <w:trPr>
          <w:trHeight w:val="180"/>
        </w:trPr>
        <w:tc>
          <w:tcPr>
            <w:tcW w:w="5820" w:type="dxa"/>
            <w:vAlign w:val="bottom"/>
          </w:tcPr>
          <w:p>
            <w:pPr>
              <w:spacing w:after="0"/>
              <w:rPr>
                <w:sz w:val="15"/>
                <w:szCs w:val="15"/>
                <w:color w:val="auto"/>
              </w:rPr>
            </w:pPr>
          </w:p>
        </w:tc>
        <w:tc>
          <w:tcPr>
            <w:tcW w:w="214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820" w:type="dxa"/>
            <w:vAlign w:val="bottom"/>
          </w:tcPr>
          <w:p>
            <w:pPr>
              <w:spacing w:after="0"/>
              <w:rPr>
                <w:sz w:val="15"/>
                <w:szCs w:val="15"/>
                <w:color w:val="auto"/>
              </w:rPr>
            </w:pP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5820" w:type="dxa"/>
            <w:vAlign w:val="bottom"/>
          </w:tcPr>
          <w:p>
            <w:pPr>
              <w:spacing w:after="0"/>
              <w:rPr>
                <w:sz w:val="15"/>
                <w:szCs w:val="15"/>
                <w:color w:val="auto"/>
              </w:rPr>
            </w:pPr>
          </w:p>
        </w:tc>
        <w:tc>
          <w:tcPr>
            <w:tcW w:w="214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  886.2</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494.6</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Debt to equity ratio........................................</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1.79:1</w:t>
            </w:r>
          </w:p>
        </w:tc>
      </w:tr>
    </w:tbl>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This substantial amount of indebtedness could have important consequences to you. For example, it could:</w:t>
      </w:r>
    </w:p>
    <w:p>
      <w:pPr>
        <w:spacing w:after="0" w:line="180" w:lineRule="exact"/>
        <w:rPr>
          <w:sz w:val="20"/>
          <w:szCs w:val="20"/>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 under the notes;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68" w:lineRule="exact"/>
        <w:rPr>
          <w:rFonts w:ascii="Courier New" w:cs="Courier New" w:eastAsia="Courier New" w:hAnsi="Courier New"/>
          <w:sz w:val="15"/>
          <w:szCs w:val="15"/>
          <w:color w:val="auto"/>
        </w:rPr>
      </w:pPr>
    </w:p>
    <w:p>
      <w:pPr>
        <w:ind w:left="660" w:right="2899" w:hanging="195"/>
        <w:spacing w:after="0" w:line="257"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which would reduce the cash flow available to fund working capital, capital expenditures,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the indebtedness could become due and payable in full prior to its stated due date. We cannot be sure that our lenders would waive a default or that we could pay the indebtness in full if it were accelerated.</w:t>
      </w:r>
    </w:p>
    <w:p>
      <w:pPr>
        <w:spacing w:after="0" w:line="187"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DESPITE CURRENT INDEBTEDNESS LEVELS, WE MAY STILL BE ABLE TO INCUR SUBSTANTIALLY MORE DEBT. THIS COULD FURTHER EXACERBATE THE RISKS DESCRIBED ABOVE.</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may be able to incur substantial additional indebtedness in the future. The terms of the indenture do not fully prohibit us from doing so. Our credit facility permits additional borrowings of up to $1.025 billion. All of those borrowings would be senior to the notes and the subsidiary guarantees. If new debt is added to our current debt levels, the related risks that we now face could intensify.</w:t>
      </w:r>
    </w:p>
    <w:p>
      <w:pPr>
        <w:spacing w:after="0" w:line="189"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TO SERVICE OUR INDEBTEDNESS, WE WILL REQUIRE A SIGNIFICANT AMOUNT OF CASH, WHICH WE MAY NOT BE ABLE TO GENERATE.</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ectPr>
          <w:pgSz w:w="11900" w:h="16838" w:orient="portrait"/>
          <w:cols w:equalWidth="0" w:num="1">
            <w:col w:w="10219"/>
          </w:cols>
          <w:pgMar w:left="240" w:top="293" w:right="1440" w:bottom="1440"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notes and the subsidiary guarantees rank behind all of our and the subsidiary guarantors' existing indebtedness and all of our and their future borrowings, except:</w:t>
      </w:r>
    </w:p>
    <w:p>
      <w:pPr>
        <w:spacing w:after="0" w:line="180" w:lineRule="exact"/>
        <w:rPr>
          <w:sz w:val="20"/>
          <w:szCs w:val="20"/>
          <w:color w:val="auto"/>
        </w:rPr>
      </w:pPr>
    </w:p>
    <w:p>
      <w:pPr>
        <w:ind w:left="660" w:hanging="195"/>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payables;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indebtedness that expressly provides that it ranks equal with, or is subordinated in right of payment to, the notes and the subsidiary guarantees.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all payments on the notes and the subsidiary guarantees will be blocked in the event of a payment default on senior debt and may be blocked for up to 179 of 360 consecutive days in the event of uncured non-payment defaults on senior debt.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Scotts or the subsidiary guarantors, holders of the notes will participate with trade creditors and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w:t>
      </w:r>
    </w:p>
    <w:p>
      <w:pPr>
        <w:spacing w:after="0" w:line="17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of July 1, 2000, the notes and the subsidiary guarantees were subordinated to $510.0 million of senior debt, and approximately $460.8 million was available for borrowing as additional senior debt under our credit facility. We will be permitted to borrow substantial additional indebtedness, including senior debt, in the future under the terms of the indenture. In addition, the notes and the subsidiary guarantees will be effectively subordinated to the current operating liabilities, including trade payables, of all of our subsidiaries that are not subsidiary guarantors. See note 22 to our consolidated financial statements, which are incorporated by reference in this prospectus.</w:t>
      </w:r>
    </w:p>
    <w:p>
      <w:pPr>
        <w:spacing w:after="0" w:line="179"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integrate effectively the acquired business. We believe that our recent acquisitions provide us with significant cost saving opportunities. However, if we are not able to successfully integrate Ortho, Rhone-Poulenc Jardin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78"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The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w:t>
      </w:r>
    </w:p>
    <w:p>
      <w:pPr>
        <w:sectPr>
          <w:pgSz w:w="11900" w:h="16838" w:orient="portrait"/>
          <w:cols w:equalWidth="0" w:num="1">
            <w:col w:w="10219"/>
          </w:cols>
          <w:pgMar w:left="240" w:top="293" w:right="1440" w:bottom="1440" w:gutter="0" w:footer="0" w:header="0"/>
        </w:sectPr>
      </w:pP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shipments, fees, merchandise condition or related matters. Our inability to collect accounts receivable from any of these customers could also have a material adverse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MONSANTO WERE TO TERMINATE THE MARKETING AGREEMENT FOR CONSUMER ROUNDUP(R)</w:t>
      </w:r>
    </w:p>
    <w:p>
      <w:pPr>
        <w:spacing w:after="0"/>
        <w:rPr>
          <w:sz w:val="20"/>
          <w:szCs w:val="20"/>
          <w:color w:val="auto"/>
        </w:rPr>
      </w:pPr>
      <w:r>
        <w:rPr>
          <w:rFonts w:ascii="Courier New" w:cs="Courier New" w:eastAsia="Courier New" w:hAnsi="Courier New"/>
          <w:sz w:val="16"/>
          <w:szCs w:val="16"/>
          <w:color w:val="auto"/>
        </w:rPr>
        <w:t>PRODUCTS, WE WOULD LOSE A SUBSTANTIAL SOURCE OF FUTURE EARNINGS.</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w:t>
      </w:r>
    </w:p>
    <w:p>
      <w:pPr>
        <w:spacing w:after="0" w:line="189"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Monsanto may also terminate the marketing agreement within a given region, including North America, without paying us a termination fee if sales to end user consumers, as opposed to retailers or distributors, in that region decline:</w:t>
      </w:r>
    </w:p>
    <w:p>
      <w:pPr>
        <w:spacing w:after="0" w:line="166" w:lineRule="exact"/>
        <w:rPr>
          <w:sz w:val="20"/>
          <w:szCs w:val="20"/>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5" w:lineRule="exact"/>
        <w:rPr>
          <w:sz w:val="20"/>
          <w:szCs w:val="20"/>
          <w:color w:val="auto"/>
        </w:rPr>
      </w:pPr>
    </w:p>
    <w:p>
      <w:pPr>
        <w:ind w:right="3099" w:firstLine="469"/>
        <w:spacing w:after="0" w:line="257" w:lineRule="auto"/>
        <w:rPr>
          <w:sz w:val="20"/>
          <w:szCs w:val="20"/>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in general economic conditions or a severe decline in the lawn and garden market in the region rather than by our failure to perform our duties under the agreement.</w:t>
      </w:r>
    </w:p>
    <w:p>
      <w:pPr>
        <w:spacing w:after="0" w:line="17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Glyphosate, the active ingredient in Roundup(R), is covered by a patent in the United States which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income taxes.</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Our methylene-urea product composition patent, which covers Scotts Turf Builder(R), Scotts Turf Builder(R)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THE INTERESTS OF THE FORMER MIRACLE-GRO SHAREHOLDERS COULD CONFLICT WITH THOSE OF OUR OTHER SHAREHOLDERS OR THE HOLDERS OF THE NOTES.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former shareholders of Stern's Miracle-Gro Products, Inc., through the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 or the holders of the notes.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OUR HISTORICAL SEASONALITY COULD IMPAIR OUR ABILITY TO MAKE INTEREST PAYMENTS ON THE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 75% of our sales have occurred in the combined second and third fiscal quarters. Our working capital needs and our borrowings peak near the end of our first fiscal quarter because we are generating fewer revenues while incurring expenditures in preparation for the spring selling season. If cash on hand and revenues are insufficient to cover payments due on the notes at a time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when we are unable to draw on our credit facility, it could adversely affect our ability to make interest payments as required by the notes. Adverse weather conditions could heighten this risk.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ADVERSE WEATHER CONDITIONS COULD ADVERSELY IMPACT OUR FINANCIAL RESULTS.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PUBLIC PERCEPTIONS THAT THE PRODUCTS WE PRODUCE AND MARKET ARE NOT SAFE COULD SIGNIFICANTLY REDUCE OUR SALES.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 by reducing our sales.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severity of the effect of the U.S. Environmental Protection Agency's evaluation.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Regulations regarding the use of some pesticide and fertilizer products may include requirements that only certified or professional users may apply the products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applicable regulations and obtain all necessary registrations, we cannot be 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188"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harvesting of peat for our organics business has come under increasing regulatory and environmental scrutiny. In the United States, state regulations frequently require us to limit our harvesting and to restore the property to its intended residual use. In some locations we have been required to create water retention ponds to control the sediment content of discharged water. In the United Kingdom, our peat extraction efforts are also the subject of legislation. Since July 1990, we have been involved in litigation with the Philadelphia</w:t>
      </w:r>
    </w:p>
    <w:p>
      <w:pPr>
        <w:ind w:left="3660"/>
        <w:spacing w:after="0" w:line="238" w:lineRule="auto"/>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and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While we are currently unable to predict the ultimate outcome of this matter, as of September 30, 1999, we estimate that the range of possible loss that could be incurred in connection with this matter is $2 million to $10 million.</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We anticipate that environmental capital expenditures and other environmental expenses for fiscal 2000 will not differ significantly from those incurred in fiscal 1999. If we are required to significantly increase our actual capital expenditures and other environmental expenses, it could adversely affect our financial results.</w:t>
      </w:r>
    </w:p>
    <w:p>
      <w:pPr>
        <w:spacing w:after="0" w:line="173"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exposed to risks associated with operations in foreign countries, including:</w:t>
      </w:r>
    </w:p>
    <w:p>
      <w:pPr>
        <w:spacing w:after="0" w:line="180" w:lineRule="exact"/>
        <w:rPr>
          <w:sz w:val="20"/>
          <w:szCs w:val="20"/>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6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YOUR RIGHT TO RECEIVE PAYMENTS ON THE NOTES COULD BE ADVERSELY AFFECTED IF ANY OF OUR NON-GUARANTOR SUBSIDIARIES DECLARES BANKRUPTCY, LIQUIDATES OR REORGANIZES.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The non-guarantor subsidiaries generated approximately 24.6% of our consolidated revenues in the year ended September 30, 1999 and held approximately 29.7% of our consolidated assets as of September 30, 1999.</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18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WE COULD EXPERIENCE DIFFICULTIES WITH OUR IMPLEMENTATION OF SAP SOFTWARE FOR ENTERPRISE RESOURCE PLANNING THAT COULD ADVERSELY AFFECT OUR OPERATIONS.</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implementation of SAP software for enterprise resource planning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189"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WE MAY NOT HAVE THE ABILITY TO RAISE THE FUNDS NECESSARY TO FINANCE THE CHANGE OF CONTROL OFFER REQUIRED BY THE INDENTURE.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the occurrence of specific kinds of change of control events, we will be required to offer to repurchase all outstanding notes. It is possible that we will not have sufficient funds at the time of the change of control to make the required repurchase of notes or that restrictions in our credit facility will not allow repurchases. In addition, important corporate events, including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See "Description of Notes -- Repurchase at the Option of Holders."</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FEDERAL AND STATE STATUTES ALLOW COURTS, UNDER SPECIFIC CIRCUMSTANCES, TO VOID THE NOTES AND THE GUARANTEES AND REQUIRE NOTEHOLDERS TO RETURN PAYMENTS RECEIVED FROM SCOTTS OR THE SUBSIDIARY GUARANTORS.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notes and the subsidiary guarantees could be voided. Alternatively, claims in respect of the notes or the subsidiary guarantees could be subordinated to all other debts of Scotts or any subsidiary guarantor. Either of these events could occur if Scotts or the subsidiary guarantor, at the time it incurred the indebtedness evidenced by the notes or its subsidiary guarantee received less than reasonably equivalent value or fair consideration for the incurrence of the indebtedness, and:</w:t>
      </w:r>
    </w:p>
    <w:p>
      <w:pPr>
        <w:spacing w:after="0" w:line="173" w:lineRule="exact"/>
        <w:rPr>
          <w:sz w:val="20"/>
          <w:szCs w:val="20"/>
          <w:color w:val="auto"/>
        </w:rPr>
      </w:pPr>
    </w:p>
    <w:p>
      <w:pPr>
        <w:ind w:left="660" w:right="299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insolvent or rendered insolvent by reason of the incurrence of the indebtedness; or</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in a business or transaction for which Scotts' or the subsidiary guarantor's remaining assets constituted unreasonably small capital; 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incur, or believed that it would incur, debts beyond its ability to pay as they mature.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any payment by Scotts or any subsidiary guarantor under the notes or a subsidiary guarantee could be voided and required to be returned to Scotts or the subsidiary guarantor, or to a fund for the benefit of the creditors of Scotts or the subsidiary guarantor.</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measures of insolvency for purposes of these fraudulent transfer laws vary depending upon the law applied in any proceeding to determine whether a fraudulent transfer has occurred. Generally, however, Scotts or a subsidiary guarantor would be considered insolvent if:</w:t>
      </w:r>
    </w:p>
    <w:p>
      <w:pPr>
        <w:spacing w:after="0" w:line="186" w:lineRule="exact"/>
        <w:rPr>
          <w:sz w:val="20"/>
          <w:szCs w:val="20"/>
          <w:color w:val="auto"/>
        </w:rPr>
      </w:pPr>
    </w:p>
    <w:p>
      <w:pPr>
        <w:ind w:left="660" w:right="2719" w:hanging="195"/>
        <w:spacing w:after="0" w:line="236"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its debts, including contingent liabilities, were greater than the fair salable value of all of its assets;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could not pay its debts as they become due.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CANNOT BE SURE THAT AN ACTIVE TRADING MARKET WILL DEVELOP FOR THE NOTES.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and will not be listed on any securities exchange. We understand that Salomon Smith Barney is currently making a market in the original notes. However, they may cease their market-making at any time. In addition, the liquidity of the trading</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18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OF NORTH AMERICAN PROFESSIONAL TURF BUSINESS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May 31, 2000, Scotts sold its North American Professional Turf business to The Andersons, Inc. and The Nu-Gro Corporation. The transaction resulted in a gain of approximately $4.6 million in fiscal 2000.</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In connection with the transaction, Scotts will retain the professional horticulture and the turf seed segments of its North American Professional Business Group. In addition to their ongoing value, these segments are strategically important to Scotts' efforts to create and market value-added seeds and plants through biotechnology.</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Professional Turf sales agreement, The Andersons acquired the rights in the U.S. only to the Pro-Turf(R), Contec(TM), AccuPro(TM) and other professional turf brands and their associated distribution network and product inventories. Nu-Gro acquired the same brands and their associated distribution network and inventories in Canada. The Scotts(R) brand name is not part of this transaction, other than for certain transitional uses.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also includes a supply agreement under which Scotts will use its proprietary manufacturing processes to produce a value-added professional turf products for The Andersons and Nu-Gro for the U.S. and Canada, respectively.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RECALL OF ORTHO AND ROUNDUP(R) PULL 'N SPRAY PRODUCTS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the spring of fiscal 2000, we became aware of consumer complaints relating to the dispensing system for two pesticide products, one of which is marketed through the agency agreement with Monsanto. Scotts has brought the situation to the attention of the appropriate governmental regulatory agencies and its retail partners and initiated the following courses of action:</w:t>
      </w:r>
    </w:p>
    <w:p>
      <w:pPr>
        <w:spacing w:after="0" w:line="176" w:lineRule="exact"/>
        <w:rPr>
          <w:sz w:val="20"/>
          <w:szCs w:val="20"/>
          <w:color w:val="auto"/>
        </w:rPr>
      </w:pPr>
    </w:p>
    <w:p>
      <w:pPr>
        <w:ind w:left="660" w:right="2999" w:hanging="195"/>
        <w:spacing w:after="0" w:line="236"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relabeling products currently in inventory and at retailers to enhance instructions on the proper use of the dispensing system;</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adjustments to the dispensing system for those products;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implementing voluntary return programs.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connection with these courses of action, we have and will continue to incur a variety of costs, including costs associated with product returns, costs to recondition and rework existing and returned product, and write-offs of unusable materials. Through September 30, 2000, the Company had incurred $1.8 million associated with this effort related to Ortho Pull 'N Spray products. In addition, costs associated with the voluntary recall effort for Roundup products were approximately $5.8 million during fiscal 2000. Because we do not have an ownership interest in the Roundup business, these costs were not reflected in our financial statements for that period. Rather, since our commission earned under the agreement is based on the earnings of the Roundup business, the commission we earned under the Roundup(R) agency agreement was reduced by approximately $2.9 million in fiscal 2000 for these costs.</w:t>
      </w:r>
    </w:p>
    <w:p>
      <w:pPr>
        <w:spacing w:after="0" w:line="18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following table sets forth our ratio of earnings to fixed charges for each of the periods shown: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gridSpan w:val="3"/>
          </w:tcPr>
          <w:p>
            <w:pPr>
              <w:jc w:val="center"/>
              <w:ind w:right="2"/>
              <w:spacing w:after="0"/>
              <w:rPr>
                <w:sz w:val="20"/>
                <w:szCs w:val="20"/>
                <w:color w:val="auto"/>
              </w:rPr>
            </w:pPr>
            <w:r>
              <w:rPr>
                <w:rFonts w:ascii="Courier New" w:cs="Courier New" w:eastAsia="Courier New" w:hAnsi="Courier New"/>
                <w:sz w:val="16"/>
                <w:szCs w:val="16"/>
                <w:color w:val="auto"/>
                <w:w w:val="98"/>
              </w:rPr>
              <w:t>YEAR ENDED SEPTEMBER 30,</w:t>
            </w: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37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5"/>
              </w:rPr>
              <w:t>------------------------------------</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7"/>
              </w:rPr>
              <w:t>NINE MONTH ENDED</w:t>
            </w:r>
          </w:p>
        </w:tc>
      </w:tr>
      <w:tr>
        <w:trPr>
          <w:trHeight w:val="180"/>
        </w:trPr>
        <w:tc>
          <w:tcPr>
            <w:tcW w:w="374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1996</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c>
          <w:tcPr>
            <w:tcW w:w="170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JULY 1, 2000</w:t>
            </w:r>
          </w:p>
        </w:tc>
      </w:tr>
      <w:tr>
        <w:trPr>
          <w:trHeight w:val="180"/>
        </w:trPr>
        <w:tc>
          <w:tcPr>
            <w:tcW w:w="374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Ratio of earnings to fixed charges.....</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2.2x</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1.0x</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3.3x</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2.6x</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2.3x</w:t>
            </w:r>
          </w:p>
        </w:tc>
        <w:tc>
          <w:tcPr>
            <w:tcW w:w="170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2.7x</w:t>
            </w:r>
          </w:p>
        </w:tc>
      </w:tr>
    </w:tbl>
    <w:p>
      <w:pPr>
        <w:spacing w:after="0" w:line="200" w:lineRule="exact"/>
        <w:rPr>
          <w:sz w:val="20"/>
          <w:szCs w:val="20"/>
          <w:color w:val="auto"/>
        </w:rPr>
      </w:pPr>
    </w:p>
    <w:p>
      <w:pPr>
        <w:sectPr>
          <w:pgSz w:w="11900" w:h="16838" w:orient="portrait"/>
          <w:cols w:equalWidth="0" w:num="1">
            <w:col w:w="10219"/>
          </w:cols>
          <w:pgMar w:left="240" w:top="293" w:right="1440" w:bottom="1440" w:gutter="0" w:footer="0" w:header="0"/>
        </w:sectPr>
      </w:pP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receive any proceeds from the issuance of these notes. The gross proceeds from the offering of the original notes, together with borrowings under our credit facility of approximately $100 million, were used:</w:t>
      </w:r>
    </w:p>
    <w:p>
      <w:pPr>
        <w:spacing w:after="0" w:line="185" w:lineRule="exact"/>
        <w:rPr>
          <w:sz w:val="20"/>
          <w:szCs w:val="20"/>
          <w:color w:val="auto"/>
        </w:rPr>
      </w:pPr>
    </w:p>
    <w:p>
      <w:pPr>
        <w:ind w:left="660" w:right="3279" w:hanging="195"/>
        <w:spacing w:after="0" w:line="237"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fund the payment of $300.0 million to Monsanto for the Ortho acquisition, excluding the amount of any normalized working capital adjustment;</w:t>
      </w:r>
    </w:p>
    <w:p>
      <w:pPr>
        <w:spacing w:after="0" w:line="184"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repurchase our then outstanding 9 7/8% Senior Subordinated Notes Due 2004 for $108.7 million, including tender premium and accrued interest;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fees and expenses of approximately $21 million in connection with our recent acquisitions and the offering of the original notes.</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CAPITALIZATION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the capitalization of Scotts at July 1,</w:t>
      </w:r>
    </w:p>
    <w:p>
      <w:pPr>
        <w:spacing w:after="0"/>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339" w:lineRule="exact"/>
        <w:rPr>
          <w:sz w:val="20"/>
          <w:szCs w:val="20"/>
          <w:color w:val="auto"/>
        </w:rPr>
      </w:pPr>
    </w:p>
    <w:p>
      <w:pPr>
        <w:ind w:left="6180"/>
        <w:spacing w:after="0"/>
        <w:rPr>
          <w:sz w:val="20"/>
          <w:szCs w:val="20"/>
          <w:color w:val="auto"/>
        </w:rPr>
      </w:pPr>
      <w:r>
        <w:rPr>
          <w:rFonts w:ascii="Courier New" w:cs="Courier New" w:eastAsia="Courier New" w:hAnsi="Courier New"/>
          <w:sz w:val="16"/>
          <w:szCs w:val="16"/>
          <w:color w:val="auto"/>
        </w:rPr>
        <w:t>AS OF</w:t>
      </w:r>
    </w:p>
    <w:tbl>
      <w:tblPr>
        <w:tblLayout w:type="fixed"/>
        <w:tblInd w:w="0" w:type="dxa"/>
        <w:tblCellMar>
          <w:top w:w="0" w:type="dxa"/>
          <w:left w:w="0" w:type="dxa"/>
          <w:bottom w:w="0" w:type="dxa"/>
          <w:right w:w="0" w:type="dxa"/>
        </w:tblCellMar>
      </w:tblPr>
      <w:tr>
        <w:trPr>
          <w:trHeight w:val="180"/>
        </w:trPr>
        <w:tc>
          <w:tcPr>
            <w:tcW w:w="3660" w:type="dxa"/>
            <w:vAlign w:val="bottom"/>
          </w:tcPr>
          <w:p>
            <w:pPr>
              <w:spacing w:after="0"/>
              <w:rPr>
                <w:sz w:val="15"/>
                <w:szCs w:val="15"/>
                <w:color w:val="auto"/>
              </w:rPr>
            </w:pPr>
          </w:p>
        </w:tc>
        <w:tc>
          <w:tcPr>
            <w:tcW w:w="3380" w:type="dxa"/>
            <w:vAlign w:val="bottom"/>
          </w:tcPr>
          <w:p>
            <w:pPr>
              <w:ind w:left="2160"/>
              <w:spacing w:after="0"/>
              <w:rPr>
                <w:sz w:val="20"/>
                <w:szCs w:val="20"/>
                <w:color w:val="auto"/>
              </w:rPr>
            </w:pPr>
            <w:r>
              <w:rPr>
                <w:rFonts w:ascii="Courier New" w:cs="Courier New" w:eastAsia="Courier New" w:hAnsi="Courier New"/>
                <w:sz w:val="16"/>
                <w:szCs w:val="16"/>
                <w:color w:val="auto"/>
              </w:rPr>
              <w:t>JULY 1, 2000</w:t>
            </w:r>
          </w:p>
        </w:tc>
      </w:tr>
      <w:tr>
        <w:trPr>
          <w:trHeight w:val="180"/>
        </w:trPr>
        <w:tc>
          <w:tcPr>
            <w:tcW w:w="3660" w:type="dxa"/>
            <w:vAlign w:val="bottom"/>
          </w:tcPr>
          <w:p>
            <w:pPr>
              <w:spacing w:after="0"/>
              <w:rPr>
                <w:sz w:val="15"/>
                <w:szCs w:val="15"/>
                <w:color w:val="auto"/>
              </w:rPr>
            </w:pPr>
          </w:p>
        </w:tc>
        <w:tc>
          <w:tcPr>
            <w:tcW w:w="3380" w:type="dxa"/>
            <w:vAlign w:val="bottom"/>
          </w:tcPr>
          <w:p>
            <w:pPr>
              <w:ind w:left="2160"/>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3380" w:type="dxa"/>
            <w:vAlign w:val="bottom"/>
          </w:tcPr>
          <w:p>
            <w:pPr>
              <w:ind w:left="2160"/>
              <w:spacing w:after="0"/>
              <w:rPr>
                <w:sz w:val="20"/>
                <w:szCs w:val="20"/>
                <w:color w:val="auto"/>
              </w:rPr>
            </w:pPr>
            <w:r>
              <w:rPr>
                <w:rFonts w:ascii="Courier New" w:cs="Courier New" w:eastAsia="Courier New" w:hAnsi="Courier New"/>
                <w:sz w:val="16"/>
                <w:szCs w:val="16"/>
                <w:color w:val="auto"/>
                <w:w w:val="96"/>
              </w:rPr>
              <w:t>(IN MILLIONS)</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(RESTATED)</w:t>
            </w:r>
          </w:p>
        </w:tc>
      </w:tr>
      <w:tr>
        <w:trPr>
          <w:trHeight w:val="361"/>
        </w:trPr>
        <w:tc>
          <w:tcPr>
            <w:tcW w:w="3660" w:type="dxa"/>
            <w:vAlign w:val="bottom"/>
          </w:tcPr>
          <w:p>
            <w:pPr>
              <w:jc w:val="right"/>
              <w:ind w:right="487"/>
              <w:spacing w:after="0"/>
              <w:rPr>
                <w:sz w:val="20"/>
                <w:szCs w:val="20"/>
                <w:color w:val="auto"/>
              </w:rPr>
            </w:pPr>
            <w:r>
              <w:rPr>
                <w:rFonts w:ascii="Courier New" w:cs="Courier New" w:eastAsia="Courier New" w:hAnsi="Courier New"/>
                <w:sz w:val="16"/>
                <w:szCs w:val="16"/>
                <w:color w:val="auto"/>
                <w:w w:val="97"/>
              </w:rPr>
              <w:t>Debt (including current portion):</w:t>
            </w:r>
          </w:p>
        </w:tc>
        <w:tc>
          <w:tcPr>
            <w:tcW w:w="3380" w:type="dxa"/>
            <w:vAlign w:val="bottom"/>
          </w:tcPr>
          <w:p>
            <w:pPr>
              <w:spacing w:after="0"/>
              <w:rPr>
                <w:sz w:val="24"/>
                <w:szCs w:val="24"/>
                <w:color w:val="auto"/>
              </w:rPr>
            </w:pPr>
          </w:p>
        </w:tc>
      </w:tr>
      <w:tr>
        <w:trPr>
          <w:trHeight w:val="180"/>
        </w:trPr>
        <w:tc>
          <w:tcPr>
            <w:tcW w:w="3660" w:type="dxa"/>
            <w:vAlign w:val="bottom"/>
          </w:tcPr>
          <w:p>
            <w:pPr>
              <w:jc w:val="right"/>
              <w:ind w:right="1907"/>
              <w:spacing w:after="0"/>
              <w:rPr>
                <w:sz w:val="20"/>
                <w:szCs w:val="20"/>
                <w:color w:val="auto"/>
              </w:rPr>
            </w:pPr>
            <w:r>
              <w:rPr>
                <w:rFonts w:ascii="Courier New" w:cs="Courier New" w:eastAsia="Courier New" w:hAnsi="Courier New"/>
                <w:sz w:val="16"/>
                <w:szCs w:val="16"/>
                <w:color w:val="auto"/>
              </w:rPr>
              <w:t>Credit facility:</w:t>
            </w:r>
          </w:p>
        </w:tc>
        <w:tc>
          <w:tcPr>
            <w:tcW w:w="3380" w:type="dxa"/>
            <w:vAlign w:val="bottom"/>
          </w:tcPr>
          <w:p>
            <w:pPr>
              <w:spacing w:after="0"/>
              <w:rPr>
                <w:sz w:val="15"/>
                <w:szCs w:val="15"/>
                <w:color w:val="auto"/>
              </w:rPr>
            </w:pP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Revolving credit facility..............................</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  38.4</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Term loans.............................................</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471.6</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8.625% senior subordinated notes..........................</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318.9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Other debt................................................</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57.3</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debt...........................................</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886.2</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77"/>
              </w:rPr>
              <w:t>Shareholders' equity........................................</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494.6</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capitalization.................................</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1,380.8</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541"/>
        </w:trPr>
        <w:tc>
          <w:tcPr>
            <w:tcW w:w="3660" w:type="dxa"/>
            <w:vAlign w:val="bottom"/>
          </w:tcPr>
          <w:p>
            <w:pPr>
              <w:spacing w:after="0"/>
              <w:rPr>
                <w:sz w:val="24"/>
                <w:szCs w:val="24"/>
                <w:color w:val="auto"/>
              </w:rPr>
            </w:pPr>
          </w:p>
        </w:tc>
        <w:tc>
          <w:tcPr>
            <w:tcW w:w="3380" w:type="dxa"/>
            <w:vAlign w:val="bottom"/>
          </w:tcPr>
          <w:p>
            <w:pPr>
              <w:jc w:val="right"/>
              <w:ind w:right="3122"/>
              <w:spacing w:after="0"/>
              <w:rPr>
                <w:sz w:val="20"/>
                <w:szCs w:val="20"/>
                <w:color w:val="auto"/>
              </w:rPr>
            </w:pPr>
            <w:r>
              <w:rPr>
                <w:rFonts w:ascii="Courier New" w:cs="Courier New" w:eastAsia="Courier New" w:hAnsi="Courier New"/>
                <w:sz w:val="16"/>
                <w:szCs w:val="16"/>
                <w:color w:val="auto"/>
                <w:w w:val="83"/>
              </w:rPr>
              <w:t>16</w:t>
            </w:r>
          </w:p>
        </w:tc>
      </w:tr>
    </w:tbl>
    <w:p>
      <w:pPr>
        <w:sectPr>
          <w:pgSz w:w="11900" w:h="16838" w:orient="portrait"/>
          <w:cols w:equalWidth="0" w:num="1">
            <w:col w:w="10219"/>
          </w:cols>
          <w:pgMar w:left="240" w:top="293"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5"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consolidated financial statements which we are incorporating in this prospectus. You should read the following information in conjunction with our consolidated financial statements and the associated notes, and the information contained in "Management's Discussion and Analysis of Financial Condition and Results of Operations," all of which are incorporated by reference in this prospectus.</w:t>
      </w:r>
    </w:p>
    <w:p>
      <w:pPr>
        <w:spacing w:after="0" w:line="185"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We have restated our financial statements as of and for the nine months ended July 1, 2000. In connection with the Agency and Marketing Agreement with Monsanto Company (now Pharmacia Corporation)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our fiscal 2000 Quarterly Reports on Form 10-Q/A.</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gridSpan w:val="4"/>
          </w:tcPr>
          <w:p>
            <w:pPr>
              <w:ind w:left="8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YEAR ENDED SEPTEMBER 30,</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JULY 1,</w:t>
            </w:r>
          </w:p>
        </w:tc>
      </w:tr>
      <w:tr>
        <w:trPr>
          <w:trHeight w:val="180"/>
        </w:trPr>
        <w:tc>
          <w:tcPr>
            <w:tcW w:w="366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JULY 3,</w:t>
            </w:r>
          </w:p>
        </w:tc>
        <w:tc>
          <w:tcPr>
            <w:tcW w:w="28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1995</w:t>
            </w: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(DOLLARS</w:t>
            </w:r>
          </w:p>
        </w:tc>
        <w:tc>
          <w:tcPr>
            <w:tcW w:w="1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5"/>
              </w:rPr>
              <w:t>IN MILLIONS)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$731.1</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$750.4</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$899.3</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$1,113.0</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$1,648.3</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$1,402.2</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$1,510.6</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498.8</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512.4</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573.6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715.0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989.1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832.1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881.4</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232.3</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325.7</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659.2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570.1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629.2</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Gross commission earned from agency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26.1</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Contribution expenses under agency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Net commission earned from agency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64.5</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69.2</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83.9</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189.0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166.6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186.8</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105.3</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131.6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281.2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209.6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229.8</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23.8</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17.7</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Other expense (income), net.........</w:t>
            </w:r>
          </w:p>
        </w:tc>
        <w:tc>
          <w:tcPr>
            <w:tcW w:w="94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(4.4)</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(0.8)</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60.9</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94.8</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205.3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24.6</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74.4</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before 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36.3</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138.0</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13.9</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47.9</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52.6</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 before</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extraordinary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22.4</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on early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extinguishment to debt,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 (2.5)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$ 39.5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3.6</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  9.8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(loss) applicable to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$(12.3)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$ 29.7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53.5</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79.0</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share before extraordinary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$ 1.01</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$ 1.60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3.25</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1.01</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2.93</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share before extraordinary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2.27</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2.08</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BALANCE SHEET DATA (END OF PERIOD):</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Working capital.....................</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$227.0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$181.1</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274.8</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301.8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290.0</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Total assets........................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809.0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731.7</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787.6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1,035.2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1,769.6</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1,771.8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1,895.1</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Total debt..........................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272.5</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225.3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221.3</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372.5</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950.0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896.8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886.2</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Shareholders' equity................</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380.8</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364.3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389.2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403.9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443.3</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465.9</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494.6</w:t>
            </w:r>
          </w:p>
        </w:tc>
      </w:tr>
    </w:tbl>
    <w:p>
      <w:pPr>
        <w:sectPr>
          <w:pgSz w:w="11900" w:h="16838" w:orient="portrait"/>
          <w:cols w:equalWidth="0" w:num="1">
            <w:col w:w="10400"/>
          </w:cols>
          <w:pgMar w:left="240" w:top="293" w:right="1259"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60" w:right="3279" w:hanging="559"/>
        <w:spacing w:after="0" w:line="236" w:lineRule="auto"/>
        <w:tabs>
          <w:tab w:leader="none" w:pos="540" w:val="left"/>
        </w:tabs>
        <w:rPr>
          <w:sz w:val="20"/>
          <w:szCs w:val="20"/>
          <w:color w:val="auto"/>
        </w:rPr>
      </w:pPr>
      <w:r>
        <w:rPr>
          <w:rFonts w:ascii="Courier New" w:cs="Courier New" w:eastAsia="Courier New" w:hAnsi="Courier New"/>
          <w:sz w:val="16"/>
          <w:szCs w:val="16"/>
          <w:color w:val="auto"/>
        </w:rPr>
        <w:t>NOTE:</w:t>
        <w:tab/>
        <w:t>Prior year presentations have been changed to conform to fiscal 1999 presentation; these changes did not impact net income.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137"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are offering the holders of original notes the opportunity to exchange their original notes for new notes.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use reasonable efforts to complete the exchange offer within 30 business days after the date on which the registration statement of which this prospectus is a part is declared effective by the Commission.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TRANSFER OF THE ORIGINAL NOTES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original notes may be offered, sold or otherwise transferred only in $500,000 minimums and only:</w:t>
      </w:r>
    </w:p>
    <w:p>
      <w:pPr>
        <w:spacing w:after="0" w:line="180" w:lineRule="exact"/>
        <w:rPr>
          <w:sz w:val="20"/>
          <w:szCs w:val="20"/>
          <w:color w:val="auto"/>
        </w:rPr>
      </w:pPr>
    </w:p>
    <w:p>
      <w:pPr>
        <w:ind w:left="940" w:hanging="193"/>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Scotts;</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 registration statement which has been declared effective under the Securities Act;</w:t>
      </w:r>
    </w:p>
    <w:p>
      <w:pPr>
        <w:spacing w:after="0" w:line="184" w:lineRule="exact"/>
        <w:rPr>
          <w:rFonts w:ascii="Courier New" w:cs="Courier New" w:eastAsia="Courier New" w:hAnsi="Courier New"/>
          <w:sz w:val="16"/>
          <w:szCs w:val="16"/>
          <w:color w:val="auto"/>
        </w:rPr>
      </w:pPr>
    </w:p>
    <w:p>
      <w:pPr>
        <w:ind w:left="940" w:right="3099" w:hanging="193"/>
        <w:spacing w:after="0" w:line="256"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they are eligible for resale under Rule 144A, to a person the owner reasonably believes is a qualified institutional buyer purchasing for its own account or for the account of another qualified institutional buyer to whom notice is given that the transfer is being made in reliance to Rule 144A;</w:t>
      </w:r>
    </w:p>
    <w:p>
      <w:pPr>
        <w:spacing w:after="0" w:line="176" w:lineRule="exact"/>
        <w:rPr>
          <w:rFonts w:ascii="Courier New" w:cs="Courier New" w:eastAsia="Courier New" w:hAnsi="Courier New"/>
          <w:sz w:val="15"/>
          <w:szCs w:val="15"/>
          <w:color w:val="auto"/>
        </w:rPr>
      </w:pPr>
    </w:p>
    <w:p>
      <w:pPr>
        <w:ind w:left="940" w:right="289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purchaser that is able to represent, and represents in writing, that:</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an "accredited investor" within the meaning of subparagraph</w:t>
      </w:r>
    </w:p>
    <w:p>
      <w:pPr>
        <w:spacing w:after="0" w:line="4" w:lineRule="exact"/>
        <w:rPr>
          <w:rFonts w:ascii="Courier New" w:cs="Courier New" w:eastAsia="Courier New" w:hAnsi="Courier New"/>
          <w:sz w:val="16"/>
          <w:szCs w:val="16"/>
          <w:color w:val="auto"/>
        </w:rPr>
      </w:pPr>
    </w:p>
    <w:p>
      <w:pPr>
        <w:ind w:left="1220"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(2), (3) or (7) of paragraph (a) of Rule 501 under the Securities Act,</w:t>
      </w:r>
    </w:p>
    <w:p>
      <w:pPr>
        <w:spacing w:after="0" w:line="184" w:lineRule="exact"/>
        <w:rPr>
          <w:rFonts w:ascii="Courier New" w:cs="Courier New" w:eastAsia="Courier New" w:hAnsi="Courier New"/>
          <w:sz w:val="16"/>
          <w:szCs w:val="16"/>
          <w:color w:val="auto"/>
        </w:rPr>
      </w:pPr>
    </w:p>
    <w:p>
      <w:pPr>
        <w:ind w:left="1220" w:right="271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its own account or for the account of another accredited investor, and</w:t>
      </w:r>
    </w:p>
    <w:p>
      <w:pPr>
        <w:spacing w:after="0" w:line="184" w:lineRule="exact"/>
        <w:rPr>
          <w:rFonts w:ascii="Courier New" w:cs="Courier New" w:eastAsia="Courier New" w:hAnsi="Courier New"/>
          <w:sz w:val="16"/>
          <w:szCs w:val="16"/>
          <w:color w:val="auto"/>
        </w:rPr>
      </w:pPr>
    </w:p>
    <w:p>
      <w:pPr>
        <w:ind w:left="1220" w:right="327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investment purposes and not for distribution in violation of the Securities Act;</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 offshore transaction under Rule 903 or Rule 904 of Regulation S under the Securities Act; or</w:t>
      </w:r>
    </w:p>
    <w:p>
      <w:pPr>
        <w:spacing w:after="0" w:line="184" w:lineRule="exact"/>
        <w:rPr>
          <w:rFonts w:ascii="Courier New" w:cs="Courier New" w:eastAsia="Courier New" w:hAnsi="Courier New"/>
          <w:sz w:val="16"/>
          <w:szCs w:val="16"/>
          <w:color w:val="auto"/>
        </w:rPr>
      </w:pPr>
    </w:p>
    <w:p>
      <w:pPr>
        <w:ind w:left="940" w:right="365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to any other available exemption from the registration requirements of the Securities Act.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Prior to any offer, sale or other transfer of original notes to an accredited investor or pursuant to any other available exemption, the issuer and the trustee under the indenture may require the delivery of an opinion of counsel, certifications and/or other information satisfactory to each of them.</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may be required to file a second registration statement, known as a shelf registration statement, with the Commission to cover periodic resales of original notes in the following circumstances:</w:t>
      </w:r>
    </w:p>
    <w:p>
      <w:pPr>
        <w:spacing w:after="0" w:line="185" w:lineRule="exact"/>
        <w:rPr>
          <w:sz w:val="20"/>
          <w:szCs w:val="20"/>
          <w:color w:val="auto"/>
        </w:rPr>
      </w:pPr>
    </w:p>
    <w:p>
      <w:pPr>
        <w:ind w:left="940" w:right="2899" w:hanging="193"/>
        <w:spacing w:after="0" w:line="236"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not permitted to complete the exchange offer because it is not permitted by applicable law or Commission policy; or</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of original notes notifies us before the 20th business day after the consummation of the exchange offer, that:</w:t>
      </w:r>
    </w:p>
    <w:p>
      <w:pPr>
        <w:spacing w:after="0" w:line="184" w:lineRule="exact"/>
        <w:rPr>
          <w:rFonts w:ascii="Courier New" w:cs="Courier New" w:eastAsia="Courier New" w:hAnsi="Courier New"/>
          <w:sz w:val="16"/>
          <w:szCs w:val="16"/>
          <w:color w:val="auto"/>
        </w:rPr>
      </w:pPr>
    </w:p>
    <w:p>
      <w:pPr>
        <w:ind w:left="1220" w:right="3099" w:hanging="192"/>
        <w:spacing w:after="0" w:line="236"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is not entitled to participate in the exchange offer;</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may not resell the notes acquired by it in the exchange offer to the public without delivering a prospectus and this prospectus is not appropriate or available for a resale by the holder; or</w:t>
      </w:r>
    </w:p>
    <w:p>
      <w:pPr>
        <w:spacing w:after="0" w:line="185" w:lineRule="exact"/>
        <w:rPr>
          <w:rFonts w:ascii="Courier New" w:cs="Courier New" w:eastAsia="Courier New" w:hAnsi="Courier New"/>
          <w:sz w:val="16"/>
          <w:szCs w:val="16"/>
          <w:color w:val="auto"/>
        </w:rPr>
      </w:pPr>
    </w:p>
    <w:p>
      <w:pPr>
        <w:ind w:left="1220" w:right="3179" w:hanging="192"/>
        <w:spacing w:after="0" w:line="236"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a broker-dealer and owns original notes acquired directly from us or one of our affiliates.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If we are required to file a shelf registration statement, we will do so within 30 days after the filing obligation arises. We will use our reasonable best efforts to cause the shelf registration statement to be declared effective by the Commission within 90 days after the filing obligation arises. We also will use our reasonable best efforts to keep any shelf registration statement continuously effective, supplemented and amended until the earlier of:</w:t>
      </w:r>
    </w:p>
    <w:p>
      <w:pPr>
        <w:spacing w:after="0" w:line="170" w:lineRule="exact"/>
        <w:rPr>
          <w:sz w:val="20"/>
          <w:szCs w:val="20"/>
          <w:color w:val="auto"/>
        </w:rPr>
      </w:pPr>
    </w:p>
    <w:p>
      <w:pPr>
        <w:ind w:left="660" w:hanging="195"/>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all notes covered by the shelf registration statement have been sold.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TRANSFERABILITY OF NOTES RECEIVED IN THE EXCHANGE OFFER</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Each holder who wishes to receive notes in the exchange offer will be required to make the following representations:</w:t>
      </w:r>
    </w:p>
    <w:p>
      <w:pPr>
        <w:spacing w:after="0" w:line="185" w:lineRule="exact"/>
        <w:rPr>
          <w:sz w:val="20"/>
          <w:szCs w:val="20"/>
          <w:color w:val="auto"/>
        </w:rPr>
      </w:pPr>
    </w:p>
    <w:p>
      <w:pPr>
        <w:ind w:left="660" w:right="365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not an "affiliate," as defined in Rule 405 of the Securities Act, of Scotts;</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received by the holder in the exchange offer are being acquired in the ordinary course of its business, for its own account, for investment and not for distribution;</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has no arrangement or understanding with any person to participate in the distribution of the notes;</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not a broker-dealer, it is not engaged, and does not intend to engage, in the distribution of the notes;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a broker-dealer:</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are held by it as a nominee, or</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were acquired by it for its own account as a result of market-making activities or other trading activities and it will deliver a copy of this prospectus in connection with any resale.</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Based on no-action letters issued by the staff of the Commission to third parties, if the holder can make these representations, we believe the notes acquired in exchange for the original notes will be freely transferable, except notes acquired by:</w:t>
      </w:r>
    </w:p>
    <w:p>
      <w:pPr>
        <w:spacing w:after="0" w:line="186" w:lineRule="exact"/>
        <w:rPr>
          <w:sz w:val="20"/>
          <w:szCs w:val="20"/>
          <w:color w:val="auto"/>
        </w:rPr>
      </w:pPr>
    </w:p>
    <w:p>
      <w:pPr>
        <w:ind w:left="660" w:right="317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that purchased original notes directly from Scotts to resell under Rule 144A or any other available exemption under the Securities Act,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of Scotts within the meaning of Rule 405 under the Securities Act unless they comply with the registration and prospectus delivery requirements of the Securities Act.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event our belief is inaccurate, holders of notes issued in the exchange offer who transfer the notes in violation of the prospectus delivery provisions of the Securities Act and without an exemption from registration may incur liability under the Securities Act. We do not assume or indemnify holders against liability under the Securities Act.</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Affiliates of Scotts and broker-dealers that purchased original notes directly from Scotts in the original offering must comply with the registration and prospectus delivery requirements of the Securities Act in connection with any sale or transfer of the notes, unless the sale or transfer is made under an exemption from these requirements.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Commission has taken the position that this prospectus, as it may be amended or supplemented from time to time, may be used by a broker-dealer to fulfill its prospectus delivery requirements in connection with resales of notes received in exchange for original notes acquired by the broker-dealer for its own account as a result of market-making activities or other trading activities. Therefore, we have agreed that during the period required by the Securities Act, we will provide broker-dealers copies of this prospectus. However, the Commission has recently proposed that its interpretations referred to above be repealed. We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21</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cannot predict whether the Commission will act on this proposal prior to the completion of this exchange offer. If those interpretations are repealed prior to completion of this exchange offer, these broker-dealers will not be able to receive exchange notes in the exchange offer. Rather, as described above, we and the guarantor subsidiaries will be required to register the original notes on a new registration statement in connection with resales by holders of the notes.</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broker-dealer that delivers a prospectus to purchasers in connection with resales will be subject to the civil liability provisions of the Securities Act. In addition, it will be bound by the provisions of the registration rights agreement, including the indemnification rights and obligations. Although a broker-dealer may be an "underwriter" within the meaning of the Securities Act, the letter of transmittal states that a broker-dealer will not be deemed to be admitting it is an "underwriter" by its execution of the letter and its delivery of a prospectus.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All resales must be made in compliance with applicable state securities or "blue sky" laws. Compliance may require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issued in the exchange offer be registered or qualified in a particular state,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resales be made by or through a licensed broker-dealer, and/or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make representations in addition to those listed above as required by applicable state law.</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We assume no responsibility with regard to compliance with these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 EXCHANGE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Original notes which are not exchanged in the exchange offer and are not included in a resale prospectus may be offered and sold only as described above under "-- Restrictions on Transfer of the Original Notes." These restrictions will continue until:</w:t>
      </w:r>
    </w:p>
    <w:p>
      <w:pPr>
        <w:spacing w:after="0" w:line="181" w:lineRule="exact"/>
        <w:rPr>
          <w:sz w:val="20"/>
          <w:szCs w:val="20"/>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later of:</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anniversary of the last date that Scotts or one of its affiliates owned the note;</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has been effectively registered under the Securities Act and disposed of in accordance with a shelf registration statement;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is distributed to the public pursuant to Rule 144 under the Securities Act.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the terms and conditions in this prospectus and in the letter of transmittal, we will accept any and all original notes validly tendered and not withdrawn prior to the expiration date. We will issue $1,000 principal amount of notes in exchange for each $1,000 principal amount of original notes accepted in the exchange offer. Holders may tender some or all of their original notes. Original notes may be tendered only in integral multiples of $1,000 principal amount.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form and terms of the notes to be issued in the exchange offer are the same as the form and terms of the original notes, except that:</w:t>
      </w:r>
    </w:p>
    <w:p>
      <w:pPr>
        <w:spacing w:after="0" w:line="185" w:lineRule="exact"/>
        <w:rPr>
          <w:sz w:val="20"/>
          <w:szCs w:val="20"/>
          <w:color w:val="auto"/>
        </w:rPr>
      </w:pPr>
    </w:p>
    <w:p>
      <w:pPr>
        <w:ind w:left="660" w:right="2899" w:hanging="195"/>
        <w:spacing w:after="0" w:line="237" w:lineRule="auto"/>
        <w:tabs>
          <w:tab w:leader="none" w:pos="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to be issued in the exchange offer have been registered under the Securities Act and, therefore, will not bear legends restricting their transfer;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22</w:t>
      </w:r>
    </w:p>
    <w:p>
      <w:pPr>
        <w:spacing w:after="0" w:line="185" w:lineRule="exact"/>
        <w:rPr>
          <w:sz w:val="20"/>
          <w:szCs w:val="20"/>
          <w:color w:val="auto"/>
        </w:rPr>
      </w:pPr>
    </w:p>
    <w:p>
      <w:pPr>
        <w:jc w:val="both"/>
        <w:ind w:left="660" w:right="2719" w:hanging="195"/>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notes issued in the exchange offer will not be entitled to rights under the registration rights agreement, except under very limited circumstances.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notes to be issued in the exchange offer will evidence the same debt as the original notes which they replace and will be issued under, and be entitled to the benefits of, the same indenture.</w:t>
      </w:r>
    </w:p>
    <w:p>
      <w:pPr>
        <w:spacing w:after="0" w:line="18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Solely for reasons of administration, Scotts has fixed the close of</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business on , 2000, as the record date for the exchange offer for purposes of determining the persons to whom this prospectus and the letter of transmittal will be mailed initially. Only a registered holder of original notes, or the holder's legal representative or attorney-in-fact, as reflected on the records of the trustee under the indenture may participate in the exchange offer. There will be no fixed record date for determining registered holders of the original notes entitled to participate in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the original notes do not have any appraisal or dissenters' rights under the General Corporation Law of Ohio or under the indenture because of the exchange offer. Scotts intends to comply with the applicable requirements of the Exchange Act and the rules and regulations of the Commission in conducting the exchange offer.</w:t>
      </w:r>
    </w:p>
    <w:p>
      <w:pPr>
        <w:spacing w:after="0" w:line="187"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Scotts will be deemed to have accepted validly tendered original notes when, as and if it has given oral or written notice of acceptance to the exchange agent. The exchange agent will act as agent for the tendering holders of the original notes for purposes of receiving notes in the exchange offer.</w:t>
      </w:r>
    </w:p>
    <w:p>
      <w:pPr>
        <w:spacing w:after="0" w:line="174"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If any tendered original notes are not accepted for exchange, certificates for any unaccepted original notes will be returned without expense to the tendering holder as promptly as practicable after the expiration date.</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who tender original notes in the exchange offer will not be required to pay brokerage commissions or fees or, except as described in the letter of transmittal, transfer taxes. We will pay all charges and expenses, other than applicable taxes, in connection with the exchange offer. See "-- Fees and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AMENDMENTS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offer will expire at, and the expiration date will be, 5:00</w:t>
      </w:r>
    </w:p>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p.m., New York City time on , 2000. We may extend the exchange offer, in which case the expiration date will be the latest date and time to which it is extended.</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order to extend the exchange offer, we must notify the exchange agent and make a public announcement of the extension prior to 9:00 a.m., New York City time, on the next business day after the previously scheduled expiration date.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reserve the right, in our sole discretion:</w:t>
      </w:r>
    </w:p>
    <w:p>
      <w:pPr>
        <w:spacing w:after="0" w:line="179" w:lineRule="exact"/>
        <w:rPr>
          <w:sz w:val="20"/>
          <w:szCs w:val="20"/>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delay accepting any original notes,</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extend the exchange offer,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terminate the exchange offer if the condition described</w:t>
      </w:r>
    </w:p>
    <w:p>
      <w:pPr>
        <w:spacing w:after="0" w:line="4"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under "-- Condition of the Exchange Offer" has not been satisfied, or</w:t>
      </w:r>
    </w:p>
    <w:p>
      <w:pPr>
        <w:spacing w:after="0" w:line="185"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terms of the exchange offer in any manner.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must give oral or written notice of any delay, extension or termination to the exchange agent. Any delay, extension, termination or amendment will be followed as promptly as practicable by a public announcement. We do not have an obligation to publish, advertise or otherwise communicate a delay, extension, termination or amendment, other than by making a timely release to the Dow Jones News Service. If, however, we determine that any amendment constitutes a material change, we will promptly file a post-effective amendment with the Commission and distribute a prospectus to the registered holders of the original notes describing the amendment. If the exchange offer is scheduled to expire during the five to ten business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day period following a material amendment, it will be extended for a period of five to ten business days, as required by law, depending on the significance of the amendment and the manner of disclosure to the registered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Only a registered holder may tender original notes in the exchange offer.</w:t>
      </w:r>
    </w:p>
    <w:p>
      <w:pPr>
        <w:spacing w:after="0"/>
        <w:rPr>
          <w:sz w:val="20"/>
          <w:szCs w:val="20"/>
          <w:color w:val="auto"/>
        </w:rPr>
      </w:pPr>
      <w:r>
        <w:rPr>
          <w:rFonts w:ascii="Courier New" w:cs="Courier New" w:eastAsia="Courier New" w:hAnsi="Courier New"/>
          <w:sz w:val="16"/>
          <w:szCs w:val="16"/>
          <w:color w:val="auto"/>
        </w:rPr>
        <w:t>To tender in the exchange offer, the holder must:</w:t>
      </w:r>
    </w:p>
    <w:p>
      <w:pPr>
        <w:spacing w:after="0" w:line="179" w:lineRule="exact"/>
        <w:rPr>
          <w:sz w:val="20"/>
          <w:szCs w:val="20"/>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sign and date the letter of transmittal;</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signatures guaranteed if required by the letter of transmittal;</w:t>
      </w:r>
    </w:p>
    <w:p>
      <w:pPr>
        <w:spacing w:after="0" w:line="190"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or otherwise deliver the letter of transmittal to the exchange agent;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certificates for the original notes to the exchange agent with the letter of transmittal;</w:t>
      </w:r>
    </w:p>
    <w:p>
      <w:pPr>
        <w:spacing w:after="0" w:line="184" w:lineRule="exact"/>
        <w:rPr>
          <w:rFonts w:ascii="Courier New" w:cs="Courier New" w:eastAsia="Courier New" w:hAnsi="Courier New"/>
          <w:sz w:val="16"/>
          <w:szCs w:val="16"/>
          <w:color w:val="auto"/>
        </w:rPr>
      </w:pPr>
    </w:p>
    <w:p>
      <w:pPr>
        <w:jc w:val="both"/>
        <w:ind w:left="1120" w:right="2819" w:hanging="186"/>
        <w:spacing w:after="0" w:line="237" w:lineRule="auto"/>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exchange agent a timely confirmation of a book-entry transfer of the original notes into the exchange agent's account at The Depository Trust Company, as described below; or</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To be tendered effectively, the letter of transmittal and all other required documents must be received by the exchange agent at the address set forth below under "-- Exchange Agent" prior to the expiration date.</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The tender by a holder will constitute an agreement between the holder and us on the terms and conditions in this prospectus and the letter of transmittal.</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SCOTTS. HOLDERS MAY REQUEST THEIR RESPECTIVE BROKERS, DEALERS, COMMERCIAL BANKS, TRUST COMPANIES OR NOMINEES TO EFFECT THE ABOVE TRANSACTIONS FOR THEM.</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Signatures on a letter of transmittal or a notice of withdrawal must be guaranteed by an eligible institution unless the original notes tendered with the letter of transmittal are tendered:</w:t>
      </w:r>
    </w:p>
    <w:p>
      <w:pPr>
        <w:spacing w:after="0" w:line="185" w:lineRule="exact"/>
        <w:rPr>
          <w:sz w:val="20"/>
          <w:szCs w:val="20"/>
          <w:color w:val="auto"/>
        </w:rPr>
      </w:pPr>
    </w:p>
    <w:p>
      <w:pPr>
        <w:ind w:left="660" w:right="3099" w:hanging="195"/>
        <w:spacing w:after="0" w:line="236" w:lineRule="auto"/>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who has not completed the box on the letter of transmittal entitled "Special Delivery Instructions,"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An eligible institution is any participant in a recognized signature guarantee program within the meaning of Rule 17Ad-15 under the Exchange Act.</w:t>
      </w:r>
    </w:p>
    <w:p>
      <w:pPr>
        <w:spacing w:after="0" w:line="16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If a letter of transmittal is signed by a person other than the registered holder of any original notes listed on the letter of transmittal, the notes must be endorsed or accompanied by a properly completed bond power, signed by the registered holder, with signature guaranteed by an eligible institution.</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a letter of transmittal or any original notes or bond powers are signed by trustees, executors, administrators, guardians, attorneys-in-fact, officers of corporations or others acting in a fiduciary or representative capacity, the signatories should indicate their status when signing. In addition, evidence of their authority to sign satisfactory to Scotts must be submitted with the letter of transmittal.</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eligibility, time of receipt, acceptance and withdrawal of tendered original notes will be determined by us in our sole discretion. Our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Unless waived, any defects or irregularities in connection with tenders of original notes must be cured within the time set by us. Although we intend to notify holders of defects or irregularities in their tenders, neither we, the exchange agent nor any other person will incur any liability for failing to give notice. Tenders of original notes will not be deemed to have been made until all defects or irregularities have been cured or waived.</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original notes received by the exchange agent that are not validly tendered and as to which the defects or irregularities have not been cured or waived will be returned to the tendering holder. If original notes are submitted in a principal amount greater than the principal amount of original notes being tendered by the tendering holder, the unaccepted or non-exchanged original notes will be returned to the tendering holders. In the case of original notes tendered by book-entry transfer into the exchange agent's account at DTC as described below, unaccepted or non-exchanged original notes will be credited to an account maintained with DTC. Unless otherwise provided in the letter of transmittal, returns will be made as soon as practicable following the applicable expiration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agent will establish an account at The Depository Trust Company for purposes of the exchange offer. Any financial institution that is a participant in DTC's system may make book-entry delivery of original notes by causing DTC to transfer the original notes into the exchange agent's account with DTC. Although original notes may be delivered by book-entry transfer at DTC, you must also:</w:t>
      </w:r>
    </w:p>
    <w:p>
      <w:pPr>
        <w:spacing w:after="0" w:line="189" w:lineRule="exact"/>
        <w:rPr>
          <w:sz w:val="20"/>
          <w:szCs w:val="20"/>
          <w:color w:val="auto"/>
        </w:rPr>
      </w:pPr>
    </w:p>
    <w:p>
      <w:pPr>
        <w:ind w:left="660" w:right="2719" w:hanging="195"/>
        <w:spacing w:after="0" w:line="259" w:lineRule="auto"/>
        <w:tabs>
          <w:tab w:leader="none" w:pos="6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the letter of transmittal, with any required signature guarantees and any other documents, to the exchange agent at the address set forth below under "-- Exchange Agent" on or prior to the expiration date, or</w:t>
      </w:r>
    </w:p>
    <w:p>
      <w:pPr>
        <w:spacing w:after="0" w:line="166"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DELIVERY PROCEDURES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you wish to tender original notes but your notes are not immediately available, or you cannot deliver the notes, the letter of transmittal or any other required documents to the exchange agent prior to the applicable expiration date, you may effect a tender if:</w:t>
      </w:r>
    </w:p>
    <w:p>
      <w:pPr>
        <w:spacing w:after="0" w:line="181" w:lineRule="exact"/>
        <w:rPr>
          <w:sz w:val="20"/>
          <w:szCs w:val="20"/>
          <w:color w:val="auto"/>
        </w:rPr>
      </w:pPr>
    </w:p>
    <w:p>
      <w:pPr>
        <w:ind w:left="660" w:hanging="195"/>
        <w:spacing w:after="0"/>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eligible institution delivers a properly completed and duly executed notice of guaranteed delivery to the exchange agent:</w:t>
      </w:r>
    </w:p>
    <w:p>
      <w:pPr>
        <w:spacing w:after="0" w:line="184" w:lineRule="exact"/>
        <w:rPr>
          <w:rFonts w:ascii="Courier New" w:cs="Courier New" w:eastAsia="Courier New" w:hAnsi="Courier New"/>
          <w:sz w:val="16"/>
          <w:szCs w:val="16"/>
          <w:color w:val="auto"/>
        </w:rPr>
      </w:pPr>
    </w:p>
    <w:p>
      <w:pPr>
        <w:jc w:val="both"/>
        <w:ind w:left="1120" w:right="3179" w:hanging="186"/>
        <w:spacing w:after="0" w:line="237"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setting forth the name and address of the holder, the principal amount of the original notes being tendered and the certificate number(s) of the original notes;</w:t>
      </w:r>
    </w:p>
    <w:p>
      <w:pPr>
        <w:spacing w:after="0" w:line="184" w:lineRule="exact"/>
        <w:rPr>
          <w:rFonts w:ascii="Courier New" w:cs="Courier New" w:eastAsia="Courier New" w:hAnsi="Courier New"/>
          <w:sz w:val="16"/>
          <w:szCs w:val="16"/>
          <w:color w:val="auto"/>
        </w:rPr>
      </w:pPr>
    </w:p>
    <w:p>
      <w:pPr>
        <w:ind w:left="1120" w:right="3179" w:hanging="186"/>
        <w:spacing w:after="0" w:line="236"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the tender is being made by means of the notice of guaranteed delivery; and</w:t>
      </w:r>
    </w:p>
    <w:p>
      <w:pPr>
        <w:spacing w:after="0" w:line="184" w:lineRule="exact"/>
        <w:rPr>
          <w:rFonts w:ascii="Courier New" w:cs="Courier New" w:eastAsia="Courier New" w:hAnsi="Courier New"/>
          <w:sz w:val="16"/>
          <w:szCs w:val="16"/>
          <w:color w:val="auto"/>
        </w:rPr>
      </w:pPr>
    </w:p>
    <w:p>
      <w:pPr>
        <w:ind w:left="1120" w:right="2719" w:hanging="186"/>
        <w:spacing w:after="0" w:line="237"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guaranteeing that, within five business days after the applicable expiration date, the letter of transmittal, certificate(s) representing the original notes or a book-entry confirmation and any other documents required by the letter of transmittal will be delivered to the exchange agent; and</w:t>
      </w:r>
    </w:p>
    <w:p>
      <w:pPr>
        <w:spacing w:after="0" w:line="187"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properly completed and executed letter of transmittal, certificate(s)</w:t>
      </w:r>
    </w:p>
    <w:p>
      <w:pPr>
        <w:spacing w:after="0" w:line="10" w:lineRule="exact"/>
        <w:rPr>
          <w:sz w:val="20"/>
          <w:szCs w:val="20"/>
          <w:color w:val="auto"/>
        </w:rPr>
      </w:pPr>
    </w:p>
    <w:p>
      <w:pPr>
        <w:ind w:left="660" w:right="2719"/>
        <w:spacing w:after="0" w:line="236" w:lineRule="auto"/>
        <w:rPr>
          <w:sz w:val="20"/>
          <w:szCs w:val="20"/>
          <w:color w:val="auto"/>
        </w:rPr>
      </w:pPr>
      <w:r>
        <w:rPr>
          <w:rFonts w:ascii="Courier New" w:cs="Courier New" w:eastAsia="Courier New" w:hAnsi="Courier New"/>
          <w:sz w:val="16"/>
          <w:szCs w:val="16"/>
          <w:color w:val="auto"/>
        </w:rPr>
        <w:t>representing all tendered original notes in proper form for transfer or a book-entry confirmation and all other documents</w:t>
      </w: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3"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660" w:right="2819"/>
        <w:spacing w:after="0" w:line="236" w:lineRule="auto"/>
        <w:rPr>
          <w:sz w:val="20"/>
          <w:szCs w:val="20"/>
          <w:color w:val="auto"/>
        </w:rPr>
      </w:pPr>
      <w:r>
        <w:rPr>
          <w:rFonts w:ascii="Courier New" w:cs="Courier New" w:eastAsia="Courier New" w:hAnsi="Courier New"/>
          <w:sz w:val="16"/>
          <w:szCs w:val="16"/>
          <w:color w:val="auto"/>
        </w:rPr>
        <w:t>required by the letter of transmittal are received by the exchange agent within five business days after the applicable expiration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OF TENDERS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Except as otherwise provided in this prospectus, tenders of original notes may be withdrawn at any time prior to the expiration date.</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To be effective, a written or facsimile transmission notice of withdrawal must be received by the exchange agent at its address prior to the expiration date. Any notice of withdrawal must:</w:t>
      </w:r>
    </w:p>
    <w:p>
      <w:pPr>
        <w:spacing w:after="0" w:line="185" w:lineRule="exact"/>
        <w:rPr>
          <w:sz w:val="20"/>
          <w:szCs w:val="20"/>
          <w:color w:val="auto"/>
        </w:rPr>
      </w:pPr>
    </w:p>
    <w:p>
      <w:pPr>
        <w:ind w:left="660" w:right="30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specify the name of the person who deposited the original notes to be withdrawn;</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the original notes to be withdrawn, including the certificate number(s) and aggregate principal amount;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signed by the holder in the same manner as the original signature on the applicable letter of transmittal, including any required signature guarantees.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determine all questions as to the validity, form, eligibility and time of receipt of notices of withdrawal in our sole discretion. Our determination will be final and binding on all parties.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that are withdrawn will be deemed not to have been validly tendered. No notes will be issued in the exchange offer unless the original notes that were withdrawn are retendered. Properly withdrawn original notes may be retendered by following one of the procedures described above under "-- Procedures for Tendering" at any time prior to the expiration date.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which have been validly withdrawn will be returned to the holder, unless otherwise provided in the letter of transmittal, without cost to the holder:</w:t>
      </w:r>
    </w:p>
    <w:p>
      <w:pPr>
        <w:spacing w:after="0" w:line="180" w:lineRule="exact"/>
        <w:rPr>
          <w:sz w:val="20"/>
          <w:szCs w:val="20"/>
          <w:color w:val="auto"/>
        </w:rPr>
      </w:pPr>
    </w:p>
    <w:p>
      <w:pPr>
        <w:ind w:left="660" w:hanging="195"/>
        <w:spacing w:after="0"/>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possible following the expiration date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in the notice of withdrawal, promptly after receipt of the notice of withdrawal.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OF THE EXCHANGE OFFER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exchange offer is subject to the condition that neither the offer nor any exchange by a holder violates any applicable law or interpretation of the staff of the Commission. If a change in Commission policy raises a substantial question as to whether the exchange offer is permitted by applicable federal law, we will seek a no-action letter or other decision from the Commission allowing us to consummate the exchange offer.</w:t>
      </w:r>
    </w:p>
    <w:p>
      <w:pPr>
        <w:spacing w:after="0" w:line="189"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If we determine that the exchange offer is not permitted by applicable federal law, we may:</w:t>
      </w:r>
    </w:p>
    <w:p>
      <w:pPr>
        <w:spacing w:after="0" w:line="185" w:lineRule="exact"/>
        <w:rPr>
          <w:sz w:val="20"/>
          <w:szCs w:val="20"/>
          <w:color w:val="auto"/>
        </w:rPr>
      </w:pPr>
    </w:p>
    <w:p>
      <w:pPr>
        <w:ind w:left="940" w:right="2899" w:hanging="193"/>
        <w:spacing w:after="0" w:line="236"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exchange offer and return any original notes that have been tendered;</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original notes tendered prior to the new expiration date that are not withdrawn; or</w:t>
      </w:r>
    </w:p>
    <w:p>
      <w:pPr>
        <w:spacing w:after="0" w:line="184" w:lineRule="exact"/>
        <w:rPr>
          <w:rFonts w:ascii="Courier New" w:cs="Courier New" w:eastAsia="Courier New" w:hAnsi="Courier New"/>
          <w:sz w:val="16"/>
          <w:szCs w:val="16"/>
          <w:color w:val="auto"/>
        </w:rPr>
      </w:pPr>
    </w:p>
    <w:p>
      <w:pPr>
        <w:jc w:val="both"/>
        <w:ind w:left="940" w:right="3479" w:hanging="193"/>
        <w:spacing w:after="0" w:line="263" w:lineRule="auto"/>
        <w:tabs>
          <w:tab w:leader="none" w:pos="9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our right to terminate the exchange offer and accept all properly tendered original notes that have not been withdrawn.</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we determine our waiver of our right to terminate constitutes a material change in the exchange offer, we will promptly file a post-effective amendment with the Commission and distribute a prospectus supplement to the registered holders of the original notes. If the exchange offer is scheduled to expire during the five to ten business day period following the waiver, we will extend it for a period of five to ten business days depending on the significance of the waiver and the manner of disclosure to the registered holders.</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State Street Bank and Trust Company has been appointed the exchange agent for the exchange offer. Questions, requests for assistance and requests for additional copies of this prospectus, the letter of transmittal or other documents should be directed to the exchange agent addressed as follows:</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 Registered or Certified Mail or Hand or Overnight Delivery:</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State Street Bank and Trust Company</w:t>
      </w:r>
    </w:p>
    <w:p>
      <w:pPr>
        <w:ind w:left="740"/>
        <w:spacing w:after="0"/>
        <w:rPr>
          <w:sz w:val="20"/>
          <w:szCs w:val="20"/>
          <w:color w:val="auto"/>
        </w:rPr>
      </w:pPr>
      <w:r>
        <w:rPr>
          <w:rFonts w:ascii="Courier New" w:cs="Courier New" w:eastAsia="Courier New" w:hAnsi="Courier New"/>
          <w:sz w:val="16"/>
          <w:szCs w:val="16"/>
          <w:color w:val="auto"/>
        </w:rPr>
        <w:t>Two International Place</w:t>
      </w:r>
    </w:p>
    <w:p>
      <w:pPr>
        <w:ind w:left="740"/>
        <w:spacing w:after="0" w:line="237" w:lineRule="auto"/>
        <w:rPr>
          <w:sz w:val="20"/>
          <w:szCs w:val="20"/>
          <w:color w:val="auto"/>
        </w:rPr>
      </w:pPr>
      <w:r>
        <w:rPr>
          <w:rFonts w:ascii="Courier New" w:cs="Courier New" w:eastAsia="Courier New" w:hAnsi="Courier New"/>
          <w:sz w:val="16"/>
          <w:szCs w:val="16"/>
          <w:color w:val="auto"/>
        </w:rPr>
        <w:t>Fourth Floor</w:t>
      </w:r>
    </w:p>
    <w:p>
      <w:pPr>
        <w:ind w:left="740"/>
        <w:spacing w:after="0"/>
        <w:rPr>
          <w:sz w:val="20"/>
          <w:szCs w:val="20"/>
          <w:color w:val="auto"/>
        </w:rPr>
      </w:pPr>
      <w:r>
        <w:rPr>
          <w:rFonts w:ascii="Courier New" w:cs="Courier New" w:eastAsia="Courier New" w:hAnsi="Courier New"/>
          <w:sz w:val="16"/>
          <w:szCs w:val="16"/>
          <w:color w:val="auto"/>
        </w:rPr>
        <w:t>Boston, MA 02110</w:t>
      </w:r>
    </w:p>
    <w:p>
      <w:pPr>
        <w:ind w:left="740"/>
        <w:spacing w:after="0" w:line="238" w:lineRule="auto"/>
        <w:tabs>
          <w:tab w:leader="none" w:pos="31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 Corporate Trust Department</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Facsimile Transmissions: 617-664-3290</w:t>
      </w:r>
    </w:p>
    <w:p>
      <w:pPr>
        <w:ind w:left="660"/>
        <w:spacing w:after="0"/>
        <w:rPr>
          <w:sz w:val="20"/>
          <w:szCs w:val="20"/>
          <w:color w:val="auto"/>
        </w:rPr>
      </w:pPr>
      <w:r>
        <w:rPr>
          <w:rFonts w:ascii="Courier New" w:cs="Courier New" w:eastAsia="Courier New" w:hAnsi="Courier New"/>
          <w:sz w:val="16"/>
          <w:szCs w:val="16"/>
          <w:color w:val="auto"/>
        </w:rPr>
        <w:t>Confirm by Telephone: 617-664-5587</w:t>
      </w:r>
    </w:p>
    <w:p>
      <w:pPr>
        <w:ind w:left="660"/>
        <w:spacing w:after="0" w:line="237" w:lineRule="auto"/>
        <w:rPr>
          <w:sz w:val="20"/>
          <w:szCs w:val="20"/>
          <w:color w:val="auto"/>
        </w:rPr>
      </w:pPr>
      <w:r>
        <w:rPr>
          <w:rFonts w:ascii="Courier New" w:cs="Courier New" w:eastAsia="Courier New" w:hAnsi="Courier New"/>
          <w:sz w:val="16"/>
          <w:szCs w:val="16"/>
          <w:color w:val="auto"/>
        </w:rPr>
        <w:t>(ELIGIBLE INSTITUTIONS ONLY)</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Delivery to any other address or facsimile number will not constitute a valid delivery.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will pay the expenses of soliciting tenders. The principal solicitation is being made by mail. Additional solicitation may be made by telegraph, telephone or in person by officers and regular employees of Scotts and its affiliates.</w:t>
      </w:r>
    </w:p>
    <w:p>
      <w:pPr>
        <w:spacing w:after="0" w:line="18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not retained any dealer-manager in connection with the exchange offer. No payments will be made to brokers, dealers or others soliciting acceptance of the exchange offer.</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We will pay reasonable and customary fees to the exchange agent for its service and will reimburse its reasonable out-of-pocket expenses.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We will pay all cash expenses incurred in connection with the exchange offer, which we estimate will be $250,000. Expenses will include fees and expenses of the exchange agent and the trustee under the indenture, accounting and legal fees and printing costs. We will also pay transfer taxes, if any, applicable to the exchange of the original notes in the exchange offer.</w:t>
      </w:r>
    </w:p>
    <w:p>
      <w:pPr>
        <w:spacing w:after="0" w:line="17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a transfer tax is imposed on the registered holder or any other person for any reason other than the exchange of the original notes in the exchange offer, the tendering holder must pay the transfer tax. The amount of this transfer tax will be billed directly to the tendering holder unless the holder submits with the letter of transmittal either:</w:t>
      </w:r>
    </w:p>
    <w:p>
      <w:pPr>
        <w:spacing w:after="0" w:line="182" w:lineRule="exact"/>
        <w:rPr>
          <w:sz w:val="20"/>
          <w:szCs w:val="20"/>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evidence of payment of the transfer tax,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of an exemption from the transfer tax.</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TREATMENT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carrying values of the original notes are not expected to be materially different from the fair value of the notes issued in the exchange offer; accordingly, no gain or loss for accounting purposes will be recognized. The expenses of the exchange offer will be amortized over the term of the notes issued in the exchange offer.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DESCRIPTION OF SENIOR CREDIT FACILITY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description is a summary of material provisions of Scotts senior credit facility. It does not restate the credit facility in its entirety. We urge you to read the New Credit Facility because it, and not this description, define the terms of our other material outstanding indebtedness. Copies of the senior credit facility are available as set forth under "Where You Can Find More Information."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4, 1998, Scotts and most of our subsidiaries entered into a new credit facility, which is senior to the notes. This senior credit facility establishes aggregate financing for Scotts and the subsidiaries that are parties of up to $1.025 billion. The credit financing under the senior credit facility is provided by a lending syndicate group consisting of approximately thirty lenders worldwide, with The Chase Manhattan Bank serving as Administrative Agent.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ADDITIONAL CREDIT AVAILABLE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senior credit facility provides for aggregate total senior secured credit financing in the principal amount of up to $1.025 billion, consisting of term loan facilities in the aggregate amount of $525 million, and a revolving credit facility in the amount of $500 million. As of August 26, 2000, there were $458.9 million of term loans outstanding and $32.9 million outstanding under the revolving credit facility.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 CREDIT FACILITIES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term loan portion of the senior credit facility consists of three tranches. The Tranche A term loans consist of an aggregate approximate principal amount equal to $265 million, which is divided into three sub-tranches of French Francs, German Deutschemarks and British Pounds Sterling. The Tranche A term loans are to be repaid in quarterly principal installments over a 6 1/2 year period. The Tranche B term loans consist of an aggregate principal amount equal to $140 million, which is to be repaid in nominal quarterly installments for the first 6 1/2 years and in substantial quarterly installments in the final year. The Tranche C term loans consist of an aggregate principal amount equal to $120 million, which is to be repaid in nominal quarterly installments for the first 7 1/2 years and in substantial quarterly installments in the final year.</w:t>
      </w:r>
    </w:p>
    <w:p>
      <w:pPr>
        <w:spacing w:after="0" w:line="17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$500 million revolving credit portion of the senior facility is available on a revolving basis for a term of 6 1/2 years. A portion of the revolving credit facility not to exceed $100 million is available for the issuance of letters of credit. In addition, a portion of the revolving credit facility not to exceed $225 million is available for borrowing in optional currencies, including German Deutschemarks, British Pound Sterling, French Francs, Belgian Francs, Italian Lira and other foreign currencies. However, no more than $120 million of this $225 million may be outstanding in foreign currencies other than British Pounds Sterling.</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is required to reduce the outstanding principal amount of all revolving credit loans to no more than $150 million for at least 30 consecutive days during each calendar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Scotts may prepay the term loans at any time, subject to the applicable prepayment fees. However, optional prepayments of the term loans may not be reborrowed.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make mandatory prepayments out of the net proceeds of any sale or issuance of equity, the incurrence of additional senior indebtedness and any sale or other disposition of more than a de minimis amount of assets. In addition Scotts is required to make mandatory prepayments out of a portion of excess cash flow.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rates for the revolving credit facility and the term loans vary depending upon Scotts' leverage ratio and on the interest rate option selected by Scotts. As of August 26, 2000, the weighted average interest rate for the senior credit facility was 8.94%.</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has guaranteed the performance of its subsidiaries under the senior credit facility. Additionally, most of Scotts domestic direct and indirect subsidiaries and some of Scotts direct foreign subsidiaries have guaranteed Scotts' performance under the senior credit facility.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Scotts and all of its domestic subsidiaries pledged substantially all of their personal property assets to secure the indebtedness and obligations under the senior credit facility. Additionally, Scotts and its domestic subsidiaries pledged any real property assets having a value in excess of $500,000, as well as substantially all of their intellectual property assets. Scotts and its direct and indirect subsidiaries also pledged primarily all of the stock which they owned in their own subsidiaries, unless the pledge was limited by the laws of a foreign country or would have resulted in adverse tax consequences to Scotts.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senior credit facility contains standard negative covenants, including covenants which impose limitations on the ability of Scotts to, among other things:</w:t>
      </w:r>
    </w:p>
    <w:p>
      <w:pPr>
        <w:spacing w:after="0" w:line="180" w:lineRule="exact"/>
        <w:rPr>
          <w:sz w:val="20"/>
          <w:szCs w:val="20"/>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liens on property, or incur contingent obligations;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substantially all of their assets; or</w:t>
      </w:r>
    </w:p>
    <w:p>
      <w:pPr>
        <w:spacing w:after="0" w:line="184"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fundamental changes, investments, loans, advances or acquisitions in excess of $100 million.</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senior credit facility also contains financial covenants consisting of the maintenance of:</w:t>
      </w:r>
    </w:p>
    <w:p>
      <w:pPr>
        <w:spacing w:after="0" w:line="185" w:lineRule="exact"/>
        <w:rPr>
          <w:sz w:val="20"/>
          <w:szCs w:val="20"/>
          <w:color w:val="auto"/>
        </w:rPr>
      </w:pPr>
    </w:p>
    <w:p>
      <w:pPr>
        <w:ind w:left="660" w:right="27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specified leverage ratio of less than 4.75 to 1 decreasing to 4.25 to 1 on December 30, 2000 and decreasing periodically thereafter to 2.00 to 1 from December 31, 2004 on;</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specified consolidated net worth equal on the last day of each fiscal quarter to at least $340 million plus 50% of cumulative consolidated net income from December 31, 1998; and</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interest coverage ratio of at least 2.25 to 1 increasing to 2.50 to 1 on December 31, 2000 and increasing periodically thereafter to 4.00 to 1 from December 30, 2004 on.</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DESCRIPTION OF NOTES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You can find the definitions of capitalized terms used in this description in quotation marks under the subheading "Definitions."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 issued the original notes, and will issue the notes to be delivered in the exchange offer, under the indenture dated as of January 21, 1999 among itself, the subsidiary guarantors and State Street Bank and Trust Company, as trustee. The terms of the notes include those stated in the indenture and those made part of the indenture by reference to the Trust Indenture Act.</w:t>
      </w:r>
    </w:p>
    <w:p>
      <w:pPr>
        <w:spacing w:after="0" w:line="17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"Where You Can Find More Information."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3"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Notes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Both the original notes and the notes issued in the exchange offer evidence the same debt and will be entitled to the benefits of the indenture. They will be treated as a single class of debt securities. The terms of the notes issued in the exchange offer will be the same as the original notes, except that:</w:t>
      </w:r>
    </w:p>
    <w:p>
      <w:pPr>
        <w:spacing w:after="0" w:line="174" w:lineRule="exact"/>
        <w:rPr>
          <w:sz w:val="20"/>
          <w:szCs w:val="20"/>
          <w:color w:val="auto"/>
        </w:rPr>
      </w:pPr>
    </w:p>
    <w:p>
      <w:pPr>
        <w:ind w:left="660" w:right="327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be registered under the Securities Act and, therefore, will not bear legends restricting transfer; and</w:t>
      </w:r>
    </w:p>
    <w:p>
      <w:pPr>
        <w:spacing w:after="0" w:line="184" w:lineRule="exact"/>
        <w:rPr>
          <w:rFonts w:ascii="Courier New" w:cs="Courier New" w:eastAsia="Courier New" w:hAnsi="Courier New"/>
          <w:sz w:val="16"/>
          <w:szCs w:val="16"/>
          <w:color w:val="auto"/>
        </w:rPr>
      </w:pPr>
    </w:p>
    <w:p>
      <w:pPr>
        <w:ind w:left="660" w:right="375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not be entitled to the benefits of the registration rights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Holders of original notes who do not exchange their original notes in the exchange offer will vote together with holders of the exchange notes for all relevant purposes under the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of the notes:</w:t>
      </w:r>
    </w:p>
    <w:p>
      <w:pPr>
        <w:spacing w:after="0" w:line="179" w:lineRule="exact"/>
        <w:rPr>
          <w:sz w:val="20"/>
          <w:szCs w:val="20"/>
          <w:color w:val="auto"/>
        </w:rPr>
      </w:pPr>
    </w:p>
    <w:p>
      <w:pPr>
        <w:ind w:left="660" w:hanging="195"/>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Scotts;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our existing and future senior debt;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we may incur.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Guarantees</w:t>
      </w:r>
    </w:p>
    <w:p>
      <w:pPr>
        <w:spacing w:after="0" w:line="185" w:lineRule="exact"/>
        <w:rPr>
          <w:sz w:val="20"/>
          <w:szCs w:val="20"/>
          <w:color w:val="auto"/>
        </w:rPr>
      </w:pPr>
    </w:p>
    <w:p>
      <w:pPr>
        <w:jc w:val="both"/>
        <w:ind w:right="3099" w:firstLine="469"/>
        <w:spacing w:after="0" w:line="263" w:lineRule="auto"/>
        <w:rPr>
          <w:sz w:val="20"/>
          <w:szCs w:val="20"/>
          <w:color w:val="auto"/>
        </w:rPr>
      </w:pPr>
      <w:r>
        <w:rPr>
          <w:rFonts w:ascii="Courier New" w:cs="Courier New" w:eastAsia="Courier New" w:hAnsi="Courier New"/>
          <w:sz w:val="15"/>
          <w:szCs w:val="15"/>
          <w:color w:val="auto"/>
        </w:rPr>
        <w:t>These notes will be guaranteed by all of our existing and future wholly owned domestic subsidiaries, except any that are designated as unrestricted.</w:t>
      </w:r>
    </w:p>
    <w:p>
      <w:pPr>
        <w:spacing w:after="0" w:line="169"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As of the date of this prospectus, the following subsidiaries are guarantors of the notes: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Scotts' Miracle-Gro Products, Inc.</w:t>
      </w:r>
    </w:p>
    <w:p>
      <w:pPr>
        <w:ind w:left="840"/>
        <w:spacing w:after="0"/>
        <w:rPr>
          <w:sz w:val="20"/>
          <w:szCs w:val="20"/>
          <w:color w:val="auto"/>
        </w:rPr>
      </w:pPr>
      <w:r>
        <w:rPr>
          <w:rFonts w:ascii="Courier New" w:cs="Courier New" w:eastAsia="Courier New" w:hAnsi="Courier New"/>
          <w:sz w:val="16"/>
          <w:szCs w:val="16"/>
          <w:color w:val="auto"/>
        </w:rPr>
        <w:t>Miracle-Gro Lawn Products, Inc.</w:t>
      </w:r>
    </w:p>
    <w:p>
      <w:pPr>
        <w:ind w:left="840"/>
        <w:spacing w:after="0" w:line="237" w:lineRule="auto"/>
        <w:rPr>
          <w:sz w:val="20"/>
          <w:szCs w:val="20"/>
          <w:color w:val="auto"/>
        </w:rPr>
      </w:pPr>
      <w:r>
        <w:rPr>
          <w:rFonts w:ascii="Courier New" w:cs="Courier New" w:eastAsia="Courier New" w:hAnsi="Courier New"/>
          <w:sz w:val="16"/>
          <w:szCs w:val="16"/>
          <w:color w:val="auto"/>
        </w:rPr>
        <w:t>Miracle-Gro Products Ltd.</w:t>
      </w:r>
    </w:p>
    <w:p>
      <w:pPr>
        <w:ind w:left="840"/>
        <w:spacing w:after="0"/>
        <w:rPr>
          <w:sz w:val="20"/>
          <w:szCs w:val="20"/>
          <w:color w:val="auto"/>
        </w:rPr>
      </w:pPr>
      <w:r>
        <w:rPr>
          <w:rFonts w:ascii="Courier New" w:cs="Courier New" w:eastAsia="Courier New" w:hAnsi="Courier New"/>
          <w:sz w:val="16"/>
          <w:szCs w:val="16"/>
          <w:color w:val="auto"/>
        </w:rPr>
        <w:t>OMS Investments, Inc.</w:t>
      </w:r>
    </w:p>
    <w:p>
      <w:pPr>
        <w:ind w:left="840"/>
        <w:spacing w:after="0" w:line="238" w:lineRule="auto"/>
        <w:rPr>
          <w:sz w:val="20"/>
          <w:szCs w:val="20"/>
          <w:color w:val="auto"/>
        </w:rPr>
      </w:pPr>
      <w:r>
        <w:rPr>
          <w:rFonts w:ascii="Courier New" w:cs="Courier New" w:eastAsia="Courier New" w:hAnsi="Courier New"/>
          <w:sz w:val="16"/>
          <w:szCs w:val="16"/>
          <w:color w:val="auto"/>
        </w:rPr>
        <w:t>Old Fort Financial Corp.</w:t>
      </w:r>
    </w:p>
    <w:p>
      <w:pPr>
        <w:ind w:left="840"/>
        <w:spacing w:after="0"/>
        <w:rPr>
          <w:sz w:val="20"/>
          <w:szCs w:val="20"/>
          <w:color w:val="auto"/>
        </w:rPr>
      </w:pPr>
      <w:r>
        <w:rPr>
          <w:rFonts w:ascii="Courier New" w:cs="Courier New" w:eastAsia="Courier New" w:hAnsi="Courier New"/>
          <w:sz w:val="16"/>
          <w:szCs w:val="16"/>
          <w:color w:val="auto"/>
        </w:rPr>
        <w:t>Hyponex Corporation</w:t>
      </w:r>
    </w:p>
    <w:p>
      <w:pPr>
        <w:ind w:left="840"/>
        <w:spacing w:after="0" w:line="238" w:lineRule="auto"/>
        <w:rPr>
          <w:sz w:val="20"/>
          <w:szCs w:val="20"/>
          <w:color w:val="auto"/>
        </w:rPr>
      </w:pPr>
      <w:r>
        <w:rPr>
          <w:rFonts w:ascii="Courier New" w:cs="Courier New" w:eastAsia="Courier New" w:hAnsi="Courier New"/>
          <w:sz w:val="16"/>
          <w:szCs w:val="16"/>
          <w:color w:val="auto"/>
        </w:rPr>
        <w:t>EarthGro, Inc.</w:t>
      </w:r>
    </w:p>
    <w:p>
      <w:pPr>
        <w:ind w:left="840"/>
        <w:spacing w:after="0"/>
        <w:rPr>
          <w:sz w:val="20"/>
          <w:szCs w:val="20"/>
          <w:color w:val="auto"/>
        </w:rPr>
      </w:pPr>
      <w:r>
        <w:rPr>
          <w:rFonts w:ascii="Courier New" w:cs="Courier New" w:eastAsia="Courier New" w:hAnsi="Courier New"/>
          <w:sz w:val="16"/>
          <w:szCs w:val="16"/>
          <w:color w:val="auto"/>
        </w:rPr>
        <w:t>Scotts Products Co.</w:t>
      </w:r>
    </w:p>
    <w:p>
      <w:pPr>
        <w:ind w:left="840"/>
        <w:spacing w:after="0" w:line="237" w:lineRule="auto"/>
        <w:rPr>
          <w:sz w:val="20"/>
          <w:szCs w:val="20"/>
          <w:color w:val="auto"/>
        </w:rPr>
      </w:pPr>
      <w:r>
        <w:rPr>
          <w:rFonts w:ascii="Courier New" w:cs="Courier New" w:eastAsia="Courier New" w:hAnsi="Courier New"/>
          <w:sz w:val="16"/>
          <w:szCs w:val="16"/>
          <w:color w:val="auto"/>
        </w:rPr>
        <w:t>Scotts Professional Products Co.</w:t>
      </w:r>
    </w:p>
    <w:p>
      <w:pPr>
        <w:ind w:left="840"/>
        <w:spacing w:after="0"/>
        <w:rPr>
          <w:sz w:val="20"/>
          <w:szCs w:val="20"/>
          <w:color w:val="auto"/>
        </w:rPr>
      </w:pPr>
      <w:r>
        <w:rPr>
          <w:rFonts w:ascii="Courier New" w:cs="Courier New" w:eastAsia="Courier New" w:hAnsi="Courier New"/>
          <w:sz w:val="16"/>
          <w:szCs w:val="16"/>
          <w:color w:val="auto"/>
        </w:rPr>
        <w:t>Republic Tool &amp; Manufacturing Corp.</w:t>
      </w:r>
    </w:p>
    <w:p>
      <w:pPr>
        <w:ind w:left="840"/>
        <w:spacing w:after="0" w:line="238" w:lineRule="auto"/>
        <w:rPr>
          <w:sz w:val="20"/>
          <w:szCs w:val="20"/>
          <w:color w:val="auto"/>
        </w:rPr>
      </w:pPr>
      <w:r>
        <w:rPr>
          <w:rFonts w:ascii="Courier New" w:cs="Courier New" w:eastAsia="Courier New" w:hAnsi="Courier New"/>
          <w:sz w:val="16"/>
          <w:szCs w:val="16"/>
          <w:color w:val="auto"/>
        </w:rPr>
        <w:t>Scotts-Sierra Horticultural Products Company</w:t>
      </w:r>
    </w:p>
    <w:p>
      <w:pPr>
        <w:ind w:left="840"/>
        <w:spacing w:after="0"/>
        <w:rPr>
          <w:sz w:val="20"/>
          <w:szCs w:val="20"/>
          <w:color w:val="auto"/>
        </w:rPr>
      </w:pPr>
      <w:r>
        <w:rPr>
          <w:rFonts w:ascii="Courier New" w:cs="Courier New" w:eastAsia="Courier New" w:hAnsi="Courier New"/>
          <w:sz w:val="16"/>
          <w:szCs w:val="16"/>
          <w:color w:val="auto"/>
        </w:rPr>
        <w:t>Scotts-Sierra Crop Protection Company</w:t>
      </w:r>
    </w:p>
    <w:p>
      <w:pPr>
        <w:ind w:left="840"/>
        <w:spacing w:after="0" w:line="238" w:lineRule="auto"/>
        <w:rPr>
          <w:sz w:val="20"/>
          <w:szCs w:val="20"/>
          <w:color w:val="auto"/>
        </w:rPr>
      </w:pPr>
      <w:r>
        <w:rPr>
          <w:rFonts w:ascii="Courier New" w:cs="Courier New" w:eastAsia="Courier New" w:hAnsi="Courier New"/>
          <w:sz w:val="16"/>
          <w:szCs w:val="16"/>
          <w:color w:val="auto"/>
        </w:rPr>
        <w:t>Scotts-Sierra Investments, Inc.</w:t>
      </w:r>
    </w:p>
    <w:p>
      <w:pPr>
        <w:ind w:left="840"/>
        <w:spacing w:after="0"/>
        <w:rPr>
          <w:sz w:val="20"/>
          <w:szCs w:val="20"/>
          <w:color w:val="auto"/>
        </w:rPr>
      </w:pPr>
      <w:r>
        <w:rPr>
          <w:rFonts w:ascii="Courier New" w:cs="Courier New" w:eastAsia="Courier New" w:hAnsi="Courier New"/>
          <w:sz w:val="16"/>
          <w:szCs w:val="16"/>
          <w:color w:val="auto"/>
        </w:rPr>
        <w:t>Swiss Farms Products, Inc.</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These subsidiaries that are guaranteeing the notes constitute our primary domestic subsidiaries. The assets of the Ortho business that we acquired from Monsanto are held by Scotts and by some of the guarantor subsidiaries, as well as by some of our foreign subsidiaries. There is not a separate subsidiary for the Ortho assets. None of our foreign subsidiaries is a guarantor of the notes, and none is required to be under the indenture.</w:t>
      </w:r>
    </w:p>
    <w:p>
      <w:pPr>
        <w:spacing w:after="0" w:line="189"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We have not designated any of our domestic, wholly-owned subsidiaries as unrestricted, but we are permitted to do so under the indenture. Unrestricted subsidiaries are not subject to many of the restrictive covenants in the indenture and are ignored for purposes of calculating some of the relevant financial ratios in the covenants. If we designate any subsidiaries as unrestricted, they will cease to guarantee the notes. We have no present intention to do so.</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guarantees:</w:t>
      </w:r>
    </w:p>
    <w:p>
      <w:pPr>
        <w:spacing w:after="0" w:line="179" w:lineRule="exact"/>
        <w:rPr>
          <w:sz w:val="20"/>
          <w:szCs w:val="20"/>
          <w:color w:val="auto"/>
        </w:rPr>
      </w:pPr>
    </w:p>
    <w:p>
      <w:pPr>
        <w:ind w:left="660" w:hanging="195"/>
        <w:spacing w:after="0"/>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each guarantor;</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existing and future senior debt of each guarantor;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of each guarantor.</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Not all of our restricted subsidiaries guarantee the notes. In particular, our foreign subsidiaries are not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24.6% of our consolidated revenues for the year ended September 30, 1999 and held approximately 29.7% of our consolidated assets as of September 30, 1999. See note 22 to our consolidated financial statements that we have are incorporated in this prospectus for more detail about the division of our consolidated revenues and assets between our guarantor and non-guarantor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MATURITY AND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indenture provides that we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on the notes accrues at the rate of 8.625% per annum and is payable semi-annually in arrears on January 15 and July 15, commencing on July 15, 1999. We will make each interest payment to the holders of record of the notes on the immediately preceding January 1 and July 1.</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METHODS OF RECEIVING PAYMENTS ON THE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holder has given us wire transfer instructions, we will make all principal, premium and interest and liquidated damages, if any, payments on the notes owned by the holder in accordance with those instructions. All other payments on these notes will be made at the office or agency of the paying agent and registrar within the City and State of New York unless we elect to make interest payments by check mailed to the holders at their address set forth in the register of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PAYING AGENT AND REGISTRAR FOR THE NOTES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trustee is currently the paying agent and registrar. We may change the paying agent or registrar without prior notice to the holders of the notes. Scotts or any of our subsidiaries may act as paying agent or registrar.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AND EXCHANGE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 holder may transfer or exchange notes in accordance with the indenture. The registrar and the trustee may require a holder to furnish appropriate endorsements and transfer documents, and we may require a holder to pay any taxes and fees required by law or permitted by the indenture.</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registered holder of a note will be treated as the owner of it for all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subsidiary guarantors jointly and severally guarantee our obligations under the notes. Each subsidiary guarantee is subordinated to the prior payment in full of all senior debt of that subsidiary guarantor. The obligations of each subsidiary guarantor under its subsidiary guarantee are limited as necessary to prevent that subsidiary guarantee from being a fraudulent conveyance under applicable law.</w:t>
      </w:r>
    </w:p>
    <w:p>
      <w:pPr>
        <w:sectPr>
          <w:pgSz w:w="11900" w:h="16838" w:orient="portrait"/>
          <w:cols w:equalWidth="0" w:num="1">
            <w:col w:w="10219"/>
          </w:cols>
          <w:pgMar w:left="240" w:top="293" w:right="1440" w:bottom="1440" w:gutter="0" w:footer="0" w:header="0"/>
        </w:sectPr>
      </w:pP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A subsidiary guarantor may not sell or otherwise dispose of all or substantially all of its assets, or consolidate with or merge with or into another person unless:</w:t>
      </w:r>
    </w:p>
    <w:p>
      <w:pPr>
        <w:spacing w:after="0" w:line="185" w:lineRule="exact"/>
        <w:rPr>
          <w:sz w:val="20"/>
          <w:szCs w:val="20"/>
          <w:color w:val="auto"/>
        </w:rPr>
      </w:pPr>
    </w:p>
    <w:p>
      <w:pPr>
        <w:ind w:left="660" w:right="2819" w:hanging="195"/>
        <w:spacing w:after="0" w:line="236" w:lineRule="auto"/>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that transaction, no default or event of default exists under the indenture;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acquiring the property in the sale or disposition or the person formed by or surviving the consolidation or merger assumes all the obligations of that subsidiary guarantor under its subsidiary guarantee; or</w:t>
      </w:r>
    </w:p>
    <w:p>
      <w:pPr>
        <w:spacing w:after="0" w:line="185"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of the sale or other disposition are applied as dictated by the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subsidiary guarantee of a subsidiary guarantor will be released:</w:t>
      </w:r>
    </w:p>
    <w:p>
      <w:pPr>
        <w:spacing w:after="0" w:line="185" w:lineRule="exact"/>
        <w:rPr>
          <w:sz w:val="20"/>
          <w:szCs w:val="20"/>
          <w:color w:val="auto"/>
        </w:rPr>
      </w:pPr>
    </w:p>
    <w:p>
      <w:pPr>
        <w:ind w:left="660" w:right="2819" w:hanging="195"/>
        <w:spacing w:after="0" w:line="257" w:lineRule="auto"/>
        <w:tabs>
          <w:tab w:leader="none" w:pos="6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guarantor, including by way of merger or consolidation, so long as we apply the net proceeds of that sale or other disposition as dictated by the indenture; or</w:t>
      </w:r>
    </w:p>
    <w:p>
      <w:pPr>
        <w:spacing w:after="0" w:line="174"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subsidiary guarantor, so long as we apply the net proceeds of that sale as dictated by the indenture;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designate any restricted subsidiary that is a subsidiary guarantor as an unrestricted subsidiary.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indenture, however, does not prevent one subsidiary guarantor from selling or otherwise disposing of all or substantially all of its assets to, or consolidating with or merging into, Scotts or another subsidiary guarantor.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payment of principal, premium, interest and liquidated damages, if any, on the notes will be subordinated to the prior payment in full of all our senior debt.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senior debt will be entitled to receive payment in full of all obligations due in respect of their senior debt before the holders of notes will be entitled to receive any payment on the notes in the event of any distribution to our creditors in any of the following circumstances:</w:t>
      </w:r>
    </w:p>
    <w:p>
      <w:pPr>
        <w:spacing w:after="0" w:line="181" w:lineRule="exact"/>
        <w:rPr>
          <w:sz w:val="20"/>
          <w:szCs w:val="20"/>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liquidation or dissolution of Scotts;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bankruptcy, reorganization, insolvency, receivership or similar proceeding;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for the benefit of our creditors;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marshaling of our assets and liabilities.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also may not make any payment on the notes if:</w:t>
      </w:r>
    </w:p>
    <w:p>
      <w:pPr>
        <w:spacing w:after="0" w:line="185" w:lineRule="exact"/>
        <w:rPr>
          <w:sz w:val="20"/>
          <w:szCs w:val="20"/>
          <w:color w:val="auto"/>
        </w:rPr>
      </w:pPr>
    </w:p>
    <w:p>
      <w:pPr>
        <w:ind w:left="660" w:right="2999" w:hanging="195"/>
        <w:spacing w:after="0" w:line="236"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payment default occurs and is continuing beyond any applicable grace period under: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credit facility, or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senior debt of greater than $10 million that we designate; or</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default occurs and is continuing under our credit facility or the designated senior debt described above that permits the holders of the indebtedness to accelerate its maturity and the trustee receives a notice of the default under the indenture.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are known as payment blockages.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Payments on the notes will be resumed:</w:t>
      </w:r>
    </w:p>
    <w:p>
      <w:pPr>
        <w:spacing w:after="0" w:line="185" w:lineRule="exact"/>
        <w:rPr>
          <w:sz w:val="20"/>
          <w:szCs w:val="20"/>
          <w:color w:val="auto"/>
        </w:rPr>
      </w:pPr>
    </w:p>
    <w:p>
      <w:pPr>
        <w:ind w:left="660" w:right="3179" w:hanging="195"/>
        <w:spacing w:after="0" w:line="236"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payment default, as soon as the default is cured or waived;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 nonpayment default, on the earlier of the date on which the nonpayment default is cured or waived or 179 days after the date on which the applicable notice of a payment blockage is received, unless the maturity of the indebtedness leading to the payment blockage has been accelerated.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new notice of a payment blockage may be delivered unless and until:</w:t>
      </w:r>
    </w:p>
    <w:p>
      <w:pPr>
        <w:spacing w:after="0" w:line="185" w:lineRule="exact"/>
        <w:rPr>
          <w:sz w:val="20"/>
          <w:szCs w:val="20"/>
          <w:color w:val="auto"/>
        </w:rPr>
      </w:pPr>
    </w:p>
    <w:p>
      <w:pPr>
        <w:ind w:left="660" w:right="2999" w:hanging="195"/>
        <w:spacing w:after="0" w:line="236"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360 days have elapsed since the effectiveness of the immediately prior notice of a payment blockage;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premium and interest and liquidated damages, if any, on the notes that have come due have been paid in full in cash.</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notice of a payment blockage to the trustee may be the basis for a subsequent notice of a payment blockage unless the default leading to the notice shall have been cured or waived for a period of not less than 180 days.</w:t>
      </w:r>
    </w:p>
    <w:p>
      <w:pPr>
        <w:spacing w:after="0" w:line="174" w:lineRule="exact"/>
        <w:rPr>
          <w:sz w:val="20"/>
          <w:szCs w:val="20"/>
          <w:color w:val="auto"/>
        </w:rPr>
      </w:pPr>
    </w:p>
    <w:p>
      <w:pPr>
        <w:ind w:right="2999" w:firstLine="469"/>
        <w:spacing w:after="0" w:line="263" w:lineRule="auto"/>
        <w:rPr>
          <w:sz w:val="20"/>
          <w:szCs w:val="20"/>
          <w:color w:val="auto"/>
        </w:rPr>
      </w:pPr>
      <w:r>
        <w:rPr>
          <w:rFonts w:ascii="Courier New" w:cs="Courier New" w:eastAsia="Courier New" w:hAnsi="Courier New"/>
          <w:sz w:val="15"/>
          <w:szCs w:val="15"/>
          <w:color w:val="auto"/>
        </w:rPr>
        <w:t>Scotts must promptly notify holders of our senior debt if payment of the notes is accelerated because of an event of default under the indenture.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As a result</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of the subordination provisions described above,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the event</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of a bankruptcy,</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liquidation or reorganization of Scotts, holders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these notes</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may recover less</w:t>
            </w:r>
          </w:p>
        </w:tc>
        <w:tc>
          <w:tcPr>
            <w:tcW w:w="59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ratably than creditors who are holders of our senior debt.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During the first 36 months after January 21, 1999, we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so long as:</w:t>
      </w:r>
    </w:p>
    <w:p>
      <w:pPr>
        <w:spacing w:after="0" w:line="189" w:lineRule="exact"/>
        <w:rPr>
          <w:sz w:val="20"/>
          <w:szCs w:val="20"/>
          <w:color w:val="auto"/>
        </w:rPr>
      </w:pPr>
    </w:p>
    <w:p>
      <w:pPr>
        <w:ind w:left="660" w:right="3379" w:hanging="195"/>
        <w:spacing w:after="0" w:line="263" w:lineRule="auto"/>
        <w:tabs>
          <w:tab w:leader="none" w:pos="6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notes remain outstanding immediately after the occurrence of the redemption, excluding any notes held by us; and</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occurs within 90 days of the date of the closing of the public equity offering.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Otherwise, the notes will not be redeemable prior to January 15, 2004.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After January 15, 2004, we may redeem all or a part of these notes by giving at least 30 but no more than 60 days' notice. The redemption price will be equal to the percentage of principal amount shown in the following table plus accrued and unpaid interest and liquidated damages, if any, to the applicable redemption date: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380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PERCENTAGE</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From January 15, 2004 through January 14, 2005..............</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104.313%</w:t>
            </w:r>
          </w:p>
        </w:tc>
      </w:tr>
      <w:tr>
        <w:trPr>
          <w:trHeight w:val="18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From January 15, 2005 through January 14, 2006..............</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102.875%</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2006</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through January 14, 2007..............</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101.438%</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2007</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and thereafter........................</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REDEMPTION</w:t>
      </w:r>
    </w:p>
    <w:p>
      <w:pPr>
        <w:spacing w:after="0" w:line="185" w:lineRule="exact"/>
        <w:rPr>
          <w:sz w:val="20"/>
          <w:szCs w:val="20"/>
          <w:color w:val="auto"/>
        </w:rPr>
      </w:pPr>
    </w:p>
    <w:p>
      <w:pPr>
        <w:jc w:val="both"/>
        <w:ind w:right="3099" w:firstLine="469"/>
        <w:spacing w:after="0" w:line="236" w:lineRule="auto"/>
        <w:rPr>
          <w:sz w:val="20"/>
          <w:szCs w:val="20"/>
          <w:color w:val="auto"/>
        </w:rPr>
      </w:pPr>
      <w:r>
        <w:rPr>
          <w:rFonts w:ascii="Courier New" w:cs="Courier New" w:eastAsia="Courier New" w:hAnsi="Courier New"/>
          <w:sz w:val="16"/>
          <w:szCs w:val="16"/>
          <w:color w:val="auto"/>
        </w:rPr>
        <w:t>The indenture does not provide for mandatory redemption or sinking fund payments.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THE OPTION OF HOLDERS</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of Control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"Change of Control" occurs, each holder of notes will have the right to require us to repurchase all or any part, in multiples of $1,000, of that holder's notes at an offer price in cash equal to 101% of the aggregate principal amount of notes repurchased plus accrued and unpaid interest and liquidated damages, if any, to the date of purchase. Within 30 days following any "Change of Control," we will mail a notice to each holder describing the transaction or transactions that constitute the "Change of Control" and offering to repurchase notes on the date specified in the notice. We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88"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connection with any offer upon a "Change in Control," we will, to the extent lawful:</w:t>
      </w:r>
    </w:p>
    <w:p>
      <w:pPr>
        <w:spacing w:after="0" w:line="180" w:lineRule="exact"/>
        <w:rPr>
          <w:sz w:val="20"/>
          <w:szCs w:val="20"/>
          <w:color w:val="auto"/>
        </w:rPr>
      </w:pPr>
    </w:p>
    <w:p>
      <w:pPr>
        <w:ind w:left="660" w:hanging="195"/>
        <w:spacing w:after="0"/>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all notes or portions thereof properly tendered;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with the paying agent an amount equal to the required payment in respect of all notes or portions thereof so tendered;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the applicable officers certificate.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paying agent will promptly mail to each holder of notes tendered the applicable payment for the notes tendered. The trustee also will promptly authenticate and mail, or cause to be transferred by book entry, to each holder a new note equal in principal amount to any unpurchased portion of the notes surrendered, if any.</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we must either repay all outstanding senior debt or obtain the requisite consents, if any, under all agreements governing outstanding senior debt to permit the repurchase of notes required by this covenant. We will publicly announce the results of the offer to repurchase on or as soon as practicable after the payment date.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provisions described above that require us to make an offer to repurchase following a "Change of Control" will be applicable regardless of whether or not any other provisions of the indenture are applicable. The indenture does not contain any other provisions that permit the holders of the notes to require us to repurchase or redeem the notes in the event of a takeover, recapitalization or similar transaction.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outstanding senior debt currently prohibits us from purchasing any notes under any circumstances, and also contains separate change of control events that would constitute a default under the agreements governing the senior debt. Any future credit agreements or other agreements relating to senior debt may contain similar restrictions and provisions. In the event a "Change of Control" occurs at a time when we are prohibited from purchasing notes, we could seek the consent of our senior lenders to the purchase of notes or could attempt to refinance the borrowings that contain the prohibition. If we do not obtain a consent or repay the borrowings that contain the prohibitions, we will be unable to complete the repurchase of the tendered notes, which would constitute an event of default under the indenture and would, in turn, likely constitute a default under our senior debt. In these circumstances, the subordination provisions in the indenture would likely restrict payments to the holders of notes.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be required to make a repurchase offer upon a "Change of Control" if a third party makes the repurchase offer in the manner, at the times and otherwise in compliance with the requirements set forth in the indenture and purchases all notes validly tendered and not withdrawn under the repurchase offer.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definition of "Change of Control" includes a phrase relating to the sale, lease, transfer, conveyance or other disposition of "all or substantially all" of the assets of Scotts and its subsidiaries taken as a whole. Although there is a limited body of case law interpreting the phrase "substantially all," there is no precise established definition of the phrase under applicable law. Accordingly, the ability of a holder of notes to</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34</w:t>
      </w:r>
    </w:p>
    <w:p>
      <w:pPr>
        <w:spacing w:after="0" w:line="185"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require Scotts to repurchase notes as a result of a sale, lease, transfer, conveyance or other disposition of less than all of the assets of the Scotts and its subsidiaries taken as a whole to another person or group may be uncertain.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SALES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Scotts will not, and will not permit any of its restricted subsidiaries to, consummate an "Asset Sale" unless:</w:t>
      </w:r>
    </w:p>
    <w:p>
      <w:pPr>
        <w:spacing w:after="0" w:line="185" w:lineRule="exact"/>
        <w:rPr>
          <w:sz w:val="20"/>
          <w:szCs w:val="20"/>
          <w:color w:val="auto"/>
        </w:rPr>
      </w:pPr>
    </w:p>
    <w:p>
      <w:pPr>
        <w:ind w:left="660" w:right="2719" w:hanging="195"/>
        <w:spacing w:after="0" w:line="237"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or the subsidiary receives consideration at the time of the "Asset Sale" at least equal to the fair market value of the assets or equity interests issued or sold or otherwise disposed of, as determined in good faith by Scotts' Board of Directors; and</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400" w:right="2719" w:hanging="184"/>
        <w:spacing w:after="0" w:line="263" w:lineRule="auto"/>
        <w:tabs>
          <w:tab w:leader="none" w:pos="1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or the subsidiary issues equity interests as consideration or transfers assets in a tax-deferred exchange; or</w:t>
      </w:r>
    </w:p>
    <w:p>
      <w:pPr>
        <w:spacing w:after="0" w:line="168" w:lineRule="exact"/>
        <w:rPr>
          <w:rFonts w:ascii="Courier New" w:cs="Courier New" w:eastAsia="Courier New" w:hAnsi="Courier New"/>
          <w:sz w:val="15"/>
          <w:szCs w:val="15"/>
          <w:color w:val="auto"/>
        </w:rPr>
      </w:pPr>
    </w:p>
    <w:p>
      <w:pPr>
        <w:ind w:left="1400" w:right="2819" w:hanging="184"/>
        <w:spacing w:after="0" w:line="259" w:lineRule="auto"/>
        <w:tabs>
          <w:tab w:leader="none" w:pos="1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received by Scotts or the subsidiary is in the form of cash or cash equivalents, including assumed liabilities that are subordinate to the notes.</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Within 360 days after the receipt of any net proceeds from an "Asset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apply the net proceeds:</w:t>
      </w:r>
    </w:p>
    <w:p>
      <w:pPr>
        <w:spacing w:after="0" w:line="185" w:lineRule="exact"/>
        <w:rPr>
          <w:sz w:val="20"/>
          <w:szCs w:val="20"/>
          <w:color w:val="auto"/>
        </w:rPr>
      </w:pPr>
    </w:p>
    <w:p>
      <w:pPr>
        <w:ind w:left="660" w:right="271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make a corresponding commitment reduction if the senior debt is revolving;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a related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 capital expenditure; and/or</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other long-term assets that are used or useful to our businesses.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above will constitute excess proceeds. When the aggregate amount of excess proceeds exceeds $10.0 million, we are required to make an offer to repurchase as much of the notes and any similarly situated indebtedness as we can out of the excess proceeds. The offer price in this type of repurchase offer will be equal to 100% of the principal amount plus accrued and unpaid interest and liquidated damages, if any, to the date of purchase, and will be payable in cash. If the amount of the excess proceeds exceeds the purchase price of the notes and similarly situated indebtedness, we may use the remaining excess proceeds for any purpose not otherwise prohibited by the indenture. If the aggregate principal amount of notes and other similarly situated indebtedness tendered exceeds the amount of excess proceeds, the trustee will select the notes and other indebtedness to be purchased on a pro rata basis. Upon completion of each asset sale repurchase offer, the amount of excess proceeds shall be reset at zero.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SELECTION AND NOTICE</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If less than all of the notes are to be redeemed at any time, the trustee will select notes for redemption as follows:</w:t>
      </w:r>
    </w:p>
    <w:p>
      <w:pPr>
        <w:spacing w:after="0" w:line="185" w:lineRule="exact"/>
        <w:rPr>
          <w:sz w:val="20"/>
          <w:szCs w:val="20"/>
          <w:color w:val="auto"/>
        </w:rPr>
      </w:pPr>
    </w:p>
    <w:p>
      <w:pPr>
        <w:ind w:left="660" w:right="2819" w:hanging="195"/>
        <w:spacing w:after="0" w:line="263" w:lineRule="auto"/>
        <w:tabs>
          <w:tab w:leader="none" w:pos="6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not listed, on a pro rata basis, by lot or by another method that the trustee deems fair and appropriate.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Notices of redemption will be mailed by first class mail at least 30 but not more than 60 days before the redemption date to each holder of notes to be redeemed at its registered address. Notices of redemption may not be conditional.</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3"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any note is to be redeemed in part only, the notice of redemption that relates to that note should state the portion of the principal amount to be redeemed. A new note in principal amount equal to the unredeemed portion will be issued in the name of the holder upon cancellation of the original note. Notes called for redemption become due on the date fixed for redemption. On and after the redemption date, interest ceases to accrue on notes or portions of them called for redemption.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COVENANTS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Restricted Payments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Generally, we have agreed that we will not, and will not permit any of our restricted subsidiaries to, directly or indirectly:</w:t>
      </w:r>
    </w:p>
    <w:p>
      <w:pPr>
        <w:spacing w:after="0" w:line="185" w:lineRule="exact"/>
        <w:rPr>
          <w:sz w:val="20"/>
          <w:szCs w:val="20"/>
          <w:color w:val="auto"/>
        </w:rPr>
      </w:pPr>
    </w:p>
    <w:p>
      <w:pPr>
        <w:ind w:left="660" w:right="355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any dividend or make any other similar payment or distribution to our stockholders, other than stock dividends or distributions;</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any capital stock held by persons other than Scotts or a restricted subsidiary;</w:t>
      </w:r>
    </w:p>
    <w:p>
      <w:pPr>
        <w:spacing w:after="0" w:line="168" w:lineRule="exact"/>
        <w:rPr>
          <w:rFonts w:ascii="Courier New" w:cs="Courier New" w:eastAsia="Courier New" w:hAnsi="Courier New"/>
          <w:sz w:val="15"/>
          <w:szCs w:val="15"/>
          <w:color w:val="auto"/>
        </w:rPr>
      </w:pPr>
    </w:p>
    <w:p>
      <w:pPr>
        <w:ind w:left="660" w:right="289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down, purchase, redeem, defease or otherwise acquire or retire for value any indebtedness that is subordinated to the notes or the subsidiary guarantees, except a payment of interest or principal at the stated maturity of the subordinated indebtedness;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restricted investment.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indenture refers to all of these payments or expenditures as restricted payments. We may make a restricted payment if, upon giving effect to the restricted payment, the following conditions are met:</w:t>
      </w:r>
    </w:p>
    <w:p>
      <w:pPr>
        <w:spacing w:after="0" w:line="185" w:lineRule="exact"/>
        <w:rPr>
          <w:sz w:val="20"/>
          <w:szCs w:val="20"/>
          <w:color w:val="auto"/>
        </w:rPr>
      </w:pPr>
    </w:p>
    <w:p>
      <w:pPr>
        <w:ind w:left="660" w:right="2899" w:hanging="195"/>
        <w:spacing w:after="0" w:line="236"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existing defaults or events of default under the indenture and the restricted payment would not trigger one;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restricted payment had actually been made at the beginning of the applicable four-quarter period, we still could have incurred at least $1.00 of additional indebtedness under the fixed charge coverage ratio test described below under the caption " -- Incurrence of Indebtedness and Issuance of Preferred Stock"; and</w:t>
      </w:r>
    </w:p>
    <w:p>
      <w:pPr>
        <w:spacing w:after="0" w:line="187"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payment, together with the aggregate amount of all other restricted payments not otherwise permitted by the indenture, is less than the sum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our "Consolidated Net Income" for the period from January 3, 1999 to the end of our most recently ended fiscal quarter for which internal financial statements are available at the time of the restricted payment. If "Consolidated Net Income" for this period is a deficit, 100% of the deficit will be added instead; plus</w:t>
      </w:r>
    </w:p>
    <w:p>
      <w:pPr>
        <w:spacing w:after="0" w:line="188"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cash proceeds from most contributions to capital or sales of capital stock that occur after January 21, 1999; plus</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received upon the liquidation of restricted investments valued at the lesser of the cash received and the initial amount of the restricted investment; plus</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million.</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In addition, as long as there are no existing defaults under the indenture and none would be caused by a restricted payment we may also make the following restricted payments:</w:t>
      </w:r>
    </w:p>
    <w:p>
      <w:pPr>
        <w:spacing w:after="0" w:line="185" w:lineRule="exact"/>
        <w:rPr>
          <w:sz w:val="20"/>
          <w:szCs w:val="20"/>
          <w:color w:val="auto"/>
        </w:rPr>
      </w:pPr>
    </w:p>
    <w:p>
      <w:pPr>
        <w:ind w:left="660" w:right="2719" w:hanging="195"/>
        <w:spacing w:after="0" w:line="237"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within 60 days after the date of declaration, if at the date of declaration the payment would have complied with the provisions of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our 9 7/8% Senior Subordinated Notes due 2004 or of any of the notes;</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36</w:t>
      </w:r>
    </w:p>
    <w:p>
      <w:pPr>
        <w:spacing w:after="0" w:line="185" w:lineRule="exact"/>
        <w:rPr>
          <w:sz w:val="20"/>
          <w:szCs w:val="20"/>
          <w:color w:val="auto"/>
        </w:rPr>
      </w:pPr>
    </w:p>
    <w:p>
      <w:pPr>
        <w:ind w:left="660" w:right="2719" w:hanging="195"/>
        <w:spacing w:after="0" w:line="238"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or capital stock in exchange for, or out of the net cash proceeds of the substantially concurrent sale of, capital stock, provided that the amount of the net cash proceeds that are utilized for any redemption, repurchase, retirement, defeasance or other acquisition will not also count toward the calculation of the sum in the preceding paragraph;</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subordinated indebtedness or short-lived or mandatorily redeemable capital stock with the net cash proceeds from an incurrence of permitted refinancing indebtedness;</w:t>
      </w:r>
    </w:p>
    <w:p>
      <w:pPr>
        <w:spacing w:after="0" w:line="185"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to holders of our Class A Convertible Preferred Stock;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or other acquisition or retirement for value of up to $5.0 million in any 12 month period of any capital stock held by members of management under a subscription agreement or stock option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INCURRENCE OF INDEBTEDNESS AND ISSUANCE OF PREFERRED STOCK</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have agreed that we will not and will not permit any of our restricted subsidiaries to, directly or indirectly, incur or otherwise become liable for any indebtedness or issue any short-lived or mandatorily redeemable capital stock, unless the following condition has been met. The condition is that at the time of issuance or incurrence the "Fixed Charge Coverage Ratio" for the most recently ended four full fiscal quarters for which internal financial statements are available immediately preceding the date of incurrence or issuance would have been at least 2.0 to 1.0. For purposes of calculating the ratio we will assume that the additional indebtedness had been incurred or the capital stock had been issued at the beginning of the applicable four-quarter period.</w:t>
      </w:r>
    </w:p>
    <w:p>
      <w:pPr>
        <w:spacing w:after="0" w:line="17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Whether or not we can meet the "Fixed Charge Coverage Ratio" the following incurrences are permitted:</w:t>
      </w:r>
    </w:p>
    <w:p>
      <w:pPr>
        <w:spacing w:after="0" w:line="185" w:lineRule="exact"/>
        <w:rPr>
          <w:sz w:val="20"/>
          <w:szCs w:val="20"/>
          <w:color w:val="auto"/>
        </w:rPr>
      </w:pPr>
    </w:p>
    <w:p>
      <w:pPr>
        <w:ind w:left="660" w:right="28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and letters of credit under our credit facility in an aggregate principal amount not to exceed $1.125 billion, less any repayments or commitment reductions as a result of asset sales under the covenant described above under the caption "Repurchase at the Option of Holders -- Asset Sales";</w:t>
      </w:r>
    </w:p>
    <w:p>
      <w:pPr>
        <w:spacing w:after="0" w:line="182"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indebtedness as of January 21, 1999;</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for the purpose of financing all or any part of the purchase price or cost of construction or improvement of property, plant or equipment used in our business, or in a sale and leaseback transaction, in an aggregate principal amount not to exceed $20.0 million at any time outstanding;</w:t>
      </w:r>
    </w:p>
    <w:p>
      <w:pPr>
        <w:spacing w:after="0" w:line="187"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187"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intercompany indebtedness between or among Scotts and any of its restricted subsidiaries, as long as the following conditions have been met:</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that is held by a restricted subsidiary that is not a guarantor must be expressly subordinated to the prior payment in full in cash of all obligations under the notes and</w:t>
      </w:r>
    </w:p>
    <w:p>
      <w:pPr>
        <w:spacing w:after="0" w:line="184"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intercompany indebtedness is transferred subsequently to a person other than Scotts or a restricted subsidiary, it will be deemed to constitute a new incurrence of indebtedness that must comply with the terms of the indenture;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37</w:t>
      </w:r>
    </w:p>
    <w:p>
      <w:pPr>
        <w:spacing w:after="0" w:line="185" w:lineRule="exact"/>
        <w:rPr>
          <w:sz w:val="20"/>
          <w:szCs w:val="20"/>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hedging obligations that are incurred for the purpose of fixing or hedging interest rate risk on any floating rate indebtedness that is permitted by the terms of the indenture or exchange rate risk or raw materials price risk;</w:t>
      </w:r>
    </w:p>
    <w:p>
      <w:pPr>
        <w:spacing w:after="0" w:line="187"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of indebtedness by Scotts or a restricted subsidiary that was otherwise permitted to be incurred;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195,000 shares of Class A Convertible Preferred Stock outstanding as of the date of the indenture, all of which have since been converted into common shares;</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our foreign subsidiaries of up to $60.0 million of indebtedness at any one time;</w:t>
      </w:r>
    </w:p>
    <w:p>
      <w:pPr>
        <w:spacing w:after="0" w:line="184" w:lineRule="exact"/>
        <w:rPr>
          <w:rFonts w:ascii="Courier New" w:cs="Courier New" w:eastAsia="Courier New" w:hAnsi="Courier New"/>
          <w:sz w:val="16"/>
          <w:szCs w:val="16"/>
          <w:color w:val="auto"/>
        </w:rPr>
      </w:pPr>
    </w:p>
    <w:p>
      <w:pPr>
        <w:ind w:left="660" w:right="2999" w:hanging="195"/>
        <w:spacing w:after="0" w:line="263" w:lineRule="auto"/>
        <w:tabs>
          <w:tab w:leader="none" w:pos="6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by borrowing against our accounts receivables or equipment in qualified securitization transactions; and</w:t>
      </w:r>
    </w:p>
    <w:p>
      <w:pPr>
        <w:spacing w:after="0" w:line="168" w:lineRule="exact"/>
        <w:rPr>
          <w:rFonts w:ascii="Courier New" w:cs="Courier New" w:eastAsia="Courier New" w:hAnsi="Courier New"/>
          <w:sz w:val="15"/>
          <w:szCs w:val="15"/>
          <w:color w:val="auto"/>
        </w:rPr>
      </w:pPr>
    </w:p>
    <w:p>
      <w:pPr>
        <w:ind w:left="660" w:right="289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up to $40.0 million additional indebtedness at any one time.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SENIOR SUBORDINATED DEBT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have agreed that we will not incur or otherwise become liable for any indebtedness that is subordinate or junior in right of payment to any senior debt and senior in right of payment to the notes. Similarly, none of our subsidiary guarantors will incur or otherwise become liable for any indebtedness that is subordinate or junior in right of payment to any senior debt of the subsidiary guarantor and senior in right of payment to its subsidiary guarantee.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agreed that we will not directly or indirectly:</w:t>
      </w:r>
    </w:p>
    <w:p>
      <w:pPr>
        <w:spacing w:after="0" w:line="179" w:lineRule="exact"/>
        <w:rPr>
          <w:sz w:val="20"/>
          <w:szCs w:val="20"/>
          <w:color w:val="auto"/>
        </w:rPr>
      </w:pPr>
    </w:p>
    <w:p>
      <w:pPr>
        <w:ind w:left="660" w:hanging="195"/>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 or convey any right to receive income on any of our assets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allow to exist any lien of any kind securing indebtedness or trade payables on any of our assets or on any income or profits from the assets except "Permitted Liens,"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the notes and the guarantees, as applicable, are either</w:t>
      </w:r>
    </w:p>
    <w:p>
      <w:pPr>
        <w:spacing w:after="0" w:line="185" w:lineRule="exact"/>
        <w:rPr>
          <w:sz w:val="20"/>
          <w:szCs w:val="20"/>
          <w:color w:val="auto"/>
        </w:rPr>
      </w:pPr>
    </w:p>
    <w:p>
      <w:pPr>
        <w:ind w:left="660" w:right="317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that is senior in priority to the lien securing the other subordinated obligations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to the same extent as the lien securing the other obligations, if the obligations are pari passu in right of payment with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AND OTHER PAYMENT RESTRICTIONS AFFECTING SUBSIDIARIES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have agreed that we will not directly or indirectly impair the ability of any restricted subsidiary to:</w:t>
      </w:r>
    </w:p>
    <w:p>
      <w:pPr>
        <w:spacing w:after="0" w:line="185" w:lineRule="exact"/>
        <w:rPr>
          <w:sz w:val="20"/>
          <w:szCs w:val="20"/>
          <w:color w:val="auto"/>
        </w:rPr>
      </w:pPr>
    </w:p>
    <w:p>
      <w:pPr>
        <w:ind w:left="660" w:right="2719" w:hanging="195"/>
        <w:spacing w:after="0" w:line="237"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to us or any of our restricted subsidiaries, or pay any indebtedness owed to us or any of our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or advances to us or any of our restricted subsidiaries;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any of its properties or assets to us or any of our restricted subsidiaries.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Restrictions in the following will not be affected by this covenant:</w:t>
      </w:r>
    </w:p>
    <w:p>
      <w:pPr>
        <w:spacing w:after="0" w:line="185" w:lineRule="exact"/>
        <w:rPr>
          <w:sz w:val="20"/>
          <w:szCs w:val="20"/>
          <w:color w:val="auto"/>
        </w:rPr>
      </w:pPr>
    </w:p>
    <w:p>
      <w:pPr>
        <w:ind w:left="660" w:right="2719" w:hanging="195"/>
        <w:spacing w:after="0" w:line="237"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January 21, 1999 or any refinancings of that existing indebtedness as long as the terms of the refinancing are no more restrictive than these restrictions;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the notes and the guarantees;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38</w:t>
      </w:r>
    </w:p>
    <w:p>
      <w:pPr>
        <w:spacing w:after="0" w:line="185" w:lineRule="exact"/>
        <w:rPr>
          <w:sz w:val="20"/>
          <w:szCs w:val="20"/>
          <w:color w:val="auto"/>
        </w:rPr>
      </w:pPr>
    </w:p>
    <w:p>
      <w:pPr>
        <w:ind w:left="660" w:right="271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existing indebtedness or capital stock of an acquired entity that was not incurred in connection with the acquisition as long as the indebtedness itself could be incurred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non-assignment provisions in leases, licenses, contracts and other agreements entered into in the ordinary course of business and consistent with past practices;</w:t>
      </w:r>
    </w:p>
    <w:p>
      <w:pPr>
        <w:spacing w:after="0" w:line="184" w:lineRule="exact"/>
        <w:rPr>
          <w:rFonts w:ascii="Courier New" w:cs="Courier New" w:eastAsia="Courier New" w:hAnsi="Courier New"/>
          <w:sz w:val="16"/>
          <w:szCs w:val="16"/>
          <w:color w:val="auto"/>
        </w:rPr>
      </w:pPr>
    </w:p>
    <w:p>
      <w:pPr>
        <w:ind w:left="660" w:right="2899" w:hanging="195"/>
        <w:spacing w:after="0" w:line="263" w:lineRule="auto"/>
        <w:tabs>
          <w:tab w:leader="none" w:pos="6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normal restrictions on the property acquired;</w:t>
      </w:r>
    </w:p>
    <w:p>
      <w:pPr>
        <w:spacing w:after="0" w:line="168" w:lineRule="exact"/>
        <w:rPr>
          <w:rFonts w:ascii="Courier New" w:cs="Courier New" w:eastAsia="Courier New" w:hAnsi="Courier New"/>
          <w:sz w:val="15"/>
          <w:szCs w:val="15"/>
          <w:color w:val="auto"/>
        </w:rPr>
      </w:pPr>
    </w:p>
    <w:p>
      <w:pPr>
        <w:ind w:left="660" w:right="317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or other disposition of a restricted subsidiary that restricts distributions by the restricted subsidiary pending its sale;</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refinanced indebtedness as long as the restrictions governing the refinanced indebtedness are no more restrictive;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relating to the disposition or distribution of assets or property in joint venture agreements and other similar agreements entered into in the ordinary course of business;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provisions under indebtedness of any foreign subsidiary permitted to be incurred under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 and</w:t>
      </w:r>
    </w:p>
    <w:p>
      <w:pPr>
        <w:spacing w:after="0" w:line="168" w:lineRule="exact"/>
        <w:rPr>
          <w:rFonts w:ascii="Courier New" w:cs="Courier New" w:eastAsia="Courier New" w:hAnsi="Courier New"/>
          <w:sz w:val="15"/>
          <w:szCs w:val="15"/>
          <w:color w:val="auto"/>
        </w:rPr>
      </w:pPr>
    </w:p>
    <w:p>
      <w:pPr>
        <w:ind w:left="660" w:right="33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created in connection with a qualified securitization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CONSOLIDATION, OR SALE OF ASSETS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We have agreed that we will not directly or indirectly: (1) consolidate or merge with or into another entity (whether or not we are the surviving corporation); or (2) sell, assign, transfer, convey or otherwise dispose of all or substantially all of our properties or assets to another entity; unless:</w:t>
      </w:r>
    </w:p>
    <w:p>
      <w:pPr>
        <w:spacing w:after="0" w:line="174" w:lineRule="exact"/>
        <w:rPr>
          <w:sz w:val="20"/>
          <w:szCs w:val="20"/>
          <w:color w:val="auto"/>
        </w:rPr>
      </w:pPr>
    </w:p>
    <w:p>
      <w:pPr>
        <w:ind w:left="660" w:right="309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we are the surviving corporation or the surviving or acquiring entity is a U.S. corporation;</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or acquiring entity assumes all of our obligations under the notes, the indenture and the registration rights agreement in agreements reasonably satisfactory to the trustee;</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transaction no default or event of default exists;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merger entered into solely for the purpose of reincorporating Scotts or any restricted subsidiary in another jurisdiction, Scotts or the surviving or acquiring entity would have been able to incur at least $1.00 of additional indebtedness under the terms of the indenture after assuming that the transaction and any related financings had previously occurred.</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we may not, directly or indirectly, lease all or substantially all of our properties or assets, in one or more related transactions, to any other entity. This "Merger, Consolidation, or Sale of Assets" covenant will not apply to a sale, assignment, transfer, conveyance or other disposition of assets between or among Scotts and any of our wholly-owned restricted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AFFILIATES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make any payment to, or enter into purchase or sale agreements or loans with, any of our affiliates, unless:</w:t>
      </w:r>
    </w:p>
    <w:p>
      <w:pPr>
        <w:spacing w:after="0" w:line="185" w:lineRule="exact"/>
        <w:rPr>
          <w:sz w:val="20"/>
          <w:szCs w:val="20"/>
          <w:color w:val="auto"/>
        </w:rPr>
      </w:pPr>
    </w:p>
    <w:p>
      <w:pPr>
        <w:ind w:left="660" w:right="3099" w:hanging="195"/>
        <w:spacing w:after="0" w:line="236"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with the affiliate is on no less favorable terms than those that we would have with an unrelated person;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deliver to the trustee, either:</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39</w:t>
      </w:r>
    </w:p>
    <w:p>
      <w:pPr>
        <w:spacing w:after="0" w:line="185" w:lineRule="exact"/>
        <w:rPr>
          <w:sz w:val="20"/>
          <w:szCs w:val="20"/>
          <w:color w:val="auto"/>
        </w:rPr>
      </w:pPr>
    </w:p>
    <w:p>
      <w:pPr>
        <w:ind w:left="940" w:right="2719" w:hanging="193"/>
        <w:spacing w:after="0" w:line="237" w:lineRule="auto"/>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$3.0 million, a certified resolution of the Board of Directors stating that the transaction complies with this covenant and that it has been approved by a majority of the disinterested members of the Board of Directors; or</w:t>
      </w:r>
    </w:p>
    <w:p>
      <w:pPr>
        <w:spacing w:after="0" w:line="185" w:lineRule="exact"/>
        <w:rPr>
          <w:rFonts w:ascii="Courier New" w:cs="Courier New" w:eastAsia="Courier New" w:hAnsi="Courier New"/>
          <w:sz w:val="16"/>
          <w:szCs w:val="16"/>
          <w:color w:val="auto"/>
        </w:rPr>
      </w:pPr>
    </w:p>
    <w:p>
      <w:pPr>
        <w:ind w:left="940" w:right="3279" w:hanging="193"/>
        <w:spacing w:after="0" w:line="237" w:lineRule="auto"/>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$10.0 million, a certified resolution and fairness opinion from an accounting, appraisal or investment banking firm of national standing.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items are not subject to these restrictions:</w:t>
      </w:r>
    </w:p>
    <w:p>
      <w:pPr>
        <w:spacing w:after="0" w:line="185" w:lineRule="exact"/>
        <w:rPr>
          <w:sz w:val="20"/>
          <w:szCs w:val="20"/>
          <w:color w:val="auto"/>
        </w:rPr>
      </w:pPr>
    </w:p>
    <w:p>
      <w:pPr>
        <w:ind w:left="660" w:right="2719" w:hanging="195"/>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consulting or similar agreements entered into in the ordinary course of business or any payment of directors' and officers' insurance premiums;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between or among Scotts and the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reasonable directors fees to non-affiliate directors;</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or any repurchases of any shares of any series or class of our equity securities;</w:t>
      </w:r>
    </w:p>
    <w:p>
      <w:pPr>
        <w:spacing w:after="0" w:line="184" w:lineRule="exact"/>
        <w:rPr>
          <w:rFonts w:ascii="Courier New" w:cs="Courier New" w:eastAsia="Courier New" w:hAnsi="Courier New"/>
          <w:sz w:val="16"/>
          <w:szCs w:val="16"/>
          <w:color w:val="auto"/>
        </w:rPr>
      </w:pPr>
    </w:p>
    <w:p>
      <w:pPr>
        <w:ind w:left="660" w:right="365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the indenture;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Scotts or any of its restricted subsidiaries solely for the purpose of reincorporating in another jurisdiction for tax purposes;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qualified securitization transactions or an industrial revenue bond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SUBSIDIARY GUARANTEES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agreed that any newly acquired or created wholly owned domestic restricted subsidiary or any new significant, non-wholly owned domestic restricted subsidiary will promptly become a subsidiary guarantor and will deliver appropriate documentation to the trustee.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LEASEBACK TRANSACTIONS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enter into any sale and leaseback transaction, unless:</w:t>
      </w:r>
    </w:p>
    <w:p>
      <w:pPr>
        <w:spacing w:after="0" w:line="185" w:lineRule="exact"/>
        <w:rPr>
          <w:sz w:val="20"/>
          <w:szCs w:val="20"/>
          <w:color w:val="auto"/>
        </w:rPr>
      </w:pPr>
    </w:p>
    <w:p>
      <w:pPr>
        <w:ind w:left="660" w:right="28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have incurred indebtedness in an amount equal to the "Attributable Debt" relating to the sale and leaseback transaction under the indenture and could have incurred a lien to secure the indebtedness under the indenture;</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cash proceeds of that sale and leaseback transaction are at least equal to the fair market value of the property that is the subject of the sale and leaseback transaction;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assets in the sale and leaseback transaction is permitted by, and we apply the proceeds of the transaction in compliance with, the terms of the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FOR CONSENT</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We have agreed that we will not directly or indirectly pay any holder of notes for any consent, waiver or amendment of any of the terms or provisions of the indenture or the notes unless the consideration is paid to all holders of the notes that consent, waive or agree to amend in the time frame set forth in the solicitation documents relating to the consent, waiver or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REPORTS</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Whether or not required by the Commission, as long as any notes are</w:t>
      </w:r>
    </w:p>
    <w:p>
      <w:pPr>
        <w:spacing w:after="0"/>
        <w:rPr>
          <w:sz w:val="20"/>
          <w:szCs w:val="20"/>
          <w:color w:val="auto"/>
        </w:rPr>
      </w:pPr>
      <w:r>
        <w:rPr>
          <w:rFonts w:ascii="Courier New" w:cs="Courier New" w:eastAsia="Courier New" w:hAnsi="Courier New"/>
          <w:sz w:val="16"/>
          <w:szCs w:val="16"/>
          <w:color w:val="auto"/>
        </w:rPr>
        <w:t>outstanding, we will furnish to you, within the time periods specified in the</w:t>
      </w:r>
    </w:p>
    <w:p>
      <w:pPr>
        <w:spacing w:after="0" w:line="237" w:lineRule="auto"/>
        <w:rPr>
          <w:sz w:val="20"/>
          <w:szCs w:val="20"/>
          <w:color w:val="auto"/>
        </w:rPr>
      </w:pPr>
      <w:r>
        <w:rPr>
          <w:rFonts w:ascii="Courier New" w:cs="Courier New" w:eastAsia="Courier New" w:hAnsi="Courier New"/>
          <w:sz w:val="16"/>
          <w:szCs w:val="16"/>
          <w:color w:val="auto"/>
        </w:rPr>
        <w:t>Commission's rules and regulations:</w:t>
      </w:r>
    </w:p>
    <w:p>
      <w:pPr>
        <w:spacing w:after="0" w:line="185" w:lineRule="exact"/>
        <w:rPr>
          <w:sz w:val="20"/>
          <w:szCs w:val="20"/>
          <w:color w:val="auto"/>
        </w:rPr>
      </w:pPr>
    </w:p>
    <w:p>
      <w:pPr>
        <w:jc w:val="both"/>
        <w:ind w:left="660" w:right="2819" w:hanging="195"/>
        <w:spacing w:after="0" w:line="263" w:lineRule="auto"/>
        <w:tabs>
          <w:tab w:leader="none" w:pos="6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and</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40</w:t>
      </w:r>
    </w:p>
    <w:p>
      <w:pPr>
        <w:spacing w:after="0" w:line="185" w:lineRule="exact"/>
        <w:rPr>
          <w:sz w:val="20"/>
          <w:szCs w:val="20"/>
          <w:color w:val="auto"/>
        </w:rPr>
      </w:pPr>
    </w:p>
    <w:p>
      <w:pPr>
        <w:ind w:left="660" w:right="3659" w:hanging="195"/>
        <w:spacing w:after="0" w:line="236"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Commission on Form 8-K.</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whether or not required by the Commission, we will file a copy of all of the information and reports referred to above with the Commission for public availability within the time periods specified in the Commission's rules and regulations and make the information available to securities analysts and prospective investors upon request.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AND REMEDIES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of the following is an event of default:</w:t>
      </w:r>
    </w:p>
    <w:p>
      <w:pPr>
        <w:spacing w:after="0" w:line="185" w:lineRule="exact"/>
        <w:rPr>
          <w:sz w:val="20"/>
          <w:szCs w:val="20"/>
          <w:color w:val="auto"/>
        </w:rPr>
      </w:pPr>
    </w:p>
    <w:p>
      <w:pPr>
        <w:ind w:left="660" w:right="28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interest on the notes or liquidated damages within 30 days of the due date for any reason;</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make a payment of the principal of or premium, if any, on the notes when due for any reason;</w:t>
      </w:r>
    </w:p>
    <w:p>
      <w:pPr>
        <w:spacing w:after="0" w:line="184" w:lineRule="exact"/>
        <w:rPr>
          <w:rFonts w:ascii="Courier New" w:cs="Courier New" w:eastAsia="Courier New" w:hAnsi="Courier New"/>
          <w:sz w:val="16"/>
          <w:szCs w:val="16"/>
          <w:color w:val="auto"/>
        </w:rPr>
      </w:pPr>
    </w:p>
    <w:p>
      <w:pPr>
        <w:ind w:left="660" w:right="2719" w:hanging="195"/>
        <w:spacing w:after="0" w:line="256" w:lineRule="auto"/>
        <w:tabs>
          <w:tab w:leader="none" w:pos="6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 for 30 days after notice of the failure;</w:t>
      </w:r>
    </w:p>
    <w:p>
      <w:pPr>
        <w:spacing w:after="0" w:line="176"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comply with any of the other agreements in the indenture for 60 days after notice of the failure;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default under any one or more mortgage, indenture or other debt instrument of more than $10.0 million, if that default:</w:t>
      </w:r>
    </w:p>
    <w:p>
      <w:pPr>
        <w:spacing w:after="0" w:line="184" w:lineRule="exact"/>
        <w:rPr>
          <w:rFonts w:ascii="Courier New" w:cs="Courier New" w:eastAsia="Courier New" w:hAnsi="Courier New"/>
          <w:sz w:val="16"/>
          <w:szCs w:val="16"/>
          <w:color w:val="auto"/>
        </w:rPr>
      </w:pPr>
    </w:p>
    <w:p>
      <w:pPr>
        <w:jc w:val="both"/>
        <w:ind w:left="1400" w:right="2719" w:hanging="184"/>
        <w:spacing w:after="0" w:line="237" w:lineRule="auto"/>
        <w:tabs>
          <w:tab w:leader="none" w:pos="14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caused by a failure to pay principal of or premium, if any, or interest on the indebtedness prior to the expiration of the grace period provided in the indebtedness; or</w:t>
      </w:r>
    </w:p>
    <w:p>
      <w:pPr>
        <w:spacing w:after="0" w:line="184" w:lineRule="exact"/>
        <w:rPr>
          <w:rFonts w:ascii="Courier New" w:cs="Courier New" w:eastAsia="Courier New" w:hAnsi="Courier New"/>
          <w:sz w:val="16"/>
          <w:szCs w:val="16"/>
          <w:color w:val="auto"/>
        </w:rPr>
      </w:pPr>
    </w:p>
    <w:p>
      <w:pPr>
        <w:ind w:left="1400" w:right="3179" w:hanging="184"/>
        <w:spacing w:after="0" w:line="236" w:lineRule="auto"/>
        <w:tabs>
          <w:tab w:leader="none" w:pos="14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in the acceleration of the indebtedness prior to its express maturity;</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final judgments aggregating in excess of $10.0 million within 60 days, unless the judgments are discharged or stayed within that period;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guarantees of one or more significant subsidiaries or non-significant subsidiaries that collectively would be significant to us are found by a court to be unenforceable or invalid or if any subsidiary guarantor that is a significant subsidiary or any group of subsidiary guarantors that collectively would be significant denies or disaffirms its obligations under its subsidiary guarantee; and</w:t>
      </w:r>
    </w:p>
    <w:p>
      <w:pPr>
        <w:spacing w:after="0" w:line="188"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or any of our significant subsidiaries goes bankrupt or becomes insolvent.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case of an event of default arising from the bankruptcy or insolvency of Scotts, any significant subsidiary or any group of subsidiaries that collectively are significant,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the notes may not enforce the indenture or the notes except as provided in the indenture. Generally,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on or the principal of the notes.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41</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case of any event of default occurring by reason of any willful action or inaction taken or not taken by or on behalf of Scotts with the intention of avoiding payment of the premium that Scotts would have had to pay if we then had elected to redeem the notes under the optional redemption provisions of the indenture, an equivalent premium will also become immediately due and payable to the extent permitted by law upon the acceleration of the notes. If an event of default occurs prior to January 15, 2004, by reason of any willful action or inaction taken or not taken by or on behalf of Scotts with the intention of avoiding the prohibition on redemption of the notes prior to January 15, 2004, then the premium specified in the indenture will also become immediately due and payable to the extent permitted by law upon the acceleration of the notes.</w:t>
      </w:r>
    </w:p>
    <w:p>
      <w:pPr>
        <w:spacing w:after="0" w:line="188"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We are required to deliver to the trustee annually a statement regarding compliance with the indenture. Upon becoming aware of any default or event of default, we are required to deliver to the trustee a statement specifying the default or event of default.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DIRECTORS, OFFICERS, EMPLOYEES AND STOCKHOLDERS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No director, officer, employee, incorporator or stockholder of Scotts or any subsidiary guarantor shall have any liability for any obligations under the notes, the indenture, the subsidiary guarantees, the registration rights agreement agreements or for any claim based on obligations or their creation. Each holder of notes by accepting a note waives and releases all of this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We may at any time elect to have all of our obligations discharged under the notes and the subsidiary guarantees except for:</w:t>
      </w:r>
    </w:p>
    <w:p>
      <w:pPr>
        <w:spacing w:after="0" w:line="185" w:lineRule="exact"/>
        <w:rPr>
          <w:sz w:val="20"/>
          <w:szCs w:val="20"/>
          <w:color w:val="auto"/>
        </w:rPr>
      </w:pPr>
    </w:p>
    <w:p>
      <w:pPr>
        <w:ind w:left="660" w:right="299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holders of outstanding notes to receive payments of the principal of, premium, if any, and interest and liquidated damages, if any, on the notes when the payments are due from the trust referred to below;</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obligations concerning issuing temporary notes, registration of notes, mutilated, destroyed, lost or stolen notes and the maintenance of an office or agency for payment and money for security payments held in trust;</w:t>
      </w:r>
    </w:p>
    <w:p>
      <w:pPr>
        <w:spacing w:after="0" w:line="185"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trusts, duties and immunities of the trustee, and our related obligations;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defeasance provisions of the indenture.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we may at any time elect to have our obligations released under the more onerous covenants that are described in the indenture. Thereafter any omission to comply with those covenants will not constitute a default or event of default.</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order to exercise either type of defeasance described above:</w:t>
      </w:r>
    </w:p>
    <w:p>
      <w:pPr>
        <w:spacing w:after="0" w:line="185" w:lineRule="exact"/>
        <w:rPr>
          <w:sz w:val="20"/>
          <w:szCs w:val="20"/>
          <w:color w:val="auto"/>
        </w:rPr>
      </w:pPr>
    </w:p>
    <w:p>
      <w:pPr>
        <w:ind w:left="660" w:right="3099" w:hanging="195"/>
        <w:spacing w:after="0" w:line="237"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irrevocably deposit with the trustee sufficient cash or non-callable government securities to pay all amounts owing on the outstanding notes through the stated maturity or on the applicable redemption date. We will specify to the trustee whether the notes are being defeased to maturity or to a particular redemption date;</w:t>
      </w:r>
    </w:p>
    <w:p>
      <w:pPr>
        <w:spacing w:after="0" w:line="187"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want to completely defease the notes, we must deliver to the trustee an opinion of counsel reasonably acceptable to the trustee confirming that there has been an Internal Revenue Service ruling or a change in the applicable federal income tax law to the effect that the holders of the outstanding notes will not recognize income, gain or loss for federal income tax purposes as a result of the complete defeasance and will be subject to federal income tax on the same amounts, in the same manner and at the same times as would have been the case if the complete defeasance had not occurred;</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42</w:t>
      </w:r>
    </w:p>
    <w:p>
      <w:pPr>
        <w:spacing w:after="0" w:line="185" w:lineRule="exact"/>
        <w:rPr>
          <w:sz w:val="20"/>
          <w:szCs w:val="20"/>
          <w:color w:val="auto"/>
        </w:rPr>
      </w:pPr>
    </w:p>
    <w:p>
      <w:pPr>
        <w:ind w:left="660" w:right="2719" w:hanging="195"/>
        <w:spacing w:after="0" w:line="238"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merely want to defease the onerous covenants, we must deliver to the trustee an opinion of counsel reasonably acceptable to the trustee confirming that the holders of the outstanding notes will not recognize income, gain or loss for federal income tax purposes as a result of the covenant defeasance and will be subject to federal income tax on the same amounts, in the same manner and at the same times as would have been the case if the covenant defeasance had not occurred;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either on the date of the deposit or, in the case of bankruptcy or insolvency events, at any time in the period ending on the 91st day after the date of deposit;</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defeasance will not result in a breach or violation of, or constitute a default under, any material agreement or instrument other than the indenture to which we or any of our subsidiaries is a party;</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opinion of counsel that after the 91st day following the deposit, the trust funds will not be subject to the effect of any bankruptcy, insolvency, reorganization or similar laws affecting creditors' rights generally;</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stating that the deposit was not made with the intent of preferring the holders of notes over our other creditors or with the intent of defeating, hindering, delaying or defrauding our creditors; and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and an opinion of counsel stating that we have complied with all conditions precedent relating to the defeasance.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SUPPLEMENT AND WAIVER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Without the consent of each holder affected, an amendment or waiver may</w:t>
      </w:r>
    </w:p>
    <w:p>
      <w:pPr>
        <w:spacing w:after="0"/>
        <w:rPr>
          <w:sz w:val="20"/>
          <w:szCs w:val="20"/>
          <w:color w:val="auto"/>
        </w:rPr>
      </w:pPr>
      <w:r>
        <w:rPr>
          <w:rFonts w:ascii="Courier New" w:cs="Courier New" w:eastAsia="Courier New" w:hAnsi="Courier New"/>
          <w:sz w:val="16"/>
          <w:szCs w:val="16"/>
          <w:color w:val="auto"/>
        </w:rPr>
        <w:t>not:</w:t>
      </w:r>
    </w:p>
    <w:p>
      <w:pPr>
        <w:spacing w:after="0" w:line="184" w:lineRule="exact"/>
        <w:rPr>
          <w:sz w:val="20"/>
          <w:szCs w:val="20"/>
          <w:color w:val="auto"/>
        </w:rPr>
      </w:pPr>
    </w:p>
    <w:p>
      <w:pPr>
        <w:ind w:left="660" w:right="309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notes whose holders must consent to an amendment, supplement or waiver;</w:t>
      </w:r>
    </w:p>
    <w:p>
      <w:pPr>
        <w:spacing w:after="0" w:line="184" w:lineRule="exact"/>
        <w:rPr>
          <w:rFonts w:ascii="Courier New" w:cs="Courier New" w:eastAsia="Courier New" w:hAnsi="Courier New"/>
          <w:sz w:val="16"/>
          <w:szCs w:val="16"/>
          <w:color w:val="auto"/>
        </w:rPr>
      </w:pPr>
    </w:p>
    <w:p>
      <w:pPr>
        <w:ind w:left="660" w:right="2719" w:hanging="195"/>
        <w:spacing w:after="0" w:line="259" w:lineRule="auto"/>
        <w:tabs>
          <w:tab w:leader="none" w:pos="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maturity date of any note or alter the redemption provisions other than provisions relating to the covenants described above under the caption "Repurchase at the Option of Holders";</w:t>
      </w:r>
    </w:p>
    <w:p>
      <w:pPr>
        <w:spacing w:after="0" w:line="171"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on any note;</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premium, or interest, except a rescission of acceleration of the notes by the holders of at least a majority in aggregate principal amount of the notes and a waiver of the payment default that resulted from such acceleration;</w:t>
      </w:r>
    </w:p>
    <w:p>
      <w:pPr>
        <w:spacing w:after="0" w:line="169"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note payable in money other than U.S. dollars;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the indenture relating to waivers of past defaults or the rights of holders of notes to receive payments of principal, premium, if any, or interest;</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redemption payment other than a payment required by one of the covenants described above under the caption "Repurchase at the Option of Holders";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preceding amendment and waiver provisions, except as set forth below.</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any amendment or waiver relating to subordination that adversely affects the rights of the holders of the notes will require the consent of the holders of at least 75% in aggregate principal amount of notes then outstanding.</w:t>
      </w:r>
    </w:p>
    <w:p>
      <w:pPr>
        <w:spacing w:after="0" w:line="186"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any event, without the consent of any holder of notes, Scotts and the trustee may amend or supplement the indenture or the notes:</w:t>
      </w:r>
    </w:p>
    <w:p>
      <w:pPr>
        <w:spacing w:after="0" w:line="180" w:lineRule="exact"/>
        <w:rPr>
          <w:sz w:val="20"/>
          <w:szCs w:val="20"/>
          <w:color w:val="auto"/>
        </w:rPr>
      </w:pPr>
    </w:p>
    <w:p>
      <w:pPr>
        <w:ind w:left="660" w:hanging="195"/>
        <w:spacing w:after="0"/>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defect or inconsistency;</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in addition to or in place of certificated notes;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84"/>
        <w:spacing w:after="0"/>
        <w:rPr>
          <w:sz w:val="20"/>
          <w:szCs w:val="20"/>
          <w:color w:val="auto"/>
        </w:rPr>
      </w:pPr>
      <w:r>
        <w:rPr>
          <w:rFonts w:ascii="Courier New" w:cs="Courier New" w:eastAsia="Courier New" w:hAnsi="Courier New"/>
          <w:sz w:val="16"/>
          <w:szCs w:val="16"/>
          <w:color w:val="auto"/>
        </w:rPr>
        <w:t>43</w:t>
      </w:r>
    </w:p>
    <w:p>
      <w:pPr>
        <w:spacing w:after="0" w:line="185" w:lineRule="exact"/>
        <w:rPr>
          <w:sz w:val="20"/>
          <w:szCs w:val="20"/>
          <w:color w:val="auto"/>
        </w:rPr>
      </w:pPr>
    </w:p>
    <w:p>
      <w:pPr>
        <w:ind w:left="664" w:right="271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assumption of our obligations to holders of notes in the case of a merger or consolidation or sale of all or substantially all of our assets;</w:t>
      </w:r>
    </w:p>
    <w:p>
      <w:pPr>
        <w:spacing w:after="0" w:line="184" w:lineRule="exact"/>
        <w:rPr>
          <w:rFonts w:ascii="Courier New" w:cs="Courier New" w:eastAsia="Courier New" w:hAnsi="Courier New"/>
          <w:sz w:val="16"/>
          <w:szCs w:val="16"/>
          <w:color w:val="auto"/>
        </w:rPr>
      </w:pPr>
    </w:p>
    <w:p>
      <w:pPr>
        <w:ind w:left="664" w:right="289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would provide any additional rights or benefits to the holders of notes or that does not adversely affect the legal rights under the indenture of any holder;</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 guarantor; and</w:t>
      </w:r>
    </w:p>
    <w:p>
      <w:pPr>
        <w:spacing w:after="0" w:line="184" w:lineRule="exact"/>
        <w:rPr>
          <w:rFonts w:ascii="Courier New" w:cs="Courier New" w:eastAsia="Courier New" w:hAnsi="Courier New"/>
          <w:sz w:val="16"/>
          <w:szCs w:val="16"/>
          <w:color w:val="auto"/>
        </w:rPr>
      </w:pPr>
    </w:p>
    <w:p>
      <w:pPr>
        <w:ind w:left="664" w:right="309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requirements of the Commission in order to effect or maintain the qualification of the indenture under the Trust Indenture Act.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If the trustee becomes a creditor of Scotts or any subsidiary guarantor, the indenture limits the trustee's right to obtain payment of claims or to realize on property received for a claim as security. The trustee will be permitted to engage in other transactions. However, if it acquires any conflicting interest it must eliminate the conflict within 90 days, apply to the Commission for permission to continue or resign.</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limited exceptions. The indenture provides that if an event of default occurs and is continuing, the trustee will be required to use the degree of care of a prudent man in the conduct of his own affairs. Except to comply with these provisions, the trustee will be under no obligation to exercise any of its rights or powers under the indenture at the request of any holder of notes, unless the holder offers to the trustee security and indemnity satisfactory to it against any loss, liability or expense.</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BOOK-ENTRY, DELIVERY AND FORM</w:t>
      </w:r>
    </w:p>
    <w:p>
      <w:pPr>
        <w:spacing w:after="0" w:line="185" w:lineRule="exact"/>
        <w:rPr>
          <w:sz w:val="20"/>
          <w:szCs w:val="20"/>
          <w:color w:val="auto"/>
        </w:rPr>
      </w:pPr>
    </w:p>
    <w:p>
      <w:pPr>
        <w:ind w:left="4" w:right="3559" w:firstLine="469"/>
        <w:spacing w:after="0" w:line="237" w:lineRule="auto"/>
        <w:rPr>
          <w:sz w:val="20"/>
          <w:szCs w:val="20"/>
          <w:color w:val="auto"/>
        </w:rPr>
      </w:pPr>
      <w:r>
        <w:rPr>
          <w:rFonts w:ascii="Courier New" w:cs="Courier New" w:eastAsia="Courier New" w:hAnsi="Courier New"/>
          <w:sz w:val="16"/>
          <w:szCs w:val="16"/>
          <w:color w:val="auto"/>
        </w:rPr>
        <w:t>Except as set forth below, the notes were, and will be, issued in registered, global form in minimum denominations of $1,000 and integral multiples of $1,000 in excess thereof.</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notes are and will continue to be represented by two permanent notes in registered, global form without interest coupons. The global notes are registered in the name of The Depository Trust Company in New York, New York, or its nominee, for credit to an account of a direct or indirect participant in DTC as described below.</w:t>
      </w:r>
    </w:p>
    <w:p>
      <w:pPr>
        <w:spacing w:after="0" w:line="187"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Generally,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w:t>
      </w:r>
    </w:p>
    <w:p>
      <w:pPr>
        <w:spacing w:after="0" w:line="2" w:lineRule="exact"/>
        <w:rPr>
          <w:sz w:val="20"/>
          <w:szCs w:val="20"/>
          <w:color w:val="auto"/>
        </w:rPr>
      </w:pPr>
    </w:p>
    <w:p>
      <w:pPr>
        <w:ind w:left="4" w:right="2719" w:hanging="4"/>
        <w:spacing w:after="0" w:line="238" w:lineRule="auto"/>
        <w:tabs>
          <w:tab w:leader="none" w:pos="19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Exchange of Book-Entry Notes for Certificated Notes." Except in the limited circumstances described below, owners of beneficial interests in the global notes will not be entitled to receive physical delivery of certificated notes. In addition, transfers of beneficial interests in the global notes will be subject to the rules and procedures of DTC and its direct or indirect participants, including, if applicable, those of Euroclear and Cedel, which may change from time to time.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Initially, the trustee will act as paying agent and registrar. The notes may be presented for registration of transfer and exchange at the offices of the registrar.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DEPOSITORY PROCEDURES</w:t>
      </w:r>
    </w:p>
    <w:p>
      <w:pPr>
        <w:spacing w:after="0" w:line="185" w:lineRule="exact"/>
        <w:rPr>
          <w:sz w:val="20"/>
          <w:szCs w:val="20"/>
          <w:color w:val="auto"/>
        </w:rPr>
      </w:pPr>
    </w:p>
    <w:p>
      <w:pPr>
        <w:ind w:left="4" w:right="2999" w:firstLine="469"/>
        <w:spacing w:after="0" w:line="256" w:lineRule="auto"/>
        <w:rPr>
          <w:sz w:val="20"/>
          <w:szCs w:val="20"/>
          <w:color w:val="auto"/>
        </w:rPr>
      </w:pPr>
      <w:r>
        <w:rPr>
          <w:rFonts w:ascii="Courier New" w:cs="Courier New" w:eastAsia="Courier New" w:hAnsi="Courier New"/>
          <w:sz w:val="15"/>
          <w:szCs w:val="15"/>
          <w:color w:val="auto"/>
        </w:rPr>
        <w:t>The following description of the operations and procedures of DTC, Euroclear and Cedel are provided solely as a matter of convenience. These operations and procedures are solely within the control of these settlement systems and are subject to changes by them from time to time. Scotts takes no responsibility for these operations and procedures and urges investors to contact the system or their participants directly to discuss these matters.</w:t>
      </w:r>
    </w:p>
    <w:p>
      <w:pPr>
        <w:spacing w:after="0" w:line="17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DTC has advised us that it is a limited-purpose trust company created to hold securities for its participating organizations and to facilitate the clearance and settlement of transactions in those securities</w:t>
      </w:r>
    </w:p>
    <w:p>
      <w:pPr>
        <w:sectPr>
          <w:pgSz w:w="11900" w:h="16838" w:orient="portrait"/>
          <w:cols w:equalWidth="0" w:num="1">
            <w:col w:w="10223"/>
          </w:cols>
          <w:pgMar w:left="236" w:top="293" w:right="1440" w:bottom="1440" w:gutter="0" w:footer="0" w:header="0"/>
        </w:sectPr>
      </w:pPr>
    </w:p>
    <w:p>
      <w:pPr>
        <w:spacing w:after="0" w:line="18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3"/>
          </w:cols>
          <w:pgMar w:left="236" w:top="293"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44</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between participating organizations through electronic book-entry changes in accounts of its participating organizations. The participating organizations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participating organization, either directly or indirectly. Persons who are not participating organizations may beneficially own securities held by or on behalf of DTC only through the participating organizations, either directly or indirectly. The ownership interests and transfers of ownership interests in each security held by or on behalf of DTC are recorded on the records of the participating organization.</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DTC has also advised us that its procedures require that ownership of interests in the global notes will be shown on records maintained by DTC for the participating organizations or by the participating organizations for other owners of beneficial interest in the global notes. Transfers of ownership will be reflected in a similar manner.</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All interests in a global note may be subject to the procedures and requirements of DTC. Those interests held through Euroclear or Cedel may also be subject to the procedures and requirements of those systems. The laws of some states require that persons take physical delivery in definitive form of securities that they own. Consequently, the ability to transfer beneficial interests in a global note to these individuals will be limited to that extent. Because DTC can act only on behalf of direct participating organizations, which in turn act on behalf of indirect participating organizations, the ability of a person having beneficial interests in a global note to pledge those interests to persons or entities that do not participate in the DTC system may be affected by the lack of a physical certificate evidencing their interests.</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EXCEPT AS DESCRIBED BELOW, OWNERS OF INTERESTS IN THE GLOBAL NOTES WILL NOT HAVE NOTES REGISTERED IN THEIR NAMES, WILL NOT RECEIVE PHYSICAL DELIVERY OF NOTES IN CERTIFICATED FORM AND WILL NOT BE CONSIDERED THE REGISTERED OWNERS OR "HOLDERS" OF THE NOTES UNDER THE INDENTURE FOR ANY PURPOSE.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of principal, premium, if any, liquidated damages, if any, and interest for a global note registered in the name of DTC or its nominee, will be payable to DTC in its capacity as the registered holder under the indenture. Under the indenture, Scotts and the trustee will treat the persons in whose names the notes are registered as the owners for the purpose of receiving these payments and for any and all other purposes. Consequently, neither Scotts, the trustee nor any agent of Scotts or the trustee has or will have any responsibility or liability for:</w:t>
      </w:r>
    </w:p>
    <w:p>
      <w:pPr>
        <w:spacing w:after="0" w:line="185" w:lineRule="exact"/>
        <w:rPr>
          <w:sz w:val="20"/>
          <w:szCs w:val="20"/>
          <w:color w:val="auto"/>
        </w:rPr>
      </w:pPr>
    </w:p>
    <w:p>
      <w:pPr>
        <w:ind w:left="660" w:right="2719" w:hanging="195"/>
        <w:spacing w:after="0" w:line="237"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DTC's records or any participating organization's or indirect participating organization's records relating to or payments made on account of beneficial ownership interest in the global notes, or for maintaining, supervising or reviewing any of DTC's records or any participating organization's records relating to the beneficial ownership interests in the global notes; or</w:t>
      </w:r>
    </w:p>
    <w:p>
      <w:pPr>
        <w:spacing w:after="0" w:line="188"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 relating to the actions and practices of DTC or any of its direct or indirect participating organization.</w:t>
      </w:r>
    </w:p>
    <w:p>
      <w:pPr>
        <w:spacing w:after="0" w:line="185"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DTC has advised Scotts that its current practice upon receipt of any payment is to credit the accounts of the relevant participating organizations with the payment on the payment date, in amounts proportionate to their respective holdings in the principal amount of beneficial interest in the relevant security as shown on the records of DTC unless DTC has reason to believe it will not receive payment on the payment date.</w:t>
      </w:r>
    </w:p>
    <w:p>
      <w:pPr>
        <w:spacing w:after="0" w:line="17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Payments by the participating organizations and the indirect participating organizations to the beneficial owners of notes will be governed by standing instructions and customary practices and will be the responsibility of the participating organizations and will not be the responsibility of DTC, the trustee or Scotts. Neither Scotts nor the trustee will be liable for any delay by DTC or any of its participating organizations in identifying the beneficial owners of the notes. Scotts and the trustee may conclusively rely on and will be protected in relying on instructions from DTC or its nominee for all purposes.</w:t>
      </w:r>
    </w:p>
    <w:p>
      <w:pPr>
        <w:spacing w:after="0" w:line="173"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Except for trades involving only Euroclear and Cedel participants, interest in the global notes are expected to be eligible to trade in DTC's Same-Day Funds Settlement System. Secondary market trading</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45</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activity in these interests will settle in immediately available funds, subject in all cases to the rules and procedures of DTC and its participating organizations. See " --Same Day Settlement and Payment."</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Transfers between participating organizations in DTC will be effected in accordance with DTC's procedures, and will be settled in same day funds. Transfers between participants in Euroclear and Cedel will be effected in the ordinary way in accordance with their rules and operating procedures.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Subject to compliance with the transfer restrictions applicable to the notes, cross-market transfers between the participating organizations in DTC, on the one hand, and Euroclear or Cedel participants, on the other hand, will be effected through DTC in accordance with DTC's rules on behalf of Euroclear or Cedel. However, any cross-market transactions will require delivery of instructions to Euroclear or Cedel by the counterparty in that system in accordance with the rules and procedures and within the established deadlines (Brussels time) of that system. Euroclear or Cedel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notes only at the direction of one or more participating organizations to whose account DTC has credited the interests in the global notes and only for the portion of the aggregate principal amount of the notes as to which a participating organization has given direction. However, if there is an event of default under the notes, DTC reserves the right to exchange the global notes for notes in certificated form, and to distribute the certificated notes to its participating organizations.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Although DTC, Euroclear and Cedel have agreed to these procedures to facilitate transfers of interests in the global notes among participants in DTC, Euroclear and Cedel, they are under no obligation to perform or to continue to perform these procedures, and these procedures may be discontinued at any time. Neither Scotts nor the trustee nor any of their agents will have any responsibility for the performance by DTC, Euroclear or Cedel or their participants or indirect participants under the rules and procedures governing their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BOOK-ENTRY NOTES FOR CERTIFICATED NOTES</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A global note is exchangeable for definitive notes in registered certificated form if:</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DTC:</w:t>
      </w:r>
    </w:p>
    <w:p>
      <w:pPr>
        <w:spacing w:after="0" w:line="185" w:lineRule="exact"/>
        <w:rPr>
          <w:sz w:val="20"/>
          <w:szCs w:val="20"/>
          <w:color w:val="auto"/>
        </w:rPr>
      </w:pPr>
    </w:p>
    <w:p>
      <w:pPr>
        <w:ind w:left="1400" w:right="2999" w:hanging="184"/>
        <w:spacing w:after="0" w:line="237" w:lineRule="auto"/>
        <w:tabs>
          <w:tab w:leader="none" w:pos="140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notifies us that it is unwilling or unable to continue as depositary for the global notes and we are unable to appoint a successor depositary; or</w:t>
      </w:r>
    </w:p>
    <w:p>
      <w:pPr>
        <w:spacing w:after="0" w:line="184" w:lineRule="exact"/>
        <w:rPr>
          <w:rFonts w:ascii="Courier New" w:cs="Courier New" w:eastAsia="Courier New" w:hAnsi="Courier New"/>
          <w:sz w:val="16"/>
          <w:szCs w:val="16"/>
          <w:color w:val="auto"/>
        </w:rPr>
      </w:pPr>
    </w:p>
    <w:p>
      <w:pPr>
        <w:ind w:left="1400" w:right="2819" w:hanging="184"/>
        <w:spacing w:after="0" w:line="236" w:lineRule="auto"/>
        <w:tabs>
          <w:tab w:leader="none" w:pos="140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ceased to be a clearing agency registered under the Exchange Act;</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notifies the trustee in writing that it elects to cause the issuance of the certificated notes; or</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 default or event of default.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a global note will be registered in the names, and issued in any approved denominations, requested by or on behalf of the depositary and may bear a restrictive legend if Scotts determines a legend is required to comply with applicable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CERTIFICATED NOTES FOR BOOK-ENTRY NOTES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Notes issued in certificated form may not be exchanged for beneficial interests in any global note unless the transferor first delivers to the trustee a written certificate to the effect that the transfer will comply with the appropriate transfer restrictions applicable to the notes.</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DAY SETTLEMENT AND PAYMENT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indenture requires that payments on the global notes be made by wire transfer of immediately available funds to the accounts specified by the holder of the global notes. For certificated notes, Scotts will make all payments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Any permitted secondary market trading activity in the notes will be required by DTC to be settled in immediately available funds. Scotts expects that secondary trading in any certificated notes will also be settled in immediately available funds.</w:t>
      </w:r>
    </w:p>
    <w:p>
      <w:pPr>
        <w:spacing w:after="0" w:line="17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immediately following the settlement date of DTC. DTC has advised Scotts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LIQUIDATED DAMAGES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offering of the original notes, Scotts, the subsidiary guarantors and Salomon Smith Barney entered into the registration rights agreement. In the registration rights agreement, we agreed to file with the Commission the registration statement of which this prospectus is a part. Upon the effectiveness of this registration statement, holders of original notes who are able to make the representations required by the registration rights agreement will have the opportunity to receive new registered notes.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If some of the holders are unable to participate in the exchange offer because of applicable law or the Commission's policies or because of their status as an affiliate of Scotts or as a broker-dealer who acquired notes directly from us or one or our affiliates, we are required to file another registration statement with the Commission. This second registration statement would cover periodic resales of the original unregistered notes by the holders who are unable to participate in the exchange offer.</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requires that we use our reasonable best efforts to cause the applicable registration statement to be declared effective as promptly as possible by the Commission.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registration rights agreement also requires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 this registration statement with the Commission on or prior to April 21, 1999, which we did;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use our reasonable best efforts to have this registration statement declared effective by the Commission on or prior to October 18, 1999, which we did not do;</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commence the exchange offer and use our reasonable best efforts to complete the exchange offer within 30 business days after the Commission declares this registration statement effective;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required to file the registration statement covering resales by holders who cannot participate in the exchange offer, we will use our reasonable best efforts to file that registration statement on or prior to 30 days after the filing obligation arises and to cause that registration statement to be declared effective by the Commission within 90 days after the obligation arises.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further provides that we must pay liquidated damages in the form of additional interest to each holder of original notes if:</w:t>
      </w:r>
    </w:p>
    <w:p>
      <w:pPr>
        <w:spacing w:after="0" w:line="185" w:lineRule="exact"/>
        <w:rPr>
          <w:sz w:val="20"/>
          <w:szCs w:val="20"/>
          <w:color w:val="auto"/>
        </w:rPr>
      </w:pPr>
    </w:p>
    <w:p>
      <w:pPr>
        <w:ind w:left="660" w:right="2719" w:hanging="195"/>
        <w:spacing w:after="0" w:line="263" w:lineRule="auto"/>
        <w:tabs>
          <w:tab w:leader="none" w:pos="6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by the registration rights agreement on or before the date specified for filing;</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47</w:t>
      </w:r>
    </w:p>
    <w:p>
      <w:pPr>
        <w:spacing w:after="0" w:line="185" w:lineRule="exact"/>
        <w:rPr>
          <w:sz w:val="20"/>
          <w:szCs w:val="20"/>
          <w:color w:val="auto"/>
        </w:rPr>
      </w:pPr>
    </w:p>
    <w:p>
      <w:pPr>
        <w:ind w:left="660" w:right="3279" w:hanging="195"/>
        <w:spacing w:after="0" w:line="263" w:lineRule="auto"/>
        <w:tabs>
          <w:tab w:leader="none" w:pos="6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registration statements is not declared effective by the Commission on or prior to the date specified for effectiveness;</w:t>
      </w:r>
    </w:p>
    <w:p>
      <w:pPr>
        <w:spacing w:after="0" w:line="168"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consummate the exchange offer within 30 business days of October 18, 1999;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registration statements is declared effective but ceases to be effective or usable in connection with resales of original notes during the periods specified in the registration rights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amount of liquidated damages will be $.05 per week per $1,000 principal amount of notes held by each holder for the first 90-day period immediately following the event requiring payment of liquidated damages. Liquidated damages will increase by $.05 per week per $1,000 principal amount of notes for each subsequent 90-day period until all defaults under the registration rights agreement have been cured, up to a maximum amount of liquidated damages $.50 per week per $1,000 principal amount of notes. All accrued liquidated damages will be paid to DTC or another holder of a global note by wire transfer of immediately available funds or by federal funds check and to holders of certificated notes by wire transfer to the accounts specified by them or by mailing checks to their registered addresses if no accounts have been specified. Following the cure of all defaults under the registration rights agreement, the accrual of liquidated damages will cease.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we were unable to have the registration statement of which this prospectus is a part declared effective by October 18, 1999, we began accruing liquidated damages as of October 19, 1999. As of May 27, 2000 the total amount of liquidated damages has been approximately $900,000, all of which will be paid out in accordance with the terms of the indenture. The liquidated damages will stop accruing upon the effective date of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Set forth below are defined terms used in the indenture that we have used in this description of the indenture. The indenture includes many more definitions that you should review but that are not used in this description.</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"Asset Sale" means:</w:t>
      </w:r>
    </w:p>
    <w:p>
      <w:pPr>
        <w:spacing w:after="0" w:line="185" w:lineRule="exact"/>
        <w:rPr>
          <w:sz w:val="20"/>
          <w:szCs w:val="20"/>
          <w:color w:val="auto"/>
        </w:rPr>
      </w:pPr>
    </w:p>
    <w:p>
      <w:pPr>
        <w:ind w:left="940" w:right="3179" w:hanging="193"/>
        <w:spacing w:after="0" w:line="237" w:lineRule="auto"/>
        <w:tabs>
          <w:tab w:leader="none" w:pos="9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and</w:t>
      </w:r>
    </w:p>
    <w:p>
      <w:pPr>
        <w:spacing w:after="0" w:line="184" w:lineRule="exact"/>
        <w:rPr>
          <w:rFonts w:ascii="Courier New" w:cs="Courier New" w:eastAsia="Courier New" w:hAnsi="Courier New"/>
          <w:sz w:val="16"/>
          <w:szCs w:val="16"/>
          <w:color w:val="auto"/>
        </w:rPr>
      </w:pPr>
    </w:p>
    <w:p>
      <w:pPr>
        <w:ind w:left="940" w:right="2719" w:hanging="193"/>
        <w:spacing w:after="0" w:line="263" w:lineRule="auto"/>
        <w:tabs>
          <w:tab w:leader="none" w:pos="9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our restricted subsidiaries or the sale of equity interests in any of our subsidiaries.</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Despite this definition, the following do not constitute "Asset Sales":</w:t>
      </w:r>
    </w:p>
    <w:p>
      <w:pPr>
        <w:spacing w:after="0" w:line="185" w:lineRule="exact"/>
        <w:rPr>
          <w:sz w:val="20"/>
          <w:szCs w:val="20"/>
          <w:color w:val="auto"/>
        </w:rPr>
      </w:pPr>
    </w:p>
    <w:p>
      <w:pPr>
        <w:jc w:val="both"/>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involves assets having a fair market value of less than $2.5 million or results in net proceeds of less than $2.5 million;</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transfers of assets within the group consisting of Scotts and its restricted subsidiaries;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equity interests by a restricted subsidiary to Scotts Company or to a another restricted subsidiary as long as it is wholly owned by Scotts;</w:t>
      </w:r>
    </w:p>
    <w:p>
      <w:pPr>
        <w:spacing w:after="0" w:line="184" w:lineRule="exact"/>
        <w:rPr>
          <w:rFonts w:ascii="Courier New" w:cs="Courier New" w:eastAsia="Courier New" w:hAnsi="Courier New"/>
          <w:sz w:val="16"/>
          <w:szCs w:val="16"/>
          <w:color w:val="auto"/>
        </w:rPr>
      </w:pPr>
    </w:p>
    <w:p>
      <w:pPr>
        <w:ind w:left="940" w:right="2719" w:hanging="193"/>
        <w:spacing w:after="0" w:line="259" w:lineRule="auto"/>
        <w:tabs>
          <w:tab w:leader="none" w:pos="9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any receivables to lenders under any of our credit facilities or to special purpose entities formed to borrow from lenders under credit facilities against the receivables;</w:t>
      </w:r>
    </w:p>
    <w:p>
      <w:pPr>
        <w:spacing w:after="0" w:line="171" w:lineRule="exact"/>
        <w:rPr>
          <w:rFonts w:ascii="Courier New" w:cs="Courier New" w:eastAsia="Courier New" w:hAnsi="Courier New"/>
          <w:sz w:val="15"/>
          <w:szCs w:val="15"/>
          <w:color w:val="auto"/>
        </w:rPr>
      </w:pPr>
    </w:p>
    <w:p>
      <w:pPr>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of assets by Scotts or any of its restricted subsidiaries prior to September 30, 2002 for fair market value and as long as the aggregate fair market value of all assets sold in any fiscal year does not exceed an amount equal to:</w:t>
      </w:r>
    </w:p>
    <w:p>
      <w:pPr>
        <w:spacing w:after="0" w:line="180"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$25,000,000 for fiscal 1999,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48</w:t>
      </w:r>
    </w:p>
    <w:p>
      <w:pPr>
        <w:spacing w:after="0" w:line="185" w:lineRule="exact"/>
        <w:rPr>
          <w:sz w:val="20"/>
          <w:szCs w:val="20"/>
          <w:color w:val="auto"/>
        </w:rPr>
      </w:pPr>
    </w:p>
    <w:p>
      <w:pPr>
        <w:ind w:left="1400" w:right="2719" w:hanging="184"/>
        <w:spacing w:after="0" w:line="237" w:lineRule="auto"/>
        <w:tabs>
          <w:tab w:leader="none" w:pos="140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fiscal year ended September 30, 2000, 2001 and 2002, the sum of $25,000,000 plus the difference between $25,000,000 and the aggregate consideration received by the Scotts and its restricted subsidiaries for all sales of assets during the previous fiscal year;</w:t>
      </w:r>
    </w:p>
    <w:p>
      <w:pPr>
        <w:spacing w:after="0" w:line="187"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restricted payment that is permitted by the covenant described above under the caption " -- Restricted Payments"; and</w:t>
      </w:r>
    </w:p>
    <w:p>
      <w:pPr>
        <w:spacing w:after="0" w:line="184" w:lineRule="exact"/>
        <w:rPr>
          <w:rFonts w:ascii="Courier New" w:cs="Courier New" w:eastAsia="Courier New" w:hAnsi="Courier New"/>
          <w:sz w:val="16"/>
          <w:szCs w:val="16"/>
          <w:color w:val="auto"/>
        </w:rPr>
      </w:pPr>
    </w:p>
    <w:p>
      <w:pPr>
        <w:ind w:left="940" w:right="3099" w:hanging="193"/>
        <w:spacing w:after="0" w:line="259" w:lineRule="auto"/>
        <w:tabs>
          <w:tab w:leader="none" w:pos="9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 of business or a disposition of obsolete equipment or equipment that is no longer useful and that is disposed of in the ordinary course of business.</w:t>
      </w:r>
    </w:p>
    <w:p>
      <w:pPr>
        <w:spacing w:after="0" w:line="17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"Attributable Debt" in respect of a sale and leaseback transaction means, at the time of determination, the present value of the obligation of the lessee for net rental payments during the remaining term of the lease included in the sale and leaseback transaction. This present value will be calculated using a discount rate equal to the rate of interest implicit in the transaction, determined in accordance with GAAP.</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"Capital Lease Obligation" means, at the time of determination, the amount of the liability for a capital lease that would at that time be required to be capitalized on a balance sheet in accordance with GAAP.</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"Change of Control" means the occurrence of any of the following:</w:t>
      </w:r>
    </w:p>
    <w:p>
      <w:pPr>
        <w:spacing w:after="0" w:line="185" w:lineRule="exact"/>
        <w:rPr>
          <w:sz w:val="20"/>
          <w:szCs w:val="20"/>
          <w:color w:val="auto"/>
        </w:rPr>
      </w:pPr>
    </w:p>
    <w:p>
      <w:pPr>
        <w:ind w:left="940" w:right="2719" w:hanging="193"/>
        <w:spacing w:after="0" w:line="237"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transfer, conveyance or other disposition other than by way of merger or consolidation of all or substantially all of the assets of Scotts and its restricted subsidiaries taken as a whole to any person or entity other than the Hagedorn Partnership, L.P., or any of its partners or affiliates;</w:t>
      </w:r>
    </w:p>
    <w:p>
      <w:pPr>
        <w:spacing w:after="0" w:line="187"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 plan relating to the liquidation or dissolution of Scotts;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transaction the result of which is that any person or entity other than the Hagedorn Partnership, L.P., or any of its partners or affiliates acquires beneficial ownership of more than 30% of the voting stock of Scotts, measured by voting power rather than number of shares;</w:t>
      </w:r>
    </w:p>
    <w:p>
      <w:pPr>
        <w:spacing w:after="0" w:line="187"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a majority of the members of the Board of Directors of Scotts are not "Continuing Directors"; or</w:t>
      </w:r>
    </w:p>
    <w:p>
      <w:pPr>
        <w:spacing w:after="0" w:line="184"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Scotts with or into any entity, or the consolidation or merger of any entity with or into the Scotts, in which any of the outstanding voting stock of Scotts is converted into or exchanged for cash, securities or other property, except where the Scotts shareholder would continue to control a majority of the outstanding shares of voting stock of the surviving or transferee entity.</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"Consolidated Cash Flow" is similar to EBITDA before extraordinary items. Specifically, it means, as applied to Scotts, the "Consolidated Net Income" of Scotts for the applicable period plus: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and any net gain or loss realized in connection with an "Asset Sale" or any other asset sale involving more than $2.5 million, if these gains or losses were excluded in computing "Consolidated Net Income"; plus</w:t>
      </w:r>
    </w:p>
    <w:p>
      <w:pPr>
        <w:spacing w:after="0" w:line="185" w:lineRule="exact"/>
        <w:rPr>
          <w:rFonts w:ascii="Courier New" w:cs="Courier New" w:eastAsia="Courier New" w:hAnsi="Courier New"/>
          <w:sz w:val="16"/>
          <w:szCs w:val="16"/>
          <w:color w:val="auto"/>
        </w:rPr>
      </w:pPr>
    </w:p>
    <w:p>
      <w:pPr>
        <w:jc w:val="both"/>
        <w:ind w:left="940" w:right="2819" w:hanging="193"/>
        <w:spacing w:after="0" w:line="259" w:lineRule="auto"/>
        <w:tabs>
          <w:tab w:leader="none" w:pos="9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for Scotts and its restricted subsidiaries for the applicable period to the extent that this provision for taxes was deducted in computing "Consolidated Net Income"; plus</w:t>
      </w:r>
    </w:p>
    <w:p>
      <w:pPr>
        <w:spacing w:after="0" w:line="171" w:lineRule="exact"/>
        <w:rPr>
          <w:rFonts w:ascii="Courier New" w:cs="Courier New" w:eastAsia="Courier New" w:hAnsi="Courier New"/>
          <w:sz w:val="15"/>
          <w:szCs w:val="15"/>
          <w:color w:val="auto"/>
        </w:rPr>
      </w:pPr>
    </w:p>
    <w:p>
      <w:pPr>
        <w:ind w:left="940" w:right="299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Scotts and its restricted subsidiaries for the applicable period, whether paid or accrued and whether or not capitalized to the extent deducted in computing "Consolidated Net Income"; plus</w:t>
      </w:r>
    </w:p>
    <w:p>
      <w:pPr>
        <w:spacing w:after="0" w:line="185"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amortization other non-cash expense and restructuring charges recorded in Scotts' fourth fiscal quarter of fiscal 1998 in an amount not to exceed $20.4 million in the aggregate for the applicable period to the extent that this depreciation, amortization and other non-cash</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49</w:t>
      </w:r>
    </w:p>
    <w:p>
      <w:pPr>
        <w:spacing w:after="0" w:line="185" w:lineRule="exact"/>
        <w:rPr>
          <w:sz w:val="20"/>
          <w:szCs w:val="20"/>
          <w:color w:val="auto"/>
        </w:rPr>
      </w:pPr>
    </w:p>
    <w:p>
      <w:pPr>
        <w:ind w:left="940" w:right="2719"/>
        <w:spacing w:after="0" w:line="238" w:lineRule="auto"/>
        <w:rPr>
          <w:sz w:val="20"/>
          <w:szCs w:val="20"/>
          <w:color w:val="auto"/>
        </w:rPr>
      </w:pPr>
      <w:r>
        <w:rPr>
          <w:rFonts w:ascii="Courier New" w:cs="Courier New" w:eastAsia="Courier New" w:hAnsi="Courier New"/>
          <w:sz w:val="16"/>
          <w:szCs w:val="16"/>
          <w:color w:val="auto"/>
        </w:rPr>
        <w:t>expenses were deducted in computing "Consolidated Net Income". Amortization includes amortization of goodwill and other intangibles but excludes amortization of prepaid cash expenses that were paid in a prior period. Non-cash expenses includes any non-cash expense to the extent that it represents an accrual of or reserve for cash expenses in any future period or amortization of a prepaid cash expense that was paid in a prior period; minus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items increasing "Consolidated Net Income" for the applicable period, other than items that were accrued in the ordinary course of business on a consolidated basis and determined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calculating "Consolidated Cash Flow," the provision for income taxes of, and the depreciation and amortization and other non-cash charges of, a restricted subsidiary of Scotts will be added to "Consolidated Net Income" to compute "Consolidated Cash Flow" only to the extent that a corresponding amount would be permitted at the date of determination to be dividended to Scotts by the restricted subsidiary pursuant to the terms of its charter and all agreements, instruments, judgments, decrees, orders, statutes, rules and governmental regulations applicable to that subsidiary or its stockholders, other than restrictions in effect as of January 21, 1999 and other than restrictions that are created or exist in compliance with the covenant under the caption "Dividends and Other Payment Restrictions Affecting Subsidiaries".</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"Consolidated Net Income" means, as to Scotts, the aggregate of the "Net Income" of Scotts and its restricted subsidiaries on a consolidated basis determined in accordance with GAAP, with the following exceptions:</w:t>
      </w:r>
    </w:p>
    <w:p>
      <w:pPr>
        <w:spacing w:after="0" w:line="185" w:lineRule="exact"/>
        <w:rPr>
          <w:sz w:val="20"/>
          <w:szCs w:val="20"/>
          <w:color w:val="auto"/>
        </w:rPr>
      </w:pPr>
    </w:p>
    <w:p>
      <w:pPr>
        <w:ind w:left="940" w:right="27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entity that is not a restricted subsidiary or that is accounted for by the equity method of accounting shall be included only to the extent of the amount of dividends or distributions paid in cash to Scotts or one of its restricted subsidiaries;</w:t>
      </w:r>
    </w:p>
    <w:p>
      <w:pPr>
        <w:spacing w:after="0" w:line="187"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restricted subsidiary will be excluded to the extent that the restricted subsidiary could not dividend or distribute its "Net Income" to Scotts under applicable law, its agreements or the indenture;</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entity acquired in a pooling of interests transaction for any period prior to the date of the acquisition shall be excluded;</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unrestricted subsidiary will be excluded, whether or not distributed to the Scotts;</w:t>
      </w:r>
    </w:p>
    <w:p>
      <w:pPr>
        <w:spacing w:after="0" w:line="184" w:lineRule="exact"/>
        <w:rPr>
          <w:rFonts w:ascii="Courier New" w:cs="Courier New" w:eastAsia="Courier New" w:hAnsi="Courier New"/>
          <w:sz w:val="16"/>
          <w:szCs w:val="16"/>
          <w:color w:val="auto"/>
        </w:rPr>
      </w:pPr>
    </w:p>
    <w:p>
      <w:pPr>
        <w:ind w:left="940" w:right="309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 and write-offs recorded prior to January 21, 2000, in an aggregate amount of $12.5 million or less will be excluded; and</w:t>
      </w:r>
    </w:p>
    <w:p>
      <w:pPr>
        <w:spacing w:after="0" w:line="184" w:lineRule="exact"/>
        <w:rPr>
          <w:rFonts w:ascii="Courier New" w:cs="Courier New" w:eastAsia="Courier New" w:hAnsi="Courier New"/>
          <w:sz w:val="16"/>
          <w:szCs w:val="16"/>
          <w:color w:val="auto"/>
        </w:rPr>
      </w:pPr>
    </w:p>
    <w:p>
      <w:pPr>
        <w:ind w:left="940" w:right="3099" w:hanging="193"/>
        <w:spacing w:after="0" w:line="236"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will be excluded.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"Continuing Directors" means any member of the Board of Directors of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w:t>
      </w:r>
    </w:p>
    <w:p>
      <w:pPr>
        <w:spacing w:after="0" w:line="179" w:lineRule="exact"/>
        <w:rPr>
          <w:sz w:val="20"/>
          <w:szCs w:val="20"/>
          <w:color w:val="auto"/>
        </w:rPr>
      </w:pPr>
    </w:p>
    <w:p>
      <w:pPr>
        <w:ind w:left="940" w:hanging="193"/>
        <w:spacing w:after="0"/>
        <w:tabs>
          <w:tab w:leader="none" w:pos="9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the Board of Directors on January 21, 1999; or</w:t>
      </w:r>
    </w:p>
    <w:p>
      <w:pPr>
        <w:spacing w:after="0" w:line="184" w:lineRule="exact"/>
        <w:rPr>
          <w:rFonts w:ascii="Courier New" w:cs="Courier New" w:eastAsia="Courier New" w:hAnsi="Courier New"/>
          <w:sz w:val="16"/>
          <w:szCs w:val="16"/>
          <w:color w:val="auto"/>
        </w:rPr>
      </w:pPr>
    </w:p>
    <w:p>
      <w:pPr>
        <w:ind w:left="940" w:right="2899" w:hanging="193"/>
        <w:spacing w:after="0" w:line="259" w:lineRule="auto"/>
        <w:tabs>
          <w:tab w:leader="none" w:pos="9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the Board of Directors with the approval of a majority of the "Continuing Directors" who were members of the Board at the time of the nomination or election.</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"Fixed Charges" means, as applied to Scotts, the sum, without duplication,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85" w:lineRule="exact"/>
        <w:rPr>
          <w:sz w:val="20"/>
          <w:szCs w:val="20"/>
          <w:color w:val="auto"/>
        </w:rPr>
      </w:pPr>
    </w:p>
    <w:p>
      <w:pPr>
        <w:ind w:left="940" w:right="2719" w:hanging="193"/>
        <w:spacing w:after="0" w:line="238" w:lineRule="auto"/>
        <w:tabs>
          <w:tab w:leader="none" w:pos="9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net interest expense of Scotts and its restricted subsidiaries for the applicable period including amortization of original issue discount, non-cash interest payments, the interest component of any deferred payment obligations, the interest component of all payments associated with "Capital Lease Obligations," imputed interest on "Attributable Debt," commissions, discounts and other fees and charges incurred on letter of credit or bankers' acceptance financings, and net payments on hedging obligations, but excluding amortization of debt issuance costs and other non-cash amortization; plus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50</w:t>
      </w:r>
    </w:p>
    <w:p>
      <w:pPr>
        <w:spacing w:after="0" w:line="185" w:lineRule="exact"/>
        <w:rPr>
          <w:sz w:val="20"/>
          <w:szCs w:val="20"/>
          <w:color w:val="auto"/>
        </w:rPr>
      </w:pPr>
    </w:p>
    <w:p>
      <w:pPr>
        <w:ind w:left="940" w:right="2999" w:hanging="193"/>
        <w:spacing w:after="0" w:line="263" w:lineRule="auto"/>
        <w:tabs>
          <w:tab w:leader="none" w:pos="9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Scotts and its restricted subsidiaries that was capitalized during the applicable period; plus</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entity that is guaranteed by Scotts or one of its restricted subsidiaries or secured by a lien on assets of Scotts or one of its restricted subsidiaries; plus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 payments, whether or not in cash, on any series of preferred stock of Scotts or any of its restricted subsidiaries, other than dividend payments on payable solely in non-redeemable capital stock of Scotts or to Scotts or a restricted subsidiary, times</w:t>
      </w:r>
    </w:p>
    <w:p>
      <w:pPr>
        <w:spacing w:after="0" w:line="187"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one and the denominator of which is one minus the then current combined federal, state and local statutory tax rate of Scotts, expressed as a decimal, on a consolidated basis and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"Fixed Charge Coverage Ratio," as applied to Scotts, means, the ratio of "Consolidated Cash Flow" to "Fixed Charges" for the applicable period. In the event that Scotts or any of its restricted subsidiaries incurs, assumes, guarantees or redeems any indebtedness other than revolving credit borrowings or issues or redeems preferred stock during the applicable period, then the "Fixed Charge Coverage Ratio" shall be calculated, based on the assumption that the incurrence, assumption, guarantee or redemption of Indebtedness, or such issuance or redemption of preferred stock, had occurred at the beginning of the applicable four-quarter reference period.</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191" w:lineRule="exact"/>
        <w:rPr>
          <w:sz w:val="20"/>
          <w:szCs w:val="20"/>
          <w:color w:val="auto"/>
        </w:rPr>
      </w:pPr>
    </w:p>
    <w:p>
      <w:pPr>
        <w:ind w:left="940" w:right="2899" w:hanging="193"/>
        <w:spacing w:after="0" w:line="237"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by Scotts or any of its restricted subsidiaries and any related financing transactions that occurs during the applicable period will be assumed to have occurred on the first day of the four-quarter reference period;</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date triggering calculation of the "Fixed Charge Coverage Ratio" will be excluded; and</w:t>
      </w:r>
    </w:p>
    <w:p>
      <w:pPr>
        <w:spacing w:after="0" w:line="185"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Charges" attributable to discontinued operations, as determined in accordance with GAAP, and operations or businesses disposed of prior to the date triggering calculation of the "Fixed Charge Coverage Ratio" will be excluded, but only to the extent that the obligations giving rise to the "Fixed Charges" will not be obligations of Scotts or any of its restricted subsidiaries following that date.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"Net Income", as applied to Scotts, means the net income or loss of Scotts and its restricted subsidiaries, determined in accordance with GAAP and before any reduction for preferred stock dividends. However, "Net Income" excludes the following items:</w:t>
      </w:r>
    </w:p>
    <w:p>
      <w:pPr>
        <w:spacing w:after="0" w:line="186" w:lineRule="exact"/>
        <w:rPr>
          <w:sz w:val="20"/>
          <w:szCs w:val="20"/>
          <w:color w:val="auto"/>
        </w:rPr>
      </w:pPr>
    </w:p>
    <w:p>
      <w:pPr>
        <w:ind w:left="940" w:right="327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together with any related provision for taxes, realized in connection with:</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 Sale" or any other asset sale involving more than $2.5 million, other than sales of inventory in the ordinary course of business; or</w:t>
      </w:r>
    </w:p>
    <w:p>
      <w:pPr>
        <w:spacing w:after="0" w:line="184" w:lineRule="exact"/>
        <w:rPr>
          <w:rFonts w:ascii="Courier New" w:cs="Courier New" w:eastAsia="Courier New" w:hAnsi="Courier New"/>
          <w:sz w:val="16"/>
          <w:szCs w:val="16"/>
          <w:color w:val="auto"/>
        </w:rPr>
      </w:pPr>
    </w:p>
    <w:p>
      <w:pPr>
        <w:ind w:left="1220" w:right="2899" w:hanging="192"/>
        <w:spacing w:after="0" w:line="259" w:lineRule="auto"/>
        <w:tabs>
          <w:tab w:leader="none" w:pos="12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securities by Scotts or any of its restricted subsidiaries or the extinguishment of any indebtedness of Scotts or any of its restricted subsidiaries; and</w:t>
      </w:r>
    </w:p>
    <w:p>
      <w:pPr>
        <w:spacing w:after="0" w:line="171"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together with any related provision for taxes;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non-cash expenses attributable to grants or exercises of employee stock options.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5" w:lineRule="exact"/>
        <w:rPr>
          <w:sz w:val="20"/>
          <w:szCs w:val="20"/>
          <w:color w:val="auto"/>
        </w:rPr>
      </w:pPr>
    </w:p>
    <w:p>
      <w:pPr>
        <w:ind w:left="940" w:right="3179" w:hanging="193"/>
        <w:spacing w:after="0" w:line="236" w:lineRule="auto"/>
        <w:tabs>
          <w:tab w:leader="none" w:pos="9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senior debt that was permitted by the terms of the indenture to be incurred;</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Scotts or the subsidiary guarantors;</w:t>
      </w:r>
    </w:p>
    <w:p>
      <w:pPr>
        <w:sectPr>
          <w:pgSz w:w="11900" w:h="16838" w:orient="portrait"/>
          <w:cols w:equalWidth="0" w:num="1">
            <w:col w:w="10219"/>
          </w:cols>
          <w:pgMar w:left="240" w:top="293" w:right="1440" w:bottom="1015"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015"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51</w:t>
      </w:r>
    </w:p>
    <w:p>
      <w:pPr>
        <w:spacing w:after="0" w:line="185" w:lineRule="exact"/>
        <w:rPr>
          <w:sz w:val="20"/>
          <w:szCs w:val="20"/>
          <w:color w:val="auto"/>
        </w:rPr>
      </w:pPr>
    </w:p>
    <w:p>
      <w:pPr>
        <w:ind w:left="940" w:right="2999" w:hanging="193"/>
        <w:spacing w:after="0" w:line="263" w:lineRule="auto"/>
        <w:tabs>
          <w:tab w:leader="none" w:pos="9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liens on property of acquired entities, as long as the liens were not entered into in contemplation of the acquisition;</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statutory obligations, surety or appeal bonds, performance bonds or other obligations of a like nature incurred in the ordinary course of business;</w:t>
      </w:r>
    </w:p>
    <w:p>
      <w:pPr>
        <w:spacing w:after="0" w:line="184" w:lineRule="exact"/>
        <w:rPr>
          <w:rFonts w:ascii="Courier New" w:cs="Courier New" w:eastAsia="Courier New" w:hAnsi="Courier New"/>
          <w:sz w:val="16"/>
          <w:szCs w:val="16"/>
          <w:color w:val="auto"/>
        </w:rPr>
      </w:pPr>
    </w:p>
    <w:p>
      <w:pPr>
        <w:ind w:left="940" w:right="299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indebtedness, including "Capital Lease Obligations" permitted by the covenant entitled "Incurrence of Indebtedness and Issuance of Preferred Stock" covering only the assets acquired with the indebtedness;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January 21, 1999;</w:t>
      </w:r>
    </w:p>
    <w:p>
      <w:pPr>
        <w:spacing w:after="0" w:line="184"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subsidiary guarantors to secure senior debt of that subsidiary guarantor that was permitted by the indenture to be incurred;</w:t>
      </w:r>
    </w:p>
    <w:p>
      <w:pPr>
        <w:spacing w:after="0" w:line="184" w:lineRule="exact"/>
        <w:rPr>
          <w:rFonts w:ascii="Courier New" w:cs="Courier New" w:eastAsia="Courier New" w:hAnsi="Courier New"/>
          <w:sz w:val="16"/>
          <w:szCs w:val="16"/>
          <w:color w:val="auto"/>
        </w:rPr>
      </w:pPr>
    </w:p>
    <w:p>
      <w:pPr>
        <w:ind w:left="940" w:right="2819" w:hanging="193"/>
        <w:spacing w:after="0" w:line="257" w:lineRule="auto"/>
        <w:tabs>
          <w:tab w:leader="none" w:pos="9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as long as an adequate reserve has been established under GAAP;</w:t>
      </w:r>
    </w:p>
    <w:p>
      <w:pPr>
        <w:spacing w:after="0" w:line="174"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in the ordinary course of business on obligations of $5.0 million or less at any one time outstanding;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unrestricted subsidiaries that secure non-recourse debt of unrestricted subsidiaries.</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UNITED STATES FEDERAL TAX CONSIDERATIONS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general discussion of U.S. federal income tax consequences of the exchange offer. This discussion is based on the current provisions of the Internal Revenue Code of 1986, applicable Treasury regulations, judicial authority and administrative rulings and practice. This discussion is generally limited to the tax consequences to holders that hold notes as capital assets within the meaning of Section 1221 of the Code. There can be no assurance that the Internal Revenue Service will not take a contrary view, and no ruling from the IRS has been or will be sought. Legislative, judicial or administrative changes or interpretations may be forthcoming that could alter or modify these statements and conditions. Any changes or interpretations may or may not be retroactive and could affect the tax 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For U.S. federal income tax purposes, the exchange of original notes for new, registered notes in the exchange offer should not be treated as a taxable transaction. As a result, there should be no federal income tax consequences to holders exchanging original notes for new, registered notes in the exchange offer. A holder should have the same adjusted basis and holding period in a new, registered note as it had in an original note immediately prior to the exchange.</w:t>
      </w:r>
    </w:p>
    <w:p>
      <w:pPr>
        <w:spacing w:after="0" w:line="17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Legal matters relating to the exchange offer are being passed upon for Scotts by Vorys, Sater, Seymour and Pease LLP, Columbus, Ohio, our outside counsel.</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INDEPENDENT PUBLIC ACCOUNTANTS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audited consolidated financial statements of The Scotts Company and its Subsidiaries as of September 30, 1998 and 1999 and for the years ended September 30, 1997, 1998 and 1999 incorporated by reference in this prospectus have been audited by PricewaterhouseCoopers LLP, independent certified public accountants, as indicated in their report with respect thereto and incorporated by reference herein.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3"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52</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comply with the reporting requirements of the Exchange Act and must file annual, quarterly and other reports with the Commission. Scotts is also subject to the proxy solicitation requirements of the Exchange Act and, accordingly, will furnish audited financial statements to our shareholders in connection with our annual meetings of shareholders.</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Scotts has filed with the Commission a registration statement under the Securities Act covering the notes to be issued in the exchange offer. As permitted by the Commission's rules, this prospectus omits information included in the registration statement. For further information pertaining to the notes, we refer you to the registration statement, including its exhibits. We are also incorporating the following documents into this prospectus by reference:</w:t>
      </w:r>
    </w:p>
    <w:p>
      <w:pPr>
        <w:spacing w:after="0" w:line="170" w:lineRule="exact"/>
        <w:rPr>
          <w:sz w:val="20"/>
          <w:szCs w:val="20"/>
          <w:color w:val="auto"/>
        </w:rPr>
      </w:pPr>
    </w:p>
    <w:p>
      <w:pPr>
        <w:ind w:left="660" w:hanging="195"/>
        <w:spacing w:after="0"/>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amended current reports on 8-K/A.</w:t>
      </w:r>
    </w:p>
    <w:p>
      <w:pPr>
        <w:spacing w:after="0" w:line="36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amended Quarterly Reports on Form 10-Q/A for the three month periods ending January 1, April 1 and July 1, 2000;</w:t>
      </w:r>
    </w:p>
    <w:p>
      <w:pPr>
        <w:spacing w:after="0" w:line="365"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amended Annual Report on Form 10-K/A for the fiscal year ended September 30, 1999;</w:t>
      </w:r>
    </w:p>
    <w:p>
      <w:pPr>
        <w:spacing w:after="0" w:line="184"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for our 2000 annual meeting of shareholders, as filed with the Commission on January 14, 2000; and</w:t>
      </w:r>
    </w:p>
    <w:p>
      <w:pPr>
        <w:spacing w:after="0" w:line="184" w:lineRule="exact"/>
        <w:rPr>
          <w:rFonts w:ascii="Courier New" w:cs="Courier New" w:eastAsia="Courier New" w:hAnsi="Courier New"/>
          <w:sz w:val="16"/>
          <w:szCs w:val="16"/>
          <w:color w:val="auto"/>
        </w:rPr>
      </w:pPr>
    </w:p>
    <w:p>
      <w:pPr>
        <w:ind w:left="660" w:right="2719" w:hanging="195"/>
        <w:spacing w:after="0" w:line="263" w:lineRule="auto"/>
        <w:tabs>
          <w:tab w:leader="none" w:pos="6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that we file under Sections 13(a), 13(c), 14 or 15(d) of the Exchange Act prior to the consummation of the exchange offer.</w:t>
      </w:r>
    </w:p>
    <w:p>
      <w:pPr>
        <w:spacing w:after="0" w:line="16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statements made in this prospectus concerning the contents of any contract, agreement or other document constitute summaries of the material terms thereof are not necessarily complete summaries of all of the terms. If we have filed a contract, agreement or other document as an exhibit to the registration statement, you should read the exhibit for a more complete understanding of the document or matter involved. You may read and copy any of the information we file with the Commission at the Commission's public reference rooms at Room 1024, 450 Fifth Street, N.W., Washington, D.C., at 7 World Trade Center, 13th. Floor, New York, New York 10048 and at Citicorp Center, 500 West Madison Street, Suite 1400, Chicago, Illinois 60661-2511. You can also obtain copies of filed documents by mail from the public reference section of the Commission at Room 1024, 450 Fifth Street, N.W., Washington, D.C. 20549 at prescribed rates. Please call the Commission at 1-800-SEC-0330 for further information on the public reference rooms. Filed documents are also available to the public on the Commission's web site at http://www.sec.gov.</w:t>
      </w:r>
    </w:p>
    <w:p>
      <w:pPr>
        <w:spacing w:after="0" w:line="178"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Copies of documents incorporated in this prospectus by reference may be obtained upon request without charge by the contacting us at the following address: The Scotts Company, World Headquarters, 41 South High Street, Suite 3500, Columbus, Ohio 43215, Attention: Treasurer.</w:t>
      </w:r>
    </w:p>
    <w:p>
      <w:pPr>
        <w:spacing w:after="0" w:line="18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and Section 21E of the Exchange Act including, in particular, the statements about our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the forward-looking statements are reasonable, we can give no assurance that our plans, intentions or expectations will be achieved. Important factors that could cause actual results to differ materially from the forward looking statements we make in this prospectus are set forth above under the caption "Risk Factors" and incorporated by reference to "Management's Discussion and Analysis of Financial Condition and Results of Operations -- Forward-Looking Statements" in our Annual Report on Form 10-K for the fiscal year ended September 30, 1999.</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53</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THE SCOTTS COMPANY</w:t>
      </w:r>
    </w:p>
    <w:p>
      <w:pPr>
        <w:spacing w:after="0" w:line="17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8.625% SENIOR SUBORDINATED NOTES DUE 2009</w:t>
      </w:r>
    </w:p>
    <w:p>
      <w:pPr>
        <w:spacing w:after="0" w:line="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REGISTERED UNDER THE SECURITIES ACT OF 1933, AS AMENDED</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9939"/>
          </w:cols>
          <w:pgMar w:left="520" w:top="293"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54</w:t>
      </w:r>
    </w:p>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right="3379" w:firstLine="844"/>
        <w:spacing w:after="0" w:line="236" w:lineRule="auto"/>
        <w:rPr>
          <w:sz w:val="20"/>
          <w:szCs w:val="20"/>
          <w:color w:val="auto"/>
        </w:rPr>
      </w:pPr>
      <w:r>
        <w:rPr>
          <w:rFonts w:ascii="Courier New" w:cs="Courier New" w:eastAsia="Courier New" w:hAnsi="Courier New"/>
          <w:sz w:val="16"/>
          <w:szCs w:val="16"/>
          <w:color w:val="auto"/>
        </w:rPr>
        <w:t>Division (E) of Section 1701.13 of the Ohio Revised Code governs indemnification by a corporation and provides as follows:</w:t>
      </w:r>
    </w:p>
    <w:p>
      <w:pPr>
        <w:spacing w:after="0" w:line="185" w:lineRule="exact"/>
        <w:rPr>
          <w:sz w:val="20"/>
          <w:szCs w:val="20"/>
          <w:color w:val="auto"/>
        </w:rPr>
      </w:pPr>
    </w:p>
    <w:p>
      <w:pPr>
        <w:ind w:left="840" w:right="2819" w:firstLine="844"/>
        <w:spacing w:after="0" w:line="255"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57" w:lineRule="exact"/>
        <w:rPr>
          <w:sz w:val="20"/>
          <w:szCs w:val="20"/>
          <w:color w:val="auto"/>
        </w:rPr>
      </w:pPr>
    </w:p>
    <w:p>
      <w:pPr>
        <w:ind w:left="840" w:right="2719" w:firstLine="844"/>
        <w:spacing w:after="0" w:line="255" w:lineRule="auto"/>
        <w:tabs>
          <w:tab w:leader="none" w:pos="205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77" w:lineRule="exact"/>
        <w:rPr>
          <w:rFonts w:ascii="Courier New" w:cs="Courier New" w:eastAsia="Courier New" w:hAnsi="Courier New"/>
          <w:sz w:val="15"/>
          <w:szCs w:val="15"/>
          <w:color w:val="auto"/>
        </w:rPr>
      </w:pPr>
    </w:p>
    <w:p>
      <w:pPr>
        <w:ind w:left="1680" w:right="2719" w:firstLine="849"/>
        <w:spacing w:after="0" w:line="238" w:lineRule="auto"/>
        <w:tabs>
          <w:tab w:leader="none" w:pos="289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ind w:left="1400" w:right="2819" w:firstLine="849"/>
        <w:spacing w:after="0" w:line="237" w:lineRule="auto"/>
        <w:tabs>
          <w:tab w:leader="none" w:pos="261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or suit in which the only liability asserted against a director is pursuant to section 1701.95 of the Revised Code.</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84" w:lineRule="exact"/>
        <w:rPr>
          <w:rFonts w:ascii="Courier New" w:cs="Courier New" w:eastAsia="Courier New" w:hAnsi="Courier New"/>
          <w:sz w:val="16"/>
          <w:szCs w:val="16"/>
          <w:color w:val="auto"/>
        </w:rPr>
      </w:pPr>
    </w:p>
    <w:p>
      <w:pPr>
        <w:ind w:left="1400" w:right="2719" w:firstLine="849"/>
        <w:spacing w:after="0" w:line="237" w:lineRule="auto"/>
        <w:tabs>
          <w:tab w:leader="none" w:pos="261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187" w:lineRule="exact"/>
        <w:rPr>
          <w:rFonts w:ascii="Courier New" w:cs="Courier New" w:eastAsia="Courier New" w:hAnsi="Courier New"/>
          <w:sz w:val="16"/>
          <w:szCs w:val="16"/>
          <w:color w:val="auto"/>
        </w:rPr>
      </w:pPr>
    </w:p>
    <w:p>
      <w:pPr>
        <w:ind w:left="1400" w:right="2819" w:firstLine="849"/>
        <w:spacing w:after="0" w:line="256" w:lineRule="auto"/>
        <w:tabs>
          <w:tab w:leader="none" w:pos="261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69" w:lineRule="exact"/>
        <w:rPr>
          <w:rFonts w:ascii="Courier New" w:cs="Courier New" w:eastAsia="Courier New" w:hAnsi="Courier New"/>
          <w:sz w:val="15"/>
          <w:szCs w:val="15"/>
          <w:color w:val="auto"/>
        </w:rPr>
      </w:pPr>
    </w:p>
    <w:p>
      <w:pPr>
        <w:ind w:left="2620" w:hanging="371"/>
        <w:spacing w:after="0"/>
        <w:tabs>
          <w:tab w:leader="none" w:pos="26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shareholders; or</w:t>
      </w:r>
    </w:p>
    <w:p>
      <w:pPr>
        <w:spacing w:after="0" w:line="184" w:lineRule="exact"/>
        <w:rPr>
          <w:rFonts w:ascii="Courier New" w:cs="Courier New" w:eastAsia="Courier New" w:hAnsi="Courier New"/>
          <w:sz w:val="16"/>
          <w:szCs w:val="16"/>
          <w:color w:val="auto"/>
        </w:rPr>
      </w:pPr>
    </w:p>
    <w:p>
      <w:pPr>
        <w:ind w:left="1400" w:right="2819" w:firstLine="849"/>
        <w:spacing w:after="0" w:line="237" w:lineRule="auto"/>
        <w:tabs>
          <w:tab w:leader="none" w:pos="261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such action, suit or proceeding referred to in division (E)(1) or (2) of this section was brought.</w:t>
      </w:r>
    </w:p>
    <w:p>
      <w:pPr>
        <w:spacing w:after="0" w:line="185" w:lineRule="exact"/>
        <w:rPr>
          <w:sz w:val="20"/>
          <w:szCs w:val="20"/>
          <w:color w:val="auto"/>
        </w:rPr>
      </w:pPr>
    </w:p>
    <w:p>
      <w:pPr>
        <w:ind w:left="560" w:right="2719" w:firstLine="844"/>
        <w:spacing w:after="0" w:line="256"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3" w:lineRule="exact"/>
        <w:rPr>
          <w:sz w:val="20"/>
          <w:szCs w:val="20"/>
          <w:color w:val="auto"/>
        </w:rPr>
      </w:pPr>
    </w:p>
    <w:p>
      <w:pPr>
        <w:ind w:left="560" w:right="2719" w:firstLine="844"/>
        <w:spacing w:after="0" w:line="255"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8" w:lineRule="exact"/>
        <w:rPr>
          <w:sz w:val="20"/>
          <w:szCs w:val="20"/>
          <w:color w:val="auto"/>
        </w:rPr>
      </w:pPr>
    </w:p>
    <w:p>
      <w:pPr>
        <w:ind w:left="2240" w:right="2719" w:firstLine="853"/>
        <w:spacing w:after="0" w:line="259" w:lineRule="auto"/>
        <w:tabs>
          <w:tab w:leader="none" w:pos="345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 competent jurisdiction that his action or failure to act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939"/>
          </w:cols>
          <w:pgMar w:left="520" w:top="29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56</w:t>
      </w:r>
    </w:p>
    <w:p>
      <w:pPr>
        <w:ind w:left="2240"/>
        <w:spacing w:after="0"/>
        <w:rPr>
          <w:sz w:val="20"/>
          <w:szCs w:val="20"/>
          <w:color w:val="auto"/>
        </w:rPr>
      </w:pPr>
      <w:r>
        <w:rPr>
          <w:rFonts w:ascii="Courier New" w:cs="Courier New" w:eastAsia="Courier New" w:hAnsi="Courier New"/>
          <w:sz w:val="16"/>
          <w:szCs w:val="16"/>
          <w:color w:val="auto"/>
        </w:rPr>
        <w:t>involved an act or omission undertaken with</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deliberate intent to cause injury to the corporation</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or undertaken with reckless disregard for the best</w:t>
      </w:r>
    </w:p>
    <w:p>
      <w:pPr>
        <w:ind w:left="2240"/>
        <w:spacing w:after="0"/>
        <w:rPr>
          <w:sz w:val="20"/>
          <w:szCs w:val="20"/>
          <w:color w:val="auto"/>
        </w:rPr>
      </w:pPr>
      <w:r>
        <w:rPr>
          <w:rFonts w:ascii="Courier New" w:cs="Courier New" w:eastAsia="Courier New" w:hAnsi="Courier New"/>
          <w:sz w:val="16"/>
          <w:szCs w:val="16"/>
          <w:color w:val="auto"/>
        </w:rPr>
        <w:t>interests of the corporation;</w:t>
      </w:r>
    </w:p>
    <w:p>
      <w:pPr>
        <w:spacing w:after="0" w:line="184" w:lineRule="exact"/>
        <w:rPr>
          <w:sz w:val="20"/>
          <w:szCs w:val="20"/>
          <w:color w:val="auto"/>
        </w:rPr>
      </w:pPr>
    </w:p>
    <w:p>
      <w:pPr>
        <w:jc w:val="both"/>
        <w:ind w:left="2240" w:right="3659" w:firstLine="853"/>
        <w:spacing w:after="0" w:line="237" w:lineRule="auto"/>
        <w:tabs>
          <w:tab w:leader="none" w:pos="3553"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184" w:lineRule="exact"/>
        <w:rPr>
          <w:rFonts w:ascii="Courier New" w:cs="Courier New" w:eastAsia="Courier New" w:hAnsi="Courier New"/>
          <w:sz w:val="16"/>
          <w:szCs w:val="16"/>
          <w:color w:val="auto"/>
        </w:rPr>
      </w:pPr>
    </w:p>
    <w:p>
      <w:pPr>
        <w:ind w:left="1400" w:right="2719" w:firstLine="849"/>
        <w:spacing w:after="0" w:line="238" w:lineRule="auto"/>
        <w:tabs>
          <w:tab w:leader="none" w:pos="2619"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7" w:lineRule="exact"/>
        <w:rPr>
          <w:rFonts w:ascii="Courier New" w:cs="Courier New" w:eastAsia="Courier New" w:hAnsi="Courier New"/>
          <w:sz w:val="16"/>
          <w:szCs w:val="16"/>
          <w:color w:val="auto"/>
        </w:rPr>
      </w:pPr>
    </w:p>
    <w:p>
      <w:pPr>
        <w:ind w:left="560" w:right="28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6"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89" w:lineRule="exact"/>
        <w:rPr>
          <w:rFonts w:ascii="Courier New" w:cs="Courier New" w:eastAsia="Courier New" w:hAnsi="Courier New"/>
          <w:sz w:val="16"/>
          <w:szCs w:val="16"/>
          <w:color w:val="auto"/>
        </w:rPr>
      </w:pPr>
    </w:p>
    <w:p>
      <w:pPr>
        <w:ind w:left="560" w:right="2819" w:firstLine="844"/>
        <w:spacing w:after="0" w:line="254" w:lineRule="auto"/>
        <w:tabs>
          <w:tab w:leader="none" w:pos="177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5"/>
          <w:szCs w:val="15"/>
          <w:color w:val="auto"/>
        </w:rPr>
      </w:pPr>
    </w:p>
    <w:p>
      <w:pPr>
        <w:ind w:left="5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 and (7) of this section. Divisions (E)(1) and (2) of this section do not create any obligation to repay or return payments made by the corporation pursuant to division (E)(5), (6), or (7).</w:t>
      </w:r>
    </w:p>
    <w:p>
      <w:pPr>
        <w:spacing w:after="0" w:line="184" w:lineRule="exact"/>
        <w:rPr>
          <w:rFonts w:ascii="Courier New" w:cs="Courier New" w:eastAsia="Courier New" w:hAnsi="Courier New"/>
          <w:sz w:val="15"/>
          <w:szCs w:val="15"/>
          <w:color w:val="auto"/>
        </w:rPr>
      </w:pPr>
    </w:p>
    <w:p>
      <w:pPr>
        <w:ind w:left="560" w:right="27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w:t>
      </w:r>
    </w:p>
    <w:p>
      <w:pPr>
        <w:spacing w:after="0" w:line="36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939"/>
          </w:cols>
          <w:pgMar w:left="520" w:top="293" w:right="1440" w:bottom="1440" w:gutter="0" w:footer="0" w:header="0"/>
        </w:sectPr>
      </w:pPr>
    </w:p>
    <w:bookmarkStart w:id="58" w:name="page59"/>
    <w:bookmarkEnd w:id="58"/>
    <w:p>
      <w:pPr>
        <w:ind w:left="284"/>
        <w:spacing w:after="0"/>
        <w:rPr>
          <w:sz w:val="20"/>
          <w:szCs w:val="20"/>
          <w:color w:val="auto"/>
        </w:rPr>
      </w:pPr>
      <w:r>
        <w:rPr>
          <w:rFonts w:ascii="Courier New" w:cs="Courier New" w:eastAsia="Courier New" w:hAnsi="Courier New"/>
          <w:sz w:val="16"/>
          <w:szCs w:val="16"/>
          <w:color w:val="auto"/>
        </w:rPr>
        <w:t>57</w:t>
      </w:r>
    </w:p>
    <w:p>
      <w:pPr>
        <w:ind w:left="844"/>
        <w:spacing w:after="0"/>
        <w:rPr>
          <w:sz w:val="20"/>
          <w:szCs w:val="20"/>
          <w:color w:val="auto"/>
        </w:rPr>
      </w:pPr>
      <w:r>
        <w:rPr>
          <w:rFonts w:ascii="Courier New" w:cs="Courier New" w:eastAsia="Courier New" w:hAnsi="Courier New"/>
          <w:sz w:val="16"/>
          <w:szCs w:val="16"/>
          <w:color w:val="auto"/>
        </w:rPr>
        <w:t>surviving corporation in the same capacity.</w:t>
      </w:r>
    </w:p>
    <w:p>
      <w:pPr>
        <w:spacing w:after="0" w:line="184" w:lineRule="exact"/>
        <w:rPr>
          <w:sz w:val="20"/>
          <w:szCs w:val="20"/>
          <w:color w:val="auto"/>
        </w:rPr>
      </w:pPr>
    </w:p>
    <w:p>
      <w:pPr>
        <w:ind w:left="4" w:right="3759" w:firstLine="844"/>
        <w:spacing w:after="0" w:line="236" w:lineRule="auto"/>
        <w:rPr>
          <w:sz w:val="20"/>
          <w:szCs w:val="20"/>
          <w:color w:val="auto"/>
        </w:rPr>
      </w:pPr>
      <w:r>
        <w:rPr>
          <w:rFonts w:ascii="Courier New" w:cs="Courier New" w:eastAsia="Courier New" w:hAnsi="Courier New"/>
          <w:sz w:val="16"/>
          <w:szCs w:val="16"/>
          <w:color w:val="auto"/>
        </w:rPr>
        <w:t>Section 5.01 of the Registrant's Code of Regulations governs indemnification by Registrant and provides as follows:</w:t>
      </w:r>
    </w:p>
    <w:p>
      <w:pPr>
        <w:spacing w:after="0" w:line="185" w:lineRule="exact"/>
        <w:rPr>
          <w:sz w:val="20"/>
          <w:szCs w:val="20"/>
          <w:color w:val="auto"/>
        </w:rPr>
      </w:pPr>
    </w:p>
    <w:p>
      <w:pPr>
        <w:ind w:left="844" w:right="2719" w:firstLine="844"/>
        <w:spacing w:after="0" w:line="255" w:lineRule="auto"/>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76" w:lineRule="exact"/>
        <w:rPr>
          <w:sz w:val="20"/>
          <w:szCs w:val="20"/>
          <w:color w:val="auto"/>
        </w:rPr>
      </w:pPr>
    </w:p>
    <w:p>
      <w:pPr>
        <w:jc w:val="both"/>
        <w:ind w:left="4" w:right="2899" w:firstLine="844"/>
        <w:spacing w:after="0" w:line="237" w:lineRule="auto"/>
        <w:rPr>
          <w:sz w:val="20"/>
          <w:szCs w:val="20"/>
          <w:color w:val="auto"/>
        </w:rPr>
      </w:pPr>
      <w:r>
        <w:rPr>
          <w:rFonts w:ascii="Courier New" w:cs="Courier New" w:eastAsia="Courier New" w:hAnsi="Courier New"/>
          <w:sz w:val="16"/>
          <w:szCs w:val="16"/>
          <w:color w:val="auto"/>
        </w:rPr>
        <w:t>In addition, the Registrant currently provides insurance coverage to its directors and officers against certain liabilities which might be incurred by them in such capacity.</w:t>
      </w:r>
    </w:p>
    <w:p>
      <w:pPr>
        <w:spacing w:after="0" w:line="360"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left="1304"/>
        <w:spacing w:after="0"/>
        <w:tabs>
          <w:tab w:leader="none" w:pos="1863" w:val="left"/>
        </w:tabs>
        <w:rPr>
          <w:sz w:val="20"/>
          <w:szCs w:val="20"/>
          <w:color w:val="auto"/>
        </w:rPr>
      </w:pPr>
      <w:r>
        <w:rPr>
          <w:rFonts w:ascii="Courier New" w:cs="Courier New" w:eastAsia="Courier New" w:hAnsi="Courier New"/>
          <w:sz w:val="16"/>
          <w:szCs w:val="16"/>
          <w:color w:val="auto"/>
        </w:rPr>
        <w:t>(a)</w:t>
        <w:tab/>
        <w:t>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84"/>
        <w:spacing w:after="0" w:line="237" w:lineRule="auto"/>
        <w:tabs>
          <w:tab w:leader="none" w:pos="148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Asset Purchase Agreement dated as of November 11, 1998, between</w:t>
      </w:r>
    </w:p>
    <w:p>
      <w:pPr>
        <w:ind w:left="1504"/>
        <w:spacing w:after="0"/>
        <w:rPr>
          <w:sz w:val="20"/>
          <w:szCs w:val="20"/>
          <w:color w:val="auto"/>
        </w:rPr>
      </w:pPr>
      <w:r>
        <w:rPr>
          <w:rFonts w:ascii="Courier New" w:cs="Courier New" w:eastAsia="Courier New" w:hAnsi="Courier New"/>
          <w:sz w:val="16"/>
          <w:szCs w:val="16"/>
          <w:color w:val="auto"/>
        </w:rPr>
        <w:t>Monsanto Company and the Registrant (incorporated herein by</w:t>
      </w:r>
    </w:p>
    <w:p>
      <w:pPr>
        <w:ind w:left="1504"/>
        <w:spacing w:after="0" w:line="237" w:lineRule="auto"/>
        <w:rPr>
          <w:sz w:val="20"/>
          <w:szCs w:val="20"/>
          <w:color w:val="auto"/>
        </w:rPr>
      </w:pPr>
      <w:r>
        <w:rPr>
          <w:rFonts w:ascii="Courier New" w:cs="Courier New" w:eastAsia="Courier New" w:hAnsi="Courier New"/>
          <w:sz w:val="16"/>
          <w:szCs w:val="16"/>
          <w:color w:val="auto"/>
        </w:rPr>
        <w:t>reference to Exhibit 2(d) to the Registrant's Annual Report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on Form 10-K for the fiscal year ended September 30, 1999 (File</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 001-13292)). Certain portions of this exhibit have been</w:t>
      </w:r>
    </w:p>
    <w:p>
      <w:pPr>
        <w:ind w:left="1504"/>
        <w:spacing w:after="0"/>
        <w:rPr>
          <w:sz w:val="20"/>
          <w:szCs w:val="20"/>
          <w:color w:val="auto"/>
        </w:rPr>
      </w:pPr>
      <w:r>
        <w:rPr>
          <w:rFonts w:ascii="Courier New" w:cs="Courier New" w:eastAsia="Courier New" w:hAnsi="Courier New"/>
          <w:sz w:val="16"/>
          <w:szCs w:val="16"/>
          <w:color w:val="auto"/>
        </w:rPr>
        <w:t>omitted based upon a request for confidential treatment filed</w:t>
      </w:r>
    </w:p>
    <w:p>
      <w:pPr>
        <w:ind w:left="1504"/>
        <w:spacing w:after="0" w:line="237" w:lineRule="auto"/>
        <w:rPr>
          <w:sz w:val="20"/>
          <w:szCs w:val="20"/>
          <w:color w:val="auto"/>
        </w:rPr>
      </w:pPr>
      <w:r>
        <w:rPr>
          <w:rFonts w:ascii="Courier New" w:cs="Courier New" w:eastAsia="Courier New" w:hAnsi="Courier New"/>
          <w:sz w:val="16"/>
          <w:szCs w:val="16"/>
          <w:color w:val="auto"/>
        </w:rPr>
        <w:t>with the Commission. The non-public information has been filed</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separately with the Commission in connection with that request.</w:t>
      </w:r>
    </w:p>
    <w:p>
      <w:pPr>
        <w:spacing w:after="0" w:line="186"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Amended and Restated Agency and Marketing Agreement dated as of</w:t>
      </w:r>
    </w:p>
    <w:p>
      <w:pPr>
        <w:ind w:left="1504"/>
        <w:spacing w:after="0"/>
        <w:rPr>
          <w:sz w:val="20"/>
          <w:szCs w:val="20"/>
          <w:color w:val="auto"/>
        </w:rPr>
      </w:pPr>
      <w:r>
        <w:rPr>
          <w:rFonts w:ascii="Courier New" w:cs="Courier New" w:eastAsia="Courier New" w:hAnsi="Courier New"/>
          <w:sz w:val="16"/>
          <w:szCs w:val="16"/>
          <w:color w:val="auto"/>
        </w:rPr>
        <w:t>September 30, 1998 between Monsanto Company and the Registrant</w:t>
      </w:r>
    </w:p>
    <w:p>
      <w:pPr>
        <w:ind w:left="1504"/>
        <w:spacing w:after="0" w:line="237" w:lineRule="auto"/>
        <w:rPr>
          <w:sz w:val="20"/>
          <w:szCs w:val="20"/>
          <w:color w:val="auto"/>
        </w:rPr>
      </w:pPr>
      <w:r>
        <w:rPr>
          <w:rFonts w:ascii="Courier New" w:cs="Courier New" w:eastAsia="Courier New" w:hAnsi="Courier New"/>
          <w:sz w:val="16"/>
          <w:szCs w:val="16"/>
          <w:color w:val="auto"/>
        </w:rPr>
        <w:t>(incorporated herein by reference to Exhibit 10(v) to the</w:t>
      </w:r>
    </w:p>
    <w:p>
      <w:pPr>
        <w:ind w:left="1504"/>
        <w:spacing w:after="0"/>
        <w:rPr>
          <w:sz w:val="20"/>
          <w:szCs w:val="20"/>
          <w:color w:val="auto"/>
        </w:rPr>
      </w:pPr>
      <w:r>
        <w:rPr>
          <w:rFonts w:ascii="Courier New" w:cs="Courier New" w:eastAsia="Courier New" w:hAnsi="Courier New"/>
          <w:sz w:val="16"/>
          <w:szCs w:val="16"/>
          <w:color w:val="auto"/>
        </w:rPr>
        <w:t>Registrant's Annual Report on Form 10-K for the fiscal</w:t>
      </w:r>
    </w:p>
    <w:p>
      <w:pPr>
        <w:ind w:left="1504"/>
        <w:spacing w:after="0" w:line="238" w:lineRule="auto"/>
        <w:rPr>
          <w:sz w:val="20"/>
          <w:szCs w:val="20"/>
          <w:color w:val="auto"/>
        </w:rPr>
      </w:pPr>
      <w:r>
        <w:rPr>
          <w:rFonts w:ascii="Courier New" w:cs="Courier New" w:eastAsia="Courier New" w:hAnsi="Courier New"/>
          <w:sz w:val="16"/>
          <w:szCs w:val="16"/>
          <w:color w:val="auto"/>
        </w:rPr>
        <w:t>year ended September 30, 1999 (File No. 001-13292)). Certain</w:t>
      </w:r>
    </w:p>
    <w:p>
      <w:pPr>
        <w:spacing w:after="0" w:line="4"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portions of this exhibit have been omitted based upon a request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for confidential treatment filed with the Commission. The</w:t>
      </w:r>
    </w:p>
    <w:p>
      <w:pPr>
        <w:ind w:left="1504"/>
        <w:spacing w:after="0"/>
        <w:rPr>
          <w:sz w:val="20"/>
          <w:szCs w:val="20"/>
          <w:color w:val="auto"/>
        </w:rPr>
      </w:pPr>
      <w:r>
        <w:rPr>
          <w:rFonts w:ascii="Courier New" w:cs="Courier New" w:eastAsia="Courier New" w:hAnsi="Courier New"/>
          <w:sz w:val="16"/>
          <w:szCs w:val="16"/>
          <w:color w:val="auto"/>
        </w:rPr>
        <w:t>non-public information has been filed separately with the</w:t>
      </w:r>
    </w:p>
    <w:p>
      <w:pPr>
        <w:ind w:left="1504"/>
        <w:spacing w:after="0" w:line="237" w:lineRule="auto"/>
        <w:rPr>
          <w:sz w:val="20"/>
          <w:szCs w:val="20"/>
          <w:color w:val="auto"/>
        </w:rPr>
      </w:pPr>
      <w:r>
        <w:rPr>
          <w:rFonts w:ascii="Courier New" w:cs="Courier New" w:eastAsia="Courier New" w:hAnsi="Courier New"/>
          <w:sz w:val="16"/>
          <w:szCs w:val="16"/>
          <w:color w:val="auto"/>
        </w:rPr>
        <w:t>Commission in connection with that request.</w:t>
      </w:r>
    </w:p>
    <w:p>
      <w:pPr>
        <w:spacing w:after="0" w:line="18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Indenture dated as January 20, 1999 between The Scotts Company</w:t>
      </w:r>
    </w:p>
    <w:p>
      <w:pPr>
        <w:ind w:left="1504"/>
        <w:spacing w:after="0"/>
        <w:rPr>
          <w:sz w:val="20"/>
          <w:szCs w:val="20"/>
          <w:color w:val="auto"/>
        </w:rPr>
      </w:pPr>
      <w:r>
        <w:rPr>
          <w:rFonts w:ascii="Courier New" w:cs="Courier New" w:eastAsia="Courier New" w:hAnsi="Courier New"/>
          <w:sz w:val="16"/>
          <w:szCs w:val="16"/>
          <w:color w:val="auto"/>
        </w:rPr>
        <w:t>and State Street Bank and Trust Company, as trustee</w:t>
      </w:r>
    </w:p>
    <w:p>
      <w:pPr>
        <w:spacing w:after="0" w:line="179" w:lineRule="exact"/>
        <w:rPr>
          <w:sz w:val="20"/>
          <w:szCs w:val="20"/>
          <w:color w:val="auto"/>
        </w:rPr>
      </w:pPr>
    </w:p>
    <w:p>
      <w:pPr>
        <w:ind w:left="1504" w:hanging="1504"/>
        <w:spacing w:after="0"/>
        <w:tabs>
          <w:tab w:leader="none" w:pos="150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LLP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w w:val="97"/>
              </w:rPr>
              <w:t>Consent of PricewaterhouseCoopers LLP, Independent Accountants</w:t>
            </w:r>
          </w:p>
        </w:tc>
      </w:tr>
    </w:tbl>
    <w:p>
      <w:pPr>
        <w:spacing w:after="0" w:line="200" w:lineRule="exact"/>
        <w:rPr>
          <w:sz w:val="20"/>
          <w:szCs w:val="20"/>
          <w:color w:val="auto"/>
        </w:rPr>
      </w:pPr>
    </w:p>
    <w:p>
      <w:pPr>
        <w:sectPr>
          <w:pgSz w:w="11900" w:h="16838" w:orient="portrait"/>
          <w:cols w:equalWidth="0" w:num="1">
            <w:col w:w="10223"/>
          </w:cols>
          <w:pgMar w:left="236" w:top="293" w:right="1440" w:bottom="1440" w:gutter="0" w:footer="0" w:header="0"/>
        </w:sectPr>
      </w:pPr>
    </w:p>
    <w:p>
      <w:pPr>
        <w:spacing w:after="0" w:line="1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3"/>
          </w:cols>
          <w:pgMar w:left="236" w:top="293" w:right="1440" w:bottom="1440" w:gutter="0" w:footer="0" w:header="0"/>
          <w:type w:val="continuous"/>
        </w:sectPr>
      </w:pPr>
    </w:p>
    <w:bookmarkStart w:id="59" w:name="page60"/>
    <w:bookmarkEnd w:id="59"/>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58</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Exhibit</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No.</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w w:val="97"/>
              </w:rPr>
              <w:t>Consent of Vorys, Sater, Seymour and Pease LLP (included in</w:t>
            </w:r>
          </w:p>
        </w:tc>
      </w:tr>
      <w:tr>
        <w:trPr>
          <w:trHeight w:val="180"/>
        </w:trPr>
        <w:tc>
          <w:tcPr>
            <w:tcW w:w="1080" w:type="dxa"/>
            <w:vAlign w:val="bottom"/>
          </w:tcPr>
          <w:p>
            <w:pPr>
              <w:spacing w:after="0"/>
              <w:rPr>
                <w:sz w:val="15"/>
                <w:szCs w:val="15"/>
                <w:color w:val="auto"/>
              </w:rPr>
            </w:pP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Exhibit 5)</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Powers of Attorney</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6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509" w:lineRule="auto"/>
        <w:tabs>
          <w:tab w:leader="none" w:pos="37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ind w:left="1884" w:right="5619" w:hanging="571"/>
        <w:spacing w:after="0" w:line="471" w:lineRule="auto"/>
        <w:tabs>
          <w:tab w:leader="none" w:pos="1884"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None</w:t>
      </w:r>
    </w:p>
    <w:p>
      <w:pPr>
        <w:spacing w:after="0" w:line="5"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4" w:right="2719" w:firstLine="840"/>
        <w:spacing w:after="0" w:line="238"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rFonts w:ascii="Courier New" w:cs="Courier New" w:eastAsia="Courier New" w:hAnsi="Courier New"/>
          <w:sz w:val="16"/>
          <w:szCs w:val="16"/>
          <w:color w:val="auto"/>
        </w:rPr>
      </w:pPr>
    </w:p>
    <w:p>
      <w:pPr>
        <w:ind w:left="4" w:right="2819" w:firstLine="840"/>
        <w:spacing w:after="0" w:line="255" w:lineRule="auto"/>
        <w:tabs>
          <w:tab w:leader="none" w:pos="122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 w:right="2819" w:firstLine="840"/>
        <w:spacing w:after="0" w:line="238"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4" w:right="2819" w:firstLine="840"/>
        <w:spacing w:after="0" w:line="237"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0" w:lineRule="exact"/>
        <w:rPr>
          <w:rFonts w:ascii="Courier New" w:cs="Courier New" w:eastAsia="Courier New" w:hAnsi="Courier New"/>
          <w:sz w:val="16"/>
          <w:szCs w:val="16"/>
          <w:color w:val="auto"/>
        </w:rPr>
      </w:pPr>
    </w:p>
    <w:p>
      <w:pPr>
        <w:ind w:left="1224" w:hanging="380"/>
        <w:spacing w:after="0"/>
        <w:tabs>
          <w:tab w:leader="none" w:pos="122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1604" w:right="3099" w:hanging="384"/>
        <w:spacing w:after="0" w:line="237" w:lineRule="auto"/>
        <w:tabs>
          <w:tab w:leader="none" w:pos="160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2164" w:right="2719" w:hanging="569"/>
        <w:spacing w:after="0" w:line="236" w:lineRule="auto"/>
        <w:tabs>
          <w:tab w:leader="none" w:pos="2164"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2164" w:right="2719" w:hanging="569"/>
        <w:spacing w:after="0" w:line="255" w:lineRule="auto"/>
        <w:tabs>
          <w:tab w:leader="none" w:pos="2164"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w:t>
      </w:r>
    </w:p>
    <w:p>
      <w:pPr>
        <w:sectPr>
          <w:pgSz w:w="11900" w:h="16915" w:orient="portrait"/>
          <w:cols w:equalWidth="0" w:num="1">
            <w:col w:w="10223"/>
          </w:cols>
          <w:pgMar w:left="236" w:top="293" w:right="1440" w:bottom="0" w:gutter="0" w:footer="0" w:header="0"/>
        </w:sectPr>
      </w:pPr>
    </w:p>
    <w:bookmarkStart w:id="60" w:name="page61"/>
    <w:bookmarkEnd w:id="60"/>
    <w:p>
      <w:pPr>
        <w:ind w:left="1320"/>
        <w:spacing w:after="0"/>
        <w:rPr>
          <w:sz w:val="20"/>
          <w:szCs w:val="20"/>
          <w:color w:val="auto"/>
        </w:rPr>
      </w:pPr>
      <w:r>
        <w:rPr>
          <w:rFonts w:ascii="Courier New" w:cs="Courier New" w:eastAsia="Courier New" w:hAnsi="Courier New"/>
          <w:sz w:val="16"/>
          <w:szCs w:val="16"/>
          <w:color w:val="auto"/>
        </w:rPr>
        <w:t>offering price set forth in the "Calculation of</w:t>
      </w:r>
    </w:p>
    <w:p>
      <w:pPr>
        <w:ind w:left="1320"/>
        <w:spacing w:after="0"/>
        <w:rPr>
          <w:sz w:val="20"/>
          <w:szCs w:val="20"/>
          <w:color w:val="auto"/>
        </w:rPr>
      </w:pPr>
      <w:r>
        <w:rPr>
          <w:rFonts w:ascii="Courier New" w:cs="Courier New" w:eastAsia="Courier New" w:hAnsi="Courier New"/>
          <w:sz w:val="16"/>
          <w:szCs w:val="16"/>
          <w:color w:val="auto"/>
        </w:rPr>
        <w:t>Registration Fee" table in the effective registration</w:t>
      </w:r>
    </w:p>
    <w:p>
      <w:pPr>
        <w:ind w:left="1320"/>
        <w:spacing w:after="0" w:line="237" w:lineRule="auto"/>
        <w:rPr>
          <w:sz w:val="20"/>
          <w:szCs w:val="20"/>
          <w:color w:val="auto"/>
        </w:rPr>
      </w:pPr>
      <w:r>
        <w:rPr>
          <w:rFonts w:ascii="Courier New" w:cs="Courier New" w:eastAsia="Courier New" w:hAnsi="Courier New"/>
          <w:sz w:val="16"/>
          <w:szCs w:val="16"/>
          <w:color w:val="auto"/>
        </w:rPr>
        <w:t>statement;</w:t>
      </w:r>
    </w:p>
    <w:p>
      <w:pPr>
        <w:spacing w:after="0" w:line="185" w:lineRule="exact"/>
        <w:rPr>
          <w:sz w:val="20"/>
          <w:szCs w:val="20"/>
          <w:color w:val="auto"/>
        </w:rPr>
      </w:pPr>
    </w:p>
    <w:p>
      <w:pPr>
        <w:ind w:left="1320" w:right="2899" w:hanging="569"/>
        <w:spacing w:after="0" w:line="237" w:lineRule="auto"/>
        <w:tabs>
          <w:tab w:leader="none" w:pos="1320" w:val="left"/>
        </w:tabs>
        <w:numPr>
          <w:ilvl w:val="2"/>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nay material change to such information in the registration statement.</w:t>
      </w:r>
    </w:p>
    <w:p>
      <w:pPr>
        <w:spacing w:after="0" w:line="185" w:lineRule="exact"/>
        <w:rPr>
          <w:rFonts w:ascii="Courier New" w:cs="Courier New" w:eastAsia="Courier New" w:hAnsi="Courier New"/>
          <w:sz w:val="16"/>
          <w:szCs w:val="16"/>
          <w:color w:val="auto"/>
        </w:rPr>
      </w:pPr>
    </w:p>
    <w:p>
      <w:pPr>
        <w:ind w:left="760" w:right="2819" w:hanging="384"/>
        <w:spacing w:after="0" w:line="237"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ind w:left="760" w:right="2899" w:hanging="384"/>
        <w:spacing w:after="0" w:line="237"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760" w:right="2719" w:hanging="384"/>
        <w:spacing w:after="0" w:line="238"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registrant is a foreign private issuer, to file a post-effective amendment to the registration statement to include any financial statements required by Rule 3-19 of regulation S-X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w:t>
      </w:r>
    </w:p>
    <w:p>
      <w:pPr>
        <w:spacing w:after="0" w:line="5" w:lineRule="exact"/>
        <w:rPr>
          <w:rFonts w:ascii="Courier New" w:cs="Courier New" w:eastAsia="Courier New" w:hAnsi="Courier New"/>
          <w:sz w:val="16"/>
          <w:szCs w:val="16"/>
          <w:color w:val="auto"/>
        </w:rPr>
      </w:pPr>
    </w:p>
    <w:p>
      <w:pPr>
        <w:ind w:left="760"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7" w:lineRule="exact"/>
        <w:rPr>
          <w:rFonts w:ascii="Courier New" w:cs="Courier New" w:eastAsia="Courier New" w:hAnsi="Courier New"/>
          <w:sz w:val="16"/>
          <w:szCs w:val="16"/>
          <w:color w:val="auto"/>
        </w:rPr>
      </w:pPr>
    </w:p>
    <w:p>
      <w:pPr>
        <w:ind w:left="-840" w:right="2819" w:firstLine="840"/>
        <w:spacing w:after="0" w:line="255" w:lineRule="auto"/>
        <w:tabs>
          <w:tab w:leader="none" w:pos="56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840" w:right="2719" w:firstLine="840"/>
        <w:spacing w:after="0" w:line="237" w:lineRule="auto"/>
        <w:tabs>
          <w:tab w:leader="none" w:pos="56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7" w:lineRule="exact"/>
        <w:rPr>
          <w:rFonts w:ascii="Courier New" w:cs="Courier New" w:eastAsia="Courier New" w:hAnsi="Courier New"/>
          <w:sz w:val="16"/>
          <w:szCs w:val="16"/>
          <w:color w:val="auto"/>
        </w:rPr>
      </w:pPr>
    </w:p>
    <w:p>
      <w:pPr>
        <w:ind w:left="-840" w:right="2899" w:firstLine="840"/>
        <w:spacing w:after="0" w:line="238" w:lineRule="auto"/>
        <w:tabs>
          <w:tab w:leader="none" w:pos="56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379"/>
          </w:cols>
          <w:pgMar w:left="1080" w:top="137" w:right="1440" w:bottom="1440" w:gutter="0" w:footer="0" w:header="0"/>
        </w:sectPr>
      </w:pPr>
    </w:p>
    <w:bookmarkStart w:id="61" w:name="page62"/>
    <w:bookmarkEnd w:id="61"/>
    <w:p>
      <w:pPr>
        <w:ind w:left="284"/>
        <w:spacing w:after="0"/>
        <w:rPr>
          <w:sz w:val="20"/>
          <w:szCs w:val="20"/>
          <w:color w:val="auto"/>
        </w:rPr>
      </w:pPr>
      <w:r>
        <w:rPr>
          <w:rFonts w:ascii="Courier New" w:cs="Courier New" w:eastAsia="Courier New" w:hAnsi="Courier New"/>
          <w:sz w:val="16"/>
          <w:szCs w:val="16"/>
          <w:color w:val="auto"/>
        </w:rPr>
        <w:t>59</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20"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SCOTTS COMPANY</w:t>
      </w:r>
    </w:p>
    <w:p>
      <w:pPr>
        <w:spacing w:after="0" w:line="360" w:lineRule="exact"/>
        <w:rPr>
          <w:sz w:val="20"/>
          <w:szCs w:val="20"/>
          <w:color w:val="auto"/>
        </w:rPr>
      </w:pPr>
    </w:p>
    <w:p>
      <w:pPr>
        <w:ind w:left="3284"/>
        <w:spacing w:after="0"/>
        <w:tabs>
          <w:tab w:leader="none" w:pos="410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CHARLES M. BERGER*</w:t>
      </w:r>
    </w:p>
    <w:p>
      <w:pPr>
        <w:ind w:left="3564"/>
        <w:spacing w:after="0"/>
        <w:rPr>
          <w:sz w:val="20"/>
          <w:szCs w:val="20"/>
          <w:color w:val="auto"/>
        </w:rPr>
      </w:pPr>
      <w:r>
        <w:rPr>
          <w:rFonts w:ascii="Courier New" w:cs="Courier New" w:eastAsia="Courier New" w:hAnsi="Courier New"/>
          <w:sz w:val="16"/>
          <w:szCs w:val="16"/>
          <w:color w:val="auto"/>
        </w:rPr>
        <w:t>---------------------------------</w:t>
      </w:r>
    </w:p>
    <w:p>
      <w:pPr>
        <w:ind w:left="3564"/>
        <w:spacing w:after="0" w:line="237" w:lineRule="auto"/>
        <w:rPr>
          <w:sz w:val="20"/>
          <w:szCs w:val="20"/>
          <w:color w:val="auto"/>
        </w:rPr>
      </w:pPr>
      <w:r>
        <w:rPr>
          <w:rFonts w:ascii="Courier New" w:cs="Courier New" w:eastAsia="Courier New" w:hAnsi="Courier New"/>
          <w:sz w:val="16"/>
          <w:szCs w:val="16"/>
          <w:color w:val="auto"/>
        </w:rPr>
        <w:t>CHARLES M. BERGER</w:t>
      </w:r>
    </w:p>
    <w:p>
      <w:pPr>
        <w:ind w:left="3564"/>
        <w:spacing w:after="0"/>
        <w:rPr>
          <w:sz w:val="20"/>
          <w:szCs w:val="20"/>
          <w:color w:val="auto"/>
        </w:rPr>
      </w:pPr>
      <w:r>
        <w:rPr>
          <w:rFonts w:ascii="Courier New" w:cs="Courier New" w:eastAsia="Courier New" w:hAnsi="Courier New"/>
          <w:sz w:val="16"/>
          <w:szCs w:val="16"/>
          <w:color w:val="auto"/>
        </w:rPr>
        <w:t>Chairman, President and</w:t>
      </w:r>
    </w:p>
    <w:p>
      <w:pPr>
        <w:ind w:left="3564"/>
        <w:spacing w:after="0" w:line="238" w:lineRule="auto"/>
        <w:rPr>
          <w:sz w:val="20"/>
          <w:szCs w:val="20"/>
          <w:color w:val="auto"/>
        </w:rPr>
      </w:pPr>
      <w:r>
        <w:rPr>
          <w:rFonts w:ascii="Courier New" w:cs="Courier New" w:eastAsia="Courier New" w:hAnsi="Courier New"/>
          <w:sz w:val="16"/>
          <w:szCs w:val="16"/>
          <w:color w:val="auto"/>
        </w:rPr>
        <w:t>Chief Executive Officer</w:t>
      </w:r>
    </w:p>
    <w:p>
      <w:pPr>
        <w:ind w:left="4"/>
        <w:spacing w:after="0"/>
        <w:rPr>
          <w:sz w:val="20"/>
          <w:szCs w:val="20"/>
          <w:color w:val="auto"/>
        </w:rPr>
      </w:pPr>
      <w:r>
        <w:rPr>
          <w:rFonts w:ascii="Courier New" w:cs="Courier New" w:eastAsia="Courier New" w:hAnsi="Courier New"/>
          <w:sz w:val="16"/>
          <w:szCs w:val="16"/>
          <w:color w:val="auto"/>
        </w:rPr>
        <w:t>Pursuant to the requirements of the Securities Act of 1933, as amended, this</w:t>
      </w:r>
    </w:p>
    <w:p>
      <w:pPr>
        <w:ind w:left="4"/>
        <w:spacing w:after="0" w:line="238" w:lineRule="auto"/>
        <w:rPr>
          <w:sz w:val="20"/>
          <w:szCs w:val="20"/>
          <w:color w:val="auto"/>
        </w:rPr>
      </w:pPr>
      <w:r>
        <w:rPr>
          <w:rFonts w:ascii="Courier New" w:cs="Courier New" w:eastAsia="Courier New" w:hAnsi="Courier New"/>
          <w:sz w:val="16"/>
          <w:szCs w:val="16"/>
          <w:color w:val="auto"/>
        </w:rPr>
        <w:t>Amendment No. 4 to Registration Statement has been signed by the following</w:t>
      </w:r>
    </w:p>
    <w:p>
      <w:pPr>
        <w:ind w:left="4"/>
        <w:spacing w:after="0"/>
        <w:rPr>
          <w:sz w:val="20"/>
          <w:szCs w:val="20"/>
          <w:color w:val="auto"/>
        </w:rPr>
      </w:pPr>
      <w:r>
        <w:rPr>
          <w:rFonts w:ascii="Courier New" w:cs="Courier New" w:eastAsia="Courier New" w:hAnsi="Courier New"/>
          <w:sz w:val="16"/>
          <w:szCs w:val="16"/>
          <w:color w:val="auto"/>
        </w:rPr>
        <w:t>persons in the capacities and on the dates indicated.</w:t>
      </w:r>
    </w:p>
    <w:p>
      <w:pPr>
        <w:sectPr>
          <w:pgSz w:w="11900" w:h="16838" w:orient="portrait"/>
          <w:cols w:equalWidth="0" w:num="1">
            <w:col w:w="10224"/>
          </w:cols>
          <w:pgMar w:left="236" w:top="29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CHARLES M. BERGER</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PATRICK J. NORTON*</w:t>
      </w: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line="237" w:lineRule="auto"/>
        <w:rPr>
          <w:sz w:val="20"/>
          <w:szCs w:val="20"/>
          <w:color w:val="auto"/>
        </w:rPr>
      </w:pPr>
      <w:r>
        <w:rPr>
          <w:rFonts w:ascii="Courier New" w:cs="Courier New" w:eastAsia="Courier New" w:hAnsi="Courier New"/>
          <w:sz w:val="16"/>
          <w:szCs w:val="16"/>
          <w:color w:val="auto"/>
        </w:rPr>
        <w:t>PATRICK J. NORTON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JAMES B. BEARD*</w:t>
      </w: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line="237" w:lineRule="auto"/>
        <w:rPr>
          <w:sz w:val="20"/>
          <w:szCs w:val="20"/>
          <w:color w:val="auto"/>
        </w:rPr>
      </w:pPr>
      <w:r>
        <w:rPr>
          <w:rFonts w:ascii="Courier New" w:cs="Courier New" w:eastAsia="Courier New" w:hAnsi="Courier New"/>
          <w:sz w:val="16"/>
          <w:szCs w:val="16"/>
          <w:color w:val="auto"/>
        </w:rPr>
        <w:t>JAMES B. BEARD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JOSEPH P. FLANNERY*</w:t>
      </w: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line="237" w:lineRule="auto"/>
        <w:rPr>
          <w:sz w:val="20"/>
          <w:szCs w:val="20"/>
          <w:color w:val="auto"/>
        </w:rPr>
      </w:pPr>
      <w:r>
        <w:rPr>
          <w:rFonts w:ascii="Courier New" w:cs="Courier New" w:eastAsia="Courier New" w:hAnsi="Courier New"/>
          <w:sz w:val="16"/>
          <w:szCs w:val="16"/>
          <w:color w:val="auto"/>
        </w:rPr>
        <w:t>JOSEPH P. FLANNERY</w:t>
      </w:r>
    </w:p>
    <w:p>
      <w:pPr>
        <w:spacing w:after="0" w:line="180"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/s/</w:t>
        <w:tab/>
        <w:t>HORACE HAGEDORN*</w:t>
      </w: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line="237" w:lineRule="auto"/>
        <w:rPr>
          <w:sz w:val="20"/>
          <w:szCs w:val="20"/>
          <w:color w:val="auto"/>
        </w:rPr>
      </w:pPr>
      <w:r>
        <w:rPr>
          <w:rFonts w:ascii="Courier New" w:cs="Courier New" w:eastAsia="Courier New" w:hAnsi="Courier New"/>
          <w:sz w:val="16"/>
          <w:szCs w:val="16"/>
          <w:color w:val="auto"/>
        </w:rPr>
        <w:t>HORACE HAGEDORN</w:t>
      </w:r>
    </w:p>
    <w:p>
      <w:pPr>
        <w:spacing w:after="0" w:line="180"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/s/</w:t>
        <w:tab/>
        <w:t>JAMES H. HAGEDORN*</w:t>
      </w:r>
    </w:p>
    <w:p>
      <w:pPr>
        <w:ind w:left="4"/>
        <w:spacing w:after="0"/>
        <w:rPr>
          <w:sz w:val="20"/>
          <w:szCs w:val="20"/>
          <w:color w:val="auto"/>
        </w:rPr>
      </w:pPr>
      <w:r>
        <w:rPr>
          <w:rFonts w:ascii="Courier New" w:cs="Courier New" w:eastAsia="Courier New" w:hAnsi="Courier New"/>
          <w:sz w:val="16"/>
          <w:szCs w:val="16"/>
          <w:color w:val="auto"/>
        </w:rPr>
        <w:t>- -----------------------------------</w:t>
      </w:r>
    </w:p>
    <w:p>
      <w:pPr>
        <w:ind w:left="384"/>
        <w:spacing w:after="0" w:line="237" w:lineRule="auto"/>
        <w:rPr>
          <w:sz w:val="20"/>
          <w:szCs w:val="20"/>
          <w:color w:val="auto"/>
        </w:rPr>
      </w:pPr>
      <w:r>
        <w:rPr>
          <w:rFonts w:ascii="Courier New" w:cs="Courier New" w:eastAsia="Courier New" w:hAnsi="Courier New"/>
          <w:sz w:val="16"/>
          <w:szCs w:val="16"/>
          <w:color w:val="auto"/>
        </w:rPr>
        <w:t>JAMES H. HAGEDORN</w:t>
      </w:r>
    </w:p>
    <w:p>
      <w:pPr>
        <w:spacing w:after="0" w:line="180" w:lineRule="exact"/>
        <w:rPr>
          <w:sz w:val="20"/>
          <w:szCs w:val="20"/>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/s/</w:t>
        <w:tab/>
        <w:t>ALBERT E. HARRIS*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President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and CEO</w:t>
      </w: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Interim Chief Financial Officer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7" w:lineRule="exact"/>
        <w:rPr>
          <w:sz w:val="20"/>
          <w:szCs w:val="20"/>
          <w:color w:val="auto"/>
        </w:rPr>
      </w:pPr>
    </w:p>
    <w:p>
      <w:pPr>
        <w:sectPr>
          <w:pgSz w:w="11900" w:h="16838" w:orient="portrait"/>
          <w:cols w:equalWidth="0" w:num="3">
            <w:col w:w="3604" w:space="720"/>
            <w:col w:w="3580" w:space="720"/>
            <w:col w:w="1600"/>
          </w:cols>
          <w:pgMar w:left="236" w:top="293" w:right="1439" w:bottom="1440" w:gutter="0" w:footer="0" w:header="0"/>
          <w:type w:val="continuous"/>
        </w:sectPr>
      </w:pPr>
    </w:p>
    <w:p>
      <w:pPr>
        <w:ind w:left="184" w:hanging="184"/>
        <w:spacing w:after="0"/>
        <w:tabs>
          <w:tab w:leader="none" w:pos="18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ALBERT E. HARRIS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4"/>
          </w:cols>
          <w:pgMar w:left="236" w:top="293" w:right="1439"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Signature</w:t>
      </w:r>
    </w:p>
    <w:p>
      <w:pPr>
        <w:ind w:left="13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tabs>
          <w:tab w:leader="none" w:pos="440" w:val="left"/>
          <w:tab w:leader="none" w:pos="1000" w:val="left"/>
        </w:tabs>
        <w:rPr>
          <w:sz w:val="20"/>
          <w:szCs w:val="20"/>
          <w:color w:val="auto"/>
        </w:rPr>
      </w:pPr>
      <w:r>
        <w:rPr>
          <w:rFonts w:ascii="Courier New" w:cs="Courier New" w:eastAsia="Courier New" w:hAnsi="Courier New"/>
          <w:sz w:val="16"/>
          <w:szCs w:val="16"/>
          <w:color w:val="auto"/>
        </w:rPr>
        <w:t>/s/</w:t>
        <w:tab/>
        <w:t>JOHN</w:t>
      </w:r>
      <w:r>
        <w:rPr>
          <w:sz w:val="20"/>
          <w:szCs w:val="20"/>
          <w:color w:val="auto"/>
        </w:rPr>
        <w:tab/>
      </w:r>
      <w:r>
        <w:rPr>
          <w:rFonts w:ascii="Courier New" w:cs="Courier New" w:eastAsia="Courier New" w:hAnsi="Courier New"/>
          <w:sz w:val="15"/>
          <w:szCs w:val="15"/>
          <w:color w:val="auto"/>
        </w:rPr>
        <w:t>KENLON*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KENLON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KAREN G. MILLS*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KAREN G. MILLS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PATRICK J. NORTON*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M. SULLIVAN*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M. SULLIVAN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 JACK VAN FOSSEN*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 JACK VAN FOSSEN</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WALKER,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7" w:lineRule="exact"/>
        <w:rPr>
          <w:sz w:val="20"/>
          <w:szCs w:val="20"/>
          <w:color w:val="auto"/>
        </w:rPr>
      </w:pPr>
    </w:p>
    <w:p>
      <w:pPr>
        <w:sectPr>
          <w:pgSz w:w="11900" w:h="16838" w:orient="portrait"/>
          <w:cols w:equalWidth="0" w:num="4">
            <w:col w:w="3600" w:space="720"/>
            <w:col w:w="740" w:space="380"/>
            <w:col w:w="2380" w:space="720"/>
            <w:col w:w="167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380"/>
        <w:spacing w:after="0" w:line="237" w:lineRule="auto"/>
        <w:rPr>
          <w:sz w:val="20"/>
          <w:szCs w:val="20"/>
          <w:color w:val="auto"/>
        </w:rPr>
      </w:pPr>
      <w:r>
        <w:rPr>
          <w:rFonts w:ascii="Courier New" w:cs="Courier New" w:eastAsia="Courier New" w:hAnsi="Courier New"/>
          <w:sz w:val="16"/>
          <w:szCs w:val="16"/>
          <w:color w:val="auto"/>
        </w:rPr>
        <w:t>JOHN WALKER, PH.D.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G. ROBERT LUCAS</w:t>
      </w:r>
    </w:p>
    <w:p>
      <w:pPr>
        <w:ind w:left="380"/>
        <w:spacing w:after="0"/>
        <w:rPr>
          <w:sz w:val="20"/>
          <w:szCs w:val="20"/>
          <w:color w:val="auto"/>
        </w:rPr>
      </w:pPr>
      <w:r>
        <w:rPr>
          <w:rFonts w:ascii="Courier New" w:cs="Courier New" w:eastAsia="Courier New" w:hAnsi="Courier New"/>
          <w:sz w:val="16"/>
          <w:szCs w:val="16"/>
          <w:color w:val="auto"/>
        </w:rPr>
        <w:t>as Attorney-in-fact</w:t>
      </w:r>
    </w:p>
    <w:p>
      <w:pPr>
        <w:spacing w:after="0" w:line="200" w:lineRule="exact"/>
        <w:rPr>
          <w:sz w:val="20"/>
          <w:szCs w:val="20"/>
          <w:color w:val="auto"/>
        </w:rPr>
      </w:pPr>
    </w:p>
    <w:p>
      <w:pPr>
        <w:spacing w:after="0" w:line="3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298" w:right="1440" w:bottom="1440" w:gutter="0" w:footer="0" w:header="0"/>
          <w:type w:val="continuous"/>
        </w:sectPr>
      </w:pPr>
    </w:p>
    <w:bookmarkStart w:id="63" w:name="page64"/>
    <w:bookmarkEnd w:id="63"/>
    <w:p>
      <w:pPr>
        <w:ind w:left="284"/>
        <w:spacing w:after="0"/>
        <w:rPr>
          <w:sz w:val="20"/>
          <w:szCs w:val="20"/>
          <w:color w:val="auto"/>
        </w:rPr>
      </w:pPr>
      <w:r>
        <w:rPr>
          <w:rFonts w:ascii="Courier New" w:cs="Courier New" w:eastAsia="Courier New" w:hAnsi="Courier New"/>
          <w:sz w:val="16"/>
          <w:szCs w:val="16"/>
          <w:color w:val="auto"/>
        </w:rPr>
        <w:t>61</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SCOTTS' MIRACLE-GRO PRODUCTS, INC.</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4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JOHN KENLON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KENLON</w:t>
      </w: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184" w:lineRule="exact"/>
        <w:rPr>
          <w:sz w:val="20"/>
          <w:szCs w:val="20"/>
          <w:color w:val="auto"/>
        </w:rPr>
      </w:pPr>
    </w:p>
    <w:p>
      <w:pPr>
        <w:sectPr>
          <w:pgSz w:w="11900" w:h="16838" w:orient="portrait"/>
          <w:cols w:equalWidth="0" w:num="2">
            <w:col w:w="3744" w:space="0"/>
            <w:col w:w="647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JOHN KENLON*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JOHN KENLON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PATRICK J. NORTON</w:t>
      </w:r>
    </w:p>
    <w:p>
      <w:pPr>
        <w:sectPr>
          <w:pgSz w:w="11900" w:h="16838" w:orient="portrait"/>
          <w:cols w:equalWidth="0" w:num="1">
            <w:col w:w="10223"/>
          </w:cols>
          <w:pgMar w:left="236" w:top="293" w:right="1440" w:bottom="1440" w:gutter="0" w:footer="0" w:header="0"/>
          <w:type w:val="continuous"/>
        </w:sectPr>
      </w:pP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4" w:name="page65"/>
    <w:bookmarkEnd w:id="64"/>
    <w:p>
      <w:pPr>
        <w:ind w:left="284"/>
        <w:spacing w:after="0"/>
        <w:rPr>
          <w:sz w:val="20"/>
          <w:szCs w:val="20"/>
          <w:color w:val="auto"/>
        </w:rPr>
      </w:pPr>
      <w:r>
        <w:rPr>
          <w:rFonts w:ascii="Courier New" w:cs="Courier New" w:eastAsia="Courier New" w:hAnsi="Courier New"/>
          <w:sz w:val="16"/>
          <w:szCs w:val="16"/>
          <w:color w:val="auto"/>
        </w:rPr>
        <w:t>62</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MIRACLE-GRO LAWN PRODUCTS, INC.</w:t>
      </w:r>
    </w:p>
    <w:p>
      <w:pPr>
        <w:spacing w:after="0" w:line="179"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By: /s/ CHARLES M. BERGER*</w:t>
      </w:r>
    </w:p>
    <w:p>
      <w:pPr>
        <w:ind w:left="4124"/>
        <w:spacing w:after="0"/>
        <w:rPr>
          <w:sz w:val="20"/>
          <w:szCs w:val="20"/>
          <w:color w:val="auto"/>
        </w:rPr>
      </w:pPr>
      <w:r>
        <w:rPr>
          <w:rFonts w:ascii="Courier New" w:cs="Courier New" w:eastAsia="Courier New" w:hAnsi="Courier New"/>
          <w:sz w:val="16"/>
          <w:szCs w:val="16"/>
          <w:color w:val="auto"/>
        </w:rPr>
        <w:t>-------------------------------</w:t>
      </w:r>
    </w:p>
    <w:p>
      <w:pPr>
        <w:ind w:left="4124"/>
        <w:spacing w:after="0" w:line="237" w:lineRule="auto"/>
        <w:rPr>
          <w:sz w:val="20"/>
          <w:szCs w:val="20"/>
          <w:color w:val="auto"/>
        </w:rPr>
      </w:pPr>
      <w:r>
        <w:rPr>
          <w:rFonts w:ascii="Courier New" w:cs="Courier New" w:eastAsia="Courier New" w:hAnsi="Courier New"/>
          <w:sz w:val="16"/>
          <w:szCs w:val="16"/>
          <w:color w:val="auto"/>
        </w:rPr>
        <w:t>CHARLES M. BERGER</w:t>
      </w:r>
    </w:p>
    <w:p>
      <w:pPr>
        <w:ind w:left="4124"/>
        <w:spacing w:after="0"/>
        <w:rPr>
          <w:sz w:val="20"/>
          <w:szCs w:val="20"/>
          <w:color w:val="auto"/>
        </w:rPr>
      </w:pPr>
      <w:r>
        <w:rPr>
          <w:rFonts w:ascii="Courier New" w:cs="Courier New" w:eastAsia="Courier New" w:hAnsi="Courier New"/>
          <w:sz w:val="16"/>
          <w:szCs w:val="16"/>
          <w:color w:val="auto"/>
        </w:rPr>
        <w:t>President and Chief</w:t>
      </w:r>
    </w:p>
    <w:p>
      <w:pPr>
        <w:jc w:val="center"/>
        <w:ind w:right="-4"/>
        <w:spacing w:after="0" w:line="238" w:lineRule="auto"/>
        <w:rPr>
          <w:sz w:val="20"/>
          <w:szCs w:val="20"/>
          <w:color w:val="auto"/>
        </w:rPr>
      </w:pPr>
      <w:r>
        <w:rPr>
          <w:rFonts w:ascii="Courier New" w:cs="Courier New" w:eastAsia="Courier New" w:hAnsi="Courier New"/>
          <w:sz w:val="16"/>
          <w:szCs w:val="16"/>
          <w:color w:val="auto"/>
        </w:rPr>
        <w:t>Executive Officer</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Pursuant to the requirements of the</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Securities</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w w:val="96"/>
              </w:rPr>
              <w:t>Act of 1933, as amended, this</w:t>
            </w:r>
          </w:p>
        </w:tc>
      </w:tr>
      <w:tr>
        <w:trPr>
          <w:trHeight w:val="180"/>
        </w:trPr>
        <w:tc>
          <w:tcPr>
            <w:tcW w:w="3980" w:type="dxa"/>
            <w:vAlign w:val="bottom"/>
            <w:gridSpan w:val="2"/>
          </w:tcPr>
          <w:p>
            <w:pPr>
              <w:spacing w:after="0"/>
              <w:rPr>
                <w:sz w:val="20"/>
                <w:szCs w:val="20"/>
                <w:color w:val="auto"/>
              </w:rPr>
            </w:pPr>
            <w:r>
              <w:rPr>
                <w:rFonts w:ascii="Courier New" w:cs="Courier New" w:eastAsia="Courier New" w:hAnsi="Courier New"/>
                <w:sz w:val="16"/>
                <w:szCs w:val="16"/>
                <w:color w:val="auto"/>
                <w:w w:val="98"/>
              </w:rPr>
              <w:t>Amendments No. 4 to Registration Statement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has</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been signed below by the</w:t>
            </w: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following persons in the capacities</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and 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dates indicated.</w:t>
            </w:r>
          </w:p>
        </w:tc>
      </w:tr>
    </w:tbl>
    <w:p>
      <w:pPr>
        <w:spacing w:after="0" w:line="200" w:lineRule="exact"/>
        <w:rPr>
          <w:sz w:val="20"/>
          <w:szCs w:val="20"/>
          <w:color w:val="auto"/>
        </w:rPr>
      </w:pP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5" w:name="page66"/>
    <w:bookmarkEnd w:id="65"/>
    <w:p>
      <w:pPr>
        <w:ind w:left="284"/>
        <w:spacing w:after="0"/>
        <w:rPr>
          <w:sz w:val="20"/>
          <w:szCs w:val="20"/>
          <w:color w:val="auto"/>
        </w:rPr>
      </w:pPr>
      <w:r>
        <w:rPr>
          <w:rFonts w:ascii="Courier New" w:cs="Courier New" w:eastAsia="Courier New" w:hAnsi="Courier New"/>
          <w:sz w:val="16"/>
          <w:szCs w:val="16"/>
          <w:color w:val="auto"/>
        </w:rPr>
        <w:t>63</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MIRACLE-GRO PRODUCTS LTD.</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By: /s/ CHARLES M. BERGER*</w:t>
      </w:r>
    </w:p>
    <w:p>
      <w:pPr>
        <w:ind w:left="39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6" w:name="page67"/>
    <w:bookmarkEnd w:id="66"/>
    <w:p>
      <w:pPr>
        <w:ind w:left="284"/>
        <w:spacing w:after="0"/>
        <w:rPr>
          <w:sz w:val="20"/>
          <w:szCs w:val="20"/>
          <w:color w:val="auto"/>
        </w:rPr>
      </w:pPr>
      <w:r>
        <w:rPr>
          <w:rFonts w:ascii="Courier New" w:cs="Courier New" w:eastAsia="Courier New" w:hAnsi="Courier New"/>
          <w:sz w:val="16"/>
          <w:szCs w:val="16"/>
          <w:color w:val="auto"/>
        </w:rPr>
        <w:t>64</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OMS INVESTMENTS, INC.</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By: /s/ G. ROBERT LUCAS</w:t>
      </w:r>
    </w:p>
    <w:p>
      <w:pPr>
        <w:ind w:left="3844"/>
        <w:spacing w:after="0"/>
        <w:rPr>
          <w:sz w:val="20"/>
          <w:szCs w:val="20"/>
          <w:color w:val="auto"/>
        </w:rPr>
      </w:pPr>
      <w:r>
        <w:rPr>
          <w:rFonts w:ascii="Courier New" w:cs="Courier New" w:eastAsia="Courier New" w:hAnsi="Courier New"/>
          <w:sz w:val="16"/>
          <w:szCs w:val="16"/>
          <w:color w:val="auto"/>
        </w:rPr>
        <w:t>-------------------------------------</w:t>
      </w:r>
    </w:p>
    <w:p>
      <w:pPr>
        <w:ind w:left="3844"/>
        <w:spacing w:after="0" w:line="237" w:lineRule="auto"/>
        <w:rPr>
          <w:sz w:val="20"/>
          <w:szCs w:val="20"/>
          <w:color w:val="auto"/>
        </w:rPr>
      </w:pPr>
      <w:r>
        <w:rPr>
          <w:rFonts w:ascii="Courier New" w:cs="Courier New" w:eastAsia="Courier New" w:hAnsi="Courier New"/>
          <w:sz w:val="16"/>
          <w:szCs w:val="16"/>
          <w:color w:val="auto"/>
        </w:rPr>
        <w:t>G. ROBERT LUCAS</w:t>
      </w:r>
    </w:p>
    <w:p>
      <w:pPr>
        <w:ind w:left="38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64" w:space="66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67"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MARGARET PULGINI*</w:t>
      </w:r>
    </w:p>
    <w:p>
      <w:pPr>
        <w:sectPr>
          <w:pgSz w:w="11900" w:h="16838" w:orient="portrait"/>
          <w:cols w:equalWidth="0" w:num="1">
            <w:col w:w="10223"/>
          </w:cols>
          <w:pgMar w:left="236" w:top="293" w:right="1440"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December 11, 2000</w:t>
      </w:r>
    </w:p>
    <w:p>
      <w:pPr>
        <w:spacing w:after="0" w:line="10" w:lineRule="exact"/>
        <w:rPr>
          <w:sz w:val="20"/>
          <w:szCs w:val="20"/>
          <w:color w:val="auto"/>
        </w:rPr>
      </w:pPr>
    </w:p>
    <w:p>
      <w:pPr>
        <w:sectPr>
          <w:pgSz w:w="11900" w:h="16838" w:orient="portrait"/>
          <w:cols w:equalWidth="0" w:num="3">
            <w:col w:w="3784" w:space="720"/>
            <w:col w:w="2940" w:space="720"/>
            <w:col w:w="20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MARGARET PULGINI</w:t>
      </w:r>
    </w:p>
    <w:p>
      <w:pPr>
        <w:sectPr>
          <w:pgSz w:w="11900" w:h="16838" w:orient="portrait"/>
          <w:cols w:equalWidth="0" w:num="1">
            <w:col w:w="10223"/>
          </w:cols>
          <w:pgMar w:left="236" w:top="293" w:right="1440" w:bottom="1440" w:gutter="0" w:footer="0" w:header="0"/>
          <w:type w:val="continuous"/>
        </w:sectPr>
      </w:pPr>
    </w:p>
    <w:p>
      <w:pPr>
        <w:spacing w:after="0" w:line="37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EDWARD R. CLAGGETT</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7" w:name="page68"/>
    <w:bookmarkEnd w:id="67"/>
    <w:p>
      <w:pPr>
        <w:ind w:left="284"/>
        <w:spacing w:after="0"/>
        <w:rPr>
          <w:sz w:val="20"/>
          <w:szCs w:val="20"/>
          <w:color w:val="auto"/>
        </w:rPr>
      </w:pPr>
      <w:r>
        <w:rPr>
          <w:rFonts w:ascii="Courier New" w:cs="Courier New" w:eastAsia="Courier New" w:hAnsi="Courier New"/>
          <w:sz w:val="16"/>
          <w:szCs w:val="16"/>
          <w:color w:val="auto"/>
        </w:rPr>
        <w:t>65</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OLD FORT FINANCIAL CORP.</w:t>
      </w:r>
    </w:p>
    <w:p>
      <w:pPr>
        <w:spacing w:after="0" w:line="360"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By: /s/ CHARLES M. BERGER*</w:t>
      </w:r>
    </w:p>
    <w:p>
      <w:pPr>
        <w:ind w:left="36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CHARLES M. BERGER</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8" w:name="page69"/>
    <w:bookmarkEnd w:id="68"/>
    <w:p>
      <w:pPr>
        <w:ind w:left="284"/>
        <w:spacing w:after="0"/>
        <w:rPr>
          <w:sz w:val="20"/>
          <w:szCs w:val="20"/>
          <w:color w:val="auto"/>
        </w:rPr>
      </w:pPr>
      <w:r>
        <w:rPr>
          <w:rFonts w:ascii="Courier New" w:cs="Courier New" w:eastAsia="Courier New" w:hAnsi="Courier New"/>
          <w:sz w:val="16"/>
          <w:szCs w:val="16"/>
          <w:color w:val="auto"/>
        </w:rPr>
        <w:t>66</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HYPONEX CORPORATION</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84"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184" w:hanging="184"/>
        <w:spacing w:after="0"/>
        <w:tabs>
          <w:tab w:leader="none" w:pos="18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58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758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9" w:name="page70"/>
    <w:bookmarkEnd w:id="69"/>
    <w:p>
      <w:pPr>
        <w:ind w:left="284"/>
        <w:spacing w:after="0"/>
        <w:rPr>
          <w:sz w:val="20"/>
          <w:szCs w:val="20"/>
          <w:color w:val="auto"/>
        </w:rPr>
      </w:pPr>
      <w:r>
        <w:rPr>
          <w:rFonts w:ascii="Courier New" w:cs="Courier New" w:eastAsia="Courier New" w:hAnsi="Courier New"/>
          <w:sz w:val="16"/>
          <w:szCs w:val="16"/>
          <w:color w:val="auto"/>
        </w:rPr>
        <w:t>67</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EARTHGRO, INC.</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1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A. DITTMAN</w:t>
      </w:r>
    </w:p>
    <w:p>
      <w:pPr>
        <w:spacing w:after="0"/>
        <w:rPr>
          <w:sz w:val="20"/>
          <w:szCs w:val="20"/>
          <w:color w:val="auto"/>
        </w:rPr>
      </w:pPr>
      <w:r>
        <w:rPr>
          <w:rFonts w:ascii="Courier New" w:cs="Courier New" w:eastAsia="Courier New" w:hAnsi="Courier New"/>
          <w:sz w:val="16"/>
          <w:szCs w:val="16"/>
          <w:color w:val="auto"/>
        </w:rPr>
        <w:t>President</w:t>
      </w:r>
    </w:p>
    <w:p>
      <w:pPr>
        <w:spacing w:after="0" w:line="184" w:lineRule="exact"/>
        <w:rPr>
          <w:sz w:val="20"/>
          <w:szCs w:val="20"/>
          <w:color w:val="auto"/>
        </w:rPr>
      </w:pPr>
    </w:p>
    <w:p>
      <w:pPr>
        <w:sectPr>
          <w:pgSz w:w="11900" w:h="16838" w:orient="portrait"/>
          <w:cols w:equalWidth="0" w:num="2">
            <w:col w:w="3384" w:space="0"/>
            <w:col w:w="683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WILLIAM A. DITTMAN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0" w:name="page71"/>
    <w:bookmarkEnd w:id="70"/>
    <w:p>
      <w:pPr>
        <w:ind w:left="284"/>
        <w:spacing w:after="0"/>
        <w:rPr>
          <w:sz w:val="20"/>
          <w:szCs w:val="20"/>
          <w:color w:val="auto"/>
        </w:rPr>
      </w:pPr>
      <w:r>
        <w:rPr>
          <w:rFonts w:ascii="Courier New" w:cs="Courier New" w:eastAsia="Courier New" w:hAnsi="Courier New"/>
          <w:sz w:val="16"/>
          <w:szCs w:val="16"/>
          <w:color w:val="auto"/>
        </w:rPr>
        <w:t>68</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SCOTTS PRODUCTS CO.</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CHARLES M. BERGER</w:t>
      </w:r>
    </w:p>
    <w:p>
      <w:pPr>
        <w:ind w:left="2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84"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1" w:name="page72"/>
    <w:bookmarkEnd w:id="71"/>
    <w:p>
      <w:pPr>
        <w:ind w:left="284"/>
        <w:spacing w:after="0"/>
        <w:rPr>
          <w:sz w:val="20"/>
          <w:szCs w:val="20"/>
          <w:color w:val="auto"/>
        </w:rPr>
      </w:pPr>
      <w:r>
        <w:rPr>
          <w:rFonts w:ascii="Courier New" w:cs="Courier New" w:eastAsia="Courier New" w:hAnsi="Courier New"/>
          <w:sz w:val="16"/>
          <w:szCs w:val="16"/>
          <w:color w:val="auto"/>
        </w:rPr>
        <w:t>69</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SCOTTS PROFESSIONAL PRODUCTS CO.</w:t>
      </w:r>
    </w:p>
    <w:p>
      <w:pPr>
        <w:spacing w:after="0" w:line="36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CHARLES M. BERGER*</w:t>
      </w:r>
    </w:p>
    <w:p>
      <w:pPr>
        <w:ind w:left="37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2" w:name="page73"/>
    <w:bookmarkEnd w:id="72"/>
    <w:p>
      <w:pPr>
        <w:ind w:left="284"/>
        <w:spacing w:after="0"/>
        <w:rPr>
          <w:sz w:val="20"/>
          <w:szCs w:val="20"/>
          <w:color w:val="auto"/>
        </w:rPr>
      </w:pPr>
      <w:r>
        <w:rPr>
          <w:rFonts w:ascii="Courier New" w:cs="Courier New" w:eastAsia="Courier New" w:hAnsi="Courier New"/>
          <w:sz w:val="16"/>
          <w:szCs w:val="16"/>
          <w:color w:val="auto"/>
        </w:rPr>
        <w:t>70</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6"/>
          <w:szCs w:val="16"/>
          <w:color w:val="auto"/>
        </w:rPr>
        <w:t>REPUBLIC TOOL &amp; MANUFACTURING CORP.</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844" w:space="0"/>
            <w:col w:w="6379"/>
          </w:cols>
          <w:pgMar w:left="236" w:top="293" w:right="1440" w:bottom="1440" w:gutter="0" w:footer="0" w:header="0"/>
          <w:type w:val="continuous"/>
        </w:sectPr>
      </w:pPr>
    </w:p>
    <w:p>
      <w:pPr>
        <w:spacing w:after="0" w:line="17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PATRICK J. NORTON</w:t>
      </w:r>
    </w:p>
    <w:p>
      <w:pPr>
        <w:sectPr>
          <w:pgSz w:w="11900" w:h="16838" w:orient="portrait"/>
          <w:cols w:equalWidth="0" w:num="1">
            <w:col w:w="10223"/>
          </w:cols>
          <w:pgMar w:left="236" w:top="293" w:right="1440" w:bottom="1440" w:gutter="0" w:footer="0" w:header="0"/>
          <w:type w:val="continuous"/>
        </w:sectPr>
      </w:pP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3" w:name="page74"/>
    <w:bookmarkEnd w:id="73"/>
    <w:p>
      <w:pPr>
        <w:ind w:left="284"/>
        <w:spacing w:after="0"/>
        <w:rPr>
          <w:sz w:val="20"/>
          <w:szCs w:val="20"/>
          <w:color w:val="auto"/>
        </w:rPr>
      </w:pPr>
      <w:r>
        <w:rPr>
          <w:rFonts w:ascii="Courier New" w:cs="Courier New" w:eastAsia="Courier New" w:hAnsi="Courier New"/>
          <w:sz w:val="16"/>
          <w:szCs w:val="16"/>
          <w:color w:val="auto"/>
        </w:rPr>
        <w:t>71</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6"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SCOTTS-SIERRA HORTICULTURAL PRODUCTS COMPANY</w:t>
      </w:r>
    </w:p>
    <w:p>
      <w:pPr>
        <w:sectPr>
          <w:pgSz w:w="11900" w:h="16838" w:orient="portrait"/>
          <w:cols w:equalWidth="0" w:num="1">
            <w:col w:w="10223"/>
          </w:cols>
          <w:pgMar w:left="236" w:top="293" w:right="1440" w:bottom="1440" w:gutter="0" w:footer="0" w:header="0"/>
        </w:sectPr>
      </w:pPr>
    </w:p>
    <w:p>
      <w:pPr>
        <w:spacing w:after="0" w:line="371"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564" w:space="0"/>
            <w:col w:w="665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4" w:name="page75"/>
    <w:bookmarkEnd w:id="74"/>
    <w:p>
      <w:pPr>
        <w:ind w:left="284"/>
        <w:spacing w:after="0"/>
        <w:rPr>
          <w:sz w:val="20"/>
          <w:szCs w:val="20"/>
          <w:color w:val="auto"/>
        </w:rPr>
      </w:pPr>
      <w:r>
        <w:rPr>
          <w:rFonts w:ascii="Courier New" w:cs="Courier New" w:eastAsia="Courier New" w:hAnsi="Courier New"/>
          <w:sz w:val="16"/>
          <w:szCs w:val="16"/>
          <w:color w:val="auto"/>
        </w:rPr>
        <w:t>72</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SCOTTS-SIERRA CROP PROTECTION COMPANY</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944" w:space="0"/>
            <w:col w:w="6279"/>
          </w:cols>
          <w:pgMar w:left="236" w:top="293" w:right="1440" w:bottom="1440" w:gutter="0" w:footer="0" w:header="0"/>
          <w:type w:val="continuous"/>
        </w:sectPr>
      </w:pPr>
    </w:p>
    <w:p>
      <w:pPr>
        <w:spacing w:after="0" w:line="17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5" w:name="page76"/>
    <w:bookmarkEnd w:id="75"/>
    <w:p>
      <w:pPr>
        <w:ind w:left="284"/>
        <w:spacing w:after="0"/>
        <w:rPr>
          <w:sz w:val="20"/>
          <w:szCs w:val="20"/>
          <w:color w:val="auto"/>
        </w:rPr>
      </w:pPr>
      <w:r>
        <w:rPr>
          <w:rFonts w:ascii="Courier New" w:cs="Courier New" w:eastAsia="Courier New" w:hAnsi="Courier New"/>
          <w:sz w:val="16"/>
          <w:szCs w:val="16"/>
          <w:color w:val="auto"/>
        </w:rPr>
        <w:t>73</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SCOTTS-SIERRA INVESTMENTS INC.</w:t>
      </w:r>
    </w:p>
    <w:p>
      <w:pPr>
        <w:spacing w:after="0" w:line="36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EDWARD R. CLAGGETT</w:t>
      </w:r>
    </w:p>
    <w:p>
      <w:pPr>
        <w:sectPr>
          <w:pgSz w:w="11900" w:h="16838" w:orient="portrait"/>
          <w:cols w:equalWidth="0" w:num="1">
            <w:col w:w="10223"/>
          </w:cols>
          <w:pgMar w:left="236" w:top="293" w:right="1440" w:bottom="1440" w:gutter="0" w:footer="0" w:header="0"/>
          <w:type w:val="continuous"/>
        </w:sectPr>
      </w:pP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MARGARET PULGINI*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MARGARET PULGINI</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6" w:name="page77"/>
    <w:bookmarkEnd w:id="76"/>
    <w:p>
      <w:pPr>
        <w:ind w:left="284"/>
        <w:spacing w:after="0"/>
        <w:rPr>
          <w:sz w:val="20"/>
          <w:szCs w:val="20"/>
          <w:color w:val="auto"/>
        </w:rPr>
      </w:pPr>
      <w:r>
        <w:rPr>
          <w:rFonts w:ascii="Courier New" w:cs="Courier New" w:eastAsia="Courier New" w:hAnsi="Courier New"/>
          <w:sz w:val="16"/>
          <w:szCs w:val="16"/>
          <w:color w:val="auto"/>
        </w:rPr>
        <w:t>74</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5 to Registration Statement on Form S-4 to be signed on its behalf by the undersigned, thereunto duly authorized, in the City of Columbus, State of Ohio, on December 11,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SWISS FARMS PRODUCTS, INC.</w:t>
      </w:r>
    </w:p>
    <w:p>
      <w:pPr>
        <w:spacing w:after="0" w:line="36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Date</w:t>
      </w:r>
    </w:p>
    <w:p>
      <w:pPr>
        <w:ind w:left="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11, 2000</w:t>
      </w:r>
    </w:p>
    <w:p>
      <w:pPr>
        <w:spacing w:after="0" w:line="1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EDWARD R. CLAGGETT</w:t>
      </w:r>
    </w:p>
    <w:p>
      <w:pPr>
        <w:sectPr>
          <w:pgSz w:w="11900" w:h="16838" w:orient="portrait"/>
          <w:cols w:equalWidth="0" w:num="1">
            <w:col w:w="10223"/>
          </w:cols>
          <w:pgMar w:left="236" w:top="293" w:right="1440" w:bottom="1440" w:gutter="0" w:footer="0" w:header="0"/>
          <w:type w:val="continuous"/>
        </w:sectPr>
      </w:pP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JOLEEN LEGAKES*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11, 2000</w:t>
      </w:r>
    </w:p>
    <w:p>
      <w:pPr>
        <w:ind w:left="184" w:hanging="184"/>
        <w:spacing w:after="0"/>
        <w:tabs>
          <w:tab w:leader="none" w:pos="184"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JOLEEN LEGAKES</w:t>
      </w:r>
    </w:p>
    <w:p>
      <w:pPr>
        <w:spacing w:after="0" w:line="35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7" w:name="page78"/>
    <w:bookmarkEnd w:id="77"/>
    <w:p>
      <w:pPr>
        <w:ind w:left="284"/>
        <w:spacing w:after="0"/>
        <w:rPr>
          <w:sz w:val="20"/>
          <w:szCs w:val="20"/>
          <w:color w:val="auto"/>
        </w:rPr>
      </w:pPr>
      <w:r>
        <w:rPr>
          <w:rFonts w:ascii="Courier New" w:cs="Courier New" w:eastAsia="Courier New" w:hAnsi="Courier New"/>
          <w:sz w:val="16"/>
          <w:szCs w:val="16"/>
          <w:color w:val="auto"/>
        </w:rPr>
        <w:t>75</w:t>
      </w:r>
    </w:p>
    <w:p>
      <w:pPr>
        <w:ind w:left="3004"/>
        <w:spacing w:after="0"/>
        <w:rPr>
          <w:sz w:val="20"/>
          <w:szCs w:val="20"/>
          <w:color w:val="auto"/>
        </w:rPr>
      </w:pPr>
      <w:r>
        <w:rPr>
          <w:rFonts w:ascii="Courier New" w:cs="Courier New" w:eastAsia="Courier New" w:hAnsi="Courier New"/>
          <w:sz w:val="16"/>
          <w:szCs w:val="16"/>
          <w:color w:val="auto"/>
        </w:rPr>
        <w:t>INDEX TO 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504" w:hanging="1316"/>
        <w:spacing w:after="0" w:line="237" w:lineRule="auto"/>
        <w:tabs>
          <w:tab w:leader="none" w:pos="150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4" w:type="dxa"/>
        <w:tblCellMar>
          <w:top w:w="0" w:type="dxa"/>
          <w:left w:w="0" w:type="dxa"/>
          <w:bottom w:w="0" w:type="dxa"/>
          <w:right w:w="0" w:type="dxa"/>
        </w:tblCellMar>
      </w:tblPr>
      <w:tr>
        <w:trPr>
          <w:trHeight w:val="18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Asset Purchase Agreement dated as of November 11, 1998, between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Monsanto Company and the Registrant (incorporated herein by</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reference to Exhibit 2(d) to the Registrant's Annual Report</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on Form 10-K for the fiscal year ended September 30, 2000 (File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No. 001-13292)). Certain portions of this exhibit have been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omitted based upon a request for confidential treatment filed</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with the Commission. The non-public information has been filed</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separately with the Commission in connection with that request.</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Amended and Restated Agency and Marketing Agreement dated as of</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September 30, 1998 between Monsanto Company and the Registrant</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(incorporated herein by reference to Exhibit 10(v) to the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Registrant's Annual Report on Form 10-K for the fiscal</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year ended September 30, 2000 (File No. 001-13292)). Certain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portions of this exhibit have been omitted based upon a request</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for confidential treatment filed with the Commission. The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non-public information has been filed separately with the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Commission in connection with that request.</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Indenture dated as January 20, 1999 between The Scotts Company</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and State Street Bank and Trust Company, as trustee</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Opinion of Vorys, Sater, Seymour and Pease LLP</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Consent of PricewaterhouseCoopers LLP, Independent Accountants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Consent of Vorys, Sater, Seymour and Pease LLP (included in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Exhibit 5)</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Consent of The Bayard Firm</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Powers of Attorney</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8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254" w:lineRule="auto"/>
        <w:tabs>
          <w:tab w:leader="none" w:pos="37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ind w:left="3564"/>
        <w:spacing w:after="0" w:line="234" w:lineRule="auto"/>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23"/>
          </w:cols>
          <w:pgMar w:left="236" w:top="293"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1</w:t>
      </w:r>
    </w:p>
    <w:tbl>
      <w:tblPr>
        <w:tblLayout w:type="fixed"/>
        <w:tblInd w:w="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EXHIBIT 12</w:t>
            </w: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50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THE SCOTTS COMPANY</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590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STATEMENT OF COMPUTATION OF RATIO OF</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5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EARNINGS TO FIXED CHARGES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50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 IN MILLIONS)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721"/>
        </w:trPr>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1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July 1, 2000</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Pretax income from continuing</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operations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$61.9</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$117.0</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$138.0</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74.4</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factor on rents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Losses incurred by majority-</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owned subsidiaries not</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recorded</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$65.8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$98.1</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$202.0</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$217.7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$ 79.1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$ 74.4</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capitalized</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940"/>
              <w:spacing w:after="0"/>
              <w:rPr>
                <w:sz w:val="20"/>
                <w:szCs w:val="20"/>
                <w:color w:val="auto"/>
              </w:rPr>
            </w:pPr>
            <w:r>
              <w:rPr>
                <w:rFonts w:ascii="Courier New" w:cs="Courier New" w:eastAsia="Courier New" w:hAnsi="Courier New"/>
                <w:sz w:val="16"/>
                <w:szCs w:val="16"/>
                <w:color w:val="auto"/>
              </w:rPr>
              <w:t>Interest incurred</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33.0</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80.1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75.1</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Rent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18.5</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16.0</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Estimated interest factor</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940"/>
              <w:spacing w:after="0"/>
              <w:rPr>
                <w:sz w:val="20"/>
                <w:szCs w:val="20"/>
                <w:color w:val="auto"/>
              </w:rPr>
            </w:pPr>
            <w:r>
              <w:rPr>
                <w:rFonts w:ascii="Courier New" w:cs="Courier New" w:eastAsia="Courier New" w:hAnsi="Courier New"/>
                <w:sz w:val="16"/>
                <w:szCs w:val="16"/>
                <w:color w:val="auto"/>
              </w:rPr>
              <w:t>Interest factor on rents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1400"/>
              <w:spacing w:after="0"/>
              <w:rPr>
                <w:sz w:val="20"/>
                <w:szCs w:val="20"/>
                <w:color w:val="auto"/>
              </w:rPr>
            </w:pPr>
            <w:r>
              <w:rPr>
                <w:rFonts w:ascii="Courier New" w:cs="Courier New" w:eastAsia="Courier New" w:hAnsi="Courier New"/>
                <w:sz w:val="16"/>
                <w:szCs w:val="16"/>
                <w:color w:val="auto"/>
              </w:rPr>
              <w:t>Total fixed charges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$ 86.2</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$ 80.4</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500"/>
          </w:cols>
          <w:pgMar w:left="240" w:top="137" w:right="1159" w:bottom="1440" w:gutter="0" w:footer="0" w:header="0"/>
        </w:sectPr>
      </w:pPr>
    </w:p>
    <w:bookmarkStart w:id="79" w:name="page80"/>
    <w:bookmarkEnd w:id="79"/>
    <w:p>
      <w:pPr>
        <w:ind w:left="284"/>
        <w:spacing w:after="0"/>
        <w:rPr>
          <w:sz w:val="20"/>
          <w:szCs w:val="20"/>
          <w:color w:val="auto"/>
        </w:rPr>
      </w:pPr>
      <w:r>
        <w:rPr>
          <w:rFonts w:ascii="Courier New" w:cs="Courier New" w:eastAsia="Courier New" w:hAnsi="Courier New"/>
          <w:sz w:val="16"/>
          <w:szCs w:val="16"/>
          <w:color w:val="auto"/>
        </w:rPr>
        <w:t>1</w:t>
      </w:r>
    </w:p>
    <w:p>
      <w:pPr>
        <w:ind w:left="6384"/>
        <w:spacing w:after="0"/>
        <w:rPr>
          <w:sz w:val="20"/>
          <w:szCs w:val="20"/>
          <w:color w:val="auto"/>
        </w:rPr>
      </w:pPr>
      <w:r>
        <w:rPr>
          <w:rFonts w:ascii="Courier New" w:cs="Courier New" w:eastAsia="Courier New" w:hAnsi="Courier New"/>
          <w:sz w:val="16"/>
          <w:szCs w:val="16"/>
          <w:color w:val="auto"/>
        </w:rPr>
        <w:t>Exhibit 23.1</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[LOGO]</w:t>
      </w:r>
    </w:p>
    <w:p>
      <w:pPr>
        <w:spacing w:after="0" w:line="185" w:lineRule="exact"/>
        <w:rPr>
          <w:sz w:val="20"/>
          <w:szCs w:val="20"/>
          <w:color w:val="auto"/>
        </w:rPr>
      </w:pPr>
    </w:p>
    <w:p>
      <w:pPr>
        <w:ind w:left="184" w:hanging="184"/>
        <w:spacing w:after="0"/>
        <w:tabs>
          <w:tab w:leader="none" w:pos="18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5064"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PricewaterhouseCoopers LLP 100 East Broad Street Suite 2100</w:t>
      </w:r>
    </w:p>
    <w:p>
      <w:pPr>
        <w:spacing w:after="0" w:line="4" w:lineRule="exact"/>
        <w:rPr>
          <w:rFonts w:ascii="Courier New" w:cs="Courier New" w:eastAsia="Courier New" w:hAnsi="Courier New"/>
          <w:sz w:val="15"/>
          <w:szCs w:val="15"/>
          <w:color w:val="auto"/>
        </w:rPr>
      </w:pPr>
    </w:p>
    <w:p>
      <w:pPr>
        <w:ind w:left="5064"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Columbus OH 43215-3671 Telephone (614) 225-8700 Facsimile (614) 224-1044</w:t>
      </w:r>
    </w:p>
    <w:p>
      <w:pPr>
        <w:spacing w:after="0" w:line="200" w:lineRule="exact"/>
        <w:rPr>
          <w:sz w:val="20"/>
          <w:szCs w:val="20"/>
          <w:color w:val="auto"/>
        </w:rPr>
      </w:pPr>
    </w:p>
    <w:p>
      <w:pPr>
        <w:spacing w:after="0" w:line="327"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34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The Scotts Company of our reports dated October 21, 1999 relating to the financial statements and financial statement schedules, which appear in The Scotts Company's Annual Report on Form 10-K/A for the year ended September 30, 1999. We also consent to the incorporation by reference to our name in the Registration Statement on Form S-4.</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December 8, 2000</w:t>
      </w:r>
    </w:p>
    <w:p>
      <w:pPr>
        <w:sectPr>
          <w:pgSz w:w="11900" w:h="16838" w:orient="portrait"/>
          <w:cols w:equalWidth="0" w:num="1">
            <w:col w:w="10223"/>
          </w:cols>
          <w:pgMar w:left="236" w:top="136"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23.4</w:t>
      </w:r>
    </w:p>
    <w:p>
      <w:pPr>
        <w:spacing w:after="0" w:line="35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[THE BAYARD FIRM LETTERHEAD]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8, 2000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rPr>
          <w:sz w:val="20"/>
          <w:szCs w:val="20"/>
          <w:color w:val="auto"/>
        </w:rPr>
      </w:pPr>
      <w:r>
        <w:rPr>
          <w:rFonts w:ascii="Courier New" w:cs="Courier New" w:eastAsia="Courier New" w:hAnsi="Courier New"/>
          <w:sz w:val="16"/>
          <w:szCs w:val="16"/>
          <w:color w:val="auto"/>
        </w:rPr>
        <w:t>Worldwide Headquarters</w:t>
      </w:r>
    </w:p>
    <w:p>
      <w:pPr>
        <w:spacing w:after="0" w:line="237" w:lineRule="auto"/>
        <w:rPr>
          <w:sz w:val="20"/>
          <w:szCs w:val="20"/>
          <w:color w:val="auto"/>
        </w:rPr>
      </w:pPr>
      <w:r>
        <w:rPr>
          <w:rFonts w:ascii="Courier New" w:cs="Courier New" w:eastAsia="Courier New" w:hAnsi="Courier New"/>
          <w:sz w:val="16"/>
          <w:szCs w:val="16"/>
          <w:color w:val="auto"/>
        </w:rPr>
        <w:t>41 South High Street</w:t>
      </w:r>
    </w:p>
    <w:p>
      <w:pPr>
        <w:spacing w:after="0"/>
        <w:rPr>
          <w:sz w:val="20"/>
          <w:szCs w:val="20"/>
          <w:color w:val="auto"/>
        </w:rPr>
      </w:pPr>
      <w:r>
        <w:rPr>
          <w:rFonts w:ascii="Courier New" w:cs="Courier New" w:eastAsia="Courier New" w:hAnsi="Courier New"/>
          <w:sz w:val="16"/>
          <w:szCs w:val="16"/>
          <w:color w:val="auto"/>
        </w:rPr>
        <w:t>Columbus, Ohio 43215</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CONSENT OF</w:t>
      </w:r>
    </w:p>
    <w:p>
      <w:pPr>
        <w:ind w:left="3000"/>
        <w:spacing w:after="0"/>
        <w:rPr>
          <w:sz w:val="20"/>
          <w:szCs w:val="20"/>
          <w:color w:val="auto"/>
        </w:rPr>
      </w:pPr>
      <w:r>
        <w:rPr>
          <w:rFonts w:ascii="Courier New" w:cs="Courier New" w:eastAsia="Courier New" w:hAnsi="Courier New"/>
          <w:sz w:val="16"/>
          <w:szCs w:val="16"/>
          <w:color w:val="auto"/>
        </w:rPr>
        <w:t>THE BAYARD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to our name in the Registration Statement on Form S-4 (file no. 333-76939) of the Scotts Company. In giving this consent, we do not admit that we come within the category of persons whose consent is required to be filed with the Registration Statement under the provisions of the Securities Act or the rules and regulations promulgated thereunder.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The Bayard Firm</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1)"/>
      <w:numFmt w:val="decimal"/>
      <w:start w:val="1"/>
    </w:lvl>
  </w:abstractNum>
  <w:abstractNum w:abstractNumId="1">
    <w:nsid w:val="540A471C"/>
    <w:multiLevelType w:val="hybridMultilevel"/>
    <w:lvl w:ilvl="0">
      <w:lvlJc w:val="left"/>
      <w:lvlText w:val="(%1)"/>
      <w:numFmt w:val="decimal"/>
      <w:start w:val="2"/>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lvl w:ilvl="1">
      <w:lvlJc w:val="left"/>
      <w:lvlText w:val="-"/>
      <w:numFmt w:val="bullet"/>
      <w:start w:val="1"/>
    </w:lvl>
  </w:abstractNum>
  <w:abstractNum w:abstractNumId="15">
    <w:nsid w:val="6A5EE64"/>
    <w:multiLevelType w:val="hybridMultilevel"/>
    <w:lvl w:ilvl="0">
      <w:lvlJc w:val="left"/>
      <w:lvlText w:val="-"/>
      <w:numFmt w:val="bullet"/>
      <w:start w:val="1"/>
    </w:lvl>
    <w:lvl w:ilvl="1">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lvl w:ilvl="1">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lvl w:ilvl="1">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lvl w:ilvl="1">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lvl w:ilvl="1">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
      <w:numFmt w:val="bullet"/>
      <w:start w:val="1"/>
    </w:lvl>
  </w:abstractNum>
  <w:abstractNum w:abstractNumId="33">
    <w:nsid w:val="2DF6D648"/>
    <w:multiLevelType w:val="hybridMultilevel"/>
    <w:lvl w:ilvl="0">
      <w:lvlJc w:val="left"/>
      <w:lvlText w:val="-"/>
      <w:numFmt w:val="bullet"/>
      <w:start w:val="1"/>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lvl w:ilvl="1">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
      <w:numFmt w:val="bullet"/>
      <w:start w:val="1"/>
    </w:lvl>
  </w:abstractNum>
  <w:abstractNum w:abstractNumId="40">
    <w:nsid w:val="60EF0119"/>
    <w:multiLevelType w:val="hybridMultilevel"/>
    <w:lvl w:ilvl="0">
      <w:lvlJc w:val="left"/>
      <w:lvlText w:val="-"/>
      <w:numFmt w:val="bullet"/>
      <w:start w:val="1"/>
    </w:lvl>
    <w:lvl w:ilvl="1">
      <w:lvlJc w:val="left"/>
      <w:lvlText w:val="-"/>
      <w:numFmt w:val="bullet"/>
      <w:start w:val="1"/>
    </w:lvl>
  </w:abstractNum>
  <w:abstractNum w:abstractNumId="41">
    <w:nsid w:val="26F324BA"/>
    <w:multiLevelType w:val="hybridMultilevel"/>
    <w:lvl w:ilvl="0">
      <w:lvlJc w:val="left"/>
      <w:lvlText w:val="-"/>
      <w:numFmt w:val="bullet"/>
      <w:start w:val="1"/>
    </w:lvl>
  </w:abstractNum>
  <w:abstractNum w:abstractNumId="42">
    <w:nsid w:val="7F01579B"/>
    <w:multiLevelType w:val="hybridMultilevel"/>
    <w:lvl w:ilvl="0">
      <w:lvlJc w:val="left"/>
      <w:lvlText w:val="-"/>
      <w:numFmt w:val="bullet"/>
      <w:start w:val="1"/>
    </w:lvl>
  </w:abstractNum>
  <w:abstractNum w:abstractNumId="43">
    <w:nsid w:val="49DA307D"/>
    <w:multiLevelType w:val="hybridMultilevel"/>
    <w:lvl w:ilvl="0">
      <w:lvlJc w:val="left"/>
      <w:lvlText w:val="-"/>
      <w:numFmt w:val="bullet"/>
      <w:start w:val="1"/>
    </w:lvl>
  </w:abstractNum>
  <w:abstractNum w:abstractNumId="44">
    <w:nsid w:val="7055A5F5"/>
    <w:multiLevelType w:val="hybridMultilevel"/>
    <w:lvl w:ilvl="0">
      <w:lvlJc w:val="left"/>
      <w:lvlText w:val="-"/>
      <w:numFmt w:val="bullet"/>
      <w:start w:val="1"/>
    </w:lvl>
  </w:abstractNum>
  <w:abstractNum w:abstractNumId="45">
    <w:nsid w:val="5FB8370B"/>
    <w:multiLevelType w:val="hybridMultilevel"/>
    <w:lvl w:ilvl="0">
      <w:lvlJc w:val="left"/>
      <w:lvlText w:val="-"/>
      <w:numFmt w:val="bullet"/>
      <w:start w:val="1"/>
    </w:lvl>
    <w:lvl w:ilvl="1">
      <w:lvlJc w:val="left"/>
      <w:lvlText w:val="-"/>
      <w:numFmt w:val="bullet"/>
      <w:start w:val="1"/>
    </w:lvl>
  </w:abstractNum>
  <w:abstractNum w:abstractNumId="46">
    <w:nsid w:val="50801EE1"/>
    <w:multiLevelType w:val="hybridMultilevel"/>
    <w:lvl w:ilvl="0">
      <w:lvlJc w:val="left"/>
      <w:lvlText w:val="-"/>
      <w:numFmt w:val="bullet"/>
      <w:start w:val="1"/>
    </w:lvl>
  </w:abstractNum>
  <w:abstractNum w:abstractNumId="47">
    <w:nsid w:val="488AC1A"/>
    <w:multiLevelType w:val="hybridMultilevel"/>
    <w:lvl w:ilvl="0">
      <w:lvlJc w:val="left"/>
      <w:lvlText w:val="-"/>
      <w:numFmt w:val="bullet"/>
      <w:start w:val="1"/>
    </w:lvl>
  </w:abstractNum>
  <w:abstractNum w:abstractNumId="48">
    <w:nsid w:val="5FB8011C"/>
    <w:multiLevelType w:val="hybridMultilevel"/>
    <w:lvl w:ilvl="0">
      <w:lvlJc w:val="left"/>
      <w:lvlText w:val="-"/>
      <w:numFmt w:val="bullet"/>
      <w:start w:val="1"/>
    </w:lvl>
  </w:abstractNum>
  <w:abstractNum w:abstractNumId="49">
    <w:nsid w:val="6AA78F7F"/>
    <w:multiLevelType w:val="hybridMultilevel"/>
    <w:lvl w:ilvl="0">
      <w:lvlJc w:val="left"/>
      <w:lvlText w:val="-"/>
      <w:numFmt w:val="bullet"/>
      <w:start w:val="1"/>
    </w:lvl>
    <w:lvl w:ilvl="1">
      <w:lvlJc w:val="left"/>
      <w:lvlText w:val="-"/>
      <w:numFmt w:val="bullet"/>
      <w:start w:val="1"/>
    </w:lvl>
  </w:abstractNum>
  <w:abstractNum w:abstractNumId="50">
    <w:nsid w:val="7672BD23"/>
    <w:multiLevelType w:val="hybridMultilevel"/>
    <w:lvl w:ilvl="0">
      <w:lvlJc w:val="left"/>
      <w:lvlText w:val="-"/>
      <w:numFmt w:val="bullet"/>
      <w:start w:val="1"/>
    </w:lvl>
  </w:abstractNum>
  <w:abstractNum w:abstractNumId="51">
    <w:nsid w:val="6FC75AF8"/>
    <w:multiLevelType w:val="hybridMultilevel"/>
    <w:lvl w:ilvl="0">
      <w:lvlJc w:val="left"/>
      <w:lvlText w:val="-"/>
      <w:numFmt w:val="bullet"/>
      <w:start w:val="1"/>
    </w:lvl>
  </w:abstractNum>
  <w:abstractNum w:abstractNumId="52">
    <w:nsid w:val="6A5F7029"/>
    <w:multiLevelType w:val="hybridMultilevel"/>
    <w:lvl w:ilvl="0">
      <w:lvlJc w:val="left"/>
      <w:lvlText w:val="-"/>
      <w:numFmt w:val="bullet"/>
      <w:start w:val="1"/>
    </w:lvl>
    <w:lvl w:ilvl="1">
      <w:lvlJc w:val="left"/>
      <w:lvlText w:val="-"/>
      <w:numFmt w:val="bullet"/>
      <w:start w:val="1"/>
    </w:lvl>
  </w:abstractNum>
  <w:abstractNum w:abstractNumId="53">
    <w:nsid w:val="7D5E18F8"/>
    <w:multiLevelType w:val="hybridMultilevel"/>
    <w:lvl w:ilvl="0">
      <w:lvlJc w:val="left"/>
      <w:lvlText w:val="-"/>
      <w:numFmt w:val="bullet"/>
      <w:start w:val="1"/>
    </w:lvl>
  </w:abstractNum>
  <w:abstractNum w:abstractNumId="54">
    <w:nsid w:val="5F3534A4"/>
    <w:multiLevelType w:val="hybridMultilevel"/>
    <w:lvl w:ilvl="0">
      <w:lvlJc w:val="left"/>
      <w:lvlText w:val="-"/>
      <w:numFmt w:val="bullet"/>
      <w:start w:val="1"/>
    </w:lvl>
  </w:abstractNum>
  <w:abstractNum w:abstractNumId="55">
    <w:nsid w:val="73A1821B"/>
    <w:multiLevelType w:val="hybridMultilevel"/>
    <w:lvl w:ilvl="0">
      <w:lvlJc w:val="left"/>
      <w:lvlText w:val="-"/>
      <w:numFmt w:val="bullet"/>
      <w:start w:val="1"/>
    </w:lvl>
  </w:abstractNum>
  <w:abstractNum w:abstractNumId="56">
    <w:nsid w:val="7DE67713"/>
    <w:multiLevelType w:val="hybridMultilevel"/>
    <w:lvl w:ilvl="0">
      <w:lvlJc w:val="left"/>
      <w:lvlText w:val="-"/>
      <w:numFmt w:val="bullet"/>
      <w:start w:val="1"/>
    </w:lvl>
  </w:abstractNum>
  <w:abstractNum w:abstractNumId="57">
    <w:nsid w:val="555C55B5"/>
    <w:multiLevelType w:val="hybridMultilevel"/>
    <w:lvl w:ilvl="0">
      <w:lvlJc w:val="left"/>
      <w:lvlText w:val="-"/>
      <w:numFmt w:val="bullet"/>
      <w:start w:val="1"/>
    </w:lvl>
  </w:abstractNum>
  <w:abstractNum w:abstractNumId="58">
    <w:nsid w:val="3FA62ACA"/>
    <w:multiLevelType w:val="hybridMultilevel"/>
    <w:lvl w:ilvl="0">
      <w:lvlJc w:val="left"/>
      <w:lvlText w:val="-"/>
      <w:numFmt w:val="bullet"/>
      <w:start w:val="1"/>
    </w:lvl>
  </w:abstractNum>
  <w:abstractNum w:abstractNumId="59">
    <w:nsid w:val="14FCE74E"/>
    <w:multiLevelType w:val="hybridMultilevel"/>
    <w:lvl w:ilvl="0">
      <w:lvlJc w:val="left"/>
      <w:lvlText w:val="-"/>
      <w:numFmt w:val="bullet"/>
      <w:start w:val="1"/>
    </w:lvl>
  </w:abstractNum>
  <w:abstractNum w:abstractNumId="60">
    <w:nsid w:val="6A3DD3E8"/>
    <w:multiLevelType w:val="hybridMultilevel"/>
    <w:lvl w:ilvl="0">
      <w:lvlJc w:val="left"/>
      <w:lvlText w:val="-"/>
      <w:numFmt w:val="bullet"/>
      <w:start w:val="1"/>
    </w:lvl>
  </w:abstractNum>
  <w:abstractNum w:abstractNumId="61">
    <w:nsid w:val="71C91298"/>
    <w:multiLevelType w:val="hybridMultilevel"/>
    <w:lvl w:ilvl="0">
      <w:lvlJc w:val="left"/>
      <w:lvlText w:val="-"/>
      <w:numFmt w:val="bullet"/>
      <w:start w:val="1"/>
    </w:lvl>
  </w:abstractNum>
  <w:abstractNum w:abstractNumId="62">
    <w:nsid w:val="9DAF632"/>
    <w:multiLevelType w:val="hybridMultilevel"/>
    <w:lvl w:ilvl="0">
      <w:lvlJc w:val="left"/>
      <w:lvlText w:val="-"/>
      <w:numFmt w:val="bullet"/>
      <w:start w:val="1"/>
    </w:lvl>
  </w:abstractNum>
  <w:abstractNum w:abstractNumId="63">
    <w:nsid w:val="53299938"/>
    <w:multiLevelType w:val="hybridMultilevel"/>
    <w:lvl w:ilvl="0">
      <w:lvlJc w:val="left"/>
      <w:lvlText w:val="-"/>
      <w:numFmt w:val="bullet"/>
      <w:start w:val="1"/>
    </w:lvl>
  </w:abstractNum>
  <w:abstractNum w:abstractNumId="64">
    <w:nsid w:val="1FBFE8E0"/>
    <w:multiLevelType w:val="hybridMultilevel"/>
    <w:lvl w:ilvl="0">
      <w:lvlJc w:val="left"/>
      <w:lvlText w:val="-"/>
      <w:numFmt w:val="bullet"/>
      <w:start w:val="1"/>
    </w:lvl>
  </w:abstractNum>
  <w:abstractNum w:abstractNumId="65">
    <w:nsid w:val="5092CA79"/>
    <w:multiLevelType w:val="hybridMultilevel"/>
    <w:lvl w:ilvl="0">
      <w:lvlJc w:val="left"/>
      <w:lvlText w:val="-"/>
      <w:numFmt w:val="bullet"/>
      <w:start w:val="1"/>
    </w:lvl>
  </w:abstractNum>
  <w:abstractNum w:abstractNumId="66">
    <w:nsid w:val="1D545C4D"/>
    <w:multiLevelType w:val="hybridMultilevel"/>
    <w:lvl w:ilvl="0">
      <w:lvlJc w:val="left"/>
      <w:lvlText w:val="-"/>
      <w:numFmt w:val="bullet"/>
      <w:start w:val="1"/>
    </w:lvl>
    <w:lvl w:ilvl="1">
      <w:lvlJc w:val="left"/>
      <w:lvlText w:val="-"/>
      <w:numFmt w:val="bullet"/>
      <w:start w:val="1"/>
    </w:lvl>
  </w:abstractNum>
  <w:abstractNum w:abstractNumId="67">
    <w:nsid w:val="59ADEA3D"/>
    <w:multiLevelType w:val="hybridMultilevel"/>
    <w:lvl w:ilvl="0">
      <w:lvlJc w:val="left"/>
      <w:lvlText w:val="-"/>
      <w:numFmt w:val="bullet"/>
      <w:start w:val="1"/>
    </w:lvl>
  </w:abstractNum>
  <w:abstractNum w:abstractNumId="68">
    <w:nsid w:val="288F1A34"/>
    <w:multiLevelType w:val="hybridMultilevel"/>
    <w:lvl w:ilvl="0">
      <w:lvlJc w:val="left"/>
      <w:lvlText w:val="-"/>
      <w:numFmt w:val="bullet"/>
      <w:start w:val="1"/>
    </w:lvl>
  </w:abstractNum>
  <w:abstractNum w:abstractNumId="69">
    <w:nsid w:val="2A155DBC"/>
    <w:multiLevelType w:val="hybridMultilevel"/>
    <w:lvl w:ilvl="0">
      <w:lvlJc w:val="left"/>
      <w:lvlText w:val="-"/>
      <w:numFmt w:val="bullet"/>
      <w:start w:val="1"/>
    </w:lvl>
  </w:abstractNum>
  <w:abstractNum w:abstractNumId="70">
    <w:nsid w:val="1D9F6E5F"/>
    <w:multiLevelType w:val="hybridMultilevel"/>
    <w:lvl w:ilvl="0">
      <w:lvlJc w:val="left"/>
      <w:lvlText w:val="-"/>
      <w:numFmt w:val="bullet"/>
      <w:start w:val="1"/>
    </w:lvl>
  </w:abstractNum>
  <w:abstractNum w:abstractNumId="71">
    <w:nsid w:val="97E1B4E"/>
    <w:multiLevelType w:val="hybridMultilevel"/>
    <w:lvl w:ilvl="0">
      <w:lvlJc w:val="left"/>
      <w:lvlText w:val="-"/>
      <w:numFmt w:val="bullet"/>
      <w:start w:val="1"/>
    </w:lvl>
  </w:abstractNum>
  <w:abstractNum w:abstractNumId="72">
    <w:nsid w:val="51088277"/>
    <w:multiLevelType w:val="hybridMultilevel"/>
    <w:lvl w:ilvl="0">
      <w:lvlJc w:val="left"/>
      <w:lvlText w:val="-"/>
      <w:numFmt w:val="bullet"/>
      <w:start w:val="1"/>
    </w:lvl>
  </w:abstractNum>
  <w:abstractNum w:abstractNumId="73">
    <w:nsid w:val="1CA0C5FA"/>
    <w:multiLevelType w:val="hybridMultilevel"/>
    <w:lvl w:ilvl="0">
      <w:lvlJc w:val="left"/>
      <w:lvlText w:val="&quot;"/>
      <w:numFmt w:val="bullet"/>
      <w:start w:val="1"/>
    </w:lvl>
  </w:abstractNum>
  <w:abstractNum w:abstractNumId="74">
    <w:nsid w:val="53584BCB"/>
    <w:multiLevelType w:val="hybridMultilevel"/>
    <w:lvl w:ilvl="0">
      <w:lvlJc w:val="left"/>
      <w:lvlText w:val="-"/>
      <w:numFmt w:val="bullet"/>
      <w:start w:val="1"/>
    </w:lvl>
  </w:abstractNum>
  <w:abstractNum w:abstractNumId="75">
    <w:nsid w:val="415E286C"/>
    <w:multiLevelType w:val="hybridMultilevel"/>
    <w:lvl w:ilvl="0">
      <w:lvlJc w:val="left"/>
      <w:lvlText w:val="-"/>
      <w:numFmt w:val="bullet"/>
      <w:start w:val="1"/>
    </w:lvl>
    <w:lvl w:ilvl="1">
      <w:lvlJc w:val="left"/>
      <w:lvlText w:val="-"/>
      <w:numFmt w:val="bullet"/>
      <w:start w:val="1"/>
    </w:lvl>
  </w:abstractNum>
  <w:abstractNum w:abstractNumId="76">
    <w:nsid w:val="7C58FD05"/>
    <w:multiLevelType w:val="hybridMultilevel"/>
    <w:lvl w:ilvl="0">
      <w:lvlJc w:val="left"/>
      <w:lvlText w:val="-"/>
      <w:numFmt w:val="bullet"/>
      <w:start w:val="1"/>
    </w:lvl>
  </w:abstractNum>
  <w:abstractNum w:abstractNumId="77">
    <w:nsid w:val="23D86AAC"/>
    <w:multiLevelType w:val="hybridMultilevel"/>
    <w:lvl w:ilvl="0">
      <w:lvlJc w:val="left"/>
      <w:lvlText w:val="-"/>
      <w:numFmt w:val="bullet"/>
      <w:start w:val="1"/>
    </w:lvl>
  </w:abstractNum>
  <w:abstractNum w:abstractNumId="78">
    <w:nsid w:val="45E6D486"/>
    <w:multiLevelType w:val="hybridMultilevel"/>
    <w:lvl w:ilvl="0">
      <w:lvlJc w:val="left"/>
      <w:lvlText w:val="-"/>
      <w:numFmt w:val="bullet"/>
      <w:start w:val="1"/>
    </w:lvl>
  </w:abstractNum>
  <w:abstractNum w:abstractNumId="79">
    <w:nsid w:val="5C10FE21"/>
    <w:multiLevelType w:val="hybridMultilevel"/>
    <w:lvl w:ilvl="0">
      <w:lvlJc w:val="left"/>
      <w:lvlText w:val="-"/>
      <w:numFmt w:val="bullet"/>
      <w:start w:val="1"/>
    </w:lvl>
  </w:abstractNum>
  <w:abstractNum w:abstractNumId="80">
    <w:nsid w:val="E7FFA2B"/>
    <w:multiLevelType w:val="hybridMultilevel"/>
    <w:lvl w:ilvl="0">
      <w:lvlJc w:val="left"/>
      <w:lvlText w:val="-"/>
      <w:numFmt w:val="bullet"/>
      <w:start w:val="1"/>
    </w:lvl>
    <w:lvl w:ilvl="1">
      <w:lvlJc w:val="left"/>
      <w:lvlText w:val="-"/>
      <w:numFmt w:val="bullet"/>
      <w:start w:val="1"/>
    </w:lvl>
  </w:abstractNum>
  <w:abstractNum w:abstractNumId="81">
    <w:nsid w:val="3C5991AA"/>
    <w:multiLevelType w:val="hybridMultilevel"/>
    <w:lvl w:ilvl="0">
      <w:lvlJc w:val="left"/>
      <w:lvlText w:val="-"/>
      <w:numFmt w:val="bullet"/>
      <w:start w:val="1"/>
    </w:lvl>
    <w:lvl w:ilvl="1">
      <w:lvlJc w:val="left"/>
      <w:lvlText w:val="-"/>
      <w:numFmt w:val="bullet"/>
      <w:start w:val="1"/>
    </w:lvl>
  </w:abstractNum>
  <w:abstractNum w:abstractNumId="82">
    <w:nsid w:val="4BD8591A"/>
    <w:multiLevelType w:val="hybridMultilevel"/>
    <w:lvl w:ilvl="0">
      <w:lvlJc w:val="left"/>
      <w:lvlText w:val="-"/>
      <w:numFmt w:val="bullet"/>
      <w:start w:val="1"/>
    </w:lvl>
  </w:abstractNum>
  <w:abstractNum w:abstractNumId="83">
    <w:nsid w:val="78DF6A55"/>
    <w:multiLevelType w:val="hybridMultilevel"/>
    <w:lvl w:ilvl="0">
      <w:lvlJc w:val="left"/>
      <w:lvlText w:val="-"/>
      <w:numFmt w:val="bullet"/>
      <w:start w:val="1"/>
    </w:lvl>
  </w:abstractNum>
  <w:abstractNum w:abstractNumId="84">
    <w:nsid w:val="39B7AAA2"/>
    <w:multiLevelType w:val="hybridMultilevel"/>
    <w:lvl w:ilvl="0">
      <w:lvlJc w:val="left"/>
      <w:lvlText w:val="-"/>
      <w:numFmt w:val="bullet"/>
      <w:start w:val="1"/>
    </w:lvl>
  </w:abstractNum>
  <w:abstractNum w:abstractNumId="85">
    <w:nsid w:val="2B0D8DBE"/>
    <w:multiLevelType w:val="hybridMultilevel"/>
    <w:lvl w:ilvl="0">
      <w:lvlJc w:val="left"/>
      <w:lvlText w:val="-"/>
      <w:numFmt w:val="bullet"/>
      <w:start w:val="1"/>
    </w:lvl>
  </w:abstractNum>
  <w:abstractNum w:abstractNumId="86">
    <w:nsid w:val="6C80EC70"/>
    <w:multiLevelType w:val="hybridMultilevel"/>
    <w:lvl w:ilvl="0">
      <w:lvlJc w:val="left"/>
      <w:lvlText w:val="-"/>
      <w:numFmt w:val="bullet"/>
      <w:start w:val="1"/>
    </w:lvl>
  </w:abstractNum>
  <w:abstractNum w:abstractNumId="87">
    <w:nsid w:val="379E21B5"/>
    <w:multiLevelType w:val="hybridMultilevel"/>
    <w:lvl w:ilvl="0">
      <w:lvlJc w:val="left"/>
      <w:lvlText w:val="-"/>
      <w:numFmt w:val="bullet"/>
      <w:start w:val="1"/>
    </w:lvl>
  </w:abstractNum>
  <w:abstractNum w:abstractNumId="88">
    <w:nsid w:val="69E373"/>
    <w:multiLevelType w:val="hybridMultilevel"/>
    <w:lvl w:ilvl="0">
      <w:lvlJc w:val="left"/>
      <w:lvlText w:val="-"/>
      <w:numFmt w:val="bullet"/>
      <w:start w:val="1"/>
    </w:lvl>
    <w:lvl w:ilvl="1">
      <w:lvlJc w:val="left"/>
      <w:lvlText w:val="-"/>
      <w:numFmt w:val="bullet"/>
      <w:start w:val="1"/>
    </w:lvl>
  </w:abstractNum>
  <w:abstractNum w:abstractNumId="89">
    <w:nsid w:val="2C27173B"/>
    <w:multiLevelType w:val="hybridMultilevel"/>
    <w:lvl w:ilvl="0">
      <w:lvlJc w:val="left"/>
      <w:lvlText w:val="-"/>
      <w:numFmt w:val="bullet"/>
      <w:start w:val="1"/>
    </w:lvl>
  </w:abstractNum>
  <w:abstractNum w:abstractNumId="90">
    <w:nsid w:val="4C9B0904"/>
    <w:multiLevelType w:val="hybridMultilevel"/>
    <w:lvl w:ilvl="0">
      <w:lvlJc w:val="left"/>
      <w:lvlText w:val="-"/>
      <w:numFmt w:val="bullet"/>
      <w:start w:val="1"/>
    </w:lvl>
    <w:lvl w:ilvl="1">
      <w:lvlJc w:val="left"/>
      <w:lvlText w:val="-"/>
      <w:numFmt w:val="bullet"/>
      <w:start w:val="1"/>
    </w:lvl>
  </w:abstractNum>
  <w:abstractNum w:abstractNumId="91">
    <w:nsid w:val="6AA7B75C"/>
    <w:multiLevelType w:val="hybridMultilevel"/>
    <w:lvl w:ilvl="0">
      <w:lvlJc w:val="left"/>
      <w:lvlText w:val="-"/>
      <w:numFmt w:val="bullet"/>
      <w:start w:val="1"/>
    </w:lvl>
  </w:abstractNum>
  <w:abstractNum w:abstractNumId="92">
    <w:nsid w:val="1DF029D3"/>
    <w:multiLevelType w:val="hybridMultilevel"/>
    <w:lvl w:ilvl="0">
      <w:lvlJc w:val="left"/>
      <w:lvlText w:val="-"/>
      <w:numFmt w:val="bullet"/>
      <w:start w:val="1"/>
    </w:lvl>
  </w:abstractNum>
  <w:abstractNum w:abstractNumId="93">
    <w:nsid w:val="5675FF36"/>
    <w:multiLevelType w:val="hybridMultilevel"/>
    <w:lvl w:ilvl="0">
      <w:lvlJc w:val="left"/>
      <w:lvlText w:val="-"/>
      <w:numFmt w:val="bullet"/>
      <w:start w:val="1"/>
    </w:lvl>
  </w:abstractNum>
  <w:abstractNum w:abstractNumId="94">
    <w:nsid w:val="3DD15094"/>
    <w:multiLevelType w:val="hybridMultilevel"/>
    <w:lvl w:ilvl="0">
      <w:lvlJc w:val="left"/>
      <w:lvlText w:val="(%1)"/>
      <w:numFmt w:val="decimal"/>
      <w:start w:val="2"/>
    </w:lvl>
    <w:lvl w:ilvl="1">
      <w:lvlJc w:val="left"/>
      <w:lvlText w:val="(%2)"/>
      <w:numFmt w:val="lowerLetter"/>
      <w:start w:val="1"/>
    </w:lvl>
  </w:abstractNum>
  <w:abstractNum w:abstractNumId="95">
    <w:nsid w:val="3DB012B3"/>
    <w:multiLevelType w:val="hybridMultilevel"/>
    <w:lvl w:ilvl="0">
      <w:lvlJc w:val="left"/>
      <w:lvlText w:val="%1"/>
      <w:numFmt w:val="decimal"/>
      <w:start w:val="1"/>
    </w:lvl>
    <w:lvl w:ilvl="1">
      <w:lvlJc w:val="left"/>
      <w:lvlText w:val="(%2)"/>
      <w:numFmt w:val="lowerLetter"/>
      <w:start w:val="2"/>
    </w:lvl>
  </w:abstractNum>
  <w:abstractNum w:abstractNumId="96">
    <w:nsid w:val="2708C9AF"/>
    <w:multiLevelType w:val="hybridMultilevel"/>
    <w:lvl w:ilvl="0">
      <w:lvlJc w:val="left"/>
      <w:lvlText w:val="(%1)"/>
      <w:numFmt w:val="decimal"/>
      <w:start w:val="3"/>
    </w:lvl>
    <w:lvl w:ilvl="1">
      <w:lvlJc w:val="left"/>
      <w:lvlText w:val="(%2)"/>
      <w:numFmt w:val="lowerLetter"/>
      <w:start w:val="1"/>
    </w:lvl>
  </w:abstractNum>
  <w:abstractNum w:abstractNumId="97">
    <w:nsid w:val="5B25ACE2"/>
    <w:multiLevelType w:val="hybridMultilevel"/>
    <w:lvl w:ilvl="0">
      <w:lvlJc w:val="left"/>
      <w:lvlText w:val="(%1)"/>
      <w:numFmt w:val="lowerRoman"/>
      <w:start w:val="1"/>
    </w:lvl>
  </w:abstractNum>
  <w:abstractNum w:abstractNumId="98">
    <w:nsid w:val="175DFC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9">
    <w:nsid w:val="4F97E3E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0">
    <w:nsid w:val="53B0A9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1">
    <w:nsid w:val="34FD6B4F"/>
    <w:multiLevelType w:val="hybridMultilevel"/>
    <w:lvl w:ilvl="0">
      <w:lvlJc w:val="left"/>
      <w:lvlText w:val="5"/>
      <w:numFmt w:val="bullet"/>
      <w:start w:val="1"/>
    </w:lvl>
  </w:abstractNum>
  <w:abstractNum w:abstractNumId="102">
    <w:nsid w:val="5915FF32"/>
    <w:multiLevelType w:val="hybridMultilevel"/>
    <w:lvl w:ilvl="0">
      <w:lvlJc w:val="left"/>
      <w:lvlText w:val="*"/>
      <w:numFmt w:val="bullet"/>
      <w:start w:val="1"/>
    </w:lvl>
    <w:lvl w:ilvl="1">
      <w:lvlJc w:val="left"/>
      <w:lvlText w:val="(%2)"/>
      <w:numFmt w:val="lowerLetter"/>
      <w:start w:val="2"/>
    </w:lvl>
  </w:abstractNum>
  <w:abstractNum w:abstractNumId="103">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5">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6">
    <w:nsid w:val="17A1B58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7">
    <w:nsid w:val="4DF72E4E"/>
    <w:multiLevelType w:val="hybridMultilevel"/>
    <w:lvl w:ilvl="0">
      <w:lvlJc w:val="left"/>
      <w:lvlText w:val="-"/>
      <w:numFmt w:val="bullet"/>
      <w:start w:val="1"/>
    </w:lvl>
  </w:abstractNum>
  <w:abstractNum w:abstractNumId="108">
    <w:nsid w:val="5046B5A9"/>
    <w:multiLevelType w:val="hybridMultilevel"/>
    <w:lvl w:ilvl="0">
      <w:lvlJc w:val="left"/>
      <w:lvlText w:val="-"/>
      <w:numFmt w:val="bullet"/>
      <w:start w:val="1"/>
    </w:lvl>
  </w:abstractNum>
  <w:abstractNum w:abstractNumId="109">
    <w:nsid w:val="5D888A08"/>
    <w:multiLevelType w:val="hybridMultilevel"/>
    <w:lvl w:ilvl="0">
      <w:lvlJc w:val="left"/>
      <w:lvlText w:val="-"/>
      <w:numFmt w:val="bullet"/>
      <w:start w:val="1"/>
    </w:lvl>
  </w:abstractNum>
  <w:abstractNum w:abstractNumId="110">
    <w:nsid w:val="2A082C70"/>
    <w:multiLevelType w:val="hybridMultilevel"/>
    <w:lvl w:ilvl="0">
      <w:lvlJc w:val="left"/>
      <w:lvlText w:val="-"/>
      <w:numFmt w:val="bullet"/>
      <w:start w:val="1"/>
    </w:lvl>
    <w:lvl w:ilvl="1">
      <w:lvlJc w:val="left"/>
      <w:lvlText w:val="%2"/>
      <w:numFmt w:val="upperLetter"/>
      <w:start w:val="1"/>
    </w:lvl>
  </w:abstractNum>
  <w:abstractNum w:abstractNumId="111">
    <w:nsid w:val="5EC6AFD4"/>
    <w:multiLevelType w:val="hybridMultilevel"/>
    <w:lvl w:ilvl="0">
      <w:lvlJc w:val="left"/>
      <w:lvlText w:val="-"/>
      <w:numFmt w:val="bullet"/>
      <w:start w:val="1"/>
    </w:lvl>
  </w:abstractNum>
  <w:abstractNum w:abstractNumId="112">
    <w:nsid w:val="19E21BB2"/>
    <w:multiLevelType w:val="hybridMultilevel"/>
    <w:lvl w:ilvl="0">
      <w:lvlJc w:val="left"/>
      <w:lvlText w:val="-"/>
      <w:numFmt w:val="bullet"/>
      <w:start w:val="1"/>
    </w:lvl>
  </w:abstractNum>
  <w:abstractNum w:abstractNumId="113">
    <w:nsid w:val="75E0858A"/>
    <w:multiLevelType w:val="hybridMultilevel"/>
    <w:lvl w:ilvl="0">
      <w:lvlJc w:val="left"/>
      <w:lvlText w:val="-"/>
      <w:numFmt w:val="bullet"/>
      <w:start w:val="1"/>
    </w:lvl>
    <w:lvl w:ilvl="1">
      <w:lvlJc w:val="left"/>
      <w:lvlText w:val="%2"/>
      <w:numFmt w:val="upperLetter"/>
      <w:start w:val="1"/>
    </w:lvl>
  </w:abstractNum>
  <w:abstractNum w:abstractNumId="114">
    <w:nsid w:val="57A61A29"/>
    <w:multiLevelType w:val="hybridMultilevel"/>
    <w:lvl w:ilvl="0">
      <w:lvlJc w:val="left"/>
      <w:lvlText w:val="-"/>
      <w:numFmt w:val="bullet"/>
      <w:start w:val="1"/>
    </w:lvl>
  </w:abstractNum>
  <w:abstractNum w:abstractNumId="115">
    <w:nsid w:val="5399C654"/>
    <w:multiLevelType w:val="hybridMultilevel"/>
    <w:lvl w:ilvl="0">
      <w:lvlJc w:val="left"/>
      <w:lvlText w:val="-"/>
      <w:numFmt w:val="bullet"/>
      <w:start w:val="1"/>
    </w:lvl>
  </w:abstractNum>
  <w:abstractNum w:abstractNumId="116">
    <w:nsid w:val="20EE1348"/>
    <w:multiLevelType w:val="hybridMultilevel"/>
    <w:lvl w:ilvl="0">
      <w:lvlJc w:val="left"/>
      <w:lvlText w:val="-"/>
      <w:numFmt w:val="bullet"/>
      <w:start w:val="1"/>
    </w:lvl>
    <w:lvl w:ilvl="1">
      <w:lvlJc w:val="left"/>
      <w:lvlText w:val="%2"/>
      <w:numFmt w:val="upperLetter"/>
      <w:start w:val="1"/>
    </w:lvl>
  </w:abstractNum>
  <w:abstractNum w:abstractNumId="117">
    <w:nsid w:val="4427069A"/>
    <w:multiLevelType w:val="hybridMultilevel"/>
    <w:lvl w:ilvl="0">
      <w:lvlJc w:val="left"/>
      <w:lvlText w:val="-"/>
      <w:numFmt w:val="bullet"/>
      <w:start w:val="1"/>
    </w:lvl>
  </w:abstractNum>
  <w:abstractNum w:abstractNumId="118">
    <w:nsid w:val="B37E80A"/>
    <w:multiLevelType w:val="hybridMultilevel"/>
    <w:lvl w:ilvl="0">
      <w:lvlJc w:val="left"/>
      <w:lvlText w:val="-"/>
      <w:numFmt w:val="bullet"/>
      <w:start w:val="1"/>
    </w:lvl>
  </w:abstractNum>
  <w:abstractNum w:abstractNumId="119">
    <w:nsid w:val="2157F6BC"/>
    <w:multiLevelType w:val="hybridMultilevel"/>
    <w:lvl w:ilvl="0">
      <w:lvlJc w:val="left"/>
      <w:lvlText w:val="-"/>
      <w:numFmt w:val="bullet"/>
      <w:start w:val="1"/>
    </w:lvl>
  </w:abstractNum>
  <w:abstractNum w:abstractNumId="120">
    <w:nsid w:val="704E1DD5"/>
    <w:multiLevelType w:val="hybridMultilevel"/>
    <w:lvl w:ilvl="0">
      <w:lvlJc w:val="left"/>
      <w:lvlText w:val="-"/>
      <w:numFmt w:val="bullet"/>
      <w:start w:val="1"/>
    </w:lvl>
    <w:lvl w:ilvl="1">
      <w:lvlJc w:val="left"/>
      <w:lvlText w:val="%2"/>
      <w:numFmt w:val="upperLetter"/>
      <w:start w:val="1"/>
    </w:lvl>
  </w:abstractNum>
  <w:abstractNum w:abstractNumId="121">
    <w:nsid w:val="57D2F10E"/>
    <w:multiLevelType w:val="hybridMultilevel"/>
    <w:lvl w:ilvl="0">
      <w:lvlJc w:val="left"/>
      <w:lvlText w:val="-"/>
      <w:numFmt w:val="bullet"/>
      <w:start w:val="1"/>
    </w:lvl>
  </w:abstractNum>
  <w:abstractNum w:abstractNumId="122">
    <w:nsid w:val="BFFAE18"/>
    <w:multiLevelType w:val="hybridMultilevel"/>
    <w:lvl w:ilvl="0">
      <w:lvlJc w:val="left"/>
      <w:lvlText w:val="-"/>
      <w:numFmt w:val="bullet"/>
      <w:start w:val="1"/>
    </w:lvl>
  </w:abstractNum>
  <w:abstractNum w:abstractNumId="123">
    <w:nsid w:val="E3E47A8"/>
    <w:multiLevelType w:val="hybridMultilevel"/>
    <w:lvl w:ilvl="0">
      <w:lvlJc w:val="left"/>
      <w:lvlText w:val="-"/>
      <w:numFmt w:val="bullet"/>
      <w:start w:val="1"/>
    </w:lvl>
    <w:lvl w:ilvl="1">
      <w:lvlJc w:val="left"/>
      <w:lvlText w:val="%2"/>
      <w:numFmt w:val="upperLetter"/>
      <w:start w:val="1"/>
    </w:lvl>
  </w:abstractNum>
  <w:abstractNum w:abstractNumId="124">
    <w:nsid w:val="2E48F044"/>
    <w:multiLevelType w:val="hybridMultilevel"/>
    <w:lvl w:ilvl="0">
      <w:lvlJc w:val="left"/>
      <w:lvlText w:val="-"/>
      <w:numFmt w:val="bullet"/>
      <w:start w:val="1"/>
    </w:lvl>
  </w:abstractNum>
  <w:abstractNum w:abstractNumId="125">
    <w:nsid w:val="49D0FEAC"/>
    <w:multiLevelType w:val="hybridMultilevel"/>
    <w:lvl w:ilvl="0">
      <w:lvlJc w:val="left"/>
      <w:lvlText w:val="-"/>
      <w:numFmt w:val="bullet"/>
      <w:start w:val="1"/>
    </w:lvl>
  </w:abstractNum>
  <w:abstractNum w:abstractNumId="126">
    <w:nsid w:val="4BEE5A5B"/>
    <w:multiLevelType w:val="hybridMultilevel"/>
    <w:lvl w:ilvl="0">
      <w:lvlJc w:val="left"/>
      <w:lvlText w:val="-"/>
      <w:numFmt w:val="bullet"/>
      <w:start w:val="1"/>
    </w:lvl>
  </w:abstractNum>
  <w:abstractNum w:abstractNumId="127">
    <w:nsid w:val="5551B9F3"/>
    <w:multiLevelType w:val="hybridMultilevel"/>
    <w:lvl w:ilvl="0">
      <w:lvlJc w:val="left"/>
      <w:lvlText w:val="-"/>
      <w:numFmt w:val="bullet"/>
      <w:start w:val="1"/>
    </w:lvl>
    <w:lvl w:ilvl="1">
      <w:lvlJc w:val="left"/>
      <w:lvlText w:val="%2"/>
      <w:numFmt w:val="upperLetter"/>
      <w:start w:val="1"/>
    </w:lvl>
  </w:abstractNum>
  <w:abstractNum w:abstractNumId="128">
    <w:nsid w:val="24F6AB8E"/>
    <w:multiLevelType w:val="hybridMultilevel"/>
    <w:lvl w:ilvl="0">
      <w:lvlJc w:val="left"/>
      <w:lvlText w:val="-"/>
      <w:numFmt w:val="bullet"/>
      <w:start w:val="1"/>
    </w:lvl>
  </w:abstractNum>
  <w:abstractNum w:abstractNumId="129">
    <w:nsid w:val="634C574C"/>
    <w:multiLevelType w:val="hybridMultilevel"/>
    <w:lvl w:ilvl="0">
      <w:lvlJc w:val="left"/>
      <w:lvlText w:val="-"/>
      <w:numFmt w:val="bullet"/>
      <w:start w:val="1"/>
    </w:lvl>
  </w:abstractNum>
  <w:abstractNum w:abstractNumId="130">
    <w:nsid w:val="24E99DD7"/>
    <w:multiLevelType w:val="hybridMultilevel"/>
    <w:lvl w:ilvl="0">
      <w:lvlJc w:val="left"/>
      <w:lvlText w:val="-"/>
      <w:numFmt w:val="bullet"/>
      <w:start w:val="1"/>
    </w:lvl>
    <w:lvl w:ilvl="1">
      <w:lvlJc w:val="left"/>
      <w:lvlText w:val="%2"/>
      <w:numFmt w:val="upperLetter"/>
      <w:start w:val="1"/>
    </w:lvl>
  </w:abstractNum>
  <w:abstractNum w:abstractNumId="131">
    <w:nsid w:val="2A31B62D"/>
    <w:multiLevelType w:val="hybridMultilevel"/>
    <w:lvl w:ilvl="0">
      <w:lvlJc w:val="left"/>
      <w:lvlText w:val="-"/>
      <w:numFmt w:val="bullet"/>
      <w:start w:val="1"/>
    </w:lvl>
  </w:abstractNum>
  <w:abstractNum w:abstractNumId="132">
    <w:nsid w:val="1849C29B"/>
    <w:multiLevelType w:val="hybridMultilevel"/>
    <w:lvl w:ilvl="0">
      <w:lvlJc w:val="left"/>
      <w:lvlText w:val="-"/>
      <w:numFmt w:val="bullet"/>
      <w:start w:val="1"/>
    </w:lvl>
  </w:abstractNum>
  <w:abstractNum w:abstractNumId="133">
    <w:nsid w:val="7DFF9D09"/>
    <w:multiLevelType w:val="hybridMultilevel"/>
    <w:lvl w:ilvl="0">
      <w:lvlJc w:val="left"/>
      <w:lvlText w:val="-"/>
      <w:numFmt w:val="bullet"/>
      <w:start w:val="1"/>
    </w:lvl>
    <w:lvl w:ilvl="1">
      <w:lvlJc w:val="left"/>
      <w:lvlText w:val="%2"/>
      <w:numFmt w:val="upperLetter"/>
      <w:start w:val="1"/>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
      <w:numFmt w:val="bullet"/>
      <w:start w:val="1"/>
    </w:lvl>
    <w:lvl w:ilvl="1">
      <w:lvlJc w:val="left"/>
      <w:lvlText w:val="%2"/>
      <w:numFmt w:val="upperLetter"/>
      <w:start w:val="1"/>
    </w:lvl>
  </w:abstractNum>
  <w:abstractNum w:abstractNumId="136">
    <w:nsid w:val="2A6DE806"/>
    <w:multiLevelType w:val="hybridMultilevel"/>
    <w:lvl w:ilvl="0">
      <w:lvlJc w:val="left"/>
      <w:lvlText w:val="-"/>
      <w:numFmt w:val="bullet"/>
      <w:start w:val="1"/>
    </w:lvl>
  </w:abstractNum>
  <w:abstractNum w:abstractNumId="137">
    <w:nsid w:val="1816F8C4"/>
    <w:multiLevelType w:val="hybridMultilevel"/>
    <w:lvl w:ilvl="0">
      <w:lvlJc w:val="left"/>
      <w:lvlText w:val="-"/>
      <w:numFmt w:val="bullet"/>
      <w:start w:val="1"/>
    </w:lvl>
  </w:abstractNum>
  <w:abstractNum w:abstractNumId="138">
    <w:nsid w:val="37DF2233"/>
    <w:multiLevelType w:val="hybridMultilevel"/>
    <w:lvl w:ilvl="0">
      <w:lvlJc w:val="left"/>
      <w:lvlText w:val="-"/>
      <w:numFmt w:val="bullet"/>
      <w:start w:val="1"/>
    </w:lvl>
    <w:lvl w:ilvl="1">
      <w:lvlJc w:val="left"/>
      <w:lvlText w:val="%2"/>
      <w:numFmt w:val="upperLetter"/>
      <w:start w:val="1"/>
    </w:lvl>
  </w:abstractNum>
  <w:abstractNum w:abstractNumId="139">
    <w:nsid w:val="7AB49DAF"/>
    <w:multiLevelType w:val="hybridMultilevel"/>
    <w:lvl w:ilvl="0">
      <w:lvlJc w:val="left"/>
      <w:lvlText w:val="-"/>
      <w:numFmt w:val="bullet"/>
      <w:start w:val="1"/>
    </w:lvl>
  </w:abstractNum>
  <w:abstractNum w:abstractNumId="140">
    <w:nsid w:val="759F82CD"/>
    <w:multiLevelType w:val="hybridMultilevel"/>
    <w:lvl w:ilvl="0">
      <w:lvlJc w:val="left"/>
      <w:lvlText w:val="-"/>
      <w:numFmt w:val="bullet"/>
      <w:start w:val="1"/>
    </w:lvl>
  </w:abstractNum>
  <w:abstractNum w:abstractNumId="141">
    <w:nsid w:val="61E74EA3"/>
    <w:multiLevelType w:val="hybridMultilevel"/>
    <w:lvl w:ilvl="0">
      <w:lvlJc w:val="left"/>
      <w:lvlText w:val="-"/>
      <w:numFmt w:val="bullet"/>
      <w:start w:val="1"/>
    </w:lvl>
    <w:lvl w:ilvl="1">
      <w:lvlJc w:val="left"/>
      <w:lvlText w:val="%2"/>
      <w:numFmt w:val="upperLetter"/>
      <w:start w:val="1"/>
    </w:lvl>
  </w:abstractNum>
  <w:abstractNum w:abstractNumId="142">
    <w:nsid w:val="597B4D84"/>
    <w:multiLevelType w:val="hybridMultilevel"/>
    <w:lvl w:ilvl="0">
      <w:lvlJc w:val="left"/>
      <w:lvlText w:val="-"/>
      <w:numFmt w:val="bullet"/>
      <w:start w:val="1"/>
    </w:lvl>
  </w:abstractNum>
  <w:abstractNum w:abstractNumId="143">
    <w:nsid w:val="F819E7F"/>
    <w:multiLevelType w:val="hybridMultilevel"/>
    <w:lvl w:ilvl="0">
      <w:lvlJc w:val="left"/>
      <w:lvlText w:val="-"/>
      <w:numFmt w:val="bullet"/>
      <w:start w:val="1"/>
    </w:lvl>
  </w:abstractNum>
  <w:abstractNum w:abstractNumId="144">
    <w:nsid w:val="57C7D42D"/>
    <w:multiLevelType w:val="hybridMultilevel"/>
    <w:lvl w:ilvl="0">
      <w:lvlJc w:val="left"/>
      <w:lvlText w:val="---"/>
      <w:numFmt w:val="bullet"/>
      <w:start w:val="1"/>
    </w:lvl>
  </w:abstractNum>
  <w:abstractNum w:abstractNumId="145">
    <w:nsid w:val="312167AD"/>
    <w:multiLevelType w:val="hybridMultilevel"/>
    <w:lvl w:ilvl="0">
      <w:lvlJc w:val="left"/>
      <w:lvlText w:val="*"/>
      <w:numFmt w:val="bullet"/>
      <w:start w:val="1"/>
    </w:lvl>
  </w:abstractNum>
  <w:abstractNum w:abstractNumId="146">
    <w:nsid w:val="631B64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2019-12-12T11:09:36Z</dcterms:created>
  <dcterms:modified xsi:type="dcterms:W3CDTF">2019-12-12T11:09:36Z</dcterms:modified>
</cp:coreProperties>
</file>