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3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For the quarterly period ended July 2, 2022</w:t>
      </w:r>
    </w:p>
    <w:p>
      <w:pPr>
        <w:spacing w:after="0" w:line="11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8" w:lineRule="exact"/>
        <w:rPr>
          <w:sz w:val="24"/>
          <w:szCs w:val="24"/>
          <w:color w:val="auto"/>
        </w:rPr>
      </w:pPr>
    </w:p>
    <w:tbl>
      <w:tblPr>
        <w:tblLayout w:type="fixed"/>
        <w:tblInd w:w="1260" w:type="dxa"/>
        <w:tblCellMar>
          <w:top w:w="0" w:type="dxa"/>
          <w:left w:w="0" w:type="dxa"/>
          <w:bottom w:w="0" w:type="dxa"/>
          <w:right w:w="0" w:type="dxa"/>
        </w:tblCellMar>
      </w:tblPr>
      <w:tr>
        <w:trPr>
          <w:trHeight w:val="220"/>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60" w:type="dxa"/>
            <w:vAlign w:val="bottom"/>
          </w:tcPr>
          <w:p>
            <w:pPr>
              <w:jc w:val="center"/>
              <w:ind w:left="2644"/>
              <w:spacing w:after="0"/>
              <w:rPr>
                <w:sz w:val="20"/>
                <w:szCs w:val="20"/>
                <w:color w:val="auto"/>
              </w:rPr>
            </w:pPr>
            <w:r>
              <w:rPr>
                <w:rFonts w:ascii="Arial" w:cs="Arial" w:eastAsia="Arial" w:hAnsi="Arial"/>
                <w:sz w:val="17"/>
                <w:szCs w:val="17"/>
                <w:b w:val="1"/>
                <w:bCs w:val="1"/>
                <w:color w:val="auto"/>
                <w:w w:val="90"/>
              </w:rPr>
              <w:t>31-1414921</w:t>
            </w:r>
          </w:p>
        </w:tc>
      </w:tr>
      <w:tr>
        <w:trPr>
          <w:trHeight w:val="157"/>
        </w:trPr>
        <w:tc>
          <w:tcPr>
            <w:tcW w:w="4600" w:type="dxa"/>
            <w:vAlign w:val="bottom"/>
          </w:tcPr>
          <w:p>
            <w:pPr>
              <w:jc w:val="center"/>
              <w:ind w:right="2644"/>
              <w:spacing w:after="0" w:line="157"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left="2624"/>
              <w:spacing w:after="0" w:line="15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9" w:lineRule="exact"/>
        <w:rPr>
          <w:sz w:val="24"/>
          <w:szCs w:val="24"/>
          <w:color w:val="auto"/>
        </w:rPr>
      </w:pPr>
    </w:p>
    <w:p>
      <w:pPr>
        <w:ind w:left="1060"/>
        <w:spacing w:after="0"/>
        <w:tabs>
          <w:tab w:leader="none" w:pos="4800" w:val="left"/>
          <w:tab w:leader="none" w:pos="79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24" w:lineRule="exact"/>
        <w:rPr>
          <w:sz w:val="24"/>
          <w:szCs w:val="24"/>
          <w:color w:val="auto"/>
        </w:rPr>
      </w:pPr>
    </w:p>
    <w:p>
      <w:pPr>
        <w:ind w:left="400"/>
        <w:spacing w:after="0"/>
        <w:tabs>
          <w:tab w:leader="none" w:pos="5220" w:val="left"/>
          <w:tab w:leader="none" w:pos="918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85"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6"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40" w:type="dxa"/>
        <w:tblCellMar>
          <w:top w:w="0" w:type="dxa"/>
          <w:left w:w="0" w:type="dxa"/>
          <w:bottom w:w="0" w:type="dxa"/>
          <w:right w:w="0" w:type="dxa"/>
        </w:tblCellMar>
      </w:tblPr>
      <w:tr>
        <w:trPr>
          <w:trHeight w:val="224"/>
        </w:trPr>
        <w:tc>
          <w:tcPr>
            <w:tcW w:w="27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700" w:type="dxa"/>
            <w:vAlign w:val="bottom"/>
          </w:tcPr>
          <w:p>
            <w:pPr>
              <w:spacing w:after="0"/>
              <w:rPr>
                <w:sz w:val="20"/>
                <w:szCs w:val="20"/>
                <w:color w:val="auto"/>
              </w:rPr>
            </w:pPr>
            <w:r>
              <w:rPr>
                <w:rFonts w:ascii="Arial" w:cs="Arial" w:eastAsia="Arial" w:hAnsi="Arial"/>
                <w:sz w:val="17"/>
                <w:szCs w:val="17"/>
                <w:color w:val="auto"/>
              </w:rPr>
              <w:t>Non-accelerated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9"/>
        </w:trPr>
        <w:tc>
          <w:tcPr>
            <w:tcW w:w="27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169" w:lineRule="exact"/>
        <w:rPr>
          <w:sz w:val="24"/>
          <w:szCs w:val="24"/>
          <w:color w:val="auto"/>
        </w:rPr>
      </w:pPr>
    </w:p>
    <w:p>
      <w:pPr>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080"/>
        <w:spacing w:after="0" w:line="31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35"/>
          <w:szCs w:val="35"/>
          <w:color w:val="auto"/>
          <w:vertAlign w:val="superscript"/>
        </w:rPr>
        <w:t>Yes</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w:t>
      </w:r>
      <w:r>
        <w:rPr>
          <w:rFonts w:ascii="Arial" w:cs="Arial" w:eastAsia="Arial" w:hAnsi="Arial"/>
          <w:sz w:val="35"/>
          <w:szCs w:val="35"/>
          <w:color w:val="auto"/>
          <w:vertAlign w:val="superscript"/>
        </w:rPr>
        <w:t>No</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As of August 5, 2022, there were 55,405,649 Common Shares outstanding.</w:t>
      </w:r>
    </w:p>
    <w:p>
      <w:pPr>
        <w:sectPr>
          <w:pgSz w:w="11900" w:h="16838" w:orient="portrait"/>
          <w:cols w:equalWidth="0" w:num="1">
            <w:col w:w="11240"/>
          </w:cols>
          <w:pgMar w:left="320" w:top="796" w:right="339" w:bottom="1440" w:gutter="0" w:footer="0" w:header="0"/>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FFFF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jc w:val="center"/>
        <w:ind w:right="-19"/>
        <w:spacing w:after="0"/>
        <w:rPr>
          <w:sz w:val="20"/>
          <w:szCs w:val="20"/>
          <w:color w:val="auto"/>
        </w:rPr>
      </w:pPr>
      <w:r>
        <w:rPr>
          <w:rFonts w:ascii="Arial" w:cs="Arial" w:eastAsia="Arial" w:hAnsi="Arial"/>
          <w:sz w:val="18"/>
          <w:szCs w:val="18"/>
          <w:color w:val="auto"/>
        </w:rPr>
        <w:t>INDEX</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215"/>
        </w:trPr>
        <w:tc>
          <w:tcPr>
            <w:tcW w:w="10100" w:type="dxa"/>
            <w:vAlign w:val="bottom"/>
            <w:gridSpan w:val="18"/>
          </w:tcPr>
          <w:p>
            <w:pPr>
              <w:spacing w:after="0"/>
              <w:rPr>
                <w:sz w:val="20"/>
                <w:szCs w:val="20"/>
                <w:color w:val="auto"/>
              </w:rPr>
            </w:pPr>
            <w:r>
              <w:rPr>
                <w:rFonts w:ascii="Arial" w:cs="Arial" w:eastAsia="Arial" w:hAnsi="Arial"/>
                <w:sz w:val="18"/>
                <w:szCs w:val="18"/>
                <w:color w:val="0000FF"/>
              </w:rPr>
              <w:t>PART I. FINANCIAL INFORMATION: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9160" w:type="dxa"/>
            <w:vAlign w:val="bottom"/>
            <w:gridSpan w:val="16"/>
          </w:tcPr>
          <w:p>
            <w:pPr>
              <w:spacing w:after="0"/>
              <w:rPr>
                <w:sz w:val="20"/>
                <w:szCs w:val="20"/>
                <w:color w:val="auto"/>
              </w:rPr>
            </w:pPr>
            <w:r>
              <w:rPr>
                <w:rFonts w:ascii="Arial" w:cs="Arial" w:eastAsia="Arial" w:hAnsi="Arial"/>
                <w:sz w:val="18"/>
                <w:szCs w:val="18"/>
                <w:color w:val="0000FF"/>
              </w:rPr>
              <w:t>Financial Statements (Unaudited)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20" w:type="dxa"/>
            <w:vAlign w:val="bottom"/>
            <w:gridSpan w:val="12"/>
          </w:tcPr>
          <w:p>
            <w:pPr>
              <w:spacing w:after="0"/>
              <w:rPr>
                <w:sz w:val="20"/>
                <w:szCs w:val="20"/>
                <w:color w:val="auto"/>
              </w:rPr>
            </w:pPr>
            <w:r>
              <w:rPr>
                <w:rFonts w:ascii="Arial" w:cs="Arial" w:eastAsia="Arial" w:hAnsi="Arial"/>
                <w:sz w:val="18"/>
                <w:szCs w:val="18"/>
                <w:color w:val="0000FF"/>
                <w:w w:val="89"/>
              </w:rPr>
              <w:t>Condensed Consolidated Statements of Operations — Three and nine months ended July 2, 2022 and July 3, 2021</w:t>
            </w:r>
          </w:p>
        </w:tc>
        <w:tc>
          <w:tcPr>
            <w:tcW w:w="620" w:type="dxa"/>
            <w:vAlign w:val="bottom"/>
            <w:gridSpan w:val="2"/>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4"/>
          </w:tcPr>
          <w:p>
            <w:pPr>
              <w:spacing w:after="0"/>
              <w:rPr>
                <w:sz w:val="20"/>
                <w:szCs w:val="20"/>
                <w:color w:val="auto"/>
              </w:rPr>
            </w:pPr>
            <w:r>
              <w:rPr>
                <w:rFonts w:ascii="Arial" w:cs="Arial" w:eastAsia="Arial" w:hAnsi="Arial"/>
                <w:sz w:val="18"/>
                <w:szCs w:val="18"/>
                <w:color w:val="0000FF"/>
                <w:w w:val="90"/>
              </w:rPr>
              <w:t>Condensed Consolidated Statements of Comprehensive Income (Loss) — Three and nine months ended July 2, 2022 and</w:t>
            </w:r>
          </w:p>
        </w:tc>
        <w:tc>
          <w:tcPr>
            <w:tcW w:w="10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9"/>
              </w:rPr>
              <w:t>July 3, 2021</w:t>
            </w:r>
          </w:p>
        </w:tc>
        <w:tc>
          <w:tcPr>
            <w:tcW w:w="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gridSpan w:val="2"/>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Cash Flows — Nine months ended July 2, 2022 and July 3, 2021</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0000FF"/>
                <w:w w:val="89"/>
              </w:rPr>
              <w:t>Condensed Consolidated Balance Sheets — July 2, 2022, July 3, 2021 and September 30, 2021</w:t>
            </w:r>
          </w:p>
        </w:tc>
        <w:tc>
          <w:tcPr>
            <w:tcW w:w="68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980" w:type="dxa"/>
            <w:vAlign w:val="bottom"/>
            <w:gridSpan w:val="4"/>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916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4300" w:type="dxa"/>
            <w:vAlign w:val="bottom"/>
            <w:gridSpan w:val="10"/>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2140" w:type="dxa"/>
            <w:vAlign w:val="bottom"/>
          </w:tcPr>
          <w:p>
            <w:pPr>
              <w:spacing w:after="0"/>
              <w:rPr>
                <w:sz w:val="18"/>
                <w:szCs w:val="18"/>
                <w:color w:val="auto"/>
              </w:rPr>
            </w:pPr>
          </w:p>
        </w:tc>
        <w:tc>
          <w:tcPr>
            <w:tcW w:w="272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1760" w:type="dxa"/>
            <w:vAlign w:val="bottom"/>
            <w:gridSpan w:val="7"/>
          </w:tcPr>
          <w:p>
            <w:pPr>
              <w:spacing w:after="0"/>
              <w:rPr>
                <w:sz w:val="20"/>
                <w:szCs w:val="20"/>
                <w:color w:val="auto"/>
              </w:rPr>
            </w:pPr>
            <w:r>
              <w:rPr>
                <w:rFonts w:ascii="Arial" w:cs="Arial" w:eastAsia="Arial" w:hAnsi="Arial"/>
                <w:sz w:val="18"/>
                <w:szCs w:val="18"/>
                <w:color w:val="0000FF"/>
                <w:w w:val="87"/>
              </w:rPr>
              <w:t>Controls and Procedures</w:t>
            </w:r>
          </w:p>
        </w:tc>
        <w:tc>
          <w:tcPr>
            <w:tcW w:w="2540" w:type="dxa"/>
            <w:vAlign w:val="bottom"/>
            <w:gridSpan w:val="3"/>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00" w:type="dxa"/>
            <w:vAlign w:val="bottom"/>
            <w:gridSpan w:val="18"/>
          </w:tcPr>
          <w:p>
            <w:pPr>
              <w:spacing w:after="0"/>
              <w:rPr>
                <w:sz w:val="20"/>
                <w:szCs w:val="20"/>
                <w:color w:val="auto"/>
              </w:rPr>
            </w:pPr>
            <w:r>
              <w:rPr>
                <w:rFonts w:ascii="Arial" w:cs="Arial" w:eastAsia="Arial" w:hAnsi="Arial"/>
                <w:sz w:val="18"/>
                <w:szCs w:val="18"/>
                <w:color w:val="0000FF"/>
              </w:rPr>
              <w:t>PART II. OTHER INFORMATION: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916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gridSpan w:val="2"/>
          </w:tcPr>
          <w:p>
            <w:pPr>
              <w:spacing w:after="0"/>
              <w:rPr>
                <w:sz w:val="18"/>
                <w:szCs w:val="18"/>
                <w:color w:val="auto"/>
              </w:rPr>
            </w:pPr>
          </w:p>
        </w:tc>
        <w:tc>
          <w:tcPr>
            <w:tcW w:w="786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4300" w:type="dxa"/>
            <w:vAlign w:val="bottom"/>
            <w:gridSpan w:val="10"/>
          </w:tcPr>
          <w:p>
            <w:pPr>
              <w:spacing w:after="0"/>
              <w:rPr>
                <w:sz w:val="20"/>
                <w:szCs w:val="20"/>
                <w:color w:val="auto"/>
              </w:rPr>
            </w:pPr>
            <w:r>
              <w:rPr>
                <w:rFonts w:ascii="Arial" w:cs="Arial" w:eastAsia="Arial" w:hAnsi="Arial"/>
                <w:sz w:val="18"/>
                <w:szCs w:val="18"/>
                <w:color w:val="0000FF"/>
                <w:w w:val="87"/>
              </w:rPr>
              <w:t>Unregistered Sales of Equity Securities and Use of Proceeds</w:t>
            </w: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2320" w:type="dxa"/>
            <w:vAlign w:val="bottom"/>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1980" w:type="dxa"/>
            <w:vAlign w:val="bottom"/>
            <w:gridSpan w:val="2"/>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1760" w:type="dxa"/>
            <w:vAlign w:val="bottom"/>
            <w:gridSpan w:val="7"/>
          </w:tcPr>
          <w:p>
            <w:pPr>
              <w:spacing w:after="0"/>
              <w:rPr>
                <w:sz w:val="20"/>
                <w:szCs w:val="20"/>
                <w:color w:val="auto"/>
              </w:rPr>
            </w:pPr>
            <w:r>
              <w:rPr>
                <w:rFonts w:ascii="Arial" w:cs="Arial" w:eastAsia="Arial" w:hAnsi="Arial"/>
                <w:sz w:val="18"/>
                <w:szCs w:val="18"/>
                <w:color w:val="0000FF"/>
                <w:w w:val="90"/>
              </w:rPr>
              <w:t>Mine Safety Disclosures</w:t>
            </w:r>
          </w:p>
        </w:tc>
        <w:tc>
          <w:tcPr>
            <w:tcW w:w="560" w:type="dxa"/>
            <w:vAlign w:val="bottom"/>
          </w:tcPr>
          <w:p>
            <w:pPr>
              <w:spacing w:after="0"/>
              <w:rPr>
                <w:sz w:val="18"/>
                <w:szCs w:val="18"/>
                <w:color w:val="auto"/>
              </w:rPr>
            </w:pPr>
          </w:p>
        </w:tc>
        <w:tc>
          <w:tcPr>
            <w:tcW w:w="684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176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740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600" w:type="dxa"/>
            <w:vAlign w:val="bottom"/>
            <w:gridSpan w:val="3"/>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3"/>
          </w:tcPr>
          <w:p>
            <w:pPr>
              <w:spacing w:after="0"/>
              <w:rPr>
                <w:sz w:val="18"/>
                <w:szCs w:val="18"/>
                <w:color w:val="auto"/>
              </w:rPr>
            </w:pPr>
          </w:p>
        </w:tc>
        <w:tc>
          <w:tcPr>
            <w:tcW w:w="786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6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sz w:val="20"/>
                <w:szCs w:val="20"/>
                <w:color w:val="auto"/>
              </w:rPr>
            </w:pPr>
            <w:r>
              <w:rPr>
                <w:rFonts w:ascii="Arial" w:cs="Arial" w:eastAsia="Arial" w:hAnsi="Arial"/>
                <w:sz w:val="18"/>
                <w:szCs w:val="18"/>
                <w:color w:val="0000FF"/>
                <w:w w:val="92"/>
              </w:rPr>
              <w:t>Index to Exhibits</w:t>
            </w:r>
          </w:p>
        </w:tc>
        <w:tc>
          <w:tcPr>
            <w:tcW w:w="8860" w:type="dxa"/>
            <w:vAlign w:val="bottom"/>
            <w:gridSpan w:val="1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48</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0000FF"/>
                <w:w w:val="85"/>
              </w:rPr>
              <w:t>Signatures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July 2,</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91"/>
              <w:spacing w:after="0" w:line="133"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1"/>
              <w:spacing w:after="0" w:line="133"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6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2,822.2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common share: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per common share: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Diluted net income (loss)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common shares outstanding during the period plus dilutive potential</w:t>
            </w: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33"/>
        </w:trPr>
        <w:tc>
          <w:tcPr>
            <w:tcW w:w="64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40"/>
              <w:spacing w:after="0" w:line="133"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3"/>
              <w:spacing w:after="0" w:line="133"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3"/>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6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440" w:type="dxa"/>
            <w:vAlign w:val="bottom"/>
          </w:tcPr>
          <w:p>
            <w:pPr>
              <w:ind w:left="480"/>
              <w:spacing w:after="0"/>
              <w:rPr>
                <w:sz w:val="20"/>
                <w:szCs w:val="20"/>
                <w:color w:val="auto"/>
              </w:rPr>
            </w:pPr>
            <w:r>
              <w:rPr>
                <w:rFonts w:ascii="Arial" w:cs="Arial" w:eastAsia="Arial" w:hAnsi="Arial"/>
                <w:sz w:val="18"/>
                <w:szCs w:val="18"/>
                <w:color w:val="auto"/>
              </w:rPr>
              <w:t>Net unrealized gains (losses) on derivative instruments, net of tax</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76"/>
        </w:trPr>
        <w:tc>
          <w:tcPr>
            <w:tcW w:w="64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Reclassification of net unrealized (gains) losses on derivative instruments to net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net of tax</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440" w:type="dxa"/>
            <w:vAlign w:val="bottom"/>
          </w:tcPr>
          <w:p>
            <w:pPr>
              <w:ind w:left="480"/>
              <w:spacing w:after="0"/>
              <w:rPr>
                <w:sz w:val="20"/>
                <w:szCs w:val="20"/>
                <w:color w:val="auto"/>
              </w:rPr>
            </w:pPr>
            <w:r>
              <w:rPr>
                <w:rFonts w:ascii="Arial" w:cs="Arial" w:eastAsia="Arial" w:hAnsi="Arial"/>
                <w:sz w:val="18"/>
                <w:szCs w:val="18"/>
                <w:color w:val="auto"/>
              </w:rPr>
              <w:t>Net unrealized losses on securities, net of tax</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Pension and other post-retirement benefit adjustments, net of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controlling interest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868"/>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8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3"/>
        </w:trPr>
        <w:tc>
          <w:tcPr>
            <w:tcW w:w="8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1"/>
                <w:szCs w:val="11"/>
                <w:color w:val="auto"/>
              </w:rPr>
            </w:pPr>
          </w:p>
        </w:tc>
        <w:tc>
          <w:tcPr>
            <w:tcW w:w="118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8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88"/>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(217.5)</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561.3</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82"/>
        </w:trPr>
        <w:tc>
          <w:tcPr>
            <w:tcW w:w="8140" w:type="dxa"/>
            <w:vAlign w:val="bottom"/>
          </w:tcPr>
          <w:p>
            <w:pPr>
              <w:ind w:left="680"/>
              <w:spacing w:after="0"/>
              <w:rPr>
                <w:sz w:val="20"/>
                <w:szCs w:val="20"/>
                <w:color w:val="auto"/>
              </w:rPr>
            </w:pPr>
            <w:r>
              <w:rPr>
                <w:rFonts w:ascii="Arial" w:cs="Arial" w:eastAsia="Arial" w:hAnsi="Arial"/>
                <w:sz w:val="14"/>
                <w:szCs w:val="14"/>
                <w:color w:val="auto"/>
              </w:rPr>
              <w:t>Impairment, restructuring and other</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Deferred taxes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2"/>
        </w:trPr>
        <w:tc>
          <w:tcPr>
            <w:tcW w:w="8140" w:type="dxa"/>
            <w:vAlign w:val="bottom"/>
          </w:tcPr>
          <w:p>
            <w:pPr>
              <w:ind w:left="680"/>
              <w:spacing w:after="0"/>
              <w:rPr>
                <w:sz w:val="20"/>
                <w:szCs w:val="20"/>
                <w:color w:val="auto"/>
              </w:rPr>
            </w:pPr>
            <w:r>
              <w:rPr>
                <w:rFonts w:ascii="Arial" w:cs="Arial" w:eastAsia="Arial" w:hAnsi="Arial"/>
                <w:sz w:val="14"/>
                <w:szCs w:val="14"/>
                <w:color w:val="auto"/>
              </w:rPr>
              <w:t>Share-based compensation expense</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34.0</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Depreciation</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w:t>
            </w:r>
          </w:p>
        </w:tc>
      </w:tr>
      <w:tr>
        <w:trPr>
          <w:trHeight w:val="182"/>
        </w:trPr>
        <w:tc>
          <w:tcPr>
            <w:tcW w:w="8140" w:type="dxa"/>
            <w:vAlign w:val="bottom"/>
          </w:tcPr>
          <w:p>
            <w:pPr>
              <w:ind w:left="68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Equity in income of unconsolidated affiliates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82"/>
        </w:trPr>
        <w:tc>
          <w:tcPr>
            <w:tcW w:w="8140" w:type="dxa"/>
            <w:vAlign w:val="bottom"/>
          </w:tcPr>
          <w:p>
            <w:pPr>
              <w:ind w:left="680"/>
              <w:spacing w:after="0"/>
              <w:rPr>
                <w:sz w:val="20"/>
                <w:szCs w:val="20"/>
                <w:color w:val="auto"/>
              </w:rPr>
            </w:pPr>
            <w:r>
              <w:rPr>
                <w:rFonts w:ascii="Arial" w:cs="Arial" w:eastAsia="Arial" w:hAnsi="Arial"/>
                <w:sz w:val="14"/>
                <w:szCs w:val="14"/>
                <w:color w:val="auto"/>
              </w:rPr>
              <w:t>Other, net</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Changes in assets and liabilities, net of acquired businesses: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82"/>
        </w:trPr>
        <w:tc>
          <w:tcPr>
            <w:tcW w:w="8140" w:type="dxa"/>
            <w:vAlign w:val="bottom"/>
          </w:tcPr>
          <w:p>
            <w:pPr>
              <w:ind w:left="11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(558.1)</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(337.2)</w:t>
            </w:r>
          </w:p>
        </w:tc>
      </w:tr>
      <w:tr>
        <w:trPr>
          <w:trHeight w:val="182"/>
        </w:trPr>
        <w:tc>
          <w:tcPr>
            <w:tcW w:w="8140" w:type="dxa"/>
            <w:vAlign w:val="bottom"/>
          </w:tcPr>
          <w:p>
            <w:pPr>
              <w:ind w:left="1120"/>
              <w:spacing w:after="0"/>
              <w:rPr>
                <w:sz w:val="20"/>
                <w:szCs w:val="20"/>
                <w:color w:val="auto"/>
              </w:rPr>
            </w:pPr>
            <w:r>
              <w:rPr>
                <w:rFonts w:ascii="Arial" w:cs="Arial" w:eastAsia="Arial" w:hAnsi="Arial"/>
                <w:sz w:val="14"/>
                <w:szCs w:val="14"/>
                <w:color w:val="auto"/>
              </w:rPr>
              <w:t>Prepaid and other assets</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(62.5)</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Accounts payable</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87.9</w:t>
            </w:r>
          </w:p>
        </w:tc>
      </w:tr>
      <w:tr>
        <w:trPr>
          <w:trHeight w:val="182"/>
        </w:trPr>
        <w:tc>
          <w:tcPr>
            <w:tcW w:w="8140" w:type="dxa"/>
            <w:vAlign w:val="bottom"/>
          </w:tcPr>
          <w:p>
            <w:pPr>
              <w:ind w:left="1120"/>
              <w:spacing w:after="0"/>
              <w:rPr>
                <w:sz w:val="20"/>
                <w:szCs w:val="20"/>
                <w:color w:val="auto"/>
              </w:rPr>
            </w:pPr>
            <w:r>
              <w:rPr>
                <w:rFonts w:ascii="Arial" w:cs="Arial" w:eastAsia="Arial" w:hAnsi="Arial"/>
                <w:sz w:val="14"/>
                <w:szCs w:val="14"/>
                <w:color w:val="auto"/>
              </w:rPr>
              <w:t>Other current liabilities</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Restructuring and other</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2"/>
        </w:trPr>
        <w:tc>
          <w:tcPr>
            <w:tcW w:w="8140" w:type="dxa"/>
            <w:vAlign w:val="bottom"/>
          </w:tcPr>
          <w:p>
            <w:pPr>
              <w:ind w:left="1120"/>
              <w:spacing w:after="0"/>
              <w:rPr>
                <w:sz w:val="20"/>
                <w:szCs w:val="20"/>
                <w:color w:val="auto"/>
              </w:rPr>
            </w:pPr>
            <w:r>
              <w:rPr>
                <w:rFonts w:ascii="Arial" w:cs="Arial" w:eastAsia="Arial" w:hAnsi="Arial"/>
                <w:sz w:val="14"/>
                <w:szCs w:val="14"/>
                <w:color w:val="auto"/>
              </w:rPr>
              <w:t>Other non-current items</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76"/>
        </w:trPr>
        <w:tc>
          <w:tcPr>
            <w:tcW w:w="8140" w:type="dxa"/>
            <w:vAlign w:val="bottom"/>
          </w:tcPr>
          <w:p>
            <w:pPr>
              <w:ind w:left="144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(679.6)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sale of long-lived assets</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Investments in property, plant and equipment</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(77.9)</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Investments in unconsolidated affiliates</w:t>
            </w: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Payment for acquisitions, net of cash acquired</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convertible debt investments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Other investing, net</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1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(211.9)</w:t>
            </w:r>
          </w:p>
        </w:tc>
      </w:tr>
      <w:tr>
        <w:trPr>
          <w:trHeight w:val="196"/>
        </w:trPr>
        <w:tc>
          <w:tcPr>
            <w:tcW w:w="8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2"/>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Borrowings under revolving and bank lines of credit and term loans</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3,440.0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1,231.9</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Repayments under revolving and bank lines of credit and term loans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(2,253.3)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(1,064.9)</w:t>
            </w: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Proceeds from issuance of 4.000% Senior Notes</w:t>
            </w:r>
          </w:p>
        </w:tc>
        <w:tc>
          <w:tcPr>
            <w:tcW w:w="3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Financing and issuance fees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Dividends paid</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(106.1)</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Common Shares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w:t>
            </w: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Cash received from exercise of stock options</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Acquisition of noncontrolling interests</w:t>
            </w: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82"/>
        </w:trPr>
        <w:tc>
          <w:tcPr>
            <w:tcW w:w="8140" w:type="dxa"/>
            <w:vAlign w:val="bottom"/>
          </w:tcPr>
          <w:p>
            <w:pPr>
              <w:ind w:left="360"/>
              <w:spacing w:after="0"/>
              <w:rPr>
                <w:sz w:val="20"/>
                <w:szCs w:val="20"/>
                <w:color w:val="auto"/>
              </w:rPr>
            </w:pPr>
            <w:r>
              <w:rPr>
                <w:rFonts w:ascii="Arial" w:cs="Arial" w:eastAsia="Arial" w:hAnsi="Arial"/>
                <w:sz w:val="14"/>
                <w:szCs w:val="14"/>
                <w:color w:val="auto"/>
              </w:rPr>
              <w:t>Other financing, net</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1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797.9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459.6</w:t>
            </w: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4"/>
                <w:szCs w:val="14"/>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5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6"/>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less allowances of $16.8, $10.9 and $16.8, respectively</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Accounts receivable pledged</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r>
      <w:tr>
        <w:trPr>
          <w:trHeight w:val="22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176"/>
        </w:trPr>
        <w:tc>
          <w:tcPr>
            <w:tcW w:w="6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of $778.4, $727.0 and</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$737.4, respectively</w:t>
            </w: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605.2</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r>
      <w:tr>
        <w:trPr>
          <w:trHeight w:val="20"/>
        </w:trPr>
        <w:tc>
          <w:tcPr>
            <w:tcW w:w="69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29"/>
        </w:trPr>
        <w:tc>
          <w:tcPr>
            <w:tcW w:w="6920" w:type="dxa"/>
            <w:vAlign w:val="bottom"/>
            <w:gridSpan w:val="2"/>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1,140.4</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3,786.7</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6520" w:type="dxa"/>
            <w:vAlign w:val="bottom"/>
          </w:tcPr>
          <w:p>
            <w:pPr>
              <w:ind w:left="360"/>
              <w:spacing w:after="0" w:line="176" w:lineRule="exact"/>
              <w:rPr>
                <w:sz w:val="20"/>
                <w:szCs w:val="20"/>
                <w:color w:val="auto"/>
              </w:rPr>
            </w:pPr>
            <w:r>
              <w:rPr>
                <w:rFonts w:ascii="Arial" w:cs="Arial" w:eastAsia="Arial" w:hAnsi="Arial"/>
                <w:sz w:val="18"/>
                <w:szCs w:val="18"/>
                <w:color w:val="auto"/>
                <w:w w:val="98"/>
              </w:rPr>
              <w:t>Common shares and capital in excess of $0.01 stated value per share; shares</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of 55.4, 55.8 and 55.6, respectively</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477.0</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Treasury shares, at cost; 12.8, 12.4 and 12.6 shares, respectively</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(1,002.4)</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3"/>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1,013.3</w:t>
            </w: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North America consumer lawn and garden business is highly seasonal, with more than 75% of its annual net sales occurring in the second and third fiscal quarters.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Company’s unaudited condensed consolidated financial statements for the three and nine months ended July 2, 2022 and July 3, 2021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On February 26, 2021, the Company acquired the remaining outstanding shares of AeroGrow International, Inc. (“AeroGrow”). Prior to this date, the equity owned by other shareholders was shown as noncontrolling interest in the Condensed Consolidated Balance Sheets, and the other shareholders’ portion of net earnings and other comprehensive income was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July 2, 2022 (this “Form 10-Q”) should be read in conjunction with Scotts Miracle-Gro’s Annual Report on Form 10-K for the fiscal year ended September 30, 2021 (the “2021 Annual Report”), which includes a complete set of footnote disclosures, including the Company’s significant accounting policies.</w:t>
      </w:r>
    </w:p>
    <w:p>
      <w:pPr>
        <w:spacing w:after="0" w:line="12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2021 has been derived from the Company’s audited Consolidated Balance Sheet at that date, but does not include all of the information and footnotes required by GAAP for complete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$13.3 and $13.8 during the nine months ended July 2, 2022 and July 3, 2021, respectively, representing unpaid liabilities to acquire property, plant and equipment.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600" w:type="dxa"/>
            <w:vAlign w:val="bottom"/>
            <w:gridSpan w:val="4"/>
          </w:tcPr>
          <w:p>
            <w:pPr>
              <w:jc w:val="right"/>
              <w:ind w:right="34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6"/>
                <w:szCs w:val="16"/>
                <w:color w:val="auto"/>
              </w:rPr>
            </w:pPr>
          </w:p>
        </w:tc>
      </w:tr>
      <w:tr>
        <w:trPr>
          <w:trHeight w:val="25"/>
        </w:trPr>
        <w:tc>
          <w:tcPr>
            <w:tcW w:w="8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29"/>
        </w:trPr>
        <w:tc>
          <w:tcPr>
            <w:tcW w:w="8100" w:type="dxa"/>
            <w:vAlign w:val="bottom"/>
          </w:tcPr>
          <w:p>
            <w:pPr>
              <w:spacing w:after="0"/>
              <w:rPr>
                <w:sz w:val="11"/>
                <w:szCs w:val="11"/>
                <w:color w:val="auto"/>
              </w:rPr>
            </w:pPr>
          </w:p>
        </w:tc>
        <w:tc>
          <w:tcPr>
            <w:tcW w:w="1040" w:type="dxa"/>
            <w:vAlign w:val="bottom"/>
          </w:tcPr>
          <w:p>
            <w:pPr>
              <w:jc w:val="center"/>
              <w:ind w:left="404"/>
              <w:spacing w:after="0" w:line="129" w:lineRule="exact"/>
              <w:rPr>
                <w:sz w:val="20"/>
                <w:szCs w:val="20"/>
                <w:color w:val="auto"/>
              </w:rPr>
            </w:pPr>
            <w:r>
              <w:rPr>
                <w:rFonts w:ascii="Arial" w:cs="Arial" w:eastAsia="Arial" w:hAnsi="Arial"/>
                <w:sz w:val="14"/>
                <w:szCs w:val="14"/>
                <w:b w:val="1"/>
                <w:bCs w:val="1"/>
                <w:color w:val="auto"/>
                <w:w w:val="91"/>
              </w:rPr>
              <w:t>July 2,</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left="422"/>
              <w:spacing w:after="0" w:line="129" w:lineRule="exact"/>
              <w:rPr>
                <w:sz w:val="20"/>
                <w:szCs w:val="20"/>
                <w:color w:val="auto"/>
              </w:rPr>
            </w:pPr>
            <w:r>
              <w:rPr>
                <w:rFonts w:ascii="Arial" w:cs="Arial" w:eastAsia="Arial" w:hAnsi="Arial"/>
                <w:sz w:val="14"/>
                <w:szCs w:val="14"/>
                <w:b w:val="1"/>
                <w:bCs w:val="1"/>
                <w:color w:val="auto"/>
                <w:w w:val="91"/>
              </w:rPr>
              <w:t>July 3,</w:t>
            </w:r>
          </w:p>
        </w:tc>
        <w:tc>
          <w:tcPr>
            <w:tcW w:w="520" w:type="dxa"/>
            <w:vAlign w:val="bottom"/>
          </w:tcPr>
          <w:p>
            <w:pPr>
              <w:spacing w:after="0"/>
              <w:rPr>
                <w:sz w:val="11"/>
                <w:szCs w:val="11"/>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040" w:type="dxa"/>
            <w:vAlign w:val="bottom"/>
            <w:shd w:val="clear" w:color="auto" w:fill="CCEEFF"/>
          </w:tcPr>
          <w:p>
            <w:pPr>
              <w:jc w:val="right"/>
              <w:ind w:right="84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Income tax payments</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165.9</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Adopted Accounting Pronouncements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2019, the Financial Accounting Standards Board issued Accounting Standards Update No. 2019-12, “Income taxes (Topic 740): Simplifying the Accounting for Income Taxes,” which simplifies the accounting for income taxes by removing certain exceptions to the general principles in Accounting Standards Codification 740 and also clarifies and amends existing guidance to improve consistent application. The Company adopted this guidance on October 1, 2021.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adoption of this guidance did not have a material impact on the Company’s consolidated financial position,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104"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As a result, effective in its fourth quarter of fiscal 2017, the Company classified its results of operations for all periods presented to reflect the International Business as a discontinued operation. The transaction included contingent consideration with a maximum payout of $23.8 and an initial fair value of $18.2, the payment of which depended on the achievement of certain performance criteria by the International Business following the closing of the transaction through fiscal 2020. During the third quarter of fiscal 2021, the Company agreed to accept a contingent consideration payout of $6.0 and recorded a pre-tax charge of $12.2 in the “Income (loss) from discontinued operations, net of tax” line in the Condensed Consolidated Statements of Operations during the third quarter of fiscal 2021 to write down the contingent consideration receivable to the agreed upon payout amount. During the three months ended April 2, 2022, the Company received the contingent consideration payment and this amount was classified as a financing activity in the “Other financing, net” line in the Condensed Consolidated Statements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Cyco</w:t>
      </w:r>
    </w:p>
    <w:p>
      <w:pPr>
        <w:spacing w:after="0" w:line="17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April 28, 2022, the Company’s Hawthorne segment completed the acquisition of substantially all of the assets of S.J. Enterprises PTY LTD, d.b.a. Cyco, an Australia-based provider of premium nutrients, additives and growing media products for indoor growing, for an estimated purchase price of $37.4. The purchase price includes contingent consideration, a non-cash investing activity, with an initial fair value of $3.1 and a maximum payout of $10.0, which will be paid by the Company based on the achievement of certain performance metrics through December 31, 2024. Prior to the transaction, the Company served as the exclusive distributor of Cyco’s products in the United States. The valuation of the acquired assets included (i) $1.3 of inventory,</w:t>
      </w:r>
    </w:p>
    <w:p>
      <w:pPr>
        <w:spacing w:after="0" w:line="2" w:lineRule="exact"/>
        <w:rPr>
          <w:sz w:val="20"/>
          <w:szCs w:val="20"/>
          <w:color w:val="auto"/>
        </w:rPr>
      </w:pPr>
    </w:p>
    <w:p>
      <w:pPr>
        <w:jc w:val="both"/>
        <w:ind w:firstLine="8"/>
        <w:spacing w:after="0" w:line="253"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 of finite-lived identifiable intangible assets and (iii) $25.6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Luxx Lighting</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December 30, 2021, the Company’s Hawthorne segment completed the acquisition of substantially all of the assets of Luxx Lighting, Inc., a leading provider of lighting products for indoor growing. The purchase price was $213.2, a portion of which was paid by the issuance of 0.1 million of the common shares, $0.01 par value per share, of Scotts Miracle-Gro (“Common Shares”), a non-cash investing and financing activity, with a fair value of $21.0 based on the share price at the time of payment. During the second quarter of fiscal 2022, the Company identified quality issues with certain Luxx products sold prior to the closing of the acquisition. As of July 2, 2022, the accrual for product return refund liabilities and warranty claims associated with these quality issues was $8.9, which was recognized as a measurement-period adjustment. During the third quarter of fiscal 2022, the preliminary valuation of the acquired assets was revised to reflect updated acquisition-date assumptions including the longer duration and increased significance of lower sales volumes and cost increases. The Company recognized the resulting impact as a measurement-period adjustment. The revised valuation resulted in a decrease in the value of finite-lived identifiable intangible assets of $59.5 and a corresponding increase in goodwill. The revised valuation of the acquired assets included (i) $32.8 of inventory and accounts receivable, (ii) $5.7 of current assets, (iii) $24.2 of current liabilities, (iv) $47.3 of finite-lived identifiable intangible assets and (v) $151.6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True Liberty Bags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December 23, 2021, the Company’s Hawthorne segment completed the acquisition of substantially all of the assets of True Liberty Bags, a leading provider of liners and storage solutions to dry and cure plant products, for $10.1. The valuation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acquired assets included (i) $1.1 of inventory, (ii) $5.8 of finite-lived identifiable intangible assets and (iii) $3.2 of tax-deductible goodwill. Identifiable intangible assets included trade names and customer relationships with useful lives of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Hydro-Logic</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August 27, 2021, the Company’s Hawthorne segment completed the acquisition of substantially all of the assets of Hydro-Logic Purification Systems, Inc., a leading provider of products, accessories and systems for water filtration and purification, for $65.3. The valuation of the acquired assets included (i) $4.5 of inventory and accounts receivable, (ii) $1.6 of noncurrent assets, (iii) $2.6 of other liabilities, (iv) $23.1 of finite-lived identifiable intangible assets and (v) $38.7 of tax-deductible goodwill. Identifiable intangible assets included trade names, customer relationships and non-compete agreements with useful lives ranging between 5 and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Hawthorne Collective</w:t>
      </w:r>
    </w:p>
    <w:p>
      <w:pPr>
        <w:spacing w:after="0" w:line="15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August 24, 2021, the Company’s wholly-owned subsidiary, The Hawthorne Collective, Inc. (“THC”), made its initial investment under the Company’s strategic minority non-equity investment initiative in the form of a $150.0 six-year convertible note issued to the Company by Toronto-based RIV Capital Inc. (“RIV Capital”) (CSE: RIV) (OTC: CNPOF), a cannabis investment and acquisition firm listed on the Canadian Securities Exchange. The note accrues interest at 2 percent annually for the first two years and provides additional follow-on investment rights. Accrued interest will be payable to THC at maturity or will be included in the conversion value of the note at the time of conversion. The conversion feature is based upon the RIV Capital closing stock price on August 9, 2021. In connection with the Company’s investment, RIV Capital increased the size of its board of directors from four to seven members and added three nominees of the Company to the board of directors of RIV Capital. On April 22, 2022, pursuant to its follow-on investment rights, the Company made an additional investment in RIV Capital in the form of a $25.0 convertible note. The note accrues interest at 2 percent annually for the first two years and matures on August 24, 2027. Accrued interest will be payable to THC at maturity or will be included in the conversion value of the note at the time of conversion. The conversion feature is based upon the RIV Capital closing stock price on March 29, 2022. Additionally, RIV Capital is expected to increase the size of its board of directors to nine members, which is expected to include four nominees of the Company. The initial and follow-on investments would provide the Company with approximately 42 percent ownership of RIV Capital if it exercises the conversion features of both investments.</w:t>
      </w:r>
    </w:p>
    <w:p>
      <w:pPr>
        <w:spacing w:after="0" w:line="1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will not have control of or an active day-to-day role in RIV Capital or any of the companies in which RIV Capital invests. RIV Capital has agreed to use the funds it receives from the Company for general corporate and other lawful purposes, which could include acquisitions, and has agreed that the funds will not be used in connection with or for any cannabis or cannabis-related operations in the U.S. unless and until such operations comply with all applicable U.S. federal laws.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fiscal 2021, THC made minority non-equity investments of $43.1 in other entities focused on branded cannabis and high quality genetics. These additional investments also include conversion features that would provide the Company with minority ownership interests if it exercises the conversion features, as well as restrictions that the funds will not be used in connection with or for any cannabis or cannabis-related operations in the U.S. unless and until such operations comply with all applicable U.S. federal laws.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Rhizoflora</w:t>
      </w:r>
    </w:p>
    <w:p>
      <w:pPr>
        <w:spacing w:after="0" w:line="171"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7"/>
          <w:szCs w:val="17"/>
          <w:color w:val="auto"/>
        </w:rPr>
        <w:t>On August 13, 2021, the Company’s Hawthorne segment completed the acquisition of substantially all of the assets of Rhizoflora, Inc., the manufacturer of terpene enhancing nutrient products Terpinator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Purpinator</w:t>
      </w:r>
      <w:r>
        <w:rPr>
          <w:rFonts w:ascii="Arial" w:cs="Arial" w:eastAsia="Arial" w:hAnsi="Arial"/>
          <w:sz w:val="22"/>
          <w:szCs w:val="22"/>
          <w:color w:val="auto"/>
          <w:vertAlign w:val="superscript"/>
        </w:rPr>
        <w:t>®</w:t>
      </w:r>
      <w:r>
        <w:rPr>
          <w:rFonts w:ascii="Arial" w:cs="Arial" w:eastAsia="Arial" w:hAnsi="Arial"/>
          <w:sz w:val="17"/>
          <w:szCs w:val="17"/>
          <w:color w:val="auto"/>
        </w:rPr>
        <w:t>, for $33.7. The valuation of the acquired assets included (i) $0.6 of inventory, (ii) $10.9 of finite-lived identifiable intangible assets and (iii) $22.2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AeroGrow</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November 11, 2020, the Company entered into an agreement and plan of merger to acquire the remaining outstanding shares of AeroGrow for cash consideration of $3.00 per share, or approximately $20.1. The merger closed on February 26, 2021. SMG Growing Media, Inc., a wholly-owned subsidiary of Scotts Miracle-Gro, was the holder of 80.5% of the outstanding shares of AeroGrow prior to the closing and now holds 100% of the outstanding shares of AeroGrow. The closing date carrying value of the noncontrolling interest was $6.7 and the $13.4 difference between the purchase price and carrying value was recognized in the “Common shares and capital in excess of $0.01 stated value per share” line within “Total equity” in the Condensed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U.S. Consumer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Hawthorne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1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w w:val="90"/>
              </w:rPr>
              <w:t>Acquisitions and measurement-period adjustments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July 2, 2022</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
        </w:trPr>
        <w:tc>
          <w:tcPr>
            <w:tcW w:w="48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8680" w:type="dxa"/>
            <w:vAlign w:val="bottom"/>
            <w:gridSpan w:val="17"/>
          </w:tcPr>
          <w:p>
            <w:pPr>
              <w:ind w:left="460"/>
              <w:spacing w:after="0"/>
              <w:rPr>
                <w:sz w:val="20"/>
                <w:szCs w:val="20"/>
                <w:color w:val="auto"/>
              </w:rPr>
            </w:pPr>
            <w:r>
              <w:rPr>
                <w:rFonts w:ascii="Arial" w:cs="Arial" w:eastAsia="Arial" w:hAnsi="Arial"/>
                <w:sz w:val="18"/>
                <w:szCs w:val="18"/>
                <w:color w:val="auto"/>
                <w:w w:val="98"/>
              </w:rPr>
              <w:t>The following table presents intangible assets, net of accumulated amortization and impairment charges: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July 2, 2022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0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rPr>
              <w:t>Impairment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8"/>
              </w:rPr>
              <w:t>Impairment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3"/>
              <w:spacing w:after="0" w:line="14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Charges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Charges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11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5"/>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Trade names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4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7"/>
              </w:rPr>
              <w:t>(73.3)</w:t>
            </w:r>
          </w:p>
        </w:tc>
        <w:tc>
          <w:tcPr>
            <w:tcW w:w="2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(91.7)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7"/>
              </w:rPr>
              <w:t>(41.3)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(14.2)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3700" w:type="dxa"/>
            <w:vAlign w:val="bottom"/>
          </w:tcPr>
          <w:p>
            <w:pPr>
              <w:ind w:left="240"/>
              <w:spacing w:after="0"/>
              <w:rPr>
                <w:sz w:val="20"/>
                <w:szCs w:val="20"/>
                <w:color w:val="auto"/>
              </w:rPr>
            </w:pPr>
            <w:r>
              <w:rPr>
                <w:rFonts w:ascii="Arial" w:cs="Arial" w:eastAsia="Arial" w:hAnsi="Arial"/>
                <w:sz w:val="18"/>
                <w:szCs w:val="18"/>
                <w:color w:val="auto"/>
              </w:rPr>
              <w:t>Total finite-lived intangible assets, net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Indefinite-lived trade names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w w:val="95"/>
              </w:rPr>
              <w:t>Roundup</w:t>
            </w:r>
            <w:r>
              <w:rPr>
                <w:rFonts w:ascii="Arial" w:cs="Arial" w:eastAsia="Arial" w:hAnsi="Arial"/>
                <w:sz w:val="23"/>
                <w:szCs w:val="23"/>
                <w:color w:val="auto"/>
                <w:w w:val="95"/>
                <w:vertAlign w:val="superscript"/>
              </w:rPr>
              <w:t>®</w:t>
            </w:r>
            <w:r>
              <w:rPr>
                <w:rFonts w:ascii="Arial" w:cs="Arial" w:eastAsia="Arial" w:hAnsi="Arial"/>
                <w:sz w:val="18"/>
                <w:szCs w:val="18"/>
                <w:color w:val="auto"/>
                <w:w w:val="95"/>
              </w:rPr>
              <w:t xml:space="preserve"> marketing agreement amendment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indefinite-lived intangible assets</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323.9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the third quarter of fiscal 2022, the Company’s Hawthorne reporting unit continued to experience adverse financial results driven by an oversupply of cannabis, which has slowed down indoor and outdoor cultivation, and higher transportation and warehousing costs. As a result, the Company made further revisions to its internal forecasts relating to its Hawthorne reporting unit. The Company concluded that the changes in circumstances in this reporting unit and the decline in the Company’s market capitalization triggered the need for an interim impairment review of its goodwill. These changes in circumstances also indicated that the carrying amounts of Hawthorne’s long-lived assets, including trade names and customer relationships, may not be recoverable. Accordingly, the Company performed a recoverability test for long-lived assets as of July 2, 2022. The Company concluded that the carrying value of long-lived assets exceeded their estimated fair value and recorded impairment charges of $69.0 related to trade names and $41.0 related to customer relationships in the “Impairment,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restructuring and other” line in the Condensed Consolidated Statements of Operations. The fair values of long-lived assets were determined using income-based approaches, including the relief-from-royalty method for trade names, that include market participant expectations of cash flows that the assets will generate over the remaining useful life discounted to present value using an appropriate discount rate. These fair value estimates utilize significant unobservable inputs and thus represent Level 3 fair value measurements.</w:t>
      </w:r>
    </w:p>
    <w:p>
      <w:pPr>
        <w:spacing w:after="0" w:line="5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After adjusting the carrying values of the finite-lived intangible assets, the Company completed an interim quantitative impairment test for goodwill. This quantitative test resulted in a non-cash, pre-tax goodwill impairment charge of $522.4 related to the Hawthorne reporting unit, which was recorded in the “Impairment, restructuring and other” line in the Condensed Consolidated Statements of Operations. The carrying value of goodwill of the Hawthorne reporting unit, after recognizing the impairment, is zero. The estimated fair value of the Hawthorne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fair value estimate utilizes significant unobservable inputs and thus represents a Level 3 fair value measurement.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AFFILIATES</w:t>
      </w:r>
    </w:p>
    <w:p>
      <w:pPr>
        <w:spacing w:after="0" w:line="9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December 31, 2020, pursuant to the terms of the Contribution and Unit Purchase Agreement between the Company and Alabama Farmers Cooperative, Inc. (“AFC”), the Company acquired a 50% equity interest in the Bonnie Plants business of planting, growing, developing, distributing, marketing and selling live plants through a newly formed joint venture with AFC (“Bonnie Plants, LLC”) in exchange for cash payments of $102.3, as well as non-cash investing activities that included forgiveness of the Company’s outstanding loan receivable with AFC and surrender of the Company’s options to increase its economic interest in the Bonnie Plants business. The Company’s loan receivable with AFC, which was previously recognized in the “Other assets” line in the Condensed Consolidated Balance Sheets, had a carrying value of $66.4 on December 31, 2020 and the Company recognized a gain of $12.5 during the three months ended January 2, 2021 to write-up the value of the loan to its closing date fair value of $78.9 in the “Other non-operating income, net” line in the Condensed Consolidated Statements of Operations. The Company’s options to increase its economic interest in the Bonnie Plants business were previously recognized in the “Other assets” line in the Condensed Consolidated Balance Sheets and had an estimated fair value of $23.3 on December 31, 2020. The Company’s interest in Bonnie Plants, LLC had an initial fair value of $202.9 and is recorded in the “Investment in unconsolidated affiliates” line in the Condensed Consolidated Balance Sheets. The Company’s interest is accounted for using the equity method of accounting, with the Company’s proportionate share of Bonnie Plants, LLC earnings subsequent to December 31, 2020 reflected in the Condensed Consolidated Statements of Operations. During the three and nine months ended July 2, 2022, the Company recorded equity in income of unconsolidated affiliates associated with Bonnie Plants, LLC of $15.1 and $1.3, respectively, as compared to $21.5 and $20.0 during the three and nine months ended July 3, 2021, respectively. The estimated fair value of the loan receivable with AFC was determined using an income-based approach, which includes market participant expectations of cash flows over the remaining useful life discounted to present value using an appropriate discount rate. The fair value estimate utilized significant unobservable inputs and thus represents a Level 3 nonrecurring fair value measurement.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IMPAIRMENT, RESTRUCTURING AND OTHER</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29"/>
        </w:trPr>
        <w:tc>
          <w:tcPr>
            <w:tcW w:w="64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July 2,</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July 3,</w:t>
            </w:r>
          </w:p>
        </w:tc>
      </w:tr>
      <w:tr>
        <w:trPr>
          <w:trHeight w:val="196"/>
        </w:trPr>
        <w:tc>
          <w:tcPr>
            <w:tcW w:w="6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Property, plant and equipment impairments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Goodwill and intangible asset impairments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activity related to liabilities associated with restructuring and other during the nine months ended July 2,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September 30, 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Restructuring and other charges from continuing operations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other</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Amounts accrued for restructuring and other at July 2, 2022</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9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Included in restructuring accruals, as of July 2, 2022, is $2.0 that is classified as long-term. The remaining amounts accrued will continue to be paid out over the course of the next twelve months.</w:t>
      </w:r>
    </w:p>
    <w:p>
      <w:pPr>
        <w:spacing w:after="0" w:line="10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three and nine months ended July 2, 2022, the Company recognized non-cash, pre-tax goodwill and intangible asset impairment charges of $632.4 related to its Hawthorne segment in the “Impairment, restructuring and other” line in the Condensed Consolidated Statements of Operations, comprised of $522.4 of goodwill impairment charges and $110.0 of finite-lived intangible asset impairment charges.</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and nine months ended July 2, 2022, the Company incurred inventory write-down charges of $45.9 in the “Cost of sales— impairment, restructuring and other” line in the Condensed Consolidated Statements of Operations associated with its decision to discontinue and exit the market for certain lighting products and brands.</w:t>
      </w:r>
    </w:p>
    <w:p>
      <w:pPr>
        <w:spacing w:after="0" w:line="11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the three and nine months ended July 2, 2022, the Company began implementing an expanded series of organizational changes and initiatives intended to create operational and management-level efficiencies. As part of this restructuring program, the Company is reducing the size of its supply chain network, reducing staffing levels and implementing other cost-reduction initiatives. During the three and nine months ended July 2, 2022, the Company incurred costs of $40.7 and $46.1, respectively, associated with this restructuring initiative primarily related to employee termination benefits and impairment of property, plant and equipment. The Company incurred costs of $9.5 in its U.S. Consumer segment and $10.4 and $15.6 in its Hawthorne segment in the “Cost of sales—impairment, restructuring and other” line in the Condensed Consolidated Statements of Operations during the three and nine months ended July 2, 2022, respectively. The Company incurred costs of $7.4 in its U.S. Consumer segment, $7.1 in its Hawthorne segment and $6.3 at Corporate in the “Impairment, restructuring and other” line in the Condensed Consolidated Statements of Operations during the three and nine months ended July 2, 2022, respectively.</w:t>
      </w:r>
    </w:p>
    <w:p>
      <w:pPr>
        <w:spacing w:after="0" w:line="1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COVID-19 pandemic has had, and continues to have, an impact on financial markets, economic conditions, and portions of the Company’s business and industry. The Company has actively addressed the pandemic’s ongoing impact on its employees, operations, customers, consumers, and communities, by, among other things, implementing contingency plans, making operational adjustments where necessary, and providing assistance to organizations that support front-line workers. The first priority of the Company’s pandemic response has been and remains the health, safety and well-being of its employees. In addition to implementing measures to help ensure the health and safety of its employees, the Company implemented 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interim premium pay allowance for certain associates in its field sales force and its manufacturing and distribution centers. Costs incurred during the three and nine months ended July 2, 2022 related to COVID-19 were immaterial. During the three and nine months ended July 3, 2021, the Company incurred costs of $1.9 and $26.1, respectively, associated with the COVID-19 pandemic primarily related to premium pay. The Company incurred costs of $0.8 and $19.8 in its U.S. Consumer segment, $0.5 and $2.4 in its Hawthorne segment and $0.2 and $0.3 in its Other segment in the “Cost of sales—impairment, restructuring and other” line in the Condensed Consolidated Statements of Operations during the three and nine months ended July 3, 2021, respectively. The Company incurred costs of $0.3 and $3.5 in its U.S. Consumer segment and $0.1 in its Other segment in the “Impairment, restructuring and other” line in the Condensed Consolidated Statements of Operations during the three and nine months ended July 3, 2021,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2,</w:t>
            </w:r>
          </w:p>
        </w:tc>
        <w:tc>
          <w:tcPr>
            <w:tcW w:w="3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3,</w:t>
            </w:r>
          </w:p>
        </w:tc>
        <w:tc>
          <w:tcPr>
            <w:tcW w:w="200" w:type="dxa"/>
            <w:vAlign w:val="bottom"/>
          </w:tcPr>
          <w:p>
            <w:pPr>
              <w:spacing w:after="0"/>
              <w:rPr>
                <w:sz w:val="14"/>
                <w:szCs w:val="14"/>
                <w:color w:val="auto"/>
              </w:rPr>
            </w:pPr>
          </w:p>
        </w:tc>
        <w:tc>
          <w:tcPr>
            <w:tcW w:w="13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r>
      <w:tr>
        <w:trPr>
          <w:trHeight w:val="21"/>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$69.3 at July 2, 2022, $21.3 at July 3, 2021 and $22.5 at September 30, 2021. Refer to “NOTE 6. IMPAIRMENT, RESTRUCTURING AND OTHER”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MARKETING AGREEMENT</w:t>
      </w:r>
    </w:p>
    <w:p>
      <w:pPr>
        <w:spacing w:after="0" w:line="162"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6"/>
          <w:szCs w:val="16"/>
          <w:color w:val="auto"/>
        </w:rPr>
        <w:t>The Scotts Company LLC (“Scotts LLC”) is the exclusive agent of Monsanto Company, a subsidiary of Bayer AG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 other things, the provisions of the Second Amended and Restated Exclusive Agency and Marketing Agreement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subject to reduction pursuant to the Third Restated Agreement for any program year in which the Program EBIT does not equal or exceed $36.0.</w:t>
      </w:r>
    </w:p>
    <w:p>
      <w:pPr>
        <w:spacing w:after="0" w:line="9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1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terminate the Third Restated Agreement upon the insolvency or bankruptcy of Monsanto;</w:t>
      </w:r>
    </w:p>
    <w:p>
      <w:pPr>
        <w:spacing w:after="0" w:line="157"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elements of the net commission and reimbursements earned under the Third Restated Agreement and included in the “Net sales” line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5"/>
          </w:tcPr>
          <w:p>
            <w:pPr>
              <w:ind w:left="22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8"/>
          </w:tcPr>
          <w:p>
            <w:pPr>
              <w:ind w:lef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4"/>
                <w:szCs w:val="14"/>
                <w:b w:val="1"/>
                <w:bCs w:val="1"/>
                <w:color w:val="auto"/>
                <w:w w:val="91"/>
              </w:rPr>
              <w:t>July 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July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July 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40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73.4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 expenses</w:t>
            </w: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(4.5)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commission</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Reimbursements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56.4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18"/>
                <w:szCs w:val="18"/>
                <w:color w:val="auto"/>
              </w:rPr>
              <w:t>Total net sales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DEBT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00" w:type="dxa"/>
            <w:vAlign w:val="bottom"/>
          </w:tcPr>
          <w:p>
            <w:pPr>
              <w:ind w:left="420"/>
              <w:spacing w:after="0"/>
              <w:rPr>
                <w:sz w:val="20"/>
                <w:szCs w:val="20"/>
                <w:color w:val="auto"/>
              </w:rPr>
            </w:pPr>
            <w:r>
              <w:rPr>
                <w:rFonts w:ascii="Arial" w:cs="Arial" w:eastAsia="Arial" w:hAnsi="Arial"/>
                <w:sz w:val="18"/>
                <w:szCs w:val="18"/>
                <w:color w:val="auto"/>
              </w:rPr>
              <w:t>The components of debt are as follows:</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w w:val="96"/>
              </w:rPr>
              <w:t>July 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6"/>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278.8</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Senior Notes due 2031 – 4.000%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2032 – 4.375%</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Senior Notes due 2029 – 4.500%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 – 5.250%</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3,500.1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Less current portions</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4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3,155.6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2,132.0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5, 2018, the Company entered into a fifth amended and restated credit agreement (the “Fifth A&amp;R Credit Agreement”), which provided the Company and certain of its subsidiaries with five-year senior secured loan facilities in the aggregate principal amount of $2,300.0, comprised of a revolving credit facility of $1,500.0 and a term loan in the original principal amount of $800.0 (the “Fifth A&amp;R Credit Facilities”). Under the Fifth A&amp;R Credit Facilities, the Company had the ability to obtain letters of credit up to $75.0.</w:t>
      </w:r>
    </w:p>
    <w:p>
      <w:pPr>
        <w:spacing w:after="0" w:line="1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also provides the Company with the right to seek additional committed credit under the agreement in an aggregate amount of up to $500.0 plus an unlimited additional amount, subject to certain specified financial and other conditions. The Sixth A&amp;R Credit Agreement replaces the Fifth A&amp;R Credit Agreement and will terminate on April 8, 2027. The Sixth A&amp;R Credit Facilities are available for issuance of letters of credit up to $100.0. The terms of the Sixth A&amp;R Credit Agreement include customary representations and warranties, affirmative and negative covenants, financial covenants, and events of default.</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July 2, 2022, the Company had letters of credit outstanding in the aggregate principal amount of $14.1 and had $868.5 of borrowing availability under the Sixth A&amp;R Credit Agreement. The weighted average interest rates on average borrowings under the Fifth A&amp;R Credit Agreement and Sixth A&amp;R Credit Agreement were 2.1% and 1.8% for the nine months ended July 2, 2022 and July 3, 2021,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Further,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the Company’s intellectual property.</w:t>
      </w:r>
    </w:p>
    <w:p>
      <w:pPr>
        <w:spacing w:after="0" w:line="11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June 8, 2022, the Company entered into Amendment No. 1 (the “Amendment”) to the Sixth A&amp;R Credit Agreement. The Amendment increased the maximum permitted leverage ratio for the quarterly leverage covenant effective for the third quarter of fiscal 2022 until the earlier of (i) April 1, 2024 and (ii) subject to certain conditions specified in the Amendment, the termination by the Company of such increase (such period, the “Leverage Adjustment Period”). The Amendment also increases the interest rate applicable to borrowings under the revolving credit facility by 35 bps and the term loan facility by 50 bps, and increases the annual facility fee rate on the revolving credit facility by 15 bps, in each case, when the Company’s quarterly-tested leverage ratio exceeds 4.75. Additionally, the Amendment limits the Company’s ability to declare or pay any discretionary dividends, distributions or other restricted payments during the Leverage Adjustment Period to only the payment of (i) regularly scheduled cash dividends to holders of its common stock in an aggregate amount not to exceed $225.0 per fiscal year and (ii) other dividends, distributions or other restricted payments in an aggregate amount not to exceed $25.0; and requires pro forma compliance with certain leverage levels specified in the Amendment with respect to the Company’s ability to consummate certain acquisitions and incur debt.</w:t>
      </w:r>
    </w:p>
    <w:p>
      <w:pPr>
        <w:spacing w:after="0" w:line="11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the Sixth A&amp;R Credit Agreement (“Adjusted EBITDA”). Pursuant to the Amendment, the maximum permitted leverage ratio is (i) 6.25 for the third quarter of fiscal 2022 through the first quarter of fiscal 2023, (ii) 6.50 for the second and third quarters of fiscal 2023, (iii) 6.25 for the fourth quarter of fiscal 2023 and the first quarter of fiscal 2024, (iv) 5.50 for the second quarter of fiscal 2024, and (v) 4.50 for the third quarter of fiscal 2024 and thereafter. The Company’s leverage ratio was 5.10 at July 2, 2022. The Sixth A&amp;R Credit Agreement also contains an affirmative covenant regarding the Company’s interest coverage ratio determined as of the end of each of its fiscal quarters. The interest coverage ratio is calculated as Adjusted EBITDA divided by interest expense, as described in the Sixth A&amp;R Credit Agreement, and excludes costs related to refinancings. The minimum required interest coverage ratio is 3.00, which is unchanged from the Fifth A&amp;R Credit Agreement. The Company’s interest coverage ratio was 5.89 for the twelve months ended July 2,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w:t>
      </w:r>
    </w:p>
    <w:p>
      <w:pPr>
        <w:spacing w:after="0" w:line="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w:t>
      </w:r>
    </w:p>
    <w:p>
      <w:pPr>
        <w:spacing w:after="0" w:line="9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w:t>
      </w:r>
    </w:p>
    <w:p>
      <w:pPr>
        <w:spacing w:after="0" w:line="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On April 7, 2017, the Company entered into a Master Repurchase Agreement (including the annexes thereto, the “Repurchase Agreement”) and a Master Framework Agreement, as amended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that began on February 25, 2022 and ended on June 17, 2022 was $160.0. The Receivables Facility expires on August 19, 2022.</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July 2, 2022 and July 3, 2021, there were $250.0 and $0.0, respectively, in borrowings on receivables pledged as collateral under the Receivables Facility, and the carrying value of the receivables pledged as collateral was $277.8 and $0.0,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July 2, 2022, July 3, 2021 and September 30, 2021 had a maximum total U.S. dollar equivalent notional amount of $800.0, $700.0 and $600.0, respectively. The notional amount, effective date, expiration date and rate of each of the swap agreements outstanding at July 2, 2022 are shown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jc w:val="right"/>
              <w:ind w:right="855"/>
              <w:spacing w:after="0"/>
              <w:rPr>
                <w:sz w:val="20"/>
                <w:szCs w:val="20"/>
                <w:color w:val="auto"/>
              </w:rPr>
            </w:pPr>
            <w:r>
              <w:rPr>
                <w:rFonts w:ascii="Arial" w:cs="Arial" w:eastAsia="Arial" w:hAnsi="Arial"/>
                <w:sz w:val="14"/>
                <w:szCs w:val="14"/>
                <w:b w:val="1"/>
                <w:bCs w:val="1"/>
                <w:color w:val="auto"/>
              </w:rPr>
              <w:t>Notional</w:t>
            </w:r>
          </w:p>
        </w:tc>
        <w:tc>
          <w:tcPr>
            <w:tcW w:w="34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5"/>
              <w:spacing w:after="0"/>
              <w:rPr>
                <w:sz w:val="20"/>
                <w:szCs w:val="20"/>
                <w:color w:val="auto"/>
              </w:rPr>
            </w:pPr>
            <w:r>
              <w:rPr>
                <w:rFonts w:ascii="Arial" w:cs="Arial" w:eastAsia="Arial" w:hAnsi="Arial"/>
                <w:sz w:val="14"/>
                <w:szCs w:val="14"/>
                <w:b w:val="1"/>
                <w:bCs w:val="1"/>
                <w:color w:val="auto"/>
              </w:rPr>
              <w:t>Fixed</w:t>
            </w:r>
          </w:p>
        </w:tc>
      </w:tr>
      <w:tr>
        <w:trPr>
          <w:trHeight w:val="192"/>
        </w:trPr>
        <w:tc>
          <w:tcPr>
            <w:tcW w:w="2400" w:type="dxa"/>
            <w:vAlign w:val="bottom"/>
          </w:tcPr>
          <w:p>
            <w:pPr>
              <w:jc w:val="right"/>
              <w:ind w:right="855"/>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5"/>
              <w:spacing w:after="0"/>
              <w:rPr>
                <w:sz w:val="20"/>
                <w:szCs w:val="20"/>
                <w:color w:val="auto"/>
              </w:rPr>
            </w:pPr>
            <w:r>
              <w:rPr>
                <w:rFonts w:ascii="Arial" w:cs="Arial" w:eastAsia="Arial" w:hAnsi="Arial"/>
                <w:sz w:val="14"/>
                <w:szCs w:val="14"/>
                <w:b w:val="1"/>
                <w:bCs w:val="1"/>
                <w:color w:val="auto"/>
              </w:rPr>
              <w:t>Rate</w:t>
            </w:r>
          </w:p>
        </w:tc>
      </w:tr>
      <w:tr>
        <w:trPr>
          <w:trHeight w:val="229"/>
        </w:trPr>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240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29"/>
        </w:trPr>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240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30"/>
        </w:trPr>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8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3.4% and 3.6% for the nine months ended July 2, 2022 and July 3, 2021,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162"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following tables provide a summary of the changes in total equity, equity attributable to controlling interest, and equity attributable to noncontrolling interests for each of the periods indicated:</w:t>
      </w:r>
    </w:p>
    <w:tbl>
      <w:tblPr>
        <w:tblLayout w:type="fixed"/>
        <w:tblInd w:w="0" w:type="dxa"/>
        <w:tblCellMar>
          <w:top w:w="0" w:type="dxa"/>
          <w:left w:w="0" w:type="dxa"/>
          <w:bottom w:w="0" w:type="dxa"/>
          <w:right w:w="0" w:type="dxa"/>
        </w:tblCellMar>
      </w:tblPr>
      <w:tr>
        <w:trPr>
          <w:trHeight w:val="127"/>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87"/>
              </w:rPr>
              <w:t>Common Shares</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1"/>
              </w:rPr>
              <w:t>and Capital in</w:t>
            </w:r>
          </w:p>
        </w:tc>
        <w:tc>
          <w:tcPr>
            <w:tcW w:w="20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 Equity -</w:t>
            </w: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4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8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2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Controlling Interest</w:t>
            </w:r>
          </w:p>
        </w:tc>
        <w:tc>
          <w:tcPr>
            <w:tcW w:w="14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Arial" w:cs="Arial" w:eastAsia="Arial" w:hAnsi="Arial"/>
                <w:sz w:val="13"/>
                <w:szCs w:val="13"/>
                <w:b w:val="1"/>
                <w:bCs w:val="1"/>
                <w:color w:val="auto"/>
              </w:rPr>
              <w:t>Interest</w:t>
            </w:r>
          </w:p>
        </w:tc>
        <w:tc>
          <w:tcPr>
            <w:tcW w:w="240" w:type="dxa"/>
            <w:vAlign w:val="bottom"/>
          </w:tcPr>
          <w:p>
            <w:pPr>
              <w:spacing w:after="0"/>
              <w:rPr>
                <w:sz w:val="15"/>
                <w:szCs w:val="15"/>
                <w:color w:val="auto"/>
              </w:rPr>
            </w:pPr>
          </w:p>
        </w:tc>
        <w:tc>
          <w:tcPr>
            <w:tcW w:w="920" w:type="dxa"/>
            <w:vAlign w:val="bottom"/>
          </w:tcPr>
          <w:p>
            <w:pPr>
              <w:jc w:val="right"/>
              <w:ind w:right="32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1,013.3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1,013.3</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($0.66 per share)</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Arial" w:cs="Arial" w:eastAsia="Arial" w:hAnsi="Arial"/>
                <w:sz w:val="14"/>
                <w:szCs w:val="14"/>
                <w:color w:val="auto"/>
              </w:rPr>
              <w:t>Balance at January 1, 2022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486.9</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1,517.8</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(1,112.4)</w:t>
            </w:r>
          </w:p>
        </w:tc>
        <w:tc>
          <w:tcPr>
            <w:tcW w:w="100" w:type="dxa"/>
            <w:vAlign w:val="bottom"/>
          </w:tcPr>
          <w:p>
            <w:pPr>
              <w:spacing w:after="0"/>
              <w:rPr>
                <w:sz w:val="15"/>
                <w:szCs w:val="15"/>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831.6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831.6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Dividends declared ($0.66 per share)</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April 2, 2022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1,758.8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(1,097.2)</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(443.9)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($0.66 per share)</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6"/>
        </w:trPr>
        <w:tc>
          <w:tcPr>
            <w:tcW w:w="2480" w:type="dxa"/>
            <w:vAlign w:val="bottom"/>
          </w:tcPr>
          <w:p>
            <w:pPr>
              <w:ind w:left="20"/>
              <w:spacing w:after="0"/>
              <w:rPr>
                <w:sz w:val="20"/>
                <w:szCs w:val="20"/>
                <w:color w:val="auto"/>
              </w:rPr>
            </w:pPr>
            <w:r>
              <w:rPr>
                <w:rFonts w:ascii="Arial" w:cs="Arial" w:eastAsia="Arial" w:hAnsi="Arial"/>
                <w:sz w:val="14"/>
                <w:szCs w:val="14"/>
                <w:color w:val="auto"/>
              </w:rPr>
              <w:t>Balance at July 2,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1,276.9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(1,096.1)</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480" w:type="dxa"/>
            <w:vAlign w:val="bottom"/>
          </w:tcPr>
          <w:p>
            <w:pPr>
              <w:ind w:left="20"/>
              <w:spacing w:after="0"/>
              <w:rPr>
                <w:sz w:val="20"/>
                <w:szCs w:val="20"/>
                <w:color w:val="auto"/>
              </w:rPr>
            </w:pPr>
            <w:r>
              <w:rPr>
                <w:rFonts w:ascii="Arial" w:cs="Arial" w:eastAsia="Arial" w:hAnsi="Arial"/>
                <w:sz w:val="18"/>
                <w:szCs w:val="18"/>
                <w:color w:val="FFFFFF"/>
              </w:rPr>
              <w:t>Contents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rPr>
              <w:t>THE SCOTTS MIRACLE-GRO COMPANY</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080" w:type="dxa"/>
            <w:vAlign w:val="bottom"/>
            <w:gridSpan w:val="19"/>
          </w:tcPr>
          <w:p>
            <w:pPr>
              <w:jc w:val="center"/>
              <w:ind w:left="1087"/>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jc w:val="center"/>
              <w:ind w:left="348"/>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2"/>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Common Shares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1"/>
              </w:rPr>
              <w:t>and Capital in</w:t>
            </w:r>
          </w:p>
        </w:tc>
        <w:tc>
          <w:tcPr>
            <w:tcW w:w="100" w:type="dxa"/>
            <w:vAlign w:val="bottom"/>
          </w:tcPr>
          <w:p>
            <w:pPr>
              <w:spacing w:after="0"/>
              <w:rPr>
                <w:sz w:val="11"/>
                <w:szCs w:val="11"/>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 Equity -</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8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2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Controlling Interest</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920" w:type="dxa"/>
            <w:vAlign w:val="bottom"/>
          </w:tcPr>
          <w:p>
            <w:pPr>
              <w:jc w:val="right"/>
              <w:ind w:right="32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($0.62 per share)</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Arial" w:cs="Arial" w:eastAsia="Arial" w:hAnsi="Arial"/>
                <w:sz w:val="14"/>
                <w:szCs w:val="14"/>
                <w:color w:val="auto"/>
              </w:rPr>
              <w:t>Balance at January 2, 2021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1,224.4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(958.8)</w:t>
            </w:r>
          </w:p>
        </w:tc>
        <w:tc>
          <w:tcPr>
            <w:tcW w:w="100" w:type="dxa"/>
            <w:vAlign w:val="bottom"/>
          </w:tcPr>
          <w:p>
            <w:pPr>
              <w:spacing w:after="0"/>
              <w:rPr>
                <w:sz w:val="15"/>
                <w:szCs w:val="15"/>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Dividends declared ($0.62 per share)</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Arial" w:cs="Arial" w:eastAsia="Arial" w:hAnsi="Arial"/>
                <w:sz w:val="14"/>
                <w:szCs w:val="14"/>
                <w:color w:val="auto"/>
              </w:rPr>
              <w:t>Balance at April 3, 2021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473.0</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1,500.2</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(954.3)</w:t>
            </w:r>
          </w:p>
        </w:tc>
        <w:tc>
          <w:tcPr>
            <w:tcW w:w="100" w:type="dxa"/>
            <w:vAlign w:val="bottom"/>
          </w:tcPr>
          <w:p>
            <w:pPr>
              <w:spacing w:after="0"/>
              <w:rPr>
                <w:sz w:val="15"/>
                <w:szCs w:val="15"/>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Dividends declared ($0.62 per share)</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(966.1)</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ind w:left="20"/>
              <w:spacing w:after="0"/>
              <w:rPr>
                <w:sz w:val="20"/>
                <w:szCs w:val="20"/>
                <w:color w:val="auto"/>
              </w:rPr>
            </w:pPr>
            <w:r>
              <w:rPr>
                <w:rFonts w:ascii="Arial" w:cs="Arial" w:eastAsia="Arial" w:hAnsi="Arial"/>
                <w:sz w:val="18"/>
                <w:szCs w:val="18"/>
                <w:color w:val="FFFFFF"/>
              </w:rPr>
              <w:t>Contents</w:t>
            </w:r>
          </w:p>
        </w:tc>
        <w:tc>
          <w:tcPr>
            <w:tcW w:w="4800" w:type="dxa"/>
            <w:vAlign w:val="bottom"/>
            <w:gridSpan w:val="10"/>
          </w:tcPr>
          <w:p>
            <w:pPr>
              <w:jc w:val="center"/>
              <w:ind w:right="960"/>
              <w:spacing w:after="0"/>
              <w:rPr>
                <w:sz w:val="20"/>
                <w:szCs w:val="20"/>
                <w:color w:val="auto"/>
              </w:rPr>
            </w:pPr>
            <w:r>
              <w:rPr>
                <w:rFonts w:ascii="Arial" w:cs="Arial" w:eastAsia="Arial" w:hAnsi="Arial"/>
                <w:sz w:val="18"/>
                <w:szCs w:val="18"/>
                <w:b w:val="1"/>
                <w:bCs w:val="1"/>
                <w:color w:val="auto"/>
              </w:rPr>
              <w:t>THE SCOTTS MIRACLE-GRO COMPANY</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920" w:type="dxa"/>
            <w:vAlign w:val="bottom"/>
            <w:gridSpan w:val="15"/>
          </w:tcPr>
          <w:p>
            <w:pPr>
              <w:jc w:val="center"/>
              <w:ind w:left="1231"/>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7"/>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Accumulated Other Comprehensive Loss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5"/>
          </w:tcPr>
          <w:p>
            <w:pPr>
              <w:ind w:left="420"/>
              <w:spacing w:after="0"/>
              <w:rPr>
                <w:sz w:val="20"/>
                <w:szCs w:val="20"/>
                <w:color w:val="auto"/>
              </w:rPr>
            </w:pPr>
            <w:r>
              <w:rPr>
                <w:rFonts w:ascii="Arial" w:cs="Arial" w:eastAsia="Arial" w:hAnsi="Arial"/>
                <w:sz w:val="18"/>
                <w:szCs w:val="18"/>
                <w:color w:val="auto"/>
                <w:w w:val="94"/>
              </w:rPr>
              <w:t>Changes in accumulated other comprehensive loss (“AOCL”) by component were as follows for each of the periods indicated: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Pension and Other</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On Derivative</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Gains (Losses)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Post-Retirement</w:t>
            </w:r>
          </w:p>
        </w:tc>
        <w:tc>
          <w:tcPr>
            <w:tcW w:w="140" w:type="dxa"/>
            <w:vAlign w:val="bottom"/>
          </w:tcPr>
          <w:p>
            <w:pPr>
              <w:spacing w:after="0"/>
              <w:rPr>
                <w:sz w:val="12"/>
                <w:szCs w:val="12"/>
                <w:color w:val="auto"/>
              </w:rPr>
            </w:pPr>
          </w:p>
        </w:tc>
        <w:tc>
          <w:tcPr>
            <w:tcW w:w="1180" w:type="dxa"/>
            <w:vAlign w:val="bottom"/>
          </w:tcPr>
          <w:p>
            <w:pPr>
              <w:jc w:val="center"/>
              <w:ind w:right="53"/>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On Securities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 Adjustments</w:t>
            </w:r>
          </w:p>
        </w:tc>
        <w:tc>
          <w:tcPr>
            <w:tcW w:w="140" w:type="dxa"/>
            <w:vAlign w:val="bottom"/>
          </w:tcPr>
          <w:p>
            <w:pPr>
              <w:spacing w:after="0"/>
              <w:rPr>
                <w:sz w:val="17"/>
                <w:szCs w:val="17"/>
                <w:color w:val="auto"/>
              </w:rPr>
            </w:pPr>
          </w:p>
        </w:tc>
        <w:tc>
          <w:tcPr>
            <w:tcW w:w="118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April 2, 2022</w:t>
            </w:r>
          </w:p>
        </w:tc>
        <w:tc>
          <w:tcPr>
            <w:tcW w:w="5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Other comprehensive income (loss) before</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reclassifications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88"/>
        </w:trPr>
        <w:tc>
          <w:tcPr>
            <w:tcW w:w="37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8"/>
                <w:szCs w:val="18"/>
                <w:color w:val="auto"/>
                <w:w w:val="95"/>
              </w:rPr>
              <w:t>Amounts reclassified from accumulated other</w:t>
            </w: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net income (loss)</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Income tax benefit (expense)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8"/>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July 2, 2022</w:t>
            </w: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April 3, 2021</w:t>
            </w:r>
          </w:p>
        </w:tc>
        <w:tc>
          <w:tcPr>
            <w:tcW w:w="5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188"/>
        </w:trPr>
        <w:tc>
          <w:tcPr>
            <w:tcW w:w="37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8"/>
                <w:szCs w:val="18"/>
                <w:color w:val="auto"/>
              </w:rPr>
              <w:t>Other comprehensive income (loss) before</w:t>
            </w: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40"/>
              <w:spacing w:after="0" w:line="189" w:lineRule="exact"/>
              <w:rPr>
                <w:sz w:val="20"/>
                <w:szCs w:val="20"/>
                <w:color w:val="auto"/>
              </w:rPr>
            </w:pPr>
            <w:r>
              <w:rPr>
                <w:rFonts w:ascii="Arial" w:cs="Arial" w:eastAsia="Arial" w:hAnsi="Arial"/>
                <w:sz w:val="18"/>
                <w:szCs w:val="18"/>
                <w:color w:val="auto"/>
                <w:w w:val="95"/>
              </w:rPr>
              <w:t>Amounts reclassified from accumulated other</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comprehensive net income (loss)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8"/>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July 3, 2021</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w w:val="99"/>
              </w:rPr>
              <w:t>The sum of the components may not equal due to rounding.</w:t>
            </w: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00" w:type="dxa"/>
            <w:vAlign w:val="bottom"/>
            <w:gridSpan w:val="2"/>
            <w:vMerge w:val="continue"/>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Pension and Other</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On Derivative</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Gains (Losses)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140" w:type="dxa"/>
            <w:vAlign w:val="bottom"/>
          </w:tcPr>
          <w:p>
            <w:pPr>
              <w:spacing w:after="0"/>
              <w:rPr>
                <w:sz w:val="12"/>
                <w:szCs w:val="12"/>
                <w:color w:val="auto"/>
              </w:rPr>
            </w:pPr>
          </w:p>
        </w:tc>
        <w:tc>
          <w:tcPr>
            <w:tcW w:w="118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On Securities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 Adjustments</w:t>
            </w:r>
          </w:p>
        </w:tc>
        <w:tc>
          <w:tcPr>
            <w:tcW w:w="140" w:type="dxa"/>
            <w:vAlign w:val="bottom"/>
          </w:tcPr>
          <w:p>
            <w:pPr>
              <w:spacing w:after="0"/>
              <w:rPr>
                <w:sz w:val="17"/>
                <w:szCs w:val="17"/>
                <w:color w:val="auto"/>
              </w:rPr>
            </w:pPr>
          </w:p>
        </w:tc>
        <w:tc>
          <w:tcPr>
            <w:tcW w:w="118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30"/>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5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reclassifications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net income (loss)</w:t>
            </w: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Income tax benefit (expense)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8"/>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July 2, 2022</w:t>
            </w: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2020</w:t>
            </w:r>
          </w:p>
        </w:tc>
        <w:tc>
          <w:tcPr>
            <w:tcW w:w="5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40"/>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comprehensive net income (loss)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8"/>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July 3, 2021</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27, 2020, the Scotts Miracle-Gro Board of Directors approved an increase in Scotts Miracle-Gro’s quarterly cash dividend from $0.58 to $0.62 per Common Share, which was first paid in the fourth quarter of fiscal 2020. On July 30, 2021, the Scotts Miracle-Gro Board of Directors approved an increase in Scotts Miracle-Gro’s quarterly cash dividend from $0.62 to $0.66 per Common Share, which was first paid in the fourth quarter of fiscal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5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February 6, 2020, Scotts Miracle-Gro announced that its Board of Directors authorized the repurchase of up to $750.0 of Common Shares from April 30, 2020 through March 25, 2023.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During the three and nine months ended July 2, 2022, Scotts Miracle-Gro repurchased 0.0 million and 1.1 million Common Shares under this share repurchase authorization for $0.0 and $175.0, respectively. During the three and nine months ended July 3, 2021, Scotts Miracle-Gro repurchased 0.1 million and 0.4 million Common Shares under this share repurchase authorization for $25.0 and $75.6, respectively. Treasury share purchases also include cash paid to tax authorities to satisfy statutory income tax withholding obligations related to share-based compensation of $0.1 and $82.7 for the three and nine months ended July 2, 2022, respectively, and $3.8 and $15.5 for the three and nine months ended July 3, 2021,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7"/>
          </w:tcPr>
          <w:p>
            <w:pPr>
              <w:jc w:val="right"/>
              <w:ind w:right="856"/>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3"/>
        </w:trPr>
        <w:tc>
          <w:tcPr>
            <w:tcW w:w="6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4"/>
          </w:tcPr>
          <w:p>
            <w:pPr>
              <w:jc w:val="right"/>
              <w:ind w:right="441"/>
              <w:spacing w:after="0" w:line="133" w:lineRule="exact"/>
              <w:rPr>
                <w:sz w:val="20"/>
                <w:szCs w:val="20"/>
                <w:color w:val="auto"/>
              </w:rPr>
            </w:pPr>
            <w:r>
              <w:rPr>
                <w:rFonts w:ascii="Arial" w:cs="Arial" w:eastAsia="Arial" w:hAnsi="Arial"/>
                <w:sz w:val="14"/>
                <w:szCs w:val="14"/>
                <w:b w:val="1"/>
                <w:bCs w:val="1"/>
                <w:color w:val="auto"/>
              </w:rPr>
              <w:t>July 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456"/>
              <w:spacing w:after="0" w:line="133" w:lineRule="exact"/>
              <w:rPr>
                <w:sz w:val="20"/>
                <w:szCs w:val="20"/>
                <w:color w:val="auto"/>
              </w:rPr>
            </w:pPr>
            <w:r>
              <w:rPr>
                <w:rFonts w:ascii="Arial" w:cs="Arial" w:eastAsia="Arial" w:hAnsi="Arial"/>
                <w:sz w:val="14"/>
                <w:szCs w:val="14"/>
                <w:b w:val="1"/>
                <w:bCs w:val="1"/>
                <w:color w:val="auto"/>
                <w:w w:val="96"/>
              </w:rPr>
              <w:t>July 3,</w:t>
            </w:r>
          </w:p>
        </w:tc>
      </w:tr>
      <w:tr>
        <w:trPr>
          <w:trHeight w:val="192"/>
        </w:trPr>
        <w:tc>
          <w:tcPr>
            <w:tcW w:w="64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1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Options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183,553</w:t>
            </w: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144,814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69,758</w:t>
            </w: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Performance units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105,756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and deferred stock units</w:t>
            </w:r>
          </w:p>
        </w:tc>
        <w:tc>
          <w:tcPr>
            <w:tcW w:w="7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19,701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awards</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270,271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263,732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at grant dates</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445"/>
        </w:trPr>
        <w:tc>
          <w:tcPr>
            <w:tcW w:w="6440" w:type="dxa"/>
            <w:vAlign w:val="bottom"/>
          </w:tcPr>
          <w:p>
            <w:pPr>
              <w:ind w:left="420"/>
              <w:spacing w:after="0"/>
              <w:rPr>
                <w:sz w:val="20"/>
                <w:szCs w:val="20"/>
                <w:color w:val="auto"/>
              </w:rPr>
            </w:pPr>
            <w:r>
              <w:rPr>
                <w:rFonts w:ascii="Arial" w:cs="Arial" w:eastAsia="Arial" w:hAnsi="Arial"/>
                <w:sz w:val="18"/>
                <w:szCs w:val="18"/>
                <w:color w:val="auto"/>
                <w:w w:val="92"/>
              </w:rPr>
              <w:t>Total share-based compensation was as follows for each of the periods indicated:</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4"/>
        </w:trPr>
        <w:tc>
          <w:tcPr>
            <w:tcW w:w="6440" w:type="dxa"/>
            <w:vAlign w:val="bottom"/>
          </w:tcPr>
          <w:p>
            <w:pPr>
              <w:spacing w:after="0"/>
              <w:rPr>
                <w:sz w:val="17"/>
                <w:szCs w:val="17"/>
                <w:color w:val="auto"/>
              </w:rPr>
            </w:pPr>
          </w:p>
        </w:tc>
        <w:tc>
          <w:tcPr>
            <w:tcW w:w="20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7"/>
          </w:tcPr>
          <w:p>
            <w:pPr>
              <w:jc w:val="right"/>
              <w:ind w:right="476"/>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6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3"/>
        </w:trPr>
        <w:tc>
          <w:tcPr>
            <w:tcW w:w="6440" w:type="dxa"/>
            <w:vAlign w:val="bottom"/>
          </w:tcPr>
          <w:p>
            <w:pPr>
              <w:spacing w:after="0"/>
              <w:rPr>
                <w:sz w:val="11"/>
                <w:szCs w:val="11"/>
                <w:color w:val="auto"/>
              </w:rPr>
            </w:pPr>
          </w:p>
        </w:tc>
        <w:tc>
          <w:tcPr>
            <w:tcW w:w="780" w:type="dxa"/>
            <w:vAlign w:val="bottom"/>
          </w:tcPr>
          <w:p>
            <w:pPr>
              <w:jc w:val="center"/>
              <w:ind w:left="264"/>
              <w:spacing w:after="0" w:line="133" w:lineRule="exact"/>
              <w:rPr>
                <w:sz w:val="20"/>
                <w:szCs w:val="20"/>
                <w:color w:val="auto"/>
              </w:rPr>
            </w:pPr>
            <w:r>
              <w:rPr>
                <w:rFonts w:ascii="Arial" w:cs="Arial" w:eastAsia="Arial" w:hAnsi="Arial"/>
                <w:sz w:val="14"/>
                <w:szCs w:val="14"/>
                <w:b w:val="1"/>
                <w:bCs w:val="1"/>
                <w:color w:val="auto"/>
                <w:w w:val="91"/>
              </w:rPr>
              <w:t>July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left="239"/>
              <w:spacing w:after="0" w:line="133" w:lineRule="exact"/>
              <w:rPr>
                <w:sz w:val="20"/>
                <w:szCs w:val="20"/>
                <w:color w:val="auto"/>
              </w:rPr>
            </w:pPr>
            <w:r>
              <w:rPr>
                <w:rFonts w:ascii="Arial" w:cs="Arial" w:eastAsia="Arial" w:hAnsi="Arial"/>
                <w:sz w:val="14"/>
                <w:szCs w:val="14"/>
                <w:b w:val="1"/>
                <w:bCs w:val="1"/>
                <w:color w:val="auto"/>
                <w:w w:val="91"/>
              </w:rPr>
              <w:t>July 3,</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ind w:left="340"/>
              <w:spacing w:after="0" w:line="133" w:lineRule="exact"/>
              <w:rPr>
                <w:sz w:val="20"/>
                <w:szCs w:val="20"/>
                <w:color w:val="auto"/>
              </w:rPr>
            </w:pPr>
            <w:r>
              <w:rPr>
                <w:rFonts w:ascii="Arial" w:cs="Arial" w:eastAsia="Arial" w:hAnsi="Arial"/>
                <w:sz w:val="14"/>
                <w:szCs w:val="14"/>
                <w:b w:val="1"/>
                <w:bCs w:val="1"/>
                <w:color w:val="auto"/>
              </w:rPr>
              <w:t>July 2,</w:t>
            </w:r>
          </w:p>
        </w:tc>
        <w:tc>
          <w:tcPr>
            <w:tcW w:w="140" w:type="dxa"/>
            <w:vAlign w:val="bottom"/>
          </w:tcPr>
          <w:p>
            <w:pPr>
              <w:spacing w:after="0"/>
              <w:rPr>
                <w:sz w:val="11"/>
                <w:szCs w:val="11"/>
                <w:color w:val="auto"/>
              </w:rPr>
            </w:pPr>
          </w:p>
        </w:tc>
        <w:tc>
          <w:tcPr>
            <w:tcW w:w="98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6440" w:type="dxa"/>
            <w:vAlign w:val="bottom"/>
          </w:tcPr>
          <w:p>
            <w:pPr>
              <w:spacing w:after="0"/>
              <w:rPr>
                <w:sz w:val="16"/>
                <w:szCs w:val="16"/>
                <w:color w:val="auto"/>
              </w:rPr>
            </w:pPr>
          </w:p>
        </w:tc>
        <w:tc>
          <w:tcPr>
            <w:tcW w:w="780" w:type="dxa"/>
            <w:vAlign w:val="bottom"/>
          </w:tcPr>
          <w:p>
            <w:pPr>
              <w:jc w:val="right"/>
              <w:ind w:right="4"/>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780" w:type="dxa"/>
            <w:vAlign w:val="bottom"/>
            <w:tcBorders>
              <w:top w:val="single" w:sz="8" w:color="auto"/>
            </w:tcBorders>
            <w:shd w:val="clear" w:color="auto" w:fill="CCEEFF"/>
          </w:tcPr>
          <w:p>
            <w:pPr>
              <w:jc w:val="right"/>
              <w:ind w:right="60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24.8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Related tax benefit recognized</w:t>
            </w: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863"/>
        </w:trPr>
        <w:tc>
          <w:tcPr>
            <w:tcW w:w="6440" w:type="dxa"/>
            <w:vAlign w:val="bottom"/>
          </w:tcPr>
          <w:p>
            <w:pPr>
              <w:ind w:left="5540"/>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6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COMMON SHARE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information necessary to calculate basic and diluted income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attributable to controlling interest from continuing operations</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(8.01)</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4.12</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(3.91)</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income (loss) per common share: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55"/>
        </w:trPr>
        <w:tc>
          <w:tcPr>
            <w:tcW w:w="6440" w:type="dxa"/>
            <w:vAlign w:val="bottom"/>
          </w:tcPr>
          <w:p>
            <w:pPr>
              <w:ind w:left="360"/>
              <w:spacing w:after="0" w:line="156" w:lineRule="exact"/>
              <w:rPr>
                <w:sz w:val="20"/>
                <w:szCs w:val="20"/>
                <w:color w:val="auto"/>
              </w:rPr>
            </w:pPr>
            <w:r>
              <w:rPr>
                <w:rFonts w:ascii="Arial" w:cs="Arial" w:eastAsia="Arial" w:hAnsi="Arial"/>
                <w:sz w:val="18"/>
                <w:szCs w:val="18"/>
                <w:color w:val="auto"/>
                <w:w w:val="98"/>
              </w:rPr>
              <w:t>Weighted-average common shares outstanding during the period plus dilutive</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potential common shares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Diluted average common shares used in the diluted loss per common share calculation for the three and nine months ended July 2, 2022 were 55.4 million and 55.6 million, respectively, which excluded potential Common Shares of 0.4 million and 0.6 million, respectively, because the effect of their inclusion would be anti-dilutive as the Company incurred a net loss for the three and nine months ended July 2, 2022. Diluted average common shares used in the diluted loss per common share calculation for the three and nine months ended July 3, 2021 were 57.4 million and 57.1 million, respectively, which included dilutive potential Common Shares of 1.6 million and 1.4 million, respectively.</w:t>
      </w:r>
    </w:p>
    <w:p>
      <w:pPr>
        <w:spacing w:after="0" w:line="10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For the three and nine months ended July 2, 2022, the average number of out-of-the-money options was 0.2 million. For the three and nine months ended July 3, 2021, the average number of out-of-the-money options was 0.2 million and 0.1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effective tax rates related to continuing operations for the nine months ended July 2, 2022 and July 3, 2021 were 24.1% and 23.5%,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1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the three and nine months ended July 2, 2022, the Company recognized non-cash, pre-tax goodwill and intangible asset impairment charges of $632.4 related to its Hawthorne segment in the “Impairment, restructuring and other” line in the Condensed Consolidated Statements of Operations. The tax impact of the impairment charges was a benefit of $138.0, which is net of the impact of non-deductible goodwill of $18.5, for the three and nine months ended July 2, 2022 and was recorded in the “Income tax expense (benefit) from continuing operations” line in the Condensed Consolidated Statements of Operations. The tax impact of non-deductible goodwill was considered a discrete item because the Company has no remaining non-deductible goodwill. This discrete item decreased the effective tax rate by approximately 640 bps for the nine months ended July 2, 2022 because the Company incurred a net loss during this period.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At July 2, 2022, net deferred tax assets were $114.9 and were recorded in the “Other assets” line in the Condensed Consolidated Balance Sheets. At July 3, 2021 and September 30, 2021, net deferred tax liabilities were $32.9 and $47.8, respectively, and were recorded in the “Other liabilities” line in the Condensed Consolidated Balance Sheets. The change was primarily driven by deferred tax assets recorded during the third quarter of fiscal 2022 associated with goodwill and intangible asset impairment charges and unrealized losses on convertible debt investments.</w:t>
      </w:r>
    </w:p>
    <w:p>
      <w:pPr>
        <w:spacing w:after="0" w:line="3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2018. There are currently no ongoing audits with respect to the U.S. federal jurisdiction. With respect to the foreign jurisdictions, a German audit covering fiscal years 2014 through 2017 is in process with no known material impact to the financial statements. The Company is currently under examination by certain U.S. state and local tax authorities covering various periods from fiscal years 2017 through 2020. In addition to the aforementioned audits, certain other tax deficiency notices and refund claims for previous years remain unresolved.</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CONTINGENCIES</w:t>
      </w:r>
    </w:p>
    <w:p>
      <w:pPr>
        <w:spacing w:after="0" w:line="16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July 2, 2022, $2.9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INSTRUMENTS AND HEDGING ACTIVITIES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$167.7, $162.8 and $180.3 at July 2, 2022, July 3, 2021 and September 30, 2021, respectively. Contracts outstanding at July 2, 2022 will mature over the next fiscal quarter.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July 2, 2022, July 3, 2021 and September 30, 2021 had a maximum total U.S. dollar equivalent notional amount of $800.0, $700.0 and $600.0, respectively. Refer to “NOTE 9. DEBT” for the terms of the swap agreements outstanding at July 2, 2022. Included in the AOCL balance at July 2, 2022 was a gain of $6.2 related to interest rate swap agreements that is expected to be reclassified to earnings during the next twelve months, consistent with the timing of the underlying hedged transactions.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July 2, 2022 was a gain of $9.6 related to commodity hedges that is expected to be reclassified to earnings during the next twelve months, consistent with the timing of the underlying hedged transactions.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2080" w:type="dxa"/>
            <w:vAlign w:val="bottom"/>
            <w:gridSpan w:val="2"/>
          </w:tcPr>
          <w:p>
            <w:pPr>
              <w:ind w:left="780"/>
              <w:spacing w:after="0"/>
              <w:rPr>
                <w:sz w:val="20"/>
                <w:szCs w:val="20"/>
                <w:color w:val="auto"/>
              </w:rPr>
            </w:pPr>
            <w:r>
              <w:rPr>
                <w:rFonts w:ascii="Arial" w:cs="Arial" w:eastAsia="Arial" w:hAnsi="Arial"/>
                <w:sz w:val="14"/>
                <w:szCs w:val="14"/>
                <w:b w:val="1"/>
                <w:bCs w:val="1"/>
                <w:color w:val="auto"/>
              </w:rPr>
              <w:t>July 2,</w:t>
            </w:r>
          </w:p>
        </w:tc>
        <w:tc>
          <w:tcPr>
            <w:tcW w:w="2100" w:type="dxa"/>
            <w:vAlign w:val="bottom"/>
            <w:gridSpan w:val="2"/>
          </w:tcPr>
          <w:p>
            <w:pPr>
              <w:ind w:left="800"/>
              <w:spacing w:after="0"/>
              <w:rPr>
                <w:sz w:val="20"/>
                <w:szCs w:val="20"/>
                <w:color w:val="auto"/>
              </w:rPr>
            </w:pPr>
            <w:r>
              <w:rPr>
                <w:rFonts w:ascii="Arial" w:cs="Arial" w:eastAsia="Arial" w:hAnsi="Arial"/>
                <w:sz w:val="14"/>
                <w:szCs w:val="14"/>
                <w:b w:val="1"/>
                <w:bCs w:val="1"/>
                <w:color w:val="auto"/>
              </w:rPr>
              <w:t>July 3,</w:t>
            </w:r>
          </w:p>
        </w:tc>
        <w:tc>
          <w:tcPr>
            <w:tcW w:w="1980" w:type="dxa"/>
            <w:vAlign w:val="bottom"/>
          </w:tcPr>
          <w:p>
            <w:pPr>
              <w:jc w:val="right"/>
              <w:ind w:right="4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080" w:type="dxa"/>
            <w:vAlign w:val="bottom"/>
            <w:gridSpan w:val="2"/>
            <w:vMerge w:val="continue"/>
          </w:tcPr>
          <w:p>
            <w:pPr>
              <w:spacing w:after="0"/>
              <w:rPr>
                <w:sz w:val="16"/>
                <w:szCs w:val="16"/>
                <w:color w:val="auto"/>
              </w:rPr>
            </w:pPr>
          </w:p>
        </w:tc>
        <w:tc>
          <w:tcPr>
            <w:tcW w:w="1980" w:type="dxa"/>
            <w:vAlign w:val="bottom"/>
          </w:tcPr>
          <w:p>
            <w:pPr>
              <w:jc w:val="right"/>
              <w:ind w:right="7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79,500 tons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 tons</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Diesel</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4,074,000 gallons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4,746,000 gallons</w:t>
            </w:r>
          </w:p>
        </w:tc>
        <w:tc>
          <w:tcPr>
            <w:tcW w:w="1980" w:type="dxa"/>
            <w:vAlign w:val="bottom"/>
          </w:tcPr>
          <w:p>
            <w:pPr>
              <w:jc w:val="right"/>
              <w:spacing w:after="0"/>
              <w:rPr>
                <w:sz w:val="20"/>
                <w:szCs w:val="20"/>
                <w:color w:val="auto"/>
              </w:rPr>
            </w:pPr>
            <w:r>
              <w:rPr>
                <w:rFonts w:ascii="Arial" w:cs="Arial" w:eastAsia="Arial" w:hAnsi="Arial"/>
                <w:sz w:val="18"/>
                <w:szCs w:val="18"/>
                <w:color w:val="auto"/>
              </w:rPr>
              <w:t>5,880,000 gallons</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Heating Oil</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1,470,000 gallons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1,638,000 gallons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2,268,000 gallons</w:t>
            </w:r>
          </w:p>
        </w:tc>
        <w:tc>
          <w:tcPr>
            <w:tcW w:w="0" w:type="dxa"/>
            <w:vAlign w:val="bottom"/>
          </w:tcPr>
          <w:p>
            <w:pPr>
              <w:spacing w:after="0"/>
              <w:rPr>
                <w:sz w:val="1"/>
                <w:szCs w:val="1"/>
                <w:color w:val="auto"/>
              </w:rPr>
            </w:pPr>
          </w:p>
        </w:tc>
      </w:tr>
      <w:tr>
        <w:trPr>
          <w:trHeight w:val="8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right"/>
              <w:ind w:right="125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Assets /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July 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July 3,</w:t>
            </w:r>
          </w:p>
        </w:tc>
        <w:tc>
          <w:tcPr>
            <w:tcW w:w="200" w:type="dxa"/>
            <w:vAlign w:val="bottom"/>
          </w:tcPr>
          <w:p>
            <w:pPr>
              <w:spacing w:after="0"/>
              <w:rPr>
                <w:sz w:val="11"/>
                <w:szCs w:val="11"/>
                <w:color w:val="auto"/>
              </w:rPr>
            </w:pPr>
          </w:p>
        </w:tc>
        <w:tc>
          <w:tcPr>
            <w:tcW w:w="1280" w:type="dxa"/>
            <w:vAlign w:val="bottom"/>
          </w:tcPr>
          <w:p>
            <w:pPr>
              <w:jc w:val="right"/>
              <w:ind w:right="213"/>
              <w:spacing w:after="0" w:line="13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00" w:type="dxa"/>
            <w:vAlign w:val="bottom"/>
            <w:gridSpan w:val="2"/>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derivatives designated as hedging instruments</w:t>
            </w: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500" w:type="dxa"/>
            <w:vAlign w:val="bottom"/>
            <w:gridSpan w:val="2"/>
            <w:vMerge w:val="continue"/>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derivatives not designated as hedging instruments</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effect of derivative instruments on AOCL, net of tax, and the Condensed Consolidated Statements of Operations for each of the periods presented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gridSpan w:val="18"/>
          </w:tcPr>
          <w:p>
            <w:pPr>
              <w:jc w:val="center"/>
              <w:ind w:left="600"/>
              <w:spacing w:after="0"/>
              <w:rPr>
                <w:sz w:val="20"/>
                <w:szCs w:val="20"/>
                <w:color w:val="auto"/>
              </w:rPr>
            </w:pPr>
            <w:r>
              <w:rPr>
                <w:rFonts w:ascii="Arial" w:cs="Arial" w:eastAsia="Arial" w:hAnsi="Arial"/>
                <w:sz w:val="14"/>
                <w:szCs w:val="14"/>
                <w:b w:val="1"/>
                <w:bCs w:val="1"/>
                <w:color w:val="auto"/>
                <w:w w:val="94"/>
              </w:rPr>
              <w:t>Amount of Gain / (Loss) Recognized in AOCL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3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rPr>
              <w:t>July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120"/>
              <w:spacing w:after="0"/>
              <w:rPr>
                <w:sz w:val="20"/>
                <w:szCs w:val="20"/>
                <w:color w:val="auto"/>
              </w:rPr>
            </w:pPr>
            <w:r>
              <w:rPr>
                <w:rFonts w:ascii="Arial" w:cs="Arial" w:eastAsia="Arial" w:hAnsi="Arial"/>
                <w:sz w:val="14"/>
                <w:szCs w:val="14"/>
                <w:b w:val="1"/>
                <w:bCs w:val="1"/>
                <w:color w:val="auto"/>
              </w:rPr>
              <w:t>July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July 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July 3,</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0"/>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460"/>
              <w:spacing w:after="0"/>
              <w:rPr>
                <w:sz w:val="20"/>
                <w:szCs w:val="20"/>
                <w:color w:val="auto"/>
              </w:rPr>
            </w:pPr>
            <w:r>
              <w:rPr>
                <w:rFonts w:ascii="Arial" w:cs="Arial" w:eastAsia="Arial" w:hAnsi="Arial"/>
                <w:sz w:val="18"/>
                <w:szCs w:val="18"/>
                <w:color w:val="auto"/>
                <w:w w:val="87"/>
              </w:rPr>
              <w:t>1.3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459"/>
              <w:spacing w:after="0"/>
              <w:rPr>
                <w:sz w:val="20"/>
                <w:szCs w:val="20"/>
                <w:color w:val="auto"/>
              </w:rPr>
            </w:pPr>
            <w:r>
              <w:rPr>
                <w:rFonts w:ascii="Arial" w:cs="Arial" w:eastAsia="Arial" w:hAnsi="Arial"/>
                <w:sz w:val="18"/>
                <w:szCs w:val="18"/>
                <w:color w:val="auto"/>
                <w:w w:val="91"/>
              </w:rPr>
              <w:t>(2.0)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99"/>
              <w:spacing w:after="0"/>
              <w:rPr>
                <w:sz w:val="20"/>
                <w:szCs w:val="20"/>
                <w:color w:val="auto"/>
              </w:rPr>
            </w:pPr>
            <w:r>
              <w:rPr>
                <w:rFonts w:ascii="Arial" w:cs="Arial" w:eastAsia="Arial" w:hAnsi="Arial"/>
                <w:sz w:val="18"/>
                <w:szCs w:val="18"/>
                <w:color w:val="auto"/>
                <w:w w:val="87"/>
              </w:rPr>
              <w:t>3.6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8"/>
                <w:szCs w:val="18"/>
                <w:color w:val="auto"/>
                <w:w w:val="87"/>
              </w:rPr>
              <w:t>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4"/>
              </w:rPr>
              <w:t>Amount of Gain / (Loss)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Reclassified from</w:t>
            </w: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6"/>
        </w:trPr>
        <w:tc>
          <w:tcPr>
            <w:tcW w:w="3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Pr>
          <w:p>
            <w:pPr>
              <w:spacing w:after="0"/>
              <w:rPr>
                <w:sz w:val="14"/>
                <w:szCs w:val="14"/>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AOCL into</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July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July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July 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July 3,</w:t>
            </w:r>
          </w:p>
        </w:tc>
        <w:tc>
          <w:tcPr>
            <w:tcW w:w="0" w:type="dxa"/>
            <w:vAlign w:val="bottom"/>
          </w:tcPr>
          <w:p>
            <w:pPr>
              <w:spacing w:after="0"/>
              <w:rPr>
                <w:sz w:val="1"/>
                <w:szCs w:val="1"/>
                <w:color w:val="auto"/>
              </w:rPr>
            </w:pPr>
          </w:p>
        </w:tc>
      </w:tr>
      <w:tr>
        <w:trPr>
          <w:trHeight w:val="192"/>
        </w:trPr>
        <w:tc>
          <w:tcPr>
            <w:tcW w:w="3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Statement of Operations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center"/>
              <w:ind w:left="480"/>
              <w:spacing w:after="0"/>
              <w:rPr>
                <w:sz w:val="20"/>
                <w:szCs w:val="20"/>
                <w:color w:val="auto"/>
              </w:rPr>
            </w:pPr>
            <w:r>
              <w:rPr>
                <w:rFonts w:ascii="Arial" w:cs="Arial" w:eastAsia="Arial" w:hAnsi="Arial"/>
                <w:sz w:val="18"/>
                <w:szCs w:val="18"/>
                <w:color w:val="auto"/>
                <w:w w:val="91"/>
              </w:rPr>
              <w:t>(0.4)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center"/>
              <w:ind w:left="459"/>
              <w:spacing w:after="0"/>
              <w:rPr>
                <w:sz w:val="20"/>
                <w:szCs w:val="20"/>
                <w:color w:val="auto"/>
              </w:rPr>
            </w:pPr>
            <w:r>
              <w:rPr>
                <w:rFonts w:ascii="Arial" w:cs="Arial" w:eastAsia="Arial" w:hAnsi="Arial"/>
                <w:sz w:val="18"/>
                <w:szCs w:val="18"/>
                <w:color w:val="auto"/>
                <w:w w:val="91"/>
              </w:rPr>
              <w:t>(2.3)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1"/>
              </w:rPr>
              <w:t>(2.6)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24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left="480"/>
              <w:spacing w:after="0"/>
              <w:rPr>
                <w:sz w:val="20"/>
                <w:szCs w:val="20"/>
                <w:color w:val="auto"/>
              </w:rPr>
            </w:pPr>
            <w:r>
              <w:rPr>
                <w:rFonts w:ascii="Arial" w:cs="Arial" w:eastAsia="Arial" w:hAnsi="Arial"/>
                <w:sz w:val="18"/>
                <w:szCs w:val="18"/>
                <w:color w:val="auto"/>
                <w:w w:val="91"/>
              </w:rPr>
              <w:t>(1.0)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99"/>
              <w:spacing w:after="0"/>
              <w:rPr>
                <w:sz w:val="20"/>
                <w:szCs w:val="20"/>
                <w:color w:val="auto"/>
              </w:rPr>
            </w:pPr>
            <w:r>
              <w:rPr>
                <w:rFonts w:ascii="Arial" w:cs="Arial" w:eastAsia="Arial" w:hAnsi="Arial"/>
                <w:sz w:val="18"/>
                <w:szCs w:val="18"/>
                <w:color w:val="auto"/>
                <w:w w:val="87"/>
              </w:rPr>
              <w:t>1.8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center"/>
              <w:ind w:left="480"/>
              <w:spacing w:after="0"/>
              <w:rPr>
                <w:sz w:val="20"/>
                <w:szCs w:val="20"/>
                <w:color w:val="auto"/>
              </w:rPr>
            </w:pPr>
            <w:r>
              <w:rPr>
                <w:rFonts w:ascii="Arial" w:cs="Arial" w:eastAsia="Arial" w:hAnsi="Arial"/>
                <w:sz w:val="18"/>
                <w:szCs w:val="18"/>
                <w:color w:val="auto"/>
                <w:w w:val="91"/>
              </w:rPr>
              <w:t>(1.4)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8"/>
                <w:szCs w:val="18"/>
                <w:color w:val="auto"/>
                <w:w w:val="91"/>
              </w:rPr>
              <w:t>(0.5)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3"/>
              </w:rPr>
              <w:t>Amount of Gain / (Loss)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10"/>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9"/>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6"/>
        </w:trPr>
        <w:tc>
          <w:tcPr>
            <w:tcW w:w="3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 w:type="dxa"/>
            <w:vAlign w:val="bottom"/>
          </w:tcPr>
          <w:p>
            <w:pPr>
              <w:spacing w:after="0"/>
              <w:rPr>
                <w:sz w:val="14"/>
                <w:szCs w:val="14"/>
                <w:color w:val="auto"/>
              </w:rPr>
            </w:pPr>
          </w:p>
        </w:tc>
        <w:tc>
          <w:tcPr>
            <w:tcW w:w="2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Recognized 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July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July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July 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July 3,</w:t>
            </w:r>
          </w:p>
        </w:tc>
        <w:tc>
          <w:tcPr>
            <w:tcW w:w="0" w:type="dxa"/>
            <w:vAlign w:val="bottom"/>
          </w:tcPr>
          <w:p>
            <w:pPr>
              <w:spacing w:after="0"/>
              <w:rPr>
                <w:sz w:val="1"/>
                <w:szCs w:val="1"/>
                <w:color w:val="auto"/>
              </w:rPr>
            </w:pPr>
          </w:p>
        </w:tc>
      </w:tr>
      <w:tr>
        <w:trPr>
          <w:trHeight w:val="192"/>
        </w:trPr>
        <w:tc>
          <w:tcPr>
            <w:tcW w:w="3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Statement of Operations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Other income / expense, net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center"/>
              <w:ind w:left="459"/>
              <w:spacing w:after="0"/>
              <w:rPr>
                <w:sz w:val="20"/>
                <w:szCs w:val="20"/>
                <w:color w:val="auto"/>
              </w:rPr>
            </w:pPr>
            <w:r>
              <w:rPr>
                <w:rFonts w:ascii="Arial" w:cs="Arial" w:eastAsia="Arial" w:hAnsi="Arial"/>
                <w:sz w:val="18"/>
                <w:szCs w:val="18"/>
                <w:color w:val="auto"/>
                <w:w w:val="91"/>
              </w:rPr>
              <w:t>(0.3)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6"/>
              </w:rPr>
              <w:t>16.3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539"/>
              <w:spacing w:after="0"/>
              <w:rPr>
                <w:sz w:val="20"/>
                <w:szCs w:val="20"/>
                <w:color w:val="auto"/>
              </w:rPr>
            </w:pPr>
            <w:r>
              <w:rPr>
                <w:rFonts w:ascii="Arial" w:cs="Arial" w:eastAsia="Arial" w:hAnsi="Arial"/>
                <w:sz w:val="18"/>
                <w:szCs w:val="18"/>
                <w:color w:val="auto"/>
                <w:w w:val="87"/>
              </w:rPr>
              <w:t>1.6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11.1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8"/>
                <w:szCs w:val="18"/>
                <w:color w:val="auto"/>
                <w:w w:val="87"/>
              </w:rPr>
              <w:t>1.3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6"/>
              </w:rPr>
              <w:t>27.4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of the Company’s assets and liabilities for which disclosure of fair value is required: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2,</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0"/>
                <w:szCs w:val="10"/>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220"/>
              <w:spacing w:after="0" w:line="176" w:lineRule="exact"/>
              <w:rPr>
                <w:sz w:val="20"/>
                <w:szCs w:val="20"/>
                <w:color w:val="auto"/>
              </w:rPr>
            </w:pPr>
            <w:r>
              <w:rPr>
                <w:rFonts w:ascii="Arial" w:cs="Arial" w:eastAsia="Arial" w:hAnsi="Arial"/>
                <w:sz w:val="18"/>
                <w:szCs w:val="18"/>
                <w:color w:val="auto"/>
              </w:rPr>
              <w:t>Investment securities in non-</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20"/>
              <w:spacing w:after="0"/>
              <w:rPr>
                <w:sz w:val="20"/>
                <w:szCs w:val="20"/>
                <w:color w:val="auto"/>
              </w:rPr>
            </w:pPr>
            <w:r>
              <w:rPr>
                <w:rFonts w:ascii="Arial" w:cs="Arial" w:eastAsia="Arial" w:hAnsi="Arial"/>
                <w:sz w:val="18"/>
                <w:szCs w:val="18"/>
                <w:color w:val="auto"/>
              </w:rPr>
              <w:t>qualified retirement plan assets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debt investments</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3</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Debt instruments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 facilities – revolving loans</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Arial" w:cs="Arial" w:eastAsia="Arial" w:hAnsi="Arial"/>
                <w:sz w:val="18"/>
                <w:szCs w:val="18"/>
                <w:color w:val="auto"/>
              </w:rPr>
              <w:t>Credit facilities – term loans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 due 2031 – 4.000%</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Arial" w:cs="Arial" w:eastAsia="Arial" w:hAnsi="Arial"/>
                <w:sz w:val="18"/>
                <w:szCs w:val="18"/>
                <w:color w:val="auto"/>
              </w:rPr>
              <w:t>Senior Notes due 2032 – 4.375%</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 due 2029 – 4.500%</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Arial" w:cs="Arial" w:eastAsia="Arial" w:hAnsi="Arial"/>
                <w:sz w:val="18"/>
                <w:szCs w:val="18"/>
                <w:color w:val="auto"/>
              </w:rPr>
              <w:t>Senior Notes due 2026 – 5.250%</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facility</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Arial" w:cs="Arial" w:eastAsia="Arial" w:hAnsi="Arial"/>
                <w:sz w:val="18"/>
                <w:szCs w:val="18"/>
                <w:color w:val="auto"/>
              </w:rPr>
              <w:t>Other debt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cost basis of convertible debt investments was $218.1 and $193.1 at July 2, 2022 and September 30, 2021, respectively. Purchases of convertible debt investments were $25.0 during the three and nine months ended July 2, 2022. During the three and nine months ended July 2, 2022, the Company recorded unrealized losses of $79.2 and $78.9 in AOCL, respectively, and investment income of $0.9 and $2.7, respectively, associated with its Level 3 convertible debt investments. The amortized cost basis of convertible debt investments was $221.1 and $193.4 at July 2, 2022 and September 30, 2021, respectively. The decline in fair value of the convertible debt investments is related to a decline in the value of the underlying conversion options and is not reflective of a credit risk associated with the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LEASES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July 2, 2022, the Company had entered into operating leases that were yet to commence with a combined total expected lease liability of $54.6. From time to time, the Company will sublease portions of its facilities, resulting in sublease income. Sublease income and the related cash flows were not material to the condensed consolidated financial statements for the three and nine months ended July 2, 2022 and July 3, 2021.</w:t>
      </w:r>
    </w:p>
    <w:p>
      <w:pPr>
        <w:spacing w:after="0" w:line="1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conclusion of the lease term. If all such vehicle leases had been canceled as of July 2, 2022, the Company’s residual value guarantee would have approximated $5.0.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July 3,</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0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280.1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212.7</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2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217.7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289.5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220.0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2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gridSpan w:val="3"/>
            <w:vMerge w:val="restart"/>
          </w:tcPr>
          <w:p>
            <w:pPr>
              <w:ind w:left="420"/>
              <w:spacing w:after="0"/>
              <w:rPr>
                <w:sz w:val="20"/>
                <w:szCs w:val="20"/>
                <w:color w:val="auto"/>
              </w:rPr>
            </w:pPr>
            <w:r>
              <w:rPr>
                <w:rFonts w:ascii="Arial" w:cs="Arial" w:eastAsia="Arial" w:hAnsi="Arial"/>
                <w:sz w:val="18"/>
                <w:szCs w:val="18"/>
                <w:color w:val="auto"/>
              </w:rPr>
              <w:t>Components of lease cost were as follows:</w:t>
            </w: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gridSpan w:val="7"/>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11"/>
                <w:szCs w:val="11"/>
                <w:color w:val="auto"/>
              </w:rPr>
            </w:pPr>
          </w:p>
        </w:tc>
        <w:tc>
          <w:tcPr>
            <w:tcW w:w="1080" w:type="dxa"/>
            <w:vAlign w:val="bottom"/>
            <w:gridSpan w:val="4"/>
          </w:tcPr>
          <w:p>
            <w:pPr>
              <w:jc w:val="center"/>
              <w:ind w:right="30"/>
              <w:spacing w:after="0" w:line="129" w:lineRule="exact"/>
              <w:rPr>
                <w:sz w:val="20"/>
                <w:szCs w:val="20"/>
                <w:color w:val="auto"/>
              </w:rPr>
            </w:pPr>
            <w:r>
              <w:rPr>
                <w:rFonts w:ascii="Arial" w:cs="Arial" w:eastAsia="Arial" w:hAnsi="Arial"/>
                <w:sz w:val="14"/>
                <w:szCs w:val="14"/>
                <w:b w:val="1"/>
                <w:bCs w:val="1"/>
                <w:color w:val="auto"/>
                <w:w w:val="91"/>
              </w:rPr>
              <w:t>July 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July 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313"/>
              <w:spacing w:after="0" w:line="129"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28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2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2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2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2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60" w:hanging="652"/>
        <w:spacing w:after="0" w:line="263"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cost includes amortization of right-of-use assets of $18.5 and $55.4 for the three and nine months ended July 2, 2022, respectively, and $16.7 and $44.6 for the three and nine months ended July 3, 2021, respectively. Short-term lease expense is excluded from operating lease cost and is not material.</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20" w:type="dxa"/>
            <w:vAlign w:val="bottom"/>
            <w:gridSpan w:val="5"/>
          </w:tcPr>
          <w:p>
            <w:pPr>
              <w:jc w:val="right"/>
              <w:ind w:right="555"/>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3"/>
        </w:trPr>
        <w:tc>
          <w:tcPr>
            <w:tcW w:w="5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July 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5500" w:type="dxa"/>
            <w:vAlign w:val="bottom"/>
          </w:tcPr>
          <w:p>
            <w:pPr>
              <w:spacing w:after="0"/>
              <w:rPr>
                <w:sz w:val="16"/>
                <w:szCs w:val="16"/>
                <w:color w:val="auto"/>
              </w:rPr>
            </w:pPr>
          </w:p>
        </w:tc>
        <w:tc>
          <w:tcPr>
            <w:tcW w:w="4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15"/>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3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404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62.3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3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3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56"/>
        </w:trPr>
        <w:tc>
          <w:tcPr>
            <w:tcW w:w="550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0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863"/>
        </w:trPr>
        <w:tc>
          <w:tcPr>
            <w:tcW w:w="5500" w:type="dxa"/>
            <w:vAlign w:val="bottom"/>
          </w:tcPr>
          <w:p>
            <w:pPr>
              <w:spacing w:after="0"/>
              <w:rPr>
                <w:sz w:val="24"/>
                <w:szCs w:val="24"/>
                <w:color w:val="auto"/>
              </w:rPr>
            </w:pPr>
          </w:p>
        </w:tc>
        <w:tc>
          <w:tcPr>
            <w:tcW w:w="3220" w:type="dxa"/>
            <w:vAlign w:val="bottom"/>
          </w:tcPr>
          <w:p>
            <w:pPr>
              <w:jc w:val="right"/>
              <w:ind w:right="2915"/>
              <w:spacing w:after="0"/>
              <w:rPr>
                <w:sz w:val="20"/>
                <w:szCs w:val="20"/>
                <w:color w:val="auto"/>
              </w:rPr>
            </w:pPr>
            <w:r>
              <w:rPr>
                <w:rFonts w:ascii="Arial" w:cs="Arial" w:eastAsia="Arial" w:hAnsi="Arial"/>
                <w:sz w:val="18"/>
                <w:szCs w:val="18"/>
                <w:color w:val="auto"/>
                <w:w w:val="99"/>
              </w:rPr>
              <w:t>26</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932"/>
              <w:spacing w:after="0"/>
              <w:rPr>
                <w:sz w:val="20"/>
                <w:szCs w:val="20"/>
                <w:color w:val="auto"/>
              </w:rPr>
            </w:pPr>
            <w:r>
              <w:rPr>
                <w:rFonts w:ascii="Arial" w:cs="Arial" w:eastAsia="Arial" w:hAnsi="Arial"/>
                <w:sz w:val="14"/>
                <w:szCs w:val="14"/>
                <w:b w:val="1"/>
                <w:bCs w:val="1"/>
                <w:color w:val="auto"/>
              </w:rPr>
              <w:t>July 2,</w:t>
            </w:r>
          </w:p>
        </w:tc>
      </w:tr>
      <w:tr>
        <w:trPr>
          <w:trHeight w:val="192"/>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w w:val="89"/>
              </w:rPr>
              <w:t>2022</w:t>
            </w:r>
          </w:p>
        </w:tc>
      </w:tr>
      <w:tr>
        <w:trPr>
          <w:trHeight w:val="215"/>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473"/>
        </w:trPr>
        <w:tc>
          <w:tcPr>
            <w:tcW w:w="8140" w:type="dxa"/>
            <w:vAlign w:val="bottom"/>
            <w:gridSpan w:val="2"/>
          </w:tcPr>
          <w:p>
            <w:pPr>
              <w:ind w:left="420"/>
              <w:spacing w:after="0"/>
              <w:rPr>
                <w:sz w:val="20"/>
                <w:szCs w:val="20"/>
                <w:color w:val="auto"/>
              </w:rPr>
            </w:pPr>
            <w:r>
              <w:rPr>
                <w:rFonts w:ascii="Arial" w:cs="Arial" w:eastAsia="Arial" w:hAnsi="Arial"/>
                <w:sz w:val="18"/>
                <w:szCs w:val="18"/>
                <w:color w:val="auto"/>
                <w:w w:val="94"/>
              </w:rPr>
              <w:t>Maturities of lease liabilities by fiscal year for the Company’s leases as of July 2, 2022 were as follows:</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4"/>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7"/>
                <w:szCs w:val="17"/>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7"/>
                <w:szCs w:val="17"/>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rPr>
              <w:t>Finance Leases</w:t>
            </w:r>
          </w:p>
        </w:tc>
      </w:tr>
      <w:tr>
        <w:trPr>
          <w:trHeight w:val="26"/>
        </w:trPr>
        <w:tc>
          <w:tcPr>
            <w:tcW w:w="8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14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outside the United States.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reporting segments.</w:t>
      </w:r>
    </w:p>
    <w:p>
      <w:pPr>
        <w:spacing w:after="0" w:line="10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financial information for the Company’s reportable segments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28"/>
        </w:trPr>
        <w:tc>
          <w:tcPr>
            <w:tcW w:w="64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July 2,</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July 3,</w:t>
            </w:r>
          </w:p>
        </w:tc>
      </w:tr>
      <w:tr>
        <w:trPr>
          <w:trHeight w:val="196"/>
        </w:trPr>
        <w:tc>
          <w:tcPr>
            <w:tcW w:w="6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2,626.7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2,828.4</w:t>
            </w: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r>
      <w:tr>
        <w:trPr>
          <w:trHeight w:val="229"/>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r>
      <w:tr>
        <w:trPr>
          <w:trHeight w:val="248"/>
        </w:trPr>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745.6</w:t>
            </w: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30"/>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23"/>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Profit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6480" w:type="dxa"/>
            <w:vAlign w:val="bottom"/>
          </w:tcPr>
          <w:p>
            <w:pPr>
              <w:ind w:left="48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740.2</w:t>
            </w:r>
          </w:p>
        </w:tc>
      </w:tr>
      <w:tr>
        <w:trPr>
          <w:trHeight w:val="21"/>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product category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33"/>
        </w:trPr>
        <w:tc>
          <w:tcPr>
            <w:tcW w:w="6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2"/>
              <w:spacing w:after="0" w:line="133"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July 2,</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52"/>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1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Growing media and mulch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573.9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1,196.3</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Controls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319.8</w:t>
            </w:r>
          </w:p>
        </w:tc>
      </w:tr>
      <w:tr>
        <w:trPr>
          <w:trHeight w:val="229"/>
        </w:trPr>
        <w:tc>
          <w:tcPr>
            <w:tcW w:w="65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Lighting</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350.5</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Nutrients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Growing environments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Other, primarily hardware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Growing media</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primarily gardening and controls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33"/>
        </w:trPr>
        <w:tc>
          <w:tcPr>
            <w:tcW w:w="64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July 2,</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6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4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3,838.6</w:t>
            </w:r>
          </w:p>
        </w:tc>
      </w:tr>
      <w:tr>
        <w:trPr>
          <w:trHeight w:val="23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r>
      <w:tr>
        <w:trPr>
          <w:trHeight w:val="223"/>
        </w:trPr>
        <w:tc>
          <w:tcPr>
            <w:tcW w:w="64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4,187.2</w:t>
            </w:r>
          </w:p>
        </w:tc>
      </w:tr>
      <w:tr>
        <w:trPr>
          <w:trHeight w:val="21"/>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purpose of this Management’s Discussion and Analysis (“MD&amp;A”) is to provide an understanding of our financial condition and results of operations by focusing on changes in certain key measures from year-to-year. This MD&amp;A is divided into the following sections:</w:t>
      </w:r>
    </w:p>
    <w:p>
      <w:pPr>
        <w:spacing w:after="0" w:line="6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2021 (the “2021 Annual Report”) and our condensed consolidated financial statements included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operating decision maker. In addition, Corporate consists of general and administrative expenses and certain other income and expense items not allocated to the reporting segments. See “SEGMENT RESULTS” below for additional information regarding our evaluation of segment performance.</w:t>
      </w:r>
    </w:p>
    <w:p>
      <w:pPr>
        <w:spacing w:after="0" w:line="2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6"/>
          <w:szCs w:val="16"/>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lawn and grass seed products;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soil, plant food and insecticide, LiquaFeed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plant food and Osmocote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gardening and landscape products; and Ortho</w:t>
      </w:r>
      <w:r>
        <w:rPr>
          <w:rFonts w:ascii="Arial" w:cs="Arial" w:eastAsia="Arial" w:hAnsi="Arial"/>
          <w:sz w:val="20"/>
          <w:szCs w:val="20"/>
          <w:color w:val="auto"/>
          <w:vertAlign w:val="superscript"/>
        </w:rPr>
        <w:t>®</w:t>
      </w:r>
      <w:r>
        <w:rPr>
          <w:rFonts w:ascii="Arial" w:cs="Arial" w:eastAsia="Arial" w:hAnsi="Arial"/>
          <w:sz w:val="16"/>
          <w:szCs w:val="16"/>
          <w:color w:val="auto"/>
        </w:rPr>
        <w:t>, Home Defense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Tomcat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insect control, weed control and rodent control products. We are the exclusive agent of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within the United States and certain other specified countries. We also have a presence in similar branded consumer products in China. In addition, we own a 50% equity interest in Bonnie Plants, LLC, a joint venture with AFC, focused on planting, growing, developing, distributing, marketing and selling live plants.</w:t>
      </w:r>
    </w:p>
    <w:p>
      <w:pPr>
        <w:spacing w:after="0" w:line="6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Through our Hawthorne segment, we are the leading manufacturer, marketer and distributor of lighting, nutrients, growing media, growing environments and hardware products for indoor and hydroponic gardening in North America. Our key brands include General Hydroponics</w:t>
      </w:r>
      <w:r>
        <w:rPr>
          <w:rFonts w:ascii="Arial" w:cs="Arial" w:eastAsia="Arial" w:hAnsi="Arial"/>
          <w:sz w:val="22"/>
          <w:szCs w:val="22"/>
          <w:color w:val="auto"/>
          <w:vertAlign w:val="superscript"/>
        </w:rPr>
        <w:t>®</w:t>
      </w:r>
      <w:r>
        <w:rPr>
          <w:rFonts w:ascii="Arial" w:cs="Arial" w:eastAsia="Arial" w:hAnsi="Arial"/>
          <w:sz w:val="17"/>
          <w:szCs w:val="17"/>
          <w:color w:val="auto"/>
        </w:rPr>
        <w:t>, Gavita</w:t>
      </w:r>
      <w:r>
        <w:rPr>
          <w:rFonts w:ascii="Arial" w:cs="Arial" w:eastAsia="Arial" w:hAnsi="Arial"/>
          <w:sz w:val="22"/>
          <w:szCs w:val="22"/>
          <w:color w:val="auto"/>
          <w:vertAlign w:val="superscript"/>
        </w:rPr>
        <w:t>®</w:t>
      </w:r>
      <w:r>
        <w:rPr>
          <w:rFonts w:ascii="Arial" w:cs="Arial" w:eastAsia="Arial" w:hAnsi="Arial"/>
          <w:sz w:val="17"/>
          <w:szCs w:val="17"/>
          <w:color w:val="auto"/>
        </w:rPr>
        <w:t>, Botanicare</w:t>
      </w:r>
      <w:r>
        <w:rPr>
          <w:rFonts w:ascii="Arial" w:cs="Arial" w:eastAsia="Arial" w:hAnsi="Arial"/>
          <w:sz w:val="22"/>
          <w:szCs w:val="22"/>
          <w:color w:val="auto"/>
          <w:vertAlign w:val="superscript"/>
        </w:rPr>
        <w:t>®</w:t>
      </w:r>
      <w:r>
        <w:rPr>
          <w:rFonts w:ascii="Arial" w:cs="Arial" w:eastAsia="Arial" w:hAnsi="Arial"/>
          <w:sz w:val="17"/>
          <w:szCs w:val="17"/>
          <w:color w:val="auto"/>
        </w:rPr>
        <w:t>, Agrolux</w:t>
      </w:r>
      <w:r>
        <w:rPr>
          <w:rFonts w:ascii="Arial" w:cs="Arial" w:eastAsia="Arial" w:hAnsi="Arial"/>
          <w:sz w:val="22"/>
          <w:szCs w:val="22"/>
          <w:color w:val="auto"/>
          <w:vertAlign w:val="superscript"/>
        </w:rPr>
        <w:t>®</w:t>
      </w:r>
      <w:r>
        <w:rPr>
          <w:rFonts w:ascii="Arial" w:cs="Arial" w:eastAsia="Arial" w:hAnsi="Arial"/>
          <w:sz w:val="17"/>
          <w:szCs w:val="17"/>
          <w:color w:val="auto"/>
        </w:rPr>
        <w:t>, Can-Filters</w:t>
      </w:r>
      <w:r>
        <w:rPr>
          <w:rFonts w:ascii="Arial" w:cs="Arial" w:eastAsia="Arial" w:hAnsi="Arial"/>
          <w:sz w:val="22"/>
          <w:szCs w:val="22"/>
          <w:color w:val="auto"/>
          <w:vertAlign w:val="superscript"/>
        </w:rPr>
        <w:t>®</w:t>
      </w:r>
      <w:r>
        <w:rPr>
          <w:rFonts w:ascii="Arial" w:cs="Arial" w:eastAsia="Arial" w:hAnsi="Arial"/>
          <w:sz w:val="17"/>
          <w:szCs w:val="17"/>
          <w:color w:val="auto"/>
        </w:rPr>
        <w:t>, Gro Pro</w:t>
      </w:r>
      <w:r>
        <w:rPr>
          <w:rFonts w:ascii="Arial" w:cs="Arial" w:eastAsia="Arial" w:hAnsi="Arial"/>
          <w:sz w:val="22"/>
          <w:szCs w:val="22"/>
          <w:color w:val="auto"/>
          <w:vertAlign w:val="superscript"/>
        </w:rPr>
        <w:t>®</w:t>
      </w:r>
      <w:r>
        <w:rPr>
          <w:rFonts w:ascii="Arial" w:cs="Arial" w:eastAsia="Arial" w:hAnsi="Arial"/>
          <w:sz w:val="17"/>
          <w:szCs w:val="17"/>
          <w:color w:val="auto"/>
        </w:rPr>
        <w:t>, Mother Earth</w:t>
      </w:r>
      <w:r>
        <w:rPr>
          <w:rFonts w:ascii="Arial" w:cs="Arial" w:eastAsia="Arial" w:hAnsi="Arial"/>
          <w:sz w:val="22"/>
          <w:szCs w:val="22"/>
          <w:color w:val="auto"/>
          <w:vertAlign w:val="superscript"/>
        </w:rPr>
        <w:t>®</w:t>
      </w:r>
      <w:r>
        <w:rPr>
          <w:rFonts w:ascii="Arial" w:cs="Arial" w:eastAsia="Arial" w:hAnsi="Arial"/>
          <w:sz w:val="17"/>
          <w:szCs w:val="17"/>
          <w:color w:val="auto"/>
        </w:rPr>
        <w:t>, Hurricane</w:t>
      </w:r>
      <w:r>
        <w:rPr>
          <w:rFonts w:ascii="Arial" w:cs="Arial" w:eastAsia="Arial" w:hAnsi="Arial"/>
          <w:sz w:val="22"/>
          <w:szCs w:val="22"/>
          <w:color w:val="auto"/>
          <w:vertAlign w:val="superscript"/>
        </w:rPr>
        <w:t>®</w:t>
      </w:r>
      <w:r>
        <w:rPr>
          <w:rFonts w:ascii="Arial" w:cs="Arial" w:eastAsia="Arial" w:hAnsi="Arial"/>
          <w:sz w:val="17"/>
          <w:szCs w:val="17"/>
          <w:color w:val="auto"/>
        </w:rPr>
        <w:t>, Grower’s Edge</w:t>
      </w:r>
      <w:r>
        <w:rPr>
          <w:rFonts w:ascii="Arial" w:cs="Arial" w:eastAsia="Arial" w:hAnsi="Arial"/>
          <w:sz w:val="22"/>
          <w:szCs w:val="22"/>
          <w:color w:val="auto"/>
          <w:vertAlign w:val="superscript"/>
        </w:rPr>
        <w:t>®</w:t>
      </w:r>
      <w:r>
        <w:rPr>
          <w:rFonts w:ascii="Arial" w:cs="Arial" w:eastAsia="Arial" w:hAnsi="Arial"/>
          <w:sz w:val="17"/>
          <w:szCs w:val="17"/>
          <w:color w:val="auto"/>
        </w:rPr>
        <w:t>, Hydro-Logic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Luxx Lighting</w:t>
      </w:r>
      <w:r>
        <w:rPr>
          <w:rFonts w:ascii="Arial" w:cs="Arial" w:eastAsia="Arial" w:hAnsi="Arial"/>
          <w:sz w:val="22"/>
          <w:szCs w:val="22"/>
          <w:color w:val="auto"/>
          <w:vertAlign w:val="superscript"/>
        </w:rPr>
        <w:t>®</w:t>
      </w:r>
      <w:r>
        <w:rPr>
          <w:rFonts w:ascii="Arial" w:cs="Arial" w:eastAsia="Arial" w:hAnsi="Arial"/>
          <w:sz w:val="17"/>
          <w:szCs w:val="17"/>
          <w:color w:val="auto"/>
        </w:rPr>
        <w:t>.</w:t>
      </w:r>
    </w:p>
    <w:p>
      <w:pPr>
        <w:jc w:val="both"/>
        <w:ind w:firstLine="445"/>
        <w:spacing w:after="0" w:line="255" w:lineRule="auto"/>
        <w:rPr>
          <w:sz w:val="20"/>
          <w:szCs w:val="20"/>
          <w:color w:val="auto"/>
        </w:rPr>
      </w:pPr>
      <w:r>
        <w:rPr>
          <w:rFonts w:ascii="Arial" w:cs="Arial" w:eastAsia="Arial" w:hAnsi="Arial"/>
          <w:sz w:val="18"/>
          <w:szCs w:val="18"/>
          <w:color w:val="auto"/>
        </w:rPr>
        <w:t>Due to the seasonal nature of the consumer lawn and garden business, for our U.S. Consumer and Other segments, significant portions of our products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thereby reducing retailers’ pre-season inventories. For our Hawthorne segment, sales are also impacted by seasonal patterns for certain product categories due to the timing of outdoor growing in North America during our second and third fiscal quarters, and the timing of certain controlled agricultural lighting project sales during our third and fourth fiscal quarters.</w:t>
      </w:r>
    </w:p>
    <w:p>
      <w:pPr>
        <w:jc w:val="center"/>
        <w:ind w:left="6180"/>
        <w:spacing w:after="0" w:line="237" w:lineRule="auto"/>
        <w:rPr>
          <w:sz w:val="20"/>
          <w:szCs w:val="20"/>
          <w:color w:val="auto"/>
        </w:rPr>
      </w:pPr>
      <w:r>
        <w:rPr>
          <w:rFonts w:ascii="Arial" w:cs="Arial" w:eastAsia="Arial" w:hAnsi="Arial"/>
          <w:sz w:val="14"/>
          <w:szCs w:val="14"/>
          <w:b w:val="1"/>
          <w:bCs w:val="1"/>
          <w:color w:val="auto"/>
        </w:rPr>
        <w:t>Percent of Net Sales from Continuing</w:t>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Operations by Quarter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3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37.1 %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33.5 %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37.7 %</w:t>
            </w:r>
          </w:p>
        </w:tc>
      </w:tr>
      <w:tr>
        <w:trPr>
          <w:trHeight w:val="23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15.0 %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15.8 %</w:t>
            </w:r>
          </w:p>
        </w:tc>
      </w:tr>
      <w:tr>
        <w:trPr>
          <w:trHeight w:val="850"/>
        </w:trPr>
        <w:tc>
          <w:tcPr>
            <w:tcW w:w="6240" w:type="dxa"/>
            <w:vAlign w:val="bottom"/>
          </w:tcPr>
          <w:p>
            <w:pPr>
              <w:ind w:left="5540"/>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6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9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Our Hawthorne segment profit has been negatively impacted by an oversupply of cannabis, which has slowed down indoor and outdoor cultivation, and higher transportation and warehousing costs during the three and nine months ended July 2, 2022. Due to the risks and uncertainties related to these impacts, we performed interim impairment testing for Hawthorne long-lived assets and goodwill during the third quarter of fiscal 2022, which resulted in non-cash, pre-tax goodwill and intangible asset impairment charges of $632.4 recorded in the “Impairment, restructuring and other” line in the Condensed Consolidated Statements of Operations. The tax impact of the impairment charges was a benefit of $138.0 for the three and nine months ended July 2, 2022 and was recorded in the “Income tax expense (benefit) from continuing operations” line in the Condensed Consolidated Statements of Operations. Refer to the “CRITICAL ACCOUNTING POLICIES AND ESTIMATES” section of this MD&amp;A and “NOTE 4. GOODWILL AND INTANGIBLE ASSETS” for more information. We expect that the oversupply of cannabis and cost increases will continue to adversely impact our Hawthorne segment. In response, we are taking actions intended to mitigate the impact, including reducing the size of our supply chain network, reducing staffing levels and implementing other cost-reduction initiatives. If the oversupply of cannabis and cost increases persist longer, or are more significant than we expect or we are unable to mitigate their impact, our results of operations could be adversely impacted for a longer period and to a greater extent than we currently anticipate.</w:t>
      </w:r>
    </w:p>
    <w:p>
      <w:pPr>
        <w:spacing w:after="0" w:line="37"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On April 8, 2022, we entered into the Sixth A&amp;R Credit Agreement, providing us with five-year senior secured loan facilities in the aggregate principal amount of $2,500.0, comprised of a revolving credit facility of $1,500.0 and a term loan in the original principal amount of $1,000.0. The Sixth A&amp;R Credit Agreement contains, among other obligations, an affirmative covenant regarding our leverage ratio determined as of the end of each of our fiscal quarters. The maximum permitted leverage ratio originally established in the Sixth A&amp;R Credit Agreement was 4.50. During the third quarter of fiscal 2022, we experienced an unexpected shortfall in earnings that affected our ability to remain in compliance with the leverage ratio covenant of the Sixth A&amp;R Credit Agreement. On June 8, 2022, we entered into Amendment No. 1 (the “Amendment”) to the Sixth A&amp;R Credit Agreement which increased the maximum permitted leverage ratio for the quarterly leverage covenant effective for the third quarter of fiscal 2022 until the earlier of (i) April 1, 2024 and (ii) subject to certain conditions specified in the Amendment, the termination by us of such increase (such period, the “Leverage Adjustment Period”). Refer to the “LIQUIDITY AND CAPITAL RESOURCES” section of this MD&amp;A for more information regarding the Amendment.</w:t>
      </w:r>
    </w:p>
    <w:p>
      <w:pPr>
        <w:spacing w:after="0" w:line="4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December 30, 2021, our Hawthorne segment completed the acquisition of substantially all of the assets of Luxx Lighting, Inc., a leading provider of lighting products for indoor growing, for a purchase price of $213.2. On April 28, 2022, our Hawthorne segment completed the acquisition of substantially all of the assets of Cyco, an Australia-based provider of premium nutrients, additives and growing media products for indoor growing, for a purchase price of $37.4.</w:t>
      </w:r>
    </w:p>
    <w:p>
      <w:pPr>
        <w:spacing w:after="0" w:line="65"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During fiscal 2021, we announced the creation of a newly formed subsidiary, THC, to focus on strategic minority non-equity investments in areas of the cannabis industry not currently pursued by our Hawthorne segment. This initiative is designed to allow us, in the future, to participate directly in a larger marketplace as the legal environment changes over time. On August 24, 2021, we made our initial investment under this initiative in the form of a $150.0 six-year convertible note issued to us by RIV Capital, a cannabis investment and acquisition firm listed on the Canadian Securities Exchange. On April 22, 2022, pursuant to our follow-on investment rights, we made an additional investment in RIV Capital in the form of a $25.0 convertible note. During the fourth quarter of fiscal 2021, we made minority non-equity investments of $43.1 in other entities focused on branded cannabis and high quality genetics. These investments include conversion features that would provide us with minority ownership interests in these entities if we exercise the conversion features. Refer to “NOTE 3. ACQUISITIONS AND INVESTMENTS” for more information regarding these investments.</w:t>
      </w:r>
    </w:p>
    <w:p>
      <w:pPr>
        <w:spacing w:after="0" w:line="8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February 6, 2020, Scotts Miracle-Gro announced that its Board of Directors authorized the repurchase of up to $750.0 of Common Shares from April 30, 2020 through March 25, 2023. During the three and nine months ended July 2, 2022, Scotts Miracle-Gro repurchased 0.0 million and 1.1 million Common Shares under this share repurchase authorization for $0.0 and $175.0, respectively. During the three and nine months ended July 3, 2021, Scotts Miracle-Gro repurchased 0.1 million and 0.4 million Common Shares under this share repurchase authorization for $25.0 and $75.6, respectively.</w:t>
      </w:r>
    </w:p>
    <w:p>
      <w:pPr>
        <w:spacing w:after="0" w:line="9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On July 27, 2020, the Scotts Miracle-Gro Board of Directors approved an increase in Scott Miracle-Gro’s quarterly cash dividend from $0.58 to $0.62 per Common Share, which was first paid in the fourth quarter of fiscal 2020. On July 30, 2021, the Scotts Miracle-Gro Board of Directors approved an increase in Scott Miracle-Gro’s quarterly cash dividend from $0.62 to $0.66 per Common Share, which was first paid in the fourth quarter of fiscal 2021.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experienced higher transportation and materials costs, including fertilizer inputs such as urea, due in part to the negative impact of the war in Ukraine on the global economy. We expect a continuing inflationary environment that is heightened by this conflict, and we are continuing to address these impacts to our operations. We have no operations in Russia or Ukraine.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COVID-19 pandemic has had, and continues to have, an impact on financial markets, economic conditions, and portions of our business and industry. 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In addition to implementing measures to help ensure the health and safety of our employees, we implemented an interim premium pay allowance during fiscal 2020 and 2021 for certain associates in our field sales force and our manufacturing and distribution centers, which paid out nearly $50.0 in aggregate during those two years.</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extent to which the COVID-19 pandemic will impact our business, results of operations, financial condition and cash flows in the future will depend on future developments, including the duration, spread and intensity of the pandemic, our continued ability to manufacture and distribute our products, as well as any future government actions affecting consumers and the economy generally, all of which are uncertain and difficult to predict considering the rapidly evolving landscape. We are not able to predict the impact, if any, that the COVID-19 pandemic may have on the seasonality of our business.</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Although we currently expect to be able to continue operating our business as described above and we intend to continue to work with government authorities and to follow the necessary protocols to maintain the health and safety of our employees, the COVID-19 pandemic could result in additional disruptions to our business, including our global supply chain and retailer network, and/or require us to incur additional operational costs. For additional information on the impacts of, and our response to, the COVID-19 pandemic, refer to “Management’s Discussion and Analysis of Financial Condition and Results of Operations” in Part II, Item 7 of the 2021 Annual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components of earnings as a percentage of net sales for the three months ended July 2, 2022 and July 3,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w:t>
            </w: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 Of</w:t>
            </w:r>
          </w:p>
        </w:tc>
      </w:tr>
      <w:tr>
        <w:trPr>
          <w:trHeight w:val="196"/>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 Sales</w:t>
            </w:r>
          </w:p>
        </w:tc>
        <w:tc>
          <w:tcPr>
            <w:tcW w:w="260" w:type="dxa"/>
            <w:vAlign w:val="bottom"/>
          </w:tcPr>
          <w:p>
            <w:pPr>
              <w:spacing w:after="0"/>
              <w:rPr>
                <w:sz w:val="17"/>
                <w:szCs w:val="17"/>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30"/>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69.2</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30.7</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12.1</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4.5</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48"/>
        </w:trPr>
        <w:tc>
          <w:tcPr>
            <w:tcW w:w="5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components of earnings as a percentage of net sales for the nine months ended July 2, 2022 and July 3,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w:t>
            </w: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w:t>
            </w: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 Of</w:t>
            </w:r>
          </w:p>
        </w:tc>
      </w:tr>
      <w:tr>
        <w:trPr>
          <w:trHeight w:val="192"/>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2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2,415.6</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2,822.2</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67.4</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943.7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1,342.8</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32.1</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582.3</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13.9</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23"/>
        </w:trPr>
        <w:tc>
          <w:tcPr>
            <w:tcW w:w="5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(0.5)</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(0.4)</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17.7</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4.2</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48"/>
        </w:trPr>
        <w:tc>
          <w:tcPr>
            <w:tcW w:w="5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4"/>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sales for the three months ended July 2, 2022 were $1,186.1, a decrease of 26.3% from net sales of $1,609.7 for the three months ended July 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Net sales for the nine months ended July 2, 2022 were $3,430.4, a decrease of 18.1% from net sales of $4,187.2 for the nine months ended July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These changes in net sales were attributable to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tcPr>
          <w:p>
            <w:pPr>
              <w:jc w:val="right"/>
              <w:ind w:right="495"/>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3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July 2, 2022</w:t>
            </w:r>
          </w:p>
        </w:tc>
        <w:tc>
          <w:tcPr>
            <w:tcW w:w="2400" w:type="dxa"/>
            <w:vAlign w:val="bottom"/>
          </w:tcPr>
          <w:p>
            <w:pPr>
              <w:jc w:val="right"/>
              <w:ind w:right="755"/>
              <w:spacing w:after="0"/>
              <w:rPr>
                <w:sz w:val="20"/>
                <w:szCs w:val="20"/>
                <w:color w:val="auto"/>
              </w:rPr>
            </w:pPr>
            <w:r>
              <w:rPr>
                <w:rFonts w:ascii="Arial" w:cs="Arial" w:eastAsia="Arial" w:hAnsi="Arial"/>
                <w:sz w:val="14"/>
                <w:szCs w:val="14"/>
                <w:b w:val="1"/>
                <w:bCs w:val="1"/>
                <w:color w:val="auto"/>
              </w:rPr>
              <w:t>July 2, 2022</w:t>
            </w:r>
          </w:p>
        </w:tc>
      </w:tr>
      <w:tr>
        <w:trPr>
          <w:trHeight w:val="25"/>
        </w:trPr>
        <w:tc>
          <w:tcPr>
            <w:tcW w:w="63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Foreign exchange rates</w:t>
            </w:r>
          </w:p>
        </w:tc>
        <w:tc>
          <w:tcPr>
            <w:tcW w:w="2380" w:type="dxa"/>
            <w:vAlign w:val="bottom"/>
          </w:tcPr>
          <w:p>
            <w:pPr>
              <w:jc w:val="right"/>
              <w:ind w:right="7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0" w:type="dxa"/>
            <w:vAlign w:val="bottom"/>
          </w:tcPr>
          <w:p>
            <w:pPr>
              <w:jc w:val="right"/>
              <w:ind w:right="95"/>
              <w:spacing w:after="0"/>
              <w:rPr>
                <w:sz w:val="20"/>
                <w:szCs w:val="20"/>
                <w:color w:val="auto"/>
              </w:rPr>
            </w:pPr>
            <w:r>
              <w:rPr>
                <w:rFonts w:ascii="Arial" w:cs="Arial" w:eastAsia="Arial" w:hAnsi="Arial"/>
                <w:sz w:val="18"/>
                <w:szCs w:val="18"/>
                <w:color w:val="auto"/>
              </w:rPr>
              <w:t>(0.2)</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2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6.3</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Acquisitions</w:t>
            </w:r>
          </w:p>
        </w:tc>
        <w:tc>
          <w:tcPr>
            <w:tcW w:w="23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0.9</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sales</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net sales for the three and nine months ended July 2, 2022 as compared to the three and nine months ended July 3, 2021 was primarily driven by:</w:t>
      </w:r>
    </w:p>
    <w:p>
      <w:pPr>
        <w:spacing w:after="0" w:line="62" w:lineRule="exact"/>
        <w:rPr>
          <w:sz w:val="20"/>
          <w:szCs w:val="20"/>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333333"/>
        </w:rPr>
      </w:pPr>
      <w:r>
        <w:rPr>
          <w:rFonts w:ascii="Arial" w:cs="Arial" w:eastAsia="Arial" w:hAnsi="Arial"/>
          <w:sz w:val="18"/>
          <w:szCs w:val="18"/>
          <w:color w:val="auto"/>
        </w:rPr>
        <w:t>decreased sales volume driven by lighting, nutrients, growing media, hardware and growing environments products in our Hawthorne segment; and lawn care, soils, controls, plant food and mulch products in our U.S. Consumer segment;</w:t>
      </w:r>
    </w:p>
    <w:p>
      <w:pPr>
        <w:spacing w:after="0" w:line="62" w:lineRule="exact"/>
        <w:rPr>
          <w:rFonts w:ascii="Arial" w:cs="Arial" w:eastAsia="Arial" w:hAnsi="Arial"/>
          <w:sz w:val="18"/>
          <w:szCs w:val="18"/>
          <w:color w:val="333333"/>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5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strengthening of the U.S. dollar relative to the euro and the Canadian dollar;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333333"/>
        </w:rPr>
      </w:pPr>
      <w:r>
        <w:rPr>
          <w:rFonts w:ascii="Arial" w:cs="Arial" w:eastAsia="Arial" w:hAnsi="Arial"/>
          <w:sz w:val="18"/>
          <w:szCs w:val="18"/>
          <w:color w:val="auto"/>
        </w:rPr>
        <w:t>partially offset by increased pricing in our U.S. Consumer, Hawthorne and Other segments; and</w:t>
      </w:r>
    </w:p>
    <w:p>
      <w:pPr>
        <w:spacing w:after="0" w:line="117" w:lineRule="exact"/>
        <w:rPr>
          <w:rFonts w:ascii="Arial" w:cs="Arial" w:eastAsia="Arial" w:hAnsi="Arial"/>
          <w:sz w:val="18"/>
          <w:szCs w:val="18"/>
          <w:color w:val="333333"/>
        </w:rPr>
      </w:pPr>
    </w:p>
    <w:p>
      <w:pPr>
        <w:ind w:left="980" w:hanging="324"/>
        <w:spacing w:after="0"/>
        <w:tabs>
          <w:tab w:leader="none" w:pos="980" w:val="left"/>
        </w:tabs>
        <w:numPr>
          <w:ilvl w:val="0"/>
          <w:numId w:val="8"/>
        </w:numPr>
        <w:rPr>
          <w:rFonts w:ascii="Arial" w:cs="Arial" w:eastAsia="Arial" w:hAnsi="Arial"/>
          <w:sz w:val="18"/>
          <w:szCs w:val="18"/>
          <w:color w:val="333333"/>
        </w:rPr>
      </w:pPr>
      <w:r>
        <w:rPr>
          <w:rFonts w:ascii="Arial" w:cs="Arial" w:eastAsia="Arial" w:hAnsi="Arial"/>
          <w:sz w:val="18"/>
          <w:szCs w:val="18"/>
          <w:color w:val="auto"/>
        </w:rPr>
        <w:t>the addition of net sales from acquisitions in our Hawthorne segment.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5"/>
        </w:trPr>
        <w:tc>
          <w:tcPr>
            <w:tcW w:w="3780" w:type="dxa"/>
            <w:vAlign w:val="bottom"/>
          </w:tcPr>
          <w:p>
            <w:pPr>
              <w:ind w:left="20"/>
              <w:spacing w:after="0"/>
              <w:rPr>
                <w:sz w:val="20"/>
                <w:szCs w:val="20"/>
                <w:color w:val="auto"/>
              </w:rPr>
            </w:pPr>
            <w:r>
              <w:rPr>
                <w:rFonts w:ascii="Arial" w:cs="Arial" w:eastAsia="Arial" w:hAnsi="Arial"/>
                <w:sz w:val="18"/>
                <w:szCs w:val="18"/>
                <w:color w:val="FFFFFF"/>
              </w:rPr>
              <w:t>Contents</w:t>
            </w:r>
          </w:p>
        </w:tc>
        <w:tc>
          <w:tcPr>
            <w:tcW w:w="3660" w:type="dxa"/>
            <w:vAlign w:val="bottom"/>
            <w:gridSpan w:val="5"/>
          </w:tcPr>
          <w:p>
            <w:pPr>
              <w:jc w:val="center"/>
              <w:spacing w:after="0"/>
              <w:rPr>
                <w:sz w:val="20"/>
                <w:szCs w:val="20"/>
                <w:color w:val="auto"/>
              </w:rPr>
            </w:pPr>
            <w:r>
              <w:rPr>
                <w:rFonts w:ascii="Arial" w:cs="Arial" w:eastAsia="Arial" w:hAnsi="Arial"/>
                <w:sz w:val="18"/>
                <w:szCs w:val="18"/>
                <w:b w:val="1"/>
                <w:bCs w:val="1"/>
                <w:color w:val="auto"/>
              </w:rPr>
              <w:t>THE SCOTTS MIRACLE-GRO COMPANY</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6"/>
        </w:trPr>
        <w:tc>
          <w:tcPr>
            <w:tcW w:w="3780" w:type="dxa"/>
            <w:vAlign w:val="bottom"/>
          </w:tcPr>
          <w:p>
            <w:pPr>
              <w:spacing w:after="0"/>
              <w:rPr>
                <w:sz w:val="16"/>
                <w:szCs w:val="16"/>
                <w:color w:val="auto"/>
              </w:rPr>
            </w:pPr>
          </w:p>
        </w:tc>
        <w:tc>
          <w:tcPr>
            <w:tcW w:w="328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822"/>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Cost of Sales</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7060" w:type="dxa"/>
            <w:vAlign w:val="bottom"/>
            <w:gridSpan w:val="5"/>
          </w:tcPr>
          <w:p>
            <w:pPr>
              <w:ind w:left="420"/>
              <w:spacing w:after="0"/>
              <w:rPr>
                <w:sz w:val="20"/>
                <w:szCs w:val="20"/>
                <w:color w:val="auto"/>
              </w:rPr>
            </w:pPr>
            <w:r>
              <w:rPr>
                <w:rFonts w:ascii="Arial" w:cs="Arial" w:eastAsia="Arial" w:hAnsi="Arial"/>
                <w:sz w:val="18"/>
                <w:szCs w:val="18"/>
                <w:color w:val="auto"/>
                <w:w w:val="92"/>
              </w:rPr>
              <w:t>The following table shows the major components of cost of sales for the periods indicated:</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9"/>
        </w:trPr>
        <w:tc>
          <w:tcPr>
            <w:tcW w:w="3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24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3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3"/>
        </w:trPr>
        <w:tc>
          <w:tcPr>
            <w:tcW w:w="3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July 2,</w:t>
            </w:r>
          </w:p>
        </w:tc>
        <w:tc>
          <w:tcPr>
            <w:tcW w:w="3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74"/>
              <w:spacing w:after="0" w:line="133"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4"/>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378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Distribution and warehousing</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552.3</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labor and overhead</w:t>
            </w: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r>
      <w:tr>
        <w:trPr>
          <w:trHeight w:val="229"/>
        </w:trPr>
        <w:tc>
          <w:tcPr>
            <w:tcW w:w="59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8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Cost of sales—impairment, restructuring and other</w:t>
            </w:r>
          </w:p>
        </w:tc>
        <w:tc>
          <w:tcPr>
            <w:tcW w:w="1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48"/>
        </w:trPr>
        <w:tc>
          <w:tcPr>
            <w:tcW w:w="37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6"/>
                <w:szCs w:val="16"/>
                <w:color w:val="auto"/>
              </w:rPr>
            </w:pPr>
          </w:p>
        </w:tc>
        <w:tc>
          <w:tcPr>
            <w:tcW w:w="1980" w:type="dxa"/>
            <w:vAlign w:val="bottom"/>
          </w:tcPr>
          <w:p>
            <w:pPr>
              <w:jc w:val="right"/>
              <w:ind w:right="454"/>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July 2, 2022</w:t>
            </w:r>
          </w:p>
        </w:tc>
        <w:tc>
          <w:tcPr>
            <w:tcW w:w="320" w:type="dxa"/>
            <w:vAlign w:val="bottom"/>
          </w:tcPr>
          <w:p>
            <w:pPr>
              <w:spacing w:after="0"/>
              <w:rPr>
                <w:sz w:val="17"/>
                <w:szCs w:val="17"/>
                <w:color w:val="auto"/>
              </w:rPr>
            </w:pPr>
          </w:p>
        </w:tc>
        <w:tc>
          <w:tcPr>
            <w:tcW w:w="1980" w:type="dxa"/>
            <w:vAlign w:val="bottom"/>
          </w:tcPr>
          <w:p>
            <w:pPr>
              <w:jc w:val="right"/>
              <w:ind w:right="694"/>
              <w:spacing w:after="0"/>
              <w:rPr>
                <w:sz w:val="20"/>
                <w:szCs w:val="20"/>
                <w:color w:val="auto"/>
              </w:rPr>
            </w:pPr>
            <w:r>
              <w:rPr>
                <w:rFonts w:ascii="Arial" w:cs="Arial" w:eastAsia="Arial" w:hAnsi="Arial"/>
                <w:sz w:val="14"/>
                <w:szCs w:val="14"/>
                <w:b w:val="1"/>
                <w:bCs w:val="1"/>
                <w:color w:val="auto"/>
              </w:rPr>
              <w:t>July 2, 2022</w:t>
            </w:r>
          </w:p>
        </w:tc>
      </w:tr>
      <w:tr>
        <w:trPr>
          <w:trHeight w:val="26"/>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Foreign exchange rates</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Material cost changes</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r>
      <w:tr>
        <w:trPr>
          <w:trHeight w:val="223"/>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cost of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decrease in cost of sales for the three and nine months ended July 2, 2022 as compared to the three and nine months ended July 3, 2021 was primarily driven by:</w:t>
      </w:r>
    </w:p>
    <w:p>
      <w:pPr>
        <w:spacing w:after="0" w:line="6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sales volume in our U.S. Consumer, Hawthorne and Other segments;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strengthening of the U.S. dollar relative to the euro and the Canadian dollar; and</w:t>
      </w:r>
    </w:p>
    <w:p>
      <w:pPr>
        <w:spacing w:after="0" w:line="5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higher material costs in our U.S. Consumer and Other segments;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transportation and warehousing costs included within “volume, product mix and other” in our U.S. Consumer, Hawthorne and Other segments;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a percentage of net sales, our gross profit rate was 19.9% and 30.7% for the three months ended July 2, 2022 and July 3, 2021, respectively. As a percentage of net sales, our gross profit rate was 27.5% and 32.1% for the nine months ended July 2, 2022 and July 3, 2021, respectively. Factors contributing to the change in gross profit rate are outlined in the following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380" w:type="dxa"/>
            <w:vAlign w:val="bottom"/>
          </w:tcPr>
          <w:p>
            <w:pPr>
              <w:ind w:left="56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36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July 2, 2022</w:t>
            </w:r>
          </w:p>
        </w:tc>
        <w:tc>
          <w:tcPr>
            <w:tcW w:w="2380" w:type="dxa"/>
            <w:vAlign w:val="bottom"/>
          </w:tcPr>
          <w:p>
            <w:pPr>
              <w:ind w:left="820"/>
              <w:spacing w:after="0"/>
              <w:rPr>
                <w:sz w:val="20"/>
                <w:szCs w:val="20"/>
                <w:color w:val="auto"/>
              </w:rPr>
            </w:pPr>
            <w:r>
              <w:rPr>
                <w:rFonts w:ascii="Arial" w:cs="Arial" w:eastAsia="Arial" w:hAnsi="Arial"/>
                <w:sz w:val="14"/>
                <w:szCs w:val="14"/>
                <w:b w:val="1"/>
                <w:bCs w:val="1"/>
                <w:color w:val="auto"/>
              </w:rPr>
              <w:t>July 2, 2022</w:t>
            </w:r>
          </w:p>
        </w:tc>
      </w:tr>
      <w:tr>
        <w:trPr>
          <w:trHeight w:val="26"/>
        </w:trPr>
        <w:tc>
          <w:tcPr>
            <w:tcW w:w="63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94"/>
              </w:rPr>
              <w:t>(5.4)%</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rPr>
              <w:t>(3.1)</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2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(0.2)</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rPr>
              <w:t>(0.2)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5.9</w:t>
            </w:r>
          </w:p>
        </w:tc>
      </w:tr>
      <w:tr>
        <w:trPr>
          <w:trHeight w:val="223"/>
        </w:trPr>
        <w:tc>
          <w:tcPr>
            <w:tcW w:w="63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w w:val="94"/>
              </w:rPr>
              <w:t>(3.0)%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(1.6)</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3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94"/>
              </w:rPr>
              <w:t>(4.6)%</w:t>
            </w:r>
          </w:p>
        </w:tc>
      </w:tr>
      <w:tr>
        <w:trPr>
          <w:trHeight w:val="21"/>
        </w:trPr>
        <w:tc>
          <w:tcPr>
            <w:tcW w:w="6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gross profit rate for the three and nine months ended July 2, 2022 as compared to the three and nine months ended July 3, 2021 was primarily driven by:</w:t>
      </w:r>
    </w:p>
    <w:p>
      <w:pPr>
        <w:spacing w:after="0" w:line="6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material costs in our U.S. Consumer and Other segments;</w:t>
      </w:r>
    </w:p>
    <w:p>
      <w:pPr>
        <w:spacing w:after="0" w:line="117" w:lineRule="exact"/>
        <w:rPr>
          <w:rFonts w:ascii="Arial" w:cs="Arial" w:eastAsia="Arial" w:hAnsi="Arial"/>
          <w:sz w:val="18"/>
          <w:szCs w:val="18"/>
          <w:color w:val="auto"/>
        </w:rPr>
      </w:pPr>
    </w:p>
    <w:p>
      <w:pPr>
        <w:ind w:left="980" w:right="20" w:hanging="324"/>
        <w:spacing w:after="0" w:line="308" w:lineRule="auto"/>
        <w:tabs>
          <w:tab w:leader="none" w:pos="976" w:val="left"/>
        </w:tabs>
        <w:numPr>
          <w:ilvl w:val="0"/>
          <w:numId w:val="10"/>
        </w:numPr>
        <w:rPr>
          <w:rFonts w:ascii="Arial" w:cs="Arial" w:eastAsia="Arial" w:hAnsi="Arial"/>
          <w:sz w:val="13"/>
          <w:szCs w:val="13"/>
          <w:color w:val="auto"/>
        </w:rPr>
      </w:pPr>
      <w:r>
        <w:rPr>
          <w:rFonts w:ascii="Arial" w:cs="Arial" w:eastAsia="Arial" w:hAnsi="Arial"/>
          <w:sz w:val="17"/>
          <w:szCs w:val="17"/>
          <w:color w:val="auto"/>
        </w:rPr>
        <w:t>higher transportation and warehousing costs of 250 bps and 300 bps for the three and nine months ended July 2, 2022, respectively, included within “volume, product mix and other” associated with our U.S. Consumer, Hawthorne and Other segments;</w:t>
      </w:r>
    </w:p>
    <w:p>
      <w:pPr>
        <w:spacing w:after="0" w:line="38" w:lineRule="exact"/>
        <w:rPr>
          <w:rFonts w:ascii="Arial" w:cs="Arial" w:eastAsia="Arial" w:hAnsi="Arial"/>
          <w:sz w:val="13"/>
          <w:szCs w:val="13"/>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leverage of fixed costs driven by lower sales volume in our U.S. Consumer, Hawthorne and Other segments;</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unfavorable net impact from acquisitions in our Hawthorne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333333"/>
        </w:rPr>
      </w:pPr>
      <w:r>
        <w:rPr>
          <w:rFonts w:ascii="Arial" w:cs="Arial" w:eastAsia="Arial" w:hAnsi="Arial"/>
          <w:sz w:val="18"/>
          <w:szCs w:val="18"/>
          <w:color w:val="auto"/>
        </w:rPr>
        <w:t>partially offset by increased pricing in our U.S. Consumer, Hawthorne and Other segments.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8"/>
        </w:trPr>
        <w:tc>
          <w:tcPr>
            <w:tcW w:w="5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29"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29" w:lineRule="exact"/>
              <w:rPr>
                <w:sz w:val="20"/>
                <w:szCs w:val="20"/>
                <w:color w:val="auto"/>
              </w:rPr>
            </w:pPr>
            <w:r>
              <w:rPr>
                <w:rFonts w:ascii="Arial" w:cs="Arial" w:eastAsia="Arial" w:hAnsi="Arial"/>
                <w:sz w:val="14"/>
                <w:szCs w:val="14"/>
                <w:b w:val="1"/>
                <w:bCs w:val="1"/>
                <w:color w:val="auto"/>
              </w:rPr>
              <w:t>July 3,</w:t>
            </w:r>
          </w:p>
        </w:tc>
      </w:tr>
      <w:tr>
        <w:trPr>
          <w:trHeight w:val="196"/>
        </w:trPr>
        <w:tc>
          <w:tcPr>
            <w:tcW w:w="56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r>
      <w:tr>
        <w:trPr>
          <w:trHeight w:val="223"/>
        </w:trPr>
        <w:tc>
          <w:tcPr>
            <w:tcW w:w="56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SG&amp;A decreased $58.3, or 30.0%, during the three months ended July 2, 2022 compared to the three months ended July 3, 2021. Advertising expense decreased $14.6, or 32.7%, during the three months ended July 2, 2022 driven by decreased media spending in our U.S. Consumer segment. Other SG&amp;A decreased $40.5, or 33.0%, during the three months ended July 2, 2022 driven by a decrease in short-term variable cash incentive compensation expense, reductions in staffing levels and other cost-reduction initiatives.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SG&amp;A decreased $87.7, or 15.1%, during the nine months ended July 2, 2022 compared to the nine months ended July 3, 2021. Advertising expense decreased $42.7, or 30.5%, during the nine months ended July 2, 2022 driven by decreased media spending in our U.S. Consumer segment. Other SG&amp;A decreased $45.1, or 12.7%, during the nine months ended July 2, 2022 driven by a decrease in short-term variable cash incentive compensation expense, reductions in staffing levels and other cost-reduction initiatives.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5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8"/>
        </w:trPr>
        <w:tc>
          <w:tcPr>
            <w:tcW w:w="5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July 3,</w:t>
            </w:r>
          </w:p>
        </w:tc>
      </w:tr>
      <w:tr>
        <w:trPr>
          <w:trHeight w:val="196"/>
        </w:trPr>
        <w:tc>
          <w:tcPr>
            <w:tcW w:w="56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Property, plant and equipment impairments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Goodwill and intangible asset impairments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Impairment, restructuring and other charges from continuing operations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three and nine months ended July 2, 2022, we recognized non-cash, pre-tax goodwill and intangible asset impairment charges of $632.4 related to our Hawthorne segment in the “Impairment, restructuring and other” line in the Condensed Consolidated Statements of Operations, comprised of $522.4 of goodwill impairment charges and $110.0 of finite-lived intangible asset impairment charges.</w:t>
      </w:r>
    </w:p>
    <w:p>
      <w:pPr>
        <w:spacing w:after="0" w:line="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and nine months ended July 2, 2022, we incurred inventory write-down charges of $45.9 in the “Cost of sales—impairment, restructuring and other” line in the Condensed Consolidated Statements of Operations associated with our decision to discontinue and exit the market for certain lighting products and brands.</w:t>
      </w:r>
    </w:p>
    <w:p>
      <w:pPr>
        <w:spacing w:after="0" w:line="10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During the three and nine months ended July 2, 2022, we began implementing an expanded series of organizational changes and initiatives intended to create operational and management-level efficiencies. As part of this restructuring program, we are reducing the size of our supply chain network, reducing staffing levels and implementing other cost-reduction initiatives. During the three and nine months ended July 2, 2022, we incurred costs of $40.7 and $46.1, respectively, associated with this restructuring initiative primarily related to employee termination benefits and impairment of property, plant and equipment. We incurred costs of $9.5 in our U.S. Consumer segment and $10.4 and $15.6 in our Hawthorne segment in the “Cost of sales— impairment, restructuring and other” line in the Condensed Consolidated Statements of Operations during the three and nine months ended July 2, 2022, respectively. We incurred costs of $7.4 in our U.S. Consumer segment, $7.1 in our Hawthorne segment and $6.3 at Corporate in the “Impairment, restructuring and other” line in the Condensed Consolidated Statements of Operations during the three and nine months ended July 2, 2022, respectively. We continue to evaluate additional network and organizational changes, which, if executed, may result in additional restructuring charges in future periods.</w:t>
      </w:r>
    </w:p>
    <w:p>
      <w:pPr>
        <w:spacing w:after="0" w:line="9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response to the COVID-19 pandemic, we implemented measures intended to protect the health and safety of our employees and maintain our ability to provide products to our customers. Costs incurred during the three and nine months ended July 2, 2022 related to COVID-19 were immaterial. During the three and nine months ended July 3, 2021, we incurred costs of $1.9 and $26.1, respectively, associated with the COVID-19 pandemic primarily related to premium pay. We incurred costs of $0.8 and $19.8 in our U.S. Consumer segment, $0.5 and $2.4 in our Hawthorne segment and $0.2 and $0.3 in our Other segment in the “Cost of sales—impairment, restructuring and other” line in the Condensed Consolidated Statements of Operations during the three and nine months ended July 3, 2021, respectively. We incurred costs of $0.3 and $3.5 in our U.S. Consumer segment and $0.1 in our Other segment in the “Impairment, restructuring and other” line in the Condensed Consolidated Statements of Operations during the three and nine months ended July 3, 2021, respectively.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Other (income) expense is comprised of activities such as royalty income from the licensing of certain of our brand names, foreign exchange transaction gains and losses and gains and losses from the disposition of non-inventory assets. Other (income) expense was $4.9 and $(2.1) for the three months ended July 2, 2022 and July 3, 2021, respectively; and was $(1.0) and $(3.4) for the nine months ended July 2, 2022 and July 3, 2021, respectively. The change for the three and nine months ended July 2, 2022 was primarily due to foreign exchange transaction gains and losses.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(loss) from operations was $(562.5) for the three months ended July 2, 2022, a decrease of 286.2% compared to $302.1 for the three months ended July 3, 2021; and was $(210.1) for the nine months ended July 2, 2022, a decrease of 127.6% compared to $760.2 for the nine months ended July 3, 2021. For the three and nine months ended July 2, 2022, the decrease was driven by lower net sales, a decrease in gross profit rate, higher impairment, restructuring and other charges and lower other income, partially offset by lower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acquired a 50% equity interest in Bonnie Plants, LLC on December 31, 2020. Our interest is accounted for using the equity method of accounting, with our proportionate share of Bonnie Plants, LLC earnings subsequent to December 31, 2020 reflected in the Condensed Consolidated Statements of Operations. We recorded equity in income of unconsolidated affiliates associated with Bonnie Plants, LLC of $15.1 and $1.3 during the three and nine months ended July 2, 2022, respectively, as compared to $21.5 and $20.0 during the three and nine months ended July 3, 2021,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expense was $31.0 for the three months ended July 2, 2022, an increase of 41.6% compared to $21.9 for the three months ended July 3, 2021. The increase was driven by higher average borrowings of $1,307.4 due to higher inventory production, capital expenditures, acquisition activity and repurchases of our Common Shares.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expense was $83.1 for the nine months ended July 2, 2022, an increase of 45.0% compared to $57.3 for the nine months ended July 3, 2021. The increase was driven by higher average borrowings of $1,131.4 due to higher inventory production, capital expenditures, acquisition activity and repurchases of our Common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Other non-operating income was $1.7 and $1.2 for the three months ended July 2, 2022 and July 3, 2021, respectively, and was $5.4 and $17.3 for the nine months ended July 2, 2022 and July 3, 2021, respectively. On December 31, 2020, we acquired a 50% equity interest in Bonnie Plants, LLC in exchange for cash payments of $102.3, forgiveness of our outstanding loan receivable with AFC and surrender of our options to increase our economic interest in the Bonnie Plants business. Our loan receivable with AFC, which was previously recognized in the “Other assets” line in the Condensed Consolidated Balance Sheets, had a carrying value of $66.4 on December 31, 2020 and we recognized a gain of $12.5 during the three months ended January 2, 2021 to write-up the value of the loan to its closing date fair value of $78.9.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 from Continuing Operations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effective tax rates related to continuing operations for the nine months ended July 2, 2022 and July 3, 2021 were 24.1% and 23.5%,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spacing w:after="0" w:line="8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During the three and nine months ended July 2, 2022, we recognized non-cash, pre-tax goodwill and intangible asset impairment charges of $632.4 related to our Hawthorne segment in the “Impairment, restructuring and other” line in the Condensed Consolidated Statements of Operations. The tax impact of the impairment charges was a benefit of $138.0, which is net of the impact of non-deductible goodwill of $18.5, for the three and nine months ended July 2, 2022 and was recorded in the “Income tax expense (benefit) from continuing operations” line in the Condensed Consolidated Statements of Operations. The tax impact of non-deductible goodwill was considered a discrete item because we have no remaining non-deductible goodwill.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discrete item decreased the effective tax rate by approximately 640 bps for the nine months ended July 2, 2022 because we incurred a net loss during this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(loss) from continuing operations was $(443.9), or $(8.01) per diluted share, for the three months ended July 2, 2022 compared to $229.8, or $4.00 per diluted share, for the three months ended July 3, 2021. The decrease was driven by lower net sales, a decrease in gross profit rate, higher impairment, restructuring and other charges, lower other income, lower equity in income of unconsolidated affiliates and higher interest expense, partially offset by lower SG&amp;A.</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Diluted average common shares used in the diluted loss per common share calculation for the three months ended July 2, 2022 were 55.4 million, which excluded potential Common Shares of 0.4 million because the effect of their inclusion would be anti-dilutive as we incurred a net loss for the three months ended July 2, 2022. Diluted average common shares used in the diluted income per common share calculation for the three months ended July 3, 2021 were 57.4 million, which included dilutive potential Common Shares of 1.6 million.</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(loss) from continuing operations was $(217.5), or $(3.91) per diluted share, for the nine months ended July 2, 2022 compared to $566.0, or $9.90 per diluted share, for the nine months ended July 3, 2021. The decrease was driven by lower net sales, a decrease in gross profit rate, higher impairment, restructuring and other charges, lower other income, lower equity in income of unconsolidated affiliates, higher interest expense and lower other non-operating income, partially offset by lower SG&amp;A.</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Diluted average common shares used in the diluted loss per common share calculation for the nine months ended July 2, 2022 were 55.6 million, which excluded potential Common Shares of 0.6 million because the effect of their inclusion would be anti-dilutive as we incurred a net loss for the nine months ended July 2, 2022. Diluted average common shares used in the diluted income per common share calculation for the nine months ended July 3, 2021 were 57.1 million, which included dilutive potential Common Shares of 1.4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3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3"/>
        </w:trPr>
        <w:tc>
          <w:tcPr>
            <w:tcW w:w="3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6"/>
              <w:spacing w:after="0" w:line="133"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6"/>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348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1,095.1</w:t>
            </w: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r>
      <w:tr>
        <w:trPr>
          <w:trHeight w:val="223"/>
        </w:trPr>
        <w:tc>
          <w:tcPr>
            <w:tcW w:w="348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2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4,187.2</w:t>
            </w:r>
          </w:p>
        </w:tc>
      </w:tr>
      <w:tr>
        <w:trPr>
          <w:trHeight w:val="20"/>
        </w:trPr>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58"/>
        </w:trPr>
        <w:tc>
          <w:tcPr>
            <w:tcW w:w="3480" w:type="dxa"/>
            <w:vAlign w:val="bottom"/>
          </w:tcPr>
          <w:p>
            <w:pPr>
              <w:spacing w:after="0"/>
              <w:rPr>
                <w:sz w:val="24"/>
                <w:szCs w:val="24"/>
                <w:color w:val="auto"/>
              </w:rPr>
            </w:pPr>
          </w:p>
        </w:tc>
        <w:tc>
          <w:tcPr>
            <w:tcW w:w="2440" w:type="dxa"/>
            <w:vAlign w:val="bottom"/>
            <w:gridSpan w:val="2"/>
          </w:tcPr>
          <w:p>
            <w:pPr>
              <w:jc w:val="right"/>
              <w:ind w:right="11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 The following table sets forth Segment Profit (Loss) as well as a reconciliation to income from continuing operations before income taxes, the most directly comparable GAAP measure: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3"/>
        </w:trPr>
        <w:tc>
          <w:tcPr>
            <w:tcW w:w="5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3"/>
              <w:spacing w:after="0" w:line="133"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July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3"/>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5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Total Segment Profit (Non-GAAP)</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923.7</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48"/>
        </w:trPr>
        <w:tc>
          <w:tcPr>
            <w:tcW w:w="5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2"/>
              </w:rPr>
              <w:t>Income (loss) from continuing operations before income taxes (GAAP)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U.S. Consumer segment net sales were $904.5 in the third quarter of fiscal 2022, a decrease of 13.5% from third quarter of fiscal 2021 net sales of $1,046.2; and were $2,626.7 for the first nine months of fiscal 2022, a decrease of 7.1% from the first nine months of fiscal 2021 net sales of $2,828.4. For the third quarter of fiscal 2022, the decrease was driven by lower sales volume of 20.0%, partially offset by increased pricing of 6.5%. For the nine months ended July 2, 2022, the decrease was driven by lower sales volume of 14.1%, partially offset by increased pricing of 7.0%. The decrease in sales volume for the three and nine months ended July 2, 2022 was driven by lawn care, soils, controls, plant food and mulch products.</w:t>
      </w:r>
    </w:p>
    <w:p>
      <w:pPr>
        <w:spacing w:after="0" w:line="10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U.S. Consumer Segment Profit was $181.1 in the third quarter of fiscal 2022, a decrease of 31.5% from the third quarter of fiscal 2021 Segment Profit of $264.4; and Segment Profit was $620.7 for the first nine months of fiscal 2022, a decrease of 16.8% from the first nine months of fiscal 2021 Segment Profit of $745.6. For the three and nine months ended July 2, 2022, the decrease was primarily due to lower net sales and a lower gross profit rate, partially offset by lower SG&amp;A.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Hawthorne segment net sales were $154.5 in the third quarter of fiscal 2022, a decrease of 63.4% from third quarter of fiscal 2021 net sales of $421.9; and were $547.7 for the first nine months of fiscal 2022, a decrease of 50.0% from the first nine months of fiscal 2021 net sales of $1,095.1. For the third quarter of fiscal 2022, the decrease was driven by lower sales volume and unfavorable foreign exchange rates of 73.2% and 0.3%, respectively, partially offset by increased pricing and acquisitions of 5.7% and 4.4%, respectively. For the nine months ended July 2, 2022, the decrease was driven by lower sales volume and unfavorable foreign exchange rates of 57.2% and 0.2%, respectively, partially offset by increased pricing and acquisitions of 4.1% and 3.3%, respectively. The decrease in sales volume for the three and nine months ended July 2, 2022 was driven by lighting, nutrients, growing media, hardware and growing environments products.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Hawthorne Segment Profit was $4.1 in the third quarter of fiscal 2022, a decrease of 92.1% from the third quarter of fiscal 2021 Segment Profit of $51.9; and Segment Profit was $2.0 for the first nine months of fiscal 2022, a decrease of 98.5% from the first nine months of fiscal 2021 Segment Profit of $133.7. For the three and nine months ended July 2, 2022, the decrease was driven by lower net sales and a lower gross profit rate, partially offset by lower SG&amp;A.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segment net sales were $127.1 in the third quarter of fiscal 2022, a decrease of 10.2% from the third quarter of fiscal 2021 net sales of $141.6; and were $256.0 for the first nine months of fiscal 2022, a decrease of 2.9% from the first nine months of fiscal 2021 net sales of $263.7. For the third quarter of fiscal 2022, the decrease was driven by lower sales volume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9" w:name="page40"/>
    <w:bookmarkEnd w:id="3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unfavorable foreign exchange rates of 16.1% and 4.0%, respectively, partially offset by increased pricing of 9.9%. For the nine months ended July 2, 2022, the decrease was driven by lower sales volume and unfavorable foreign exchange rates of 8.9% and 1.8%, respectively, partially offset by increased pricing of 7.8%.</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Segment Profit was $10.9 in the third quarter of fiscal 2022, a decrease of 59.3% from the third quarter of fiscal 2021 Segment Profit of $26.8; and Segment Profit was $22.7 for the first nine months of fiscal 2022, a decrease of 48.9% from the first nine months of fiscal 2021 Segment Profit of $44.4. For the three and nine months ended July 2, 2022, the decrease was driven by lower net sales and a lower gross profit rate, partially offset by lower SG&amp;A.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Corporate expenses were $25.2 in the third quarter of fiscal 2022, a decrease of 21.0% from the third quarter of fiscal 2021 expenses of $31.9; and were $95.7 for the first nine months of fiscal 2022, a decrease of 16.5% from the first nine months of fiscal 2021 expenses of $114.6. For the three and nine months ended July 2, 2022, the decrease was driven by lower short-term variable cash incentive compensation expense, reductions in staffing levels and other cost-reduction initiatives.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activities: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ind w:left="620"/>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8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3"/>
        </w:trPr>
        <w:tc>
          <w:tcPr>
            <w:tcW w:w="8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1"/>
              </w:rPr>
              <w:t>July 2,</w:t>
            </w:r>
          </w:p>
        </w:tc>
        <w:tc>
          <w:tcPr>
            <w:tcW w:w="320" w:type="dxa"/>
            <w:vAlign w:val="bottom"/>
          </w:tcPr>
          <w:p>
            <w:pPr>
              <w:spacing w:after="0"/>
              <w:rPr>
                <w:sz w:val="11"/>
                <w:szCs w:val="11"/>
                <w:color w:val="auto"/>
              </w:rPr>
            </w:pPr>
          </w:p>
        </w:tc>
        <w:tc>
          <w:tcPr>
            <w:tcW w:w="1180" w:type="dxa"/>
            <w:vAlign w:val="bottom"/>
          </w:tcPr>
          <w:p>
            <w:pPr>
              <w:jc w:val="center"/>
              <w:ind w:right="237"/>
              <w:spacing w:after="0" w:line="133" w:lineRule="exact"/>
              <w:rPr>
                <w:sz w:val="20"/>
                <w:szCs w:val="20"/>
                <w:color w:val="auto"/>
              </w:rPr>
            </w:pPr>
            <w:r>
              <w:rPr>
                <w:rFonts w:ascii="Arial" w:cs="Arial" w:eastAsia="Arial" w:hAnsi="Arial"/>
                <w:sz w:val="14"/>
                <w:szCs w:val="14"/>
                <w:b w:val="1"/>
                <w:bCs w:val="1"/>
                <w:color w:val="auto"/>
                <w:w w:val="96"/>
              </w:rPr>
              <w:t>July 3,</w:t>
            </w:r>
          </w:p>
        </w:tc>
      </w:tr>
      <w:tr>
        <w:trPr>
          <w:trHeight w:val="192"/>
        </w:trPr>
        <w:tc>
          <w:tcPr>
            <w:tcW w:w="8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4"/>
              </w:rPr>
              <w:t>(679.6)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4"/>
              </w:rPr>
              <w:t>(207.1)</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w w:val="94"/>
              </w:rPr>
              <w:t>(334.5)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ind w:left="537"/>
              <w:spacing w:after="0"/>
              <w:rPr>
                <w:sz w:val="20"/>
                <w:szCs w:val="20"/>
                <w:color w:val="auto"/>
              </w:rPr>
            </w:pPr>
            <w:r>
              <w:rPr>
                <w:rFonts w:ascii="Arial" w:cs="Arial" w:eastAsia="Arial" w:hAnsi="Arial"/>
                <w:sz w:val="18"/>
                <w:szCs w:val="18"/>
                <w:color w:val="auto"/>
                <w:w w:val="91"/>
              </w:rPr>
              <w:t>(211.9)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88"/>
              </w:rPr>
              <w:t>459.6</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Cash used in operating activities totaled $679.6 for the nine months ended July 2, 2022, an increase of $472.5 as compared to $207.1 for the nine months ended July 3, 2021. This increase was driven by higher inventory, lower net income and higher interest payments, partially offset by lower tax payments and lower short-term variable cash incentive compensation payouts. Higher inventory was driven by higher production and higher input costs. The nine months ended July 2, 2022 was also impacted by extended payment terms with several of our major vendors across the U.S. Consumer and Hawthorne segments, as well as Monsanto, for payments originally due in the final weeks of fiscal 2021 that were paid in the first quarter of fiscal 2022.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Cash used in investing activities totaled $334.5 for the nine months ended July 2, 2022, an increase of $122.6 as compared to $211.9 for the nine months ended July 3, 2021. Cash used for investments in property, plant and equipment during the first nine months of fiscal 2022 and 2021 was $99.0 and $77.9, respectively. We also completed the acquisitions of Luxx Lighting, Inc., True Liberty Bags and Cyco during the nine months ended July 2, 2022 in exchange for cash payments of $237.3, as well as the issuance of 0.1 million Common Shares, a non-cash investing and financing activity, with a fair value of $21.0 based on the share price at the time of payment. In addition, during the nine months ended July 2, 2022, we made payments of $25.0 in connection with a minority non-equity convertible debt investment, received proceeds from the sale of long-lived assets of $9.4 and received $17.4 associated with currency forward contracts. During the nine months ended July 3, 2021, we acquired a 50% equity interest in Bonnie Plants, LLC in exchange for cash payments of $102.3, as well as non-cash investing activities that included forgiveness of our outstanding loan receivable with AFC and surrender of our options to increase our economic interest in the Bonnie Plants business. In addition, during the nine months ended July 3, 2021, we acquired contract and license rights within our U.S. Consumer segment for $20.0 and we paid cash of $10.0 associated with currency forward contracts.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Cash provided by financing activities totaled $797.9 for the nine months ended July 2, 2022 as compared $459.6 for the nine months ended July 3, 2021. This change was driven by an increase in net borrowings under our Fifth A&amp;R Credit Facilities of $1,019.7 during the nine months ended July 2, 2022, partially offset by the issuance of $500.0 aggregate principal amount of 4.00% Senior Notes during the nine months ended July 3, 2021, an increase in repurchases of our Common Shares of $166.7, an increase in dividends paid of $23.5 and a decrease in cash received from exercise of stock options of $11.7. In addition, we paid financing and issuance fees of $9.7 and $7.2 for the nine months ended July 2, 2022 and July 3, 2021,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0" w:name="page41"/>
    <w:bookmarkEnd w:id="4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respectively. We also made payments of $17.4 associated with the acquisition of the remaining outstanding shares of AeroGrow during the nine months ended July 3,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$27.8, $58.3 and $244.1 as of July 2, 2022, July 3, 2021 and September 30, 2021, respectively, included $4.0, $52.1 and $15.9, respectively, held by controlled foreign corporations. As of July 2, 2022, we maintain our assertion of indefinite reinvestment of the earnings of all material foreign subsidiaries.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which are guaranteed by substantially all of Scotts Miracle-Gro’s domestic subsidiaries. On July 5, 2018, we entered into a fifth amended and restated credit agreement (the “Fifth A&amp;R Credit Agreement”), which provided us with five-year senior secured loan facilities in the aggregate principal amount of $2,300.0, comprised of a revolving credit facility of $1,500.0 and a term loan in the original principal amount of $800.0 (the “Fifth A&amp;R Credit Facilities”). Under the Fifth A&amp;R Credit Facilities, we had the ability to obtain letters of credit up to $75.0.</w:t>
      </w:r>
    </w:p>
    <w:p>
      <w:pPr>
        <w:spacing w:after="0" w:line="12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8, 2022, we entered into a sixth amended and restated credit agreement (the “Sixth A&amp;R Credit Agreement”), providing us with five-year senior secured loan facilities in the aggregate principal amount of $2,500.0, comprised of a revolving credit facility of $1,500.0 and a term loan in the original principal amount of $1,000.0 (the “Sixth A&amp;R Credit Facilities”). The Sixth A&amp;R Credit Agreement also provides us with the right to seek additional committed credit under the agreement in an aggregate amount of up to $500.0 plus an unlimited additional amount, subject to certain specified financial and other conditions. The Sixth A&amp;R Credit Agreement replaces the Fifth A&amp;R Credit Agreement and will terminate on April 8, 2027. The Sixth A&amp;R Credit Facilities are available for issuance of letters of credit up to $100.0. The terms of the Sixth A&amp;R Credit Agreement include customary representations and warranties, affirmative and negative covenants, financial covenants, and events of default.</w:t>
      </w:r>
    </w:p>
    <w:p>
      <w:pPr>
        <w:spacing w:after="0" w:line="9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July 2, 2022, we had letters of credit outstanding in the aggregate principal amount of $14.1 and had $868.5 of borrowing availability under the Sixth A&amp;R Credit Agreement. The weighted average interest rates on average borrowings under the Fifth A&amp;R Credit Agreement and Sixth A&amp;R Credit Agreement were 2.1% and 1.8% for the nine months ended July 2, 2022 and July 3, 2021, respectively.</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Further,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our intellectual property.</w:t>
      </w:r>
    </w:p>
    <w:p>
      <w:pPr>
        <w:spacing w:after="0" w:line="9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June 8, 2022, we entered into Amendment No. 1 (the “Amendment”) to the Sixth A&amp;R Credit Agreement. The Amendment increased the maximum permitted leverage ratio for the quarterly leverage covenant effective for the third quarter of fiscal 2022 until the earlier of (i) April 1, 2024 and</w:t>
      </w:r>
    </w:p>
    <w:p>
      <w:pPr>
        <w:jc w:val="both"/>
        <w:ind w:firstLine="8"/>
        <w:spacing w:after="0" w:line="288" w:lineRule="auto"/>
        <w:tabs>
          <w:tab w:leader="none" w:pos="2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certain conditions specified in the Amendment, the termination by us of such increase (such period, the “Leverage Adjustment Period”). The Amendment also increases the interest rate applicable to borrowings under the revolving credit facility by 35 bps and the term loan facility by 50 bps, and increases the annual facility fee rate on the revolving credit facility by 15 bps, in each case, when our quarterly-tested leverage ratio exceeds 4.75. Additionally, the Amendment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and requires pro forma compliance with certain leverage levels specified in the Amendment with respect to our ability to consummate certain acquisitions and incur debt.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1" w:name="page42"/>
    <w:bookmarkEnd w:id="4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Sixth A&amp;R Credit Agreement contains, among other obligations, an affirmative covenant regarding our leverage ratio determined as of the end of each of our fiscal quarters calculated as average total indebtedness, divided by our earnings before interest, taxes, depreciation and amortization, as adjusted pursuant to the terms of the Sixth A&amp;R Credit Agreement (“Adjusted EBITDA”). Pursuant to the Amendment, the maximum permitted leverage ratio is (i) 6.25 for the third quarter of fiscal 2022 through the first quarter of fiscal 2023, (ii) 6.50 for the second and third quarters of fiscal 2023, (iii) 6.25 for the fourth quarter of fiscal 2023 and the first quarter of fiscal 2024, (iv) 5.50 for the second quarter of fiscal 2024, and (v) 4.50 for the third quarter of fiscal 2024 and thereafter. Our leverage ratio was 5.10 at July 2, 2022. The Sixth A&amp;R Credit Agreement also contains an affirmative covenant regarding our interest coverage ratio determined as of the end of each of our fiscal quarters. The interest coverage ratio is calculated as Adjusted EBITDA divided by interest expense, as described in the Sixth A&amp;R Credit Agreement, and excludes costs related to refinancings. The minimum required interest coverage ratio is 3.00, which is unchanged from the Fifth A&amp;R Credit Agreement. Our interest coverage ratio was 5.89 for the twelve months ended July 2, 2022. As of July 2, 2022, we were in compliance with these financial covenants.</w:t>
      </w:r>
    </w:p>
    <w:p>
      <w:pPr>
        <w:spacing w:after="0" w:line="10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Sixth A&amp;R Credit Agreement and, based upon our current operating assumptions, we expect to remain in compliance with the permissible leverage ratio and interest coverage ratio throughout fiscal 2022. However, an unanticipated shortfall in earnings, an increase in net indebtedness or other factors could materially affect our ability to remain in compliance with the financial or other covenants of the Sixth A&amp;R Credit Agreement, potentially causing us to have to seek an amendment or waiver from our lending group which could result in, among other things, repricing of the Sixth A&amp;R Credit Agreement and/or immediate repayment of outstanding borrowings. While we believe we have good relationships with our lending group, we can provide no assurance that such a request would result in a modified or replacement credit agreement on reasonable terms, if at all.</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also maintain a Receivables Facility, under which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that began on February 25, 2022 and ended on June 17, 2022 was $160.0. The Receivables Facility expires on August 19, 2022 but is expected to be renewed prior to its expiration.</w:t>
      </w:r>
    </w:p>
    <w:p>
      <w:pPr>
        <w:spacing w:after="0" w:line="9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Condensed Consolidated Balance Sheets, primarily as a result of our requirement to repurchase receivables sold. As of July 2, 2022 and July 3, 2021, there were $250.0 and $0.0, respectively, in borrowings on receivables pledged as collateral under the Receivables Facility, and the carrying value of the receivables pledged as collateral was $277.8 and $0.0,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2" w:name="page43"/>
    <w:bookmarkEnd w:id="4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July 2, 2022, July 3, 2021 and September 30, 2021 had a maximum total U.S. dollar equivalent notional amount of $800.0, $700.0 and $600.0, respectively. The notional amount, effective date, expiration date and rate of each of the swap agreements outstanding at July 2, 2022 are shown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jc w:val="right"/>
              <w:ind w:right="835"/>
              <w:spacing w:after="0"/>
              <w:rPr>
                <w:sz w:val="20"/>
                <w:szCs w:val="20"/>
                <w:color w:val="auto"/>
              </w:rPr>
            </w:pPr>
            <w:r>
              <w:rPr>
                <w:rFonts w:ascii="Arial" w:cs="Arial" w:eastAsia="Arial" w:hAnsi="Arial"/>
                <w:sz w:val="14"/>
                <w:szCs w:val="14"/>
                <w:b w:val="1"/>
                <w:bCs w:val="1"/>
                <w:color w:val="auto"/>
              </w:rPr>
              <w:t>Notional</w:t>
            </w:r>
          </w:p>
        </w:tc>
        <w:tc>
          <w:tcPr>
            <w:tcW w:w="36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5"/>
              <w:spacing w:after="0"/>
              <w:rPr>
                <w:sz w:val="20"/>
                <w:szCs w:val="20"/>
                <w:color w:val="auto"/>
              </w:rPr>
            </w:pPr>
            <w:r>
              <w:rPr>
                <w:rFonts w:ascii="Arial" w:cs="Arial" w:eastAsia="Arial" w:hAnsi="Arial"/>
                <w:sz w:val="14"/>
                <w:szCs w:val="14"/>
                <w:b w:val="1"/>
                <w:bCs w:val="1"/>
                <w:color w:val="auto"/>
              </w:rPr>
              <w:t>Fixed</w:t>
            </w:r>
          </w:p>
        </w:tc>
      </w:tr>
      <w:tr>
        <w:trPr>
          <w:trHeight w:val="192"/>
        </w:trPr>
        <w:tc>
          <w:tcPr>
            <w:tcW w:w="2380" w:type="dxa"/>
            <w:vAlign w:val="bottom"/>
          </w:tcPr>
          <w:p>
            <w:pPr>
              <w:jc w:val="right"/>
              <w:ind w:right="855"/>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5"/>
              <w:spacing w:after="0"/>
              <w:rPr>
                <w:sz w:val="20"/>
                <w:szCs w:val="20"/>
                <w:color w:val="auto"/>
              </w:rPr>
            </w:pPr>
            <w:r>
              <w:rPr>
                <w:rFonts w:ascii="Arial" w:cs="Arial" w:eastAsia="Arial" w:hAnsi="Arial"/>
                <w:sz w:val="14"/>
                <w:szCs w:val="14"/>
                <w:b w:val="1"/>
                <w:bCs w:val="1"/>
                <w:color w:val="auto"/>
              </w:rPr>
              <w:t>Rate</w:t>
            </w:r>
          </w:p>
        </w:tc>
      </w:tr>
      <w:tr>
        <w:trPr>
          <w:trHeight w:val="229"/>
        </w:trPr>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29"/>
        </w:trPr>
        <w:tc>
          <w:tcPr>
            <w:tcW w:w="2380" w:type="dxa"/>
            <w:vAlign w:val="bottom"/>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29"/>
        </w:trPr>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238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29"/>
        </w:trPr>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8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Availability and Use of Cash</w:t>
      </w:r>
    </w:p>
    <w:p>
      <w:pPr>
        <w:spacing w:after="0" w:line="15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uncertain and difficult to predict. Actual results of operations will depend on numerous factors, many of which are beyond our control as further discussed in the 2021 Annual Report, under “ITEM 1A. RISK FACTORS — Risks Related to Our M&amp;A, Lending and Financing Activities — Our indebtedness could limit our flexibility and adversely affect our financial condition” and “ITEM 1A. RISK FACTORS — Risks Related to Our Business —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4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foreign subsidiaries and certain of our domestic subsidiaries are not guarantors (collectively, the “Non-Guarantors”) on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3" w:name="page44"/>
    <w:bookmarkEnd w:id="4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2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51"/>
        </w:trPr>
        <w:tc>
          <w:tcPr>
            <w:tcW w:w="7540" w:type="dxa"/>
            <w:vAlign w:val="bottom"/>
          </w:tcPr>
          <w:p>
            <w:pPr>
              <w:spacing w:after="0"/>
              <w:rPr>
                <w:sz w:val="13"/>
                <w:szCs w:val="13"/>
                <w:color w:val="auto"/>
              </w:rPr>
            </w:pPr>
          </w:p>
        </w:tc>
        <w:tc>
          <w:tcPr>
            <w:tcW w:w="1140" w:type="dxa"/>
            <w:vAlign w:val="bottom"/>
          </w:tcPr>
          <w:p>
            <w:pPr>
              <w:jc w:val="center"/>
              <w:ind w:left="582"/>
              <w:spacing w:after="0" w:line="151" w:lineRule="exact"/>
              <w:rPr>
                <w:sz w:val="20"/>
                <w:szCs w:val="20"/>
                <w:color w:val="auto"/>
              </w:rPr>
            </w:pPr>
            <w:r>
              <w:rPr>
                <w:rFonts w:ascii="Arial" w:cs="Arial" w:eastAsia="Arial" w:hAnsi="Arial"/>
                <w:sz w:val="14"/>
                <w:szCs w:val="14"/>
                <w:b w:val="1"/>
                <w:bCs w:val="1"/>
                <w:color w:val="auto"/>
                <w:w w:val="91"/>
              </w:rPr>
              <w:t>July 2,</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376"/>
              <w:spacing w:after="0" w:line="151"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7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4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w:t>
            </w:r>
          </w:p>
        </w:tc>
      </w:tr>
      <w:tr>
        <w:trPr>
          <w:trHeight w:val="230"/>
        </w:trPr>
        <w:tc>
          <w:tcPr>
            <w:tcW w:w="7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2,251.4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2,484.5</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3,393.0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2,611.8</w:t>
            </w:r>
          </w:p>
        </w:tc>
      </w:tr>
    </w:tbl>
    <w:p>
      <w:pPr>
        <w:spacing w:after="0" w:line="7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$54.3 and $39.8,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6"/>
                <w:szCs w:val="16"/>
                <w:color w:val="auto"/>
              </w:rPr>
            </w:pPr>
          </w:p>
        </w:tc>
        <w:tc>
          <w:tcPr>
            <w:tcW w:w="152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Year Ended</w:t>
            </w:r>
          </w:p>
        </w:tc>
      </w:tr>
      <w:tr>
        <w:trPr>
          <w:trHeight w:val="25"/>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33"/>
        </w:trPr>
        <w:tc>
          <w:tcPr>
            <w:tcW w:w="7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1"/>
              </w:rPr>
              <w:t>July 2,</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97"/>
              <w:spacing w:after="0" w:line="13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7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4,507.6</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1,380.6</w:t>
            </w:r>
          </w:p>
        </w:tc>
      </w:tr>
      <w:tr>
        <w:trPr>
          <w:trHeight w:val="230"/>
        </w:trPr>
        <w:tc>
          <w:tcPr>
            <w:tcW w:w="7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r>
    </w:tbl>
    <w:p>
      <w:pPr>
        <w:spacing w:after="0" w:line="8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intercompany income from Non-Guarantor subsidiaries of $17.8 and $26.3,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4" w:name="page45"/>
    <w:bookmarkEnd w:id="4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2021 Annual Report, under “ITEM 1. BUSINESS — Regulatory Considerations” and “ITEM 3.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 Our critical accounting policies and estimates have not changed materially from those disclosed in the 2021 Annual Report, with the exception of the item discussed below.</w:t>
      </w:r>
    </w:p>
    <w:p>
      <w:pPr>
        <w:spacing w:after="0" w:line="11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During the third quarter of fiscal 2022, our Hawthorne reporting unit continued to experience adverse financial results driven by an oversupply of cannabis, which has slowed down indoor and outdoor cultivation, and higher transportation and warehousing costs. As a result, we made further revisions to our internal forecasts relating to our Hawthorne reporting unit. We concluded that the changes in circumstances in this reporting unit and the decline in the Company’s market capitalization triggered the need for an interim impairment review of its goodwill. We elected to bypass the qualitative assessment and perform quantitative interim goodwill impairment testing for our Hawthorne reporting unit. We updated our assumptions from prior periods to include the longer duration and increased significance of lower sales volumes and cost increases. This quantitative test resulted in a non-cash, pre-tax goodwill impairment charge of $522.4 related to our Hawthorne reporting unit, which was recorded in the “Impairment, restructuring and other” line in the Condensed Consolidated Statements of Operations. The carrying value of goodwill of our Hawthorne reporting unit, after recognizing the impairment, is zero. The estimated fair value of our Hawthorne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fair value estimate utilizes significant unobservable inputs and thus represents a Level 3 fair value measurement. While we consider our assumptions to be reasonable and appropriate, they are complex and subjective. Refer to “NOTE 4. GOODWILL AND INTANGIBLE ASSETS” for more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2021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Scotts Miracle-Gro Company (the “Registrant”) maintains “disclosure controls and procedures,” as such term is defined in Rule 13a-15(e), under the Securities Exchange Act of 1934, as amended (the “Exchange Act”),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5" w:name="page46"/>
    <w:bookmarkEnd w:id="45"/>
    <w:p>
      <w:pPr>
        <w:jc w:val="both"/>
        <w:ind w:firstLine="405"/>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July 2,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July 2, 2022 that have materially affected, or are reasonably likely to materially affect, the Registrant’s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Part I, Item 3 of the 2021 Annual Report. There have been no material developments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July 2, 2022, have not materially changed from those described in Part I, Item 1A of the 2021 Annual Report as updated in Part II, Item 1A of our Quarterly Report on Form 10-Q for the quarter ended April 2, 2022 filed on May 11,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Exchange Act,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2021 Annual Report. All forward-looking statements attributable to us or persons working on our behalf are expressly qualified in their entirety by such risk factors.</w:t>
      </w:r>
    </w:p>
    <w:p>
      <w:pPr>
        <w:spacing w:after="0" w:line="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Amendment to the Sixth A&amp;R Credit Agreement limits the Company’s ability to declare or pay any discretionary dividends, distributions or other restricted payments (as defined in the Sixth A&amp;R Credit Agreement) during the Leverage Adjustment Period to only the payment of (i) regularly scheduled cash dividends to holders of its common stock in an aggregate amount not to exceed $225.0 million per fiscal year and (ii) other dividends, distributions or other restricted payments in an aggregate amount not to exceed $25.0 million.</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July 2,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w w:val="90"/>
              </w:rPr>
              <w:t>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jc w:val="center"/>
              <w:ind w:right="105"/>
              <w:spacing w:after="0" w:line="139" w:lineRule="exact"/>
              <w:rPr>
                <w:sz w:val="20"/>
                <w:szCs w:val="20"/>
                <w:color w:val="auto"/>
              </w:rPr>
            </w:pPr>
            <w:r>
              <w:rPr>
                <w:rFonts w:ascii="Arial" w:cs="Arial" w:eastAsia="Arial" w:hAnsi="Arial"/>
                <w:sz w:val="14"/>
                <w:szCs w:val="14"/>
                <w:b w:val="1"/>
                <w:bCs w:val="1"/>
                <w:color w:val="auto"/>
                <w:w w:val="91"/>
              </w:rPr>
              <w:t>Value of Common Shares</w:t>
            </w: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w w:val="96"/>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 per</w:t>
            </w:r>
          </w:p>
        </w:tc>
        <w:tc>
          <w:tcPr>
            <w:tcW w:w="15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Programs(3)</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 2022 through April 30,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461,912,353</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May 1, 2022 through May 28, 2022</w:t>
            </w:r>
          </w:p>
        </w:tc>
        <w:tc>
          <w:tcPr>
            <w:tcW w:w="1520" w:type="dxa"/>
            <w:vAlign w:val="bottom"/>
          </w:tcPr>
          <w:p>
            <w:pPr>
              <w:jc w:val="right"/>
              <w:spacing w:after="0"/>
              <w:rPr>
                <w:sz w:val="20"/>
                <w:szCs w:val="20"/>
                <w:color w:val="auto"/>
              </w:rPr>
            </w:pPr>
            <w:r>
              <w:rPr>
                <w:rFonts w:ascii="Arial" w:cs="Arial" w:eastAsia="Arial" w:hAnsi="Arial"/>
                <w:sz w:val="16"/>
                <w:szCs w:val="16"/>
                <w:color w:val="auto"/>
              </w:rPr>
              <w:t>1,087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461,912,353</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29, 2022 through July 2,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461,912,353</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93.20</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660" w:hanging="328"/>
        <w:spacing w:after="0" w:line="263"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 Common Shares purchased during the third quarter of fiscal 2022 were purchased in open market transactions. The total number of Common Shares purchased during the quarter includes 4,602 Common Shares purchased by the trustee of the rabbi trust established by the Company as permitted pursuant to the terms of The Scotts Company LLC Executive Retirement Plan (the “ERP”).</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5"/>
        </w:numPr>
        <w:rPr>
          <w:rFonts w:ascii="Arial" w:cs="Arial" w:eastAsia="Arial" w:hAnsi="Arial"/>
          <w:sz w:val="18"/>
          <w:szCs w:val="18"/>
          <w:color w:val="333333"/>
        </w:rPr>
      </w:pPr>
      <w:r>
        <w:rPr>
          <w:rFonts w:ascii="Arial" w:cs="Arial" w:eastAsia="Arial" w:hAnsi="Arial"/>
          <w:sz w:val="18"/>
          <w:szCs w:val="18"/>
          <w:color w:val="auto"/>
        </w:rPr>
        <w:t>On February 6, 2020, the Company announced a new repurchase program allowing for repurchases of up to $750.0 million of Common Shares from April 30, 2020 through March 25,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48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FFFFFF"/>
        </w:rPr>
        <w:t>Contents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JULY 2, 2022</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 TO EXHIBITS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6"/>
          </w:tcPr>
          <w:p>
            <w:pPr>
              <w:ind w:left="240"/>
              <w:spacing w:after="0"/>
              <w:rPr>
                <w:sz w:val="20"/>
                <w:szCs w:val="20"/>
                <w:color w:val="auto"/>
              </w:rPr>
            </w:pPr>
            <w:r>
              <w:rPr>
                <w:rFonts w:ascii="Arial" w:cs="Arial" w:eastAsia="Arial" w:hAnsi="Arial"/>
                <w:sz w:val="22"/>
                <w:szCs w:val="22"/>
                <w:color w:val="auto"/>
              </w:rPr>
              <w:t>Incorporated by Reference</w:t>
            </w:r>
          </w:p>
        </w:tc>
        <w:tc>
          <w:tcPr>
            <w:tcW w:w="1000" w:type="dxa"/>
            <w:vAlign w:val="bottom"/>
          </w:tcPr>
          <w:p>
            <w:pPr>
              <w:spacing w:after="0"/>
              <w:rPr>
                <w:sz w:val="24"/>
                <w:szCs w:val="24"/>
                <w:color w:val="auto"/>
              </w:rPr>
            </w:pPr>
          </w:p>
        </w:tc>
      </w:tr>
      <w:tr>
        <w:trPr>
          <w:trHeight w:val="215"/>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Filed</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gridSpan w:val="21"/>
          </w:tcPr>
          <w:p>
            <w:pPr>
              <w:ind w:left="240"/>
              <w:spacing w:after="0"/>
              <w:rPr>
                <w:sz w:val="20"/>
                <w:szCs w:val="20"/>
                <w:color w:val="auto"/>
              </w:rPr>
            </w:pPr>
            <w:r>
              <w:rPr>
                <w:rFonts w:ascii="Arial" w:cs="Arial" w:eastAsia="Arial" w:hAnsi="Arial"/>
                <w:sz w:val="18"/>
                <w:szCs w:val="18"/>
                <w:color w:val="auto"/>
              </w:rPr>
              <w:t>Description</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Form</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Exhibit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Filing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Herewith</w:t>
            </w:r>
          </w:p>
        </w:tc>
      </w:tr>
      <w:tr>
        <w:trPr>
          <w:trHeight w:val="27"/>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06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25"/>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Sixth Amended and Restated Credit Agreement, dated as of April 8, 2022, by and</w:t>
              </w:r>
            </w:hyperlink>
          </w:p>
        </w:tc>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1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April 14,</w:t>
            </w: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among The Scotts Miracle-Gro Company, as a Borrower; the Subsidiary</w:t>
              </w:r>
            </w:hyperlink>
          </w:p>
        </w:tc>
        <w:tc>
          <w:tcPr>
            <w:tcW w:w="680" w:type="dxa"/>
            <w:vAlign w:val="bottom"/>
            <w:tcBorders>
              <w:top w:val="single" w:sz="8" w:color="0000FF"/>
            </w:tcBorders>
            <w:gridSpan w:val="10"/>
          </w:tcPr>
          <w:p>
            <w:pPr>
              <w:spacing w:after="0"/>
              <w:rPr>
                <w:sz w:val="17"/>
                <w:szCs w:val="17"/>
                <w:color w:val="auto"/>
              </w:rPr>
            </w:pPr>
          </w:p>
        </w:tc>
        <w:tc>
          <w:tcPr>
            <w:tcW w:w="2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Borrowers (as defined therein); JPMorgan Chase Bank, N.A., as Administrative</w:t>
              </w:r>
            </w:hyperlink>
          </w:p>
        </w:tc>
        <w:tc>
          <w:tcPr>
            <w:tcW w:w="3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25"/>
          </w:tcPr>
          <w:p>
            <w:pPr>
              <w:spacing w:after="0" w:line="196"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Agent; Wells Fargo Bank, National Association, Mizuho Bank, Ltd. and Bank of</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0000FF"/>
            </w:tcBorders>
            <w:gridSpan w:val="20"/>
          </w:tcPr>
          <w:p>
            <w:pPr>
              <w:spacing w:after="0" w:line="196"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America, N.A., as Co- Syndication Agents; CoBank, ACB, Fifth Third Bank,</w:t>
              </w:r>
            </w:hyperlink>
          </w:p>
        </w:tc>
        <w:tc>
          <w:tcPr>
            <w:tcW w:w="30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National Association, Coöperatieve Rabobank U.A., New York Branch, Sumitomo</w:t>
              </w:r>
            </w:hyperlink>
          </w:p>
        </w:tc>
        <w:tc>
          <w:tcPr>
            <w:tcW w:w="1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Mitsui Banking Corporation, TD Bank N.A. and Truist Bank, as Co-</w:t>
              </w:r>
            </w:hyperlink>
          </w:p>
        </w:tc>
        <w:tc>
          <w:tcPr>
            <w:tcW w:w="116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25"/>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Documentation Agents; and the several other banks and other financial institutions</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from time to time parties thereto</w:t>
              </w:r>
            </w:hyperlink>
          </w:p>
        </w:tc>
        <w:tc>
          <w:tcPr>
            <w:tcW w:w="1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25"/>
          </w:tcPr>
          <w:p>
            <w:pPr>
              <w:spacing w:after="0"/>
              <w:rPr>
                <w:rFonts w:ascii="Arial" w:cs="Arial" w:eastAsia="Arial" w:hAnsi="Arial"/>
                <w:sz w:val="18"/>
                <w:szCs w:val="18"/>
                <w:color w:val="0000FF"/>
                <w:w w:val="96"/>
              </w:rPr>
            </w:pPr>
            <w:hyperlink r:id="rId61">
              <w:r>
                <w:rPr>
                  <w:rFonts w:ascii="Arial" w:cs="Arial" w:eastAsia="Arial" w:hAnsi="Arial"/>
                  <w:sz w:val="18"/>
                  <w:szCs w:val="18"/>
                  <w:color w:val="0000FF"/>
                  <w:w w:val="96"/>
                </w:rPr>
                <w:t>Sixth Amended and Restated Guarantee and Collateral Agreement, dated as of</w:t>
              </w:r>
            </w:hyperlink>
          </w:p>
        </w:tc>
        <w:tc>
          <w:tcPr>
            <w:tcW w:w="800" w:type="dxa"/>
            <w:vAlign w:val="bottom"/>
            <w:gridSpan w:val="2"/>
          </w:tcPr>
          <w:p>
            <w:pPr>
              <w:spacing w:after="0"/>
              <w:rPr>
                <w:sz w:val="20"/>
                <w:szCs w:val="20"/>
                <w:color w:val="auto"/>
              </w:rPr>
            </w:pPr>
            <w:r>
              <w:rPr>
                <w:rFonts w:ascii="Arial" w:cs="Arial" w:eastAsia="Arial" w:hAnsi="Arial"/>
                <w:sz w:val="18"/>
                <w:szCs w:val="18"/>
                <w:color w:val="auto"/>
              </w:rPr>
              <w:t>8-K</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April 14,</w:t>
            </w:r>
          </w:p>
        </w:tc>
        <w:tc>
          <w:tcPr>
            <w:tcW w:w="10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top w:val="single" w:sz="8" w:color="0000FF"/>
            </w:tcBorders>
            <w:gridSpan w:val="16"/>
          </w:tcPr>
          <w:p>
            <w:pPr>
              <w:spacing w:after="0" w:line="196" w:lineRule="exact"/>
              <w:rPr>
                <w:rFonts w:ascii="Arial" w:cs="Arial" w:eastAsia="Arial" w:hAnsi="Arial"/>
                <w:sz w:val="18"/>
                <w:szCs w:val="18"/>
                <w:color w:val="0000FF"/>
                <w:w w:val="97"/>
              </w:rPr>
            </w:pPr>
            <w:hyperlink r:id="rId61">
              <w:r>
                <w:rPr>
                  <w:rFonts w:ascii="Arial" w:cs="Arial" w:eastAsia="Arial" w:hAnsi="Arial"/>
                  <w:sz w:val="18"/>
                  <w:szCs w:val="18"/>
                  <w:color w:val="0000FF"/>
                  <w:w w:val="97"/>
                </w:rPr>
                <w:t>April 8, 2022, made by The Scotts Miracle-Gro Company, each domestic</w:t>
              </w:r>
            </w:hyperlink>
          </w:p>
        </w:tc>
        <w:tc>
          <w:tcPr>
            <w:tcW w:w="46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25"/>
          </w:tcPr>
          <w:p>
            <w:pPr>
              <w:spacing w:after="0" w:line="196"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Subsidiary Borrower under the Sixth Amended and Restated Credit Agreement,</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and certain of its and their domestic subsidiaries, in favor of JPMorgan Chase</w:t>
              </w:r>
            </w:hyperlink>
          </w:p>
        </w:tc>
        <w:tc>
          <w:tcPr>
            <w:tcW w:w="36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Bank, N.A., as Administrative Agent</w:t>
              </w:r>
            </w:hyperlink>
          </w:p>
        </w:tc>
        <w:tc>
          <w:tcPr>
            <w:tcW w:w="52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25"/>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Amendment No. 1 to Sixth Amended and Restated Credit Agreement, dated as</w:t>
              </w:r>
            </w:hyperlink>
          </w:p>
        </w:tc>
        <w:tc>
          <w:tcPr>
            <w:tcW w:w="800" w:type="dxa"/>
            <w:vAlign w:val="bottom"/>
            <w:gridSpan w:val="2"/>
          </w:tcPr>
          <w:p>
            <w:pPr>
              <w:spacing w:after="0"/>
              <w:rPr>
                <w:sz w:val="20"/>
                <w:szCs w:val="20"/>
                <w:color w:val="auto"/>
              </w:rPr>
            </w:pPr>
            <w:r>
              <w:rPr>
                <w:rFonts w:ascii="Arial" w:cs="Arial" w:eastAsia="Arial" w:hAnsi="Arial"/>
                <w:sz w:val="18"/>
                <w:szCs w:val="18"/>
                <w:color w:val="auto"/>
              </w:rPr>
              <w:t>8-K</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June 8, 2022</w:t>
            </w:r>
          </w:p>
        </w:tc>
        <w:tc>
          <w:tcPr>
            <w:tcW w:w="10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top w:val="single" w:sz="8" w:color="0000FF"/>
            </w:tcBorders>
            <w:gridSpan w:val="17"/>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June 8, 2022, by and between The Scotts Miracle-Gro Company, The Scotts</w:t>
              </w:r>
            </w:hyperlink>
          </w:p>
        </w:tc>
        <w:tc>
          <w:tcPr>
            <w:tcW w:w="44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25"/>
          </w:tcPr>
          <w:p>
            <w:pPr>
              <w:spacing w:after="0" w:line="196"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Company LLC, Scotts Canada Ltd., as Borrowers, the other Loan Parties party</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top w:val="single" w:sz="8" w:color="0000FF"/>
            </w:tcBorders>
            <w:gridSpan w:val="17"/>
          </w:tcPr>
          <w:p>
            <w:pPr>
              <w:spacing w:after="0" w:line="196" w:lineRule="exact"/>
              <w:rPr>
                <w:rFonts w:ascii="Arial" w:cs="Arial" w:eastAsia="Arial" w:hAnsi="Arial"/>
                <w:sz w:val="18"/>
                <w:szCs w:val="18"/>
                <w:color w:val="0000FF"/>
                <w:w w:val="98"/>
              </w:rPr>
            </w:pPr>
            <w:hyperlink r:id="rId62">
              <w:r>
                <w:rPr>
                  <w:rFonts w:ascii="Arial" w:cs="Arial" w:eastAsia="Arial" w:hAnsi="Arial"/>
                  <w:sz w:val="18"/>
                  <w:szCs w:val="18"/>
                  <w:color w:val="0000FF"/>
                  <w:w w:val="98"/>
                </w:rPr>
                <w:t>thereto, the Lenders party thereto, and JPMorgan Chase Bank, N.A., as</w:t>
              </w:r>
            </w:hyperlink>
          </w:p>
        </w:tc>
        <w:tc>
          <w:tcPr>
            <w:tcW w:w="44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Administrative Agent</w:t>
              </w:r>
            </w:hyperlink>
          </w:p>
        </w:tc>
        <w:tc>
          <w:tcPr>
            <w:tcW w:w="3540" w:type="dxa"/>
            <w:vAlign w:val="bottom"/>
            <w:tcBorders>
              <w:top w:val="single" w:sz="8" w:color="0000FF"/>
            </w:tcBorders>
            <w:gridSpan w:val="8"/>
          </w:tcPr>
          <w:p>
            <w:pPr>
              <w:spacing w:after="0"/>
              <w:rPr>
                <w:sz w:val="17"/>
                <w:szCs w:val="17"/>
                <w:color w:val="auto"/>
              </w:rPr>
            </w:pPr>
          </w:p>
        </w:tc>
        <w:tc>
          <w:tcPr>
            <w:tcW w:w="100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25"/>
          </w:tcPr>
          <w:p>
            <w:pPr>
              <w:spacing w:after="0"/>
              <w:rPr>
                <w:sz w:val="20"/>
                <w:szCs w:val="20"/>
                <w:color w:val="auto"/>
              </w:rPr>
            </w:pPr>
            <w:r>
              <w:rPr>
                <w:rFonts w:ascii="Arial" w:cs="Arial" w:eastAsia="Arial" w:hAnsi="Arial"/>
                <w:sz w:val="18"/>
                <w:szCs w:val="18"/>
                <w:color w:val="0000FF"/>
              </w:rPr>
              <w:t>Subsidiaries of The Scotts Miracle-Gro Company</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Guarantor Subsidiaries</w:t>
            </w:r>
          </w:p>
        </w:tc>
        <w:tc>
          <w:tcPr>
            <w:tcW w:w="2540" w:type="dxa"/>
            <w:vAlign w:val="bottom"/>
            <w:gridSpan w:val="19"/>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25"/>
          </w:tcPr>
          <w:p>
            <w:pPr>
              <w:spacing w:after="0"/>
              <w:rPr>
                <w:sz w:val="20"/>
                <w:szCs w:val="20"/>
                <w:color w:val="auto"/>
              </w:rPr>
            </w:pPr>
            <w:r>
              <w:rPr>
                <w:rFonts w:ascii="Arial" w:cs="Arial" w:eastAsia="Arial" w:hAnsi="Arial"/>
                <w:sz w:val="18"/>
                <w:szCs w:val="18"/>
                <w:color w:val="0000FF"/>
              </w:rPr>
              <w:t>Rule 13a-14(a)/15d-14(a) Certifications (Principal Executive Officer)</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2"/>
              </w:rPr>
              <w:t>Rule 13a-14(a)/15d-14(a) Certifications (Principal Financial Officer)</w:t>
            </w:r>
          </w:p>
        </w:tc>
        <w:tc>
          <w:tcPr>
            <w:tcW w:w="40" w:type="dxa"/>
            <w:vAlign w:val="bottom"/>
            <w:tcBorders>
              <w:top w:val="single" w:sz="8" w:color="0000FF"/>
            </w:tcBorders>
          </w:tcPr>
          <w:p>
            <w:pPr>
              <w:spacing w:after="0"/>
              <w:rPr>
                <w:sz w:val="21"/>
                <w:szCs w:val="21"/>
                <w:color w:val="auto"/>
              </w:rPr>
            </w:pPr>
          </w:p>
        </w:tc>
        <w:tc>
          <w:tcPr>
            <w:tcW w:w="1100" w:type="dxa"/>
            <w:vAlign w:val="bottom"/>
            <w:gridSpan w:val="16"/>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2"/>
              </w:rPr>
              <w:t>Section 1350 Certifications (Principal Executive Officer and Principal Financial</w:t>
            </w:r>
          </w:p>
        </w:tc>
        <w:tc>
          <w:tcPr>
            <w:tcW w:w="340" w:type="dxa"/>
            <w:vAlign w:val="bottom"/>
            <w:gridSpan w:val="6"/>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4"/>
              </w:rPr>
              <w:t>Officer)</w:t>
            </w:r>
          </w:p>
        </w:tc>
        <w:tc>
          <w:tcPr>
            <w:tcW w:w="5520" w:type="dxa"/>
            <w:vAlign w:val="bottom"/>
            <w:gridSpan w:val="24"/>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6"/>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100" w:type="dxa"/>
            <w:vAlign w:val="bottom"/>
            <w:gridSpan w:val="25"/>
          </w:tcPr>
          <w:p>
            <w:pPr>
              <w:spacing w:after="0"/>
              <w:rPr>
                <w:sz w:val="20"/>
                <w:szCs w:val="20"/>
                <w:color w:val="auto"/>
              </w:rPr>
            </w:pPr>
            <w:r>
              <w:rPr>
                <w:rFonts w:ascii="Arial" w:cs="Arial" w:eastAsia="Arial" w:hAnsi="Arial"/>
                <w:sz w:val="18"/>
                <w:szCs w:val="18"/>
                <w:color w:val="auto"/>
              </w:rPr>
              <w:t>XBRL Taxonomy Extension Schema</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10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10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10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10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gridSpan w:val="25"/>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 contained in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25"/>
          </w:tcPr>
          <w:p>
            <w:pPr>
              <w:spacing w:after="0"/>
              <w:rPr>
                <w:sz w:val="20"/>
                <w:szCs w:val="20"/>
                <w:color w:val="auto"/>
              </w:rPr>
            </w:pPr>
            <w:r>
              <w:rPr>
                <w:rFonts w:ascii="Arial" w:cs="Arial" w:eastAsia="Arial" w:hAnsi="Arial"/>
                <w:sz w:val="18"/>
                <w:szCs w:val="18"/>
                <w:color w:val="auto"/>
              </w:rPr>
              <w:t>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SCOTTS MIRACLE-GRO COMPANY</w:t>
            </w:r>
          </w:p>
        </w:tc>
      </w:tr>
      <w:tr>
        <w:trPr>
          <w:trHeight w:val="499"/>
        </w:trPr>
        <w:tc>
          <w:tcPr>
            <w:tcW w:w="5720" w:type="dxa"/>
            <w:vAlign w:val="bottom"/>
          </w:tcPr>
          <w:p>
            <w:pPr>
              <w:spacing w:after="0"/>
              <w:rPr>
                <w:sz w:val="20"/>
                <w:szCs w:val="20"/>
                <w:color w:val="auto"/>
              </w:rPr>
            </w:pPr>
            <w:r>
              <w:rPr>
                <w:rFonts w:ascii="Arial" w:cs="Arial" w:eastAsia="Arial" w:hAnsi="Arial"/>
                <w:sz w:val="18"/>
                <w:szCs w:val="18"/>
                <w:color w:val="auto"/>
              </w:rPr>
              <w:t>Date: August 10, 2022</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CORY J. MILLER</w:t>
            </w:r>
          </w:p>
        </w:tc>
      </w:tr>
      <w:tr>
        <w:trPr>
          <w:trHeight w:val="222"/>
        </w:trPr>
        <w:tc>
          <w:tcPr>
            <w:tcW w:w="5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Printed Name: Cory J. Miller</w:t>
            </w:r>
          </w:p>
        </w:tc>
      </w:t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Directly owned subsidiaries, as of July 2, 2022, are located at the left margin, each subsidiary tier thereunder is indented. Subsidiaries are listed under the names of their respective parent entities. Unless otherwise noted, the subsidiaries are wholly-owned.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7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Bonnie Plants, LLC</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Oregon Research Station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232" w:lineRule="auto"/>
        <w:tabs>
          <w:tab w:leader="none" w:pos="1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Scotts Live Goods Holdings, Inc.’s ownership is 50.0%.</w:t>
      </w:r>
    </w:p>
    <w:p>
      <w:pPr>
        <w:ind w:left="120" w:hanging="94"/>
        <w:spacing w:after="0" w:line="205" w:lineRule="auto"/>
        <w:tabs>
          <w:tab w:leader="none" w:pos="1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64" w:right="339" w:bottom="1440" w:gutter="0" w:footer="0" w:header="0"/>
        </w:sectPr>
      </w:pPr>
    </w:p>
    <w:bookmarkStart w:id="50" w:name="page51"/>
    <w:bookmarkEnd w:id="50"/>
    <w:tbl>
      <w:tblPr>
        <w:tblLayout w:type="fixed"/>
        <w:tblInd w:w="20" w:type="dxa"/>
        <w:tblCellMar>
          <w:top w:w="0" w:type="dxa"/>
          <w:left w:w="0" w:type="dxa"/>
          <w:bottom w:w="0" w:type="dxa"/>
          <w:right w:w="0" w:type="dxa"/>
        </w:tblCellMar>
      </w:tblPr>
      <w:tr>
        <w:trPr>
          <w:trHeight w:val="244"/>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04"/>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275"/>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39"/>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232" w:lineRule="auto"/>
        <w:tabs>
          <w:tab w:leader="none" w:pos="1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205" w:lineRule="auto"/>
        <w:tabs>
          <w:tab w:leader="none" w:pos="10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Scotts Company LLC owns 0.5% and Scotts-Sierra Investments LLC owns the remaining 99.5%.</w:t>
      </w:r>
    </w:p>
    <w:p>
      <w:pPr>
        <w:spacing w:after="0" w:line="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935"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333333"/>
        </w:rPr>
        <w:t>The following subsidiaries of The Scotts Miracle-Gro Company (the "Company") were, as of July 2, 2022, guarantors of the Company's 5.250% Senior Notes due 2026, 4.500% Senior Notes due 2029, 4.000% Senior Notes due 2031 and 4.375% Senior Notes due 2032: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AeroGrow International,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Collective,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1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July 2, 2022;</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August 10, 2022</w:t>
            </w:r>
          </w:p>
        </w:tc>
        <w:tc>
          <w:tcPr>
            <w:tcW w:w="5640" w:type="dxa"/>
            <w:vAlign w:val="bottom"/>
            <w:gridSpan w:val="2"/>
          </w:tcPr>
          <w:p>
            <w:pPr>
              <w:ind w:left="1580"/>
              <w:spacing w:after="0"/>
              <w:rPr>
                <w:sz w:val="20"/>
                <w:szCs w:val="20"/>
                <w:color w:val="auto"/>
              </w:rPr>
            </w:pPr>
            <w:r>
              <w:rPr>
                <w:rFonts w:ascii="Arial" w:cs="Arial" w:eastAsia="Arial" w:hAnsi="Arial"/>
                <w:sz w:val="18"/>
                <w:szCs w:val="18"/>
                <w:color w:val="auto"/>
              </w:rPr>
              <w:t>By:    /s/ JAMES HAGEDORN</w:t>
            </w:r>
          </w:p>
        </w:tc>
      </w:tr>
      <w:tr>
        <w:trPr>
          <w:trHeight w:val="222"/>
        </w:trPr>
        <w:tc>
          <w:tcPr>
            <w:tcW w:w="3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Printed Name: James Hagedorn</w:t>
            </w:r>
          </w:p>
        </w:tc>
      </w:tr>
      <w:tr>
        <w:trPr>
          <w:trHeight w:val="176"/>
        </w:trPr>
        <w:tc>
          <w:tcPr>
            <w:tcW w:w="3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660" w:type="dxa"/>
            <w:vAlign w:val="bottom"/>
          </w:tcPr>
          <w:p>
            <w:pPr>
              <w:ind w:left="160"/>
              <w:spacing w:after="0" w:line="176" w:lineRule="exact"/>
              <w:rPr>
                <w:sz w:val="20"/>
                <w:szCs w:val="20"/>
                <w:color w:val="auto"/>
              </w:rPr>
            </w:pPr>
            <w:r>
              <w:rPr>
                <w:rFonts w:ascii="Arial" w:cs="Arial" w:eastAsia="Arial" w:hAnsi="Arial"/>
                <w:sz w:val="18"/>
                <w:szCs w:val="18"/>
                <w:color w:val="auto"/>
                <w:w w:val="95"/>
              </w:rPr>
              <w:t>Title: Chief Executive Officer and Chairman of</w:t>
            </w:r>
          </w:p>
        </w:tc>
      </w:tr>
      <w:tr>
        <w:trPr>
          <w:trHeight w:val="230"/>
        </w:trPr>
        <w:tc>
          <w:tcPr>
            <w:tcW w:w="3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the Board</w:t>
            </w:r>
          </w:p>
        </w:tc>
      </w:tr>
    </w:tbl>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Cory J. Miller, certify that:</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July 2, 2022;</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10, 2022</w:t>
            </w:r>
          </w:p>
        </w:tc>
        <w:tc>
          <w:tcPr>
            <w:tcW w:w="2080" w:type="dxa"/>
            <w:vAlign w:val="bottom"/>
          </w:tcPr>
          <w:p>
            <w:pPr>
              <w:ind w:left="16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CORY J. MILLER</w:t>
            </w:r>
          </w:p>
        </w:tc>
      </w:tr>
      <w:tr>
        <w:trPr>
          <w:trHeight w:val="222"/>
        </w:trPr>
        <w:tc>
          <w:tcPr>
            <w:tcW w:w="3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Printed Name: Cory J. Miller</w:t>
            </w:r>
          </w:p>
        </w:tc>
      </w:tr>
      <w:tr>
        <w:trPr>
          <w:trHeight w:val="230"/>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Title: Executive Vice President and Chief Financial Officer</w:t>
            </w:r>
          </w:p>
        </w:tc>
      </w:tr>
    </w:tbl>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July 2, 2022 as filed with the Securities and Exchange Commission on the date hereof (the “Report”), the undersigned James Hagedorn, Chief Executive Officer and Chairman of the Board of the Company, and Cory J. Miller,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4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660" w:right="280" w:hanging="652"/>
        <w:spacing w:after="0" w:line="273" w:lineRule="auto"/>
        <w:tabs>
          <w:tab w:leader="none" w:pos="3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/s/ JAMES HAGEDORN</w:t>
            </w:r>
          </w:p>
        </w:tc>
        <w:tc>
          <w:tcPr>
            <w:tcW w:w="5120" w:type="dxa"/>
            <w:vAlign w:val="bottom"/>
          </w:tcPr>
          <w:p>
            <w:pPr>
              <w:ind w:left="360"/>
              <w:spacing w:after="0"/>
              <w:rPr>
                <w:sz w:val="20"/>
                <w:szCs w:val="20"/>
                <w:color w:val="auto"/>
              </w:rPr>
            </w:pPr>
            <w:r>
              <w:rPr>
                <w:rFonts w:ascii="Arial" w:cs="Arial" w:eastAsia="Arial" w:hAnsi="Arial"/>
                <w:sz w:val="18"/>
                <w:szCs w:val="18"/>
                <w:color w:val="auto"/>
              </w:rPr>
              <w:t>/s/ CORY J. MILLER</w:t>
            </w:r>
          </w:p>
        </w:tc>
      </w:tr>
      <w:tr>
        <w:trPr>
          <w:trHeight w:val="222"/>
        </w:trPr>
        <w:tc>
          <w:tcPr>
            <w:tcW w:w="51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Printed Name: James Hagedorn</w:t>
            </w:r>
          </w:p>
        </w:tc>
        <w:tc>
          <w:tcPr>
            <w:tcW w:w="340" w:type="dxa"/>
            <w:vAlign w:val="bottom"/>
          </w:tcPr>
          <w:p>
            <w:pPr>
              <w:spacing w:after="0"/>
              <w:rPr>
                <w:sz w:val="19"/>
                <w:szCs w:val="19"/>
                <w:color w:val="auto"/>
              </w:rPr>
            </w:pPr>
          </w:p>
        </w:tc>
        <w:tc>
          <w:tcPr>
            <w:tcW w:w="51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Printed Name: Cory J. Miller</w:t>
            </w:r>
          </w:p>
        </w:tc>
      </w:tr>
      <w:tr>
        <w:trPr>
          <w:trHeight w:val="230"/>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Title: Chief Executive Officer and Chairman of the Board</w:t>
            </w:r>
          </w:p>
        </w:tc>
        <w:tc>
          <w:tcPr>
            <w:tcW w:w="512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432"/>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August 10, 2022</w:t>
            </w:r>
          </w:p>
        </w:tc>
        <w:tc>
          <w:tcPr>
            <w:tcW w:w="5120" w:type="dxa"/>
            <w:vAlign w:val="bottom"/>
          </w:tcPr>
          <w:p>
            <w:pPr>
              <w:ind w:left="360"/>
              <w:spacing w:after="0"/>
              <w:rPr>
                <w:sz w:val="20"/>
                <w:szCs w:val="20"/>
                <w:color w:val="auto"/>
              </w:rPr>
            </w:pPr>
            <w:r>
              <w:rPr>
                <w:rFonts w:ascii="Arial" w:cs="Arial" w:eastAsia="Arial" w:hAnsi="Arial"/>
                <w:sz w:val="18"/>
                <w:szCs w:val="18"/>
                <w:color w:val="auto"/>
              </w:rPr>
              <w:t>August 10, 2022</w:t>
            </w:r>
          </w:p>
        </w:tc>
      </w:tr>
    </w:tbl>
    <w:p>
      <w:pPr>
        <w:spacing w:after="0" w:line="296" w:lineRule="exact"/>
        <w:rPr>
          <w:sz w:val="20"/>
          <w:szCs w:val="20"/>
          <w:color w:val="auto"/>
        </w:rPr>
      </w:pPr>
    </w:p>
    <w:p>
      <w:pPr>
        <w:ind w:left="680" w:right="40" w:hanging="654"/>
        <w:spacing w:after="0" w:line="273"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Roman"/>
      <w:start w:val="2"/>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bullet"/>
      <w:start w:val="1"/>
    </w:lvl>
  </w:abstractNum>
  <w:abstractNum w:abstractNumId="16">
    <w:nsid w:val="62BBD95A"/>
    <w:multiLevelType w:val="hybridMultilevel"/>
    <w:lvl w:ilvl="0">
      <w:lvlJc w:val="left"/>
      <w:lvlText w:val="2"/>
      <w:numFmt w:val="bullet"/>
      <w:start w:val="1"/>
    </w:lvl>
  </w:abstractNum>
  <w:abstractNum w:abstractNumId="17">
    <w:nsid w:val="436C6125"/>
    <w:multiLevelType w:val="hybridMultilevel"/>
    <w:lvl w:ilvl="0">
      <w:lvlJc w:val="left"/>
      <w:lvlText w:val="3"/>
      <w:numFmt w:val="bullet"/>
      <w:start w:val="1"/>
    </w:lvl>
  </w:abstractNum>
  <w:abstractNum w:abstractNumId="18">
    <w:nsid w:val="628C895D"/>
    <w:multiLevelType w:val="hybridMultilevel"/>
    <w:lvl w:ilvl="0">
      <w:lvlJc w:val="left"/>
      <w:lvlText w:val="4"/>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0" Type="http://schemas.openxmlformats.org/officeDocument/2006/relationships/hyperlink" Target="http://www.sec.gov/Archives/edgar/data/825542/000144398422000125/exhibit101smg2022-04x148xk.htm" TargetMode="External"/><Relationship Id="rId61" Type="http://schemas.openxmlformats.org/officeDocument/2006/relationships/hyperlink" Target="http://www.sec.gov/Archives/edgar/data/825542/000144398422000125/exhibit102smg2022-04x148xk.htm" TargetMode="External"/><Relationship Id="rId62" Type="http://schemas.openxmlformats.org/officeDocument/2006/relationships/hyperlink" Target="http://www.sec.gov/Archives/edgar/data/825542/000144398422000167/exhibit101smg2022-06x08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2022-08-10T16:13:21Z</dcterms:created>
  <dcterms:modified xsi:type="dcterms:W3CDTF">2022-08-10T16:13:21Z</dcterms:modified>
</cp:coreProperties>
</file>