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_________________________________________</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7"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37" w:lineRule="exact"/>
        <w:rPr>
          <w:rFonts w:ascii="MS PGothic" w:cs="MS PGothic" w:eastAsia="MS PGothic" w:hAnsi="MS PGothic"/>
          <w:sz w:val="22"/>
          <w:szCs w:val="22"/>
          <w:color w:val="auto"/>
        </w:rPr>
      </w:pPr>
    </w:p>
    <w:p>
      <w:pPr>
        <w:ind w:left="414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April 3,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001-11593</w:t>
      </w:r>
    </w:p>
    <w:p>
      <w:pPr>
        <w:spacing w:after="0" w:line="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Scotts Miracle-Gro Company</w:t>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w:t>
      </w:r>
    </w:p>
    <w:p>
      <w:pPr>
        <w:spacing w:after="0" w:line="28" w:lineRule="exact"/>
        <w:rPr>
          <w:sz w:val="24"/>
          <w:szCs w:val="24"/>
          <w:color w:val="auto"/>
        </w:rPr>
      </w:pPr>
    </w:p>
    <w:tbl>
      <w:tblPr>
        <w:tblLayout w:type="fixed"/>
        <w:tblInd w:w="1260" w:type="dxa"/>
        <w:tblCellMar>
          <w:top w:w="0" w:type="dxa"/>
          <w:left w:w="0" w:type="dxa"/>
          <w:bottom w:w="0" w:type="dxa"/>
          <w:right w:w="0" w:type="dxa"/>
        </w:tblCellMar>
      </w:tblPr>
      <w:tr>
        <w:trPr>
          <w:trHeight w:val="215"/>
        </w:trPr>
        <w:tc>
          <w:tcPr>
            <w:tcW w:w="4600" w:type="dxa"/>
            <w:vAlign w:val="bottom"/>
          </w:tcPr>
          <w:p>
            <w:pPr>
              <w:jc w:val="center"/>
              <w:ind w:right="2644"/>
              <w:spacing w:after="0"/>
              <w:rPr>
                <w:sz w:val="20"/>
                <w:szCs w:val="20"/>
                <w:color w:val="auto"/>
              </w:rPr>
            </w:pPr>
            <w:r>
              <w:rPr>
                <w:rFonts w:ascii="Arial" w:cs="Arial" w:eastAsia="Arial" w:hAnsi="Arial"/>
                <w:sz w:val="17"/>
                <w:szCs w:val="17"/>
                <w:b w:val="1"/>
                <w:bCs w:val="1"/>
                <w:color w:val="auto"/>
                <w:w w:val="92"/>
              </w:rPr>
              <w:t>Ohio</w:t>
            </w:r>
          </w:p>
        </w:tc>
        <w:tc>
          <w:tcPr>
            <w:tcW w:w="3860" w:type="dxa"/>
            <w:vAlign w:val="bottom"/>
          </w:tcPr>
          <w:p>
            <w:pPr>
              <w:jc w:val="center"/>
              <w:ind w:left="2644"/>
              <w:spacing w:after="0"/>
              <w:rPr>
                <w:sz w:val="20"/>
                <w:szCs w:val="20"/>
                <w:color w:val="auto"/>
              </w:rPr>
            </w:pPr>
            <w:r>
              <w:rPr>
                <w:rFonts w:ascii="Arial" w:cs="Arial" w:eastAsia="Arial" w:hAnsi="Arial"/>
                <w:sz w:val="17"/>
                <w:szCs w:val="17"/>
                <w:b w:val="1"/>
                <w:bCs w:val="1"/>
                <w:color w:val="auto"/>
                <w:w w:val="90"/>
              </w:rPr>
              <w:t>31-1414921</w:t>
            </w:r>
          </w:p>
        </w:tc>
      </w:tr>
      <w:tr>
        <w:trPr>
          <w:trHeight w:val="144"/>
        </w:trPr>
        <w:tc>
          <w:tcPr>
            <w:tcW w:w="4600" w:type="dxa"/>
            <w:vAlign w:val="bottom"/>
          </w:tcPr>
          <w:p>
            <w:pPr>
              <w:jc w:val="center"/>
              <w:ind w:right="2644"/>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left="2624"/>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600" w:type="dxa"/>
            <w:vAlign w:val="bottom"/>
          </w:tcPr>
          <w:p>
            <w:pPr>
              <w:jc w:val="center"/>
              <w:ind w:right="2644"/>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ind w:left="2644"/>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14111 Scottslawn Road, Marysville, Ohio 43041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(937</w:t>
      </w:r>
      <w:r>
        <w:rPr>
          <w:rFonts w:ascii="Arial" w:cs="Arial" w:eastAsia="Arial" w:hAnsi="Arial"/>
          <w:sz w:val="17"/>
          <w:szCs w:val="17"/>
          <w:b w:val="1"/>
          <w:bCs w:val="1"/>
          <w:color w:val="auto"/>
        </w:rPr>
        <w:t>)</w:t>
      </w:r>
      <w:r>
        <w:rPr>
          <w:rFonts w:ascii="Arial" w:cs="Arial" w:eastAsia="Arial" w:hAnsi="Arial"/>
          <w:sz w:val="18"/>
          <w:szCs w:val="18"/>
          <w:color w:val="auto"/>
        </w:rPr>
        <w:t xml:space="preserve"> 644-0011</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_____________________________________________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59" w:lineRule="exact"/>
        <w:rPr>
          <w:sz w:val="24"/>
          <w:szCs w:val="24"/>
          <w:color w:val="auto"/>
        </w:rPr>
      </w:pPr>
    </w:p>
    <w:p>
      <w:pPr>
        <w:ind w:left="1060"/>
        <w:spacing w:after="0"/>
        <w:tabs>
          <w:tab w:leader="none" w:pos="4800" w:val="left"/>
          <w:tab w:leader="none" w:pos="7960" w:val="left"/>
        </w:tabs>
        <w:rPr>
          <w:sz w:val="20"/>
          <w:szCs w:val="20"/>
          <w:color w:val="auto"/>
        </w:rPr>
      </w:pPr>
      <w:r>
        <w:rPr>
          <w:rFonts w:ascii="Arial" w:cs="Arial" w:eastAsia="Arial" w:hAnsi="Arial"/>
          <w:sz w:val="16"/>
          <w:szCs w:val="16"/>
          <w:color w:val="auto"/>
        </w:rPr>
        <w:t>Title of each class</w:t>
      </w:r>
      <w:r>
        <w:rPr>
          <w:sz w:val="20"/>
          <w:szCs w:val="20"/>
          <w:color w:val="auto"/>
        </w:rPr>
        <w:tab/>
      </w:r>
      <w:r>
        <w:rPr>
          <w:rFonts w:ascii="Arial" w:cs="Arial" w:eastAsia="Arial" w:hAnsi="Arial"/>
          <w:sz w:val="16"/>
          <w:szCs w:val="16"/>
          <w:color w:val="auto"/>
        </w:rPr>
        <w:t>Trading Symbol(s)</w:t>
      </w:r>
      <w:r>
        <w:rPr>
          <w:sz w:val="20"/>
          <w:szCs w:val="20"/>
          <w:color w:val="auto"/>
        </w:rPr>
        <w:tab/>
      </w:r>
      <w:r>
        <w:rPr>
          <w:rFonts w:ascii="Arial" w:cs="Arial" w:eastAsia="Arial" w:hAnsi="Arial"/>
          <w:sz w:val="14"/>
          <w:szCs w:val="14"/>
          <w:color w:val="auto"/>
        </w:rPr>
        <w:t>Name of each exchange on which registered</w:t>
      </w:r>
    </w:p>
    <w:p>
      <w:pPr>
        <w:spacing w:after="0" w:line="28" w:lineRule="exact"/>
        <w:rPr>
          <w:sz w:val="24"/>
          <w:szCs w:val="24"/>
          <w:color w:val="auto"/>
        </w:rPr>
      </w:pPr>
    </w:p>
    <w:p>
      <w:pPr>
        <w:ind w:left="400"/>
        <w:spacing w:after="0"/>
        <w:tabs>
          <w:tab w:leader="none" w:pos="5220" w:val="left"/>
          <w:tab w:leader="none" w:pos="9180" w:val="left"/>
        </w:tabs>
        <w:rPr>
          <w:sz w:val="20"/>
          <w:szCs w:val="20"/>
          <w:color w:val="auto"/>
        </w:rPr>
      </w:pPr>
      <w:r>
        <w:rPr>
          <w:rFonts w:ascii="Arial" w:cs="Arial" w:eastAsia="Arial" w:hAnsi="Arial"/>
          <w:sz w:val="17"/>
          <w:szCs w:val="17"/>
          <w:color w:val="auto"/>
        </w:rPr>
        <w:t>Common Shares, $0.01 stated value</w:t>
      </w:r>
      <w:r>
        <w:rPr>
          <w:sz w:val="20"/>
          <w:szCs w:val="20"/>
          <w:color w:val="auto"/>
        </w:rPr>
        <w:tab/>
      </w:r>
      <w:r>
        <w:rPr>
          <w:rFonts w:ascii="Arial" w:cs="Arial" w:eastAsia="Arial" w:hAnsi="Arial"/>
          <w:sz w:val="18"/>
          <w:szCs w:val="18"/>
          <w:color w:val="auto"/>
        </w:rPr>
        <w:t>SMG</w:t>
      </w:r>
      <w:r>
        <w:rPr>
          <w:sz w:val="20"/>
          <w:szCs w:val="20"/>
          <w:color w:val="auto"/>
        </w:rPr>
        <w:tab/>
      </w:r>
      <w:r>
        <w:rPr>
          <w:rFonts w:ascii="Arial" w:cs="Arial" w:eastAsia="Arial" w:hAnsi="Arial"/>
          <w:sz w:val="16"/>
          <w:szCs w:val="16"/>
          <w:color w:val="auto"/>
        </w:rPr>
        <w:t>NYSE</w:t>
      </w:r>
    </w:p>
    <w:p>
      <w:pPr>
        <w:spacing w:after="0" w:line="114" w:lineRule="exact"/>
        <w:rPr>
          <w:sz w:val="24"/>
          <w:szCs w:val="24"/>
          <w:color w:val="auto"/>
        </w:rPr>
      </w:pPr>
    </w:p>
    <w:p>
      <w:pPr>
        <w:jc w:val="both"/>
        <w:spacing w:after="0" w:line="291"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242" w:lineRule="exact"/>
        <w:tabs>
          <w:tab w:leader="none" w:pos="720" w:val="left"/>
          <w:tab w:leader="none" w:pos="1440" w:val="left"/>
        </w:tabs>
        <w:rPr>
          <w:sz w:val="20"/>
          <w:szCs w:val="20"/>
          <w:color w:val="auto"/>
        </w:rPr>
      </w:pPr>
      <w:r>
        <w:rPr>
          <w:rFonts w:ascii="Arial" w:cs="Arial" w:eastAsia="Arial" w:hAnsi="Arial"/>
          <w:sz w:val="17"/>
          <w:szCs w:val="17"/>
          <w:color w:val="auto"/>
        </w:rPr>
        <w:t>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82" w:lineRule="exact"/>
        <w:rPr>
          <w:sz w:val="24"/>
          <w:szCs w:val="24"/>
          <w:color w:val="auto"/>
        </w:rPr>
      </w:pPr>
    </w:p>
    <w:p>
      <w:pPr>
        <w:jc w:val="both"/>
        <w:spacing w:after="0" w:line="25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3" w:lineRule="exact"/>
        <w:rPr>
          <w:sz w:val="24"/>
          <w:szCs w:val="24"/>
          <w:color w:val="auto"/>
        </w:rPr>
      </w:pPr>
    </w:p>
    <w:p>
      <w:pPr>
        <w:jc w:val="both"/>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96" w:right="339" w:bottom="1440" w:gutter="0" w:footer="0" w:header="0"/>
        </w:sectPr>
      </w:pPr>
    </w:p>
    <w:p>
      <w:pPr>
        <w:spacing w:after="0" w:line="41" w:lineRule="exact"/>
        <w:rPr>
          <w:sz w:val="24"/>
          <w:szCs w:val="24"/>
          <w:color w:val="auto"/>
        </w:rPr>
      </w:pPr>
    </w:p>
    <w:p>
      <w:pPr>
        <w:ind w:left="1540"/>
        <w:spacing w:after="0"/>
        <w:rPr>
          <w:sz w:val="20"/>
          <w:szCs w:val="20"/>
          <w:color w:val="auto"/>
        </w:rPr>
      </w:pPr>
      <w:r>
        <w:rPr>
          <w:rFonts w:ascii="Arial" w:cs="Arial" w:eastAsia="Arial" w:hAnsi="Arial"/>
          <w:sz w:val="17"/>
          <w:szCs w:val="17"/>
          <w:color w:val="auto"/>
        </w:rPr>
        <w:t>Large accelerated filer</w:t>
      </w:r>
    </w:p>
    <w:p>
      <w:pPr>
        <w:spacing w:after="0" w:line="34" w:lineRule="exact"/>
        <w:rPr>
          <w:sz w:val="24"/>
          <w:szCs w:val="24"/>
          <w:color w:val="auto"/>
        </w:rPr>
      </w:pPr>
    </w:p>
    <w:p>
      <w:pPr>
        <w:ind w:left="1540"/>
        <w:spacing w:after="0"/>
        <w:rPr>
          <w:sz w:val="20"/>
          <w:szCs w:val="20"/>
          <w:color w:val="auto"/>
        </w:rPr>
      </w:pPr>
      <w:r>
        <w:rPr>
          <w:rFonts w:ascii="Arial" w:cs="Arial" w:eastAsia="Arial" w:hAnsi="Arial"/>
          <w:sz w:val="17"/>
          <w:szCs w:val="17"/>
          <w:color w:val="auto"/>
        </w:rPr>
        <w:t>Non-accelerated filer</w:t>
      </w:r>
    </w:p>
    <w:p>
      <w:pPr>
        <w:spacing w:after="0" w:line="21" w:lineRule="exact"/>
        <w:rPr>
          <w:sz w:val="24"/>
          <w:szCs w:val="24"/>
          <w:color w:val="auto"/>
        </w:rPr>
      </w:pPr>
    </w:p>
    <w:p>
      <w:pPr>
        <w:ind w:left="1540"/>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177" w:lineRule="exact"/>
        <w:tabs>
          <w:tab w:leader="none" w:pos="720" w:val="left"/>
          <w:tab w:leader="none" w:pos="43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Accelerated filer</w:t>
      </w:r>
      <w:r>
        <w:rPr>
          <w:sz w:val="20"/>
          <w:szCs w:val="20"/>
          <w:color w:val="auto"/>
        </w:rPr>
        <w:tab/>
      </w:r>
      <w:r>
        <w:rPr>
          <w:rFonts w:ascii="MS PGothic" w:cs="MS PGothic" w:eastAsia="MS PGothic" w:hAnsi="MS PGothic"/>
          <w:sz w:val="16"/>
          <w:szCs w:val="16"/>
          <w:color w:val="auto"/>
        </w:rPr>
        <w:t>☐</w:t>
      </w:r>
    </w:p>
    <w:p>
      <w:pPr>
        <w:spacing w:after="0" w:line="68" w:lineRule="exact"/>
        <w:rPr>
          <w:sz w:val="24"/>
          <w:szCs w:val="24"/>
          <w:color w:val="auto"/>
        </w:rPr>
      </w:pPr>
    </w:p>
    <w:p>
      <w:pPr>
        <w:spacing w:after="0" w:line="196" w:lineRule="exact"/>
        <w:tabs>
          <w:tab w:leader="none" w:pos="720" w:val="left"/>
          <w:tab w:leader="none" w:pos="43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34" w:lineRule="exact"/>
        <w:rPr>
          <w:sz w:val="24"/>
          <w:szCs w:val="24"/>
          <w:color w:val="auto"/>
        </w:rPr>
      </w:pPr>
    </w:p>
    <w:p>
      <w:pPr>
        <w:spacing w:after="0" w:line="171" w:lineRule="exact"/>
        <w:rPr>
          <w:sz w:val="20"/>
          <w:szCs w:val="20"/>
          <w:color w:val="auto"/>
        </w:rPr>
      </w:pPr>
      <w:r>
        <w:rPr>
          <w:rFonts w:ascii="MS PGothic" w:cs="MS PGothic" w:eastAsia="MS PGothic" w:hAnsi="MS PGothic"/>
          <w:sz w:val="17"/>
          <w:szCs w:val="17"/>
          <w:color w:val="auto"/>
        </w:rPr>
        <w:t>☐</w:t>
      </w:r>
    </w:p>
    <w:p>
      <w:pPr>
        <w:spacing w:after="0" w:line="133" w:lineRule="exact"/>
        <w:rPr>
          <w:sz w:val="24"/>
          <w:szCs w:val="24"/>
          <w:color w:val="auto"/>
        </w:rPr>
      </w:pPr>
    </w:p>
    <w:p>
      <w:pPr>
        <w:sectPr>
          <w:pgSz w:w="11900" w:h="16838" w:orient="portrait"/>
          <w:cols w:equalWidth="0" w:num="2">
            <w:col w:w="4360" w:space="720"/>
            <w:col w:w="6160"/>
          </w:cols>
          <w:pgMar w:left="320" w:top="796" w:right="339" w:bottom="1440" w:gutter="0" w:footer="0" w:header="0"/>
          <w:type w:val="continuous"/>
        </w:sectPr>
      </w:pPr>
    </w:p>
    <w:p>
      <w:pPr>
        <w:spacing w:after="0" w:line="21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7" w:lineRule="exact"/>
        <w:rPr>
          <w:sz w:val="24"/>
          <w:szCs w:val="24"/>
          <w:color w:val="auto"/>
        </w:rPr>
      </w:pPr>
    </w:p>
    <w:p>
      <w:pPr>
        <w:ind w:left="20"/>
        <w:spacing w:after="0" w:line="207" w:lineRule="exact"/>
        <w:tabs>
          <w:tab w:leader="none" w:pos="4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r>
        <w:rPr>
          <w:rFonts w:ascii="MS PGothic" w:cs="MS PGothic" w:eastAsia="MS PGothic" w:hAnsi="MS PGothic"/>
          <w:sz w:val="18"/>
          <w:szCs w:val="18"/>
          <w:color w:val="auto"/>
        </w:rPr>
        <w:t xml:space="preserve">  ☒</w:t>
      </w:r>
    </w:p>
    <w:p>
      <w:pPr>
        <w:spacing w:after="0" w:line="144" w:lineRule="exact"/>
        <w:rPr>
          <w:sz w:val="24"/>
          <w:szCs w:val="24"/>
          <w:color w:val="auto"/>
        </w:rPr>
      </w:pPr>
    </w:p>
    <w:p>
      <w:pPr>
        <w:spacing w:after="0"/>
        <w:rPr>
          <w:sz w:val="20"/>
          <w:szCs w:val="20"/>
          <w:color w:val="auto"/>
        </w:rPr>
      </w:pPr>
      <w:r>
        <w:rPr>
          <w:rFonts w:ascii="Arial" w:cs="Arial" w:eastAsia="Arial" w:hAnsi="Arial"/>
          <w:sz w:val="17"/>
          <w:szCs w:val="17"/>
          <w:color w:val="auto"/>
        </w:rPr>
        <w:t>As of May 7, 2021, there were 55,703,042 Common Shares outstanding.</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 w:name="page2"/>
    <w:bookmarkEnd w:id="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jc w:val="center"/>
        <w:spacing w:after="0"/>
        <w:rPr>
          <w:sz w:val="20"/>
          <w:szCs w:val="20"/>
          <w:color w:val="auto"/>
        </w:rPr>
      </w:pPr>
      <w:r>
        <w:rPr>
          <w:rFonts w:ascii="Arial" w:cs="Arial" w:eastAsia="Arial" w:hAnsi="Arial"/>
          <w:sz w:val="18"/>
          <w:szCs w:val="18"/>
          <w:color w:val="auto"/>
        </w:rPr>
        <w:t>INDEX</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bottom w:val="single" w:sz="8" w:color="auto"/>
            </w:tcBorders>
            <w:gridSpan w:val="4"/>
          </w:tcPr>
          <w:p>
            <w:pPr>
              <w:ind w:left="16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216"/>
        </w:trPr>
        <w:tc>
          <w:tcPr>
            <w:tcW w:w="10120" w:type="dxa"/>
            <w:vAlign w:val="bottom"/>
            <w:gridSpan w:val="19"/>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940" w:type="dxa"/>
            <w:vAlign w:val="bottom"/>
            <w:gridSpan w:val="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242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 (Unaudited)</w:t>
              </w:r>
            </w:hyperlink>
          </w:p>
        </w:tc>
        <w:tc>
          <w:tcPr>
            <w:tcW w:w="6760" w:type="dxa"/>
            <w:vAlign w:val="bottom"/>
            <w:gridSpan w:val="8"/>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60" w:type="dxa"/>
            <w:vAlign w:val="bottom"/>
            <w:gridSpan w:val="15"/>
          </w:tcPr>
          <w:p>
            <w:pPr>
              <w:spacing w:after="0"/>
              <w:rPr>
                <w:rFonts w:ascii="Arial" w:cs="Arial" w:eastAsia="Arial" w:hAnsi="Arial"/>
                <w:sz w:val="18"/>
                <w:szCs w:val="18"/>
                <w:color w:val="0000FF"/>
                <w:w w:val="94"/>
              </w:rPr>
            </w:pPr>
            <w:hyperlink w:anchor="page3">
              <w:r>
                <w:rPr>
                  <w:rFonts w:ascii="Arial" w:cs="Arial" w:eastAsia="Arial" w:hAnsi="Arial"/>
                  <w:sz w:val="18"/>
                  <w:szCs w:val="18"/>
                  <w:color w:val="0000FF"/>
                  <w:w w:val="94"/>
                </w:rPr>
                <w:t xml:space="preserve">Condensed Consolidated Statements of Operations — Three and six months ended </w:t>
              </w:r>
            </w:hyperlink>
            <w:r>
              <w:rPr>
                <w:rFonts w:ascii="Arial" w:cs="Arial" w:eastAsia="Arial" w:hAnsi="Arial"/>
                <w:sz w:val="18"/>
                <w:szCs w:val="18"/>
                <w:color w:val="0000FF"/>
                <w:w w:val="94"/>
              </w:rPr>
              <w:t xml:space="preserve">April 3, </w:t>
            </w:r>
            <w:hyperlink w:anchor="page3">
              <w:r>
                <w:rPr>
                  <w:rFonts w:ascii="Arial" w:cs="Arial" w:eastAsia="Arial" w:hAnsi="Arial"/>
                  <w:sz w:val="18"/>
                  <w:szCs w:val="18"/>
                  <w:color w:val="0000FF"/>
                  <w:w w:val="94"/>
                </w:rPr>
                <w:t>2021 and March 28, 2020</w:t>
              </w:r>
            </w:hyperlink>
          </w:p>
        </w:tc>
        <w:tc>
          <w:tcPr>
            <w:tcW w:w="10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60" w:type="dxa"/>
            <w:vAlign w:val="bottom"/>
            <w:gridSpan w:val="15"/>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Condensed Consolidated Statements of Comprehensive Income (Loss) — Three and six months ended April 3, 2021 and</w:t>
              </w:r>
            </w:hyperlink>
          </w:p>
        </w:tc>
        <w:tc>
          <w:tcPr>
            <w:tcW w:w="1080" w:type="dxa"/>
            <w:vAlign w:val="bottom"/>
            <w:gridSpan w:val="4"/>
            <w:vMerge w:val="restart"/>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March 28, 2020</w:t>
              </w:r>
            </w:hyperlink>
          </w:p>
        </w:tc>
        <w:tc>
          <w:tcPr>
            <w:tcW w:w="160" w:type="dxa"/>
            <w:vAlign w:val="bottom"/>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78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 xml:space="preserve">Condensed Consolidated Statements of Cash Flows — Six months ended April </w:t>
              </w:r>
            </w:hyperlink>
            <w:r>
              <w:rPr>
                <w:rFonts w:ascii="Arial" w:cs="Arial" w:eastAsia="Arial" w:hAnsi="Arial"/>
                <w:sz w:val="18"/>
                <w:szCs w:val="18"/>
                <w:color w:val="0000FF"/>
                <w:w w:val="90"/>
              </w:rPr>
              <w:t xml:space="preserve">3, </w:t>
            </w:r>
            <w:hyperlink w:anchor="page4">
              <w:r>
                <w:rPr>
                  <w:rFonts w:ascii="Arial" w:cs="Arial" w:eastAsia="Arial" w:hAnsi="Arial"/>
                  <w:sz w:val="18"/>
                  <w:szCs w:val="18"/>
                  <w:color w:val="0000FF"/>
                  <w:w w:val="90"/>
                </w:rPr>
                <w:t xml:space="preserve">2021 and </w:t>
              </w:r>
            </w:hyperlink>
            <w:r>
              <w:rPr>
                <w:rFonts w:ascii="Arial" w:cs="Arial" w:eastAsia="Arial" w:hAnsi="Arial"/>
                <w:sz w:val="18"/>
                <w:szCs w:val="18"/>
                <w:color w:val="0000FF"/>
                <w:w w:val="90"/>
              </w:rPr>
              <w:t xml:space="preserve">March </w:t>
            </w:r>
            <w:hyperlink w:anchor="page3">
              <w:r>
                <w:rPr>
                  <w:rFonts w:ascii="Arial" w:cs="Arial" w:eastAsia="Arial" w:hAnsi="Arial"/>
                  <w:sz w:val="18"/>
                  <w:szCs w:val="18"/>
                  <w:color w:val="0000FF"/>
                  <w:w w:val="90"/>
                </w:rPr>
                <w:t xml:space="preserve">28, </w:t>
              </w:r>
            </w:hyperlink>
            <w:r>
              <w:rPr>
                <w:rFonts w:ascii="Arial" w:cs="Arial" w:eastAsia="Arial" w:hAnsi="Arial"/>
                <w:sz w:val="18"/>
                <w:szCs w:val="18"/>
                <w:color w:val="0000FF"/>
                <w:w w:val="90"/>
              </w:rPr>
              <w:t>2020</w:t>
            </w:r>
          </w:p>
        </w:tc>
        <w:tc>
          <w:tcPr>
            <w:tcW w:w="1080" w:type="dxa"/>
            <w:vAlign w:val="bottom"/>
            <w:gridSpan w:val="3"/>
          </w:tcPr>
          <w:p>
            <w:pPr>
              <w:spacing w:after="0"/>
              <w:rPr>
                <w:sz w:val="18"/>
                <w:szCs w:val="18"/>
                <w:color w:val="auto"/>
              </w:rPr>
            </w:pPr>
          </w:p>
        </w:tc>
        <w:tc>
          <w:tcPr>
            <w:tcW w:w="10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 xml:space="preserve">Condensed Consolidated Balance Sheets — </w:t>
              </w:r>
            </w:hyperlink>
            <w:hyperlink w:anchor="page3">
              <w:r>
                <w:rPr>
                  <w:rFonts w:ascii="Arial" w:cs="Arial" w:eastAsia="Arial" w:hAnsi="Arial"/>
                  <w:sz w:val="18"/>
                  <w:szCs w:val="18"/>
                  <w:color w:val="0000FF"/>
                  <w:w w:val="89"/>
                </w:rPr>
                <w:t xml:space="preserve">April </w:t>
              </w:r>
            </w:hyperlink>
            <w:r>
              <w:rPr>
                <w:rFonts w:ascii="Arial" w:cs="Arial" w:eastAsia="Arial" w:hAnsi="Arial"/>
                <w:sz w:val="18"/>
                <w:szCs w:val="18"/>
                <w:color w:val="0000FF"/>
                <w:w w:val="89"/>
              </w:rPr>
              <w:t xml:space="preserve">3, </w:t>
            </w:r>
            <w:hyperlink w:anchor="page3">
              <w:r>
                <w:rPr>
                  <w:rFonts w:ascii="Arial" w:cs="Arial" w:eastAsia="Arial" w:hAnsi="Arial"/>
                  <w:sz w:val="18"/>
                  <w:szCs w:val="18"/>
                  <w:color w:val="0000FF"/>
                  <w:w w:val="89"/>
                </w:rPr>
                <w:t xml:space="preserve">2021, March 28, 2020 </w:t>
              </w:r>
            </w:hyperlink>
            <w:hyperlink w:anchor="page5">
              <w:r>
                <w:rPr>
                  <w:rFonts w:ascii="Arial" w:cs="Arial" w:eastAsia="Arial" w:hAnsi="Arial"/>
                  <w:sz w:val="18"/>
                  <w:szCs w:val="18"/>
                  <w:color w:val="0000FF"/>
                  <w:w w:val="89"/>
                </w:rPr>
                <w:t>and September 30, 2020</w:t>
              </w:r>
            </w:hyperlink>
          </w:p>
        </w:tc>
        <w:tc>
          <w:tcPr>
            <w:tcW w:w="1660" w:type="dxa"/>
            <w:vAlign w:val="bottom"/>
            <w:gridSpan w:val="4"/>
          </w:tcPr>
          <w:p>
            <w:pPr>
              <w:spacing w:after="0"/>
              <w:rPr>
                <w:sz w:val="18"/>
                <w:szCs w:val="18"/>
                <w:color w:val="auto"/>
              </w:rPr>
            </w:pPr>
          </w:p>
        </w:tc>
        <w:tc>
          <w:tcPr>
            <w:tcW w:w="96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0000FF"/>
            </w:tcBorders>
            <w:gridSpan w:val="9"/>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Notes to Condensed Consolidated Financial Statements</w:t>
              </w:r>
            </w:hyperlink>
          </w:p>
        </w:tc>
        <w:tc>
          <w:tcPr>
            <w:tcW w:w="4840" w:type="dxa"/>
            <w:vAlign w:val="bottom"/>
            <w:gridSpan w:val="6"/>
          </w:tcPr>
          <w:p>
            <w:pPr>
              <w:spacing w:after="0"/>
              <w:rPr>
                <w:sz w:val="18"/>
                <w:szCs w:val="18"/>
                <w:color w:val="auto"/>
              </w:rPr>
            </w:pPr>
          </w:p>
        </w:tc>
        <w:tc>
          <w:tcPr>
            <w:tcW w:w="96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0" w:type="dxa"/>
            <w:vAlign w:val="bottom"/>
            <w:gridSpan w:val="2"/>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2.</w:t>
              </w:r>
            </w:hyperlink>
          </w:p>
        </w:tc>
        <w:tc>
          <w:tcPr>
            <w:tcW w:w="6460" w:type="dxa"/>
            <w:vAlign w:val="bottom"/>
            <w:gridSpan w:val="12"/>
          </w:tcPr>
          <w:p>
            <w:pPr>
              <w:spacing w:after="0"/>
              <w:rPr>
                <w:rFonts w:ascii="Arial" w:cs="Arial" w:eastAsia="Arial" w:hAnsi="Arial"/>
                <w:sz w:val="18"/>
                <w:szCs w:val="18"/>
                <w:color w:val="0000FF"/>
                <w:w w:val="90"/>
              </w:rPr>
            </w:pPr>
            <w:hyperlink w:anchor="page26">
              <w:r>
                <w:rPr>
                  <w:rFonts w:ascii="Arial" w:cs="Arial" w:eastAsia="Arial" w:hAnsi="Arial"/>
                  <w:sz w:val="18"/>
                  <w:szCs w:val="18"/>
                  <w:color w:val="0000FF"/>
                  <w:w w:val="90"/>
                </w:rPr>
                <w:t>Management’s Discussion and Analysis of Financial Condition and Results of Operations</w:t>
              </w:r>
            </w:hyperlink>
          </w:p>
        </w:tc>
        <w:tc>
          <w:tcPr>
            <w:tcW w:w="2720" w:type="dxa"/>
            <w:vAlign w:val="bottom"/>
            <w:gridSpan w:val="5"/>
          </w:tcPr>
          <w:p>
            <w:pPr>
              <w:spacing w:after="0"/>
              <w:rPr>
                <w:sz w:val="18"/>
                <w:szCs w:val="18"/>
                <w:color w:val="auto"/>
              </w:rPr>
            </w:pPr>
          </w:p>
        </w:tc>
        <w:tc>
          <w:tcPr>
            <w:tcW w:w="106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3.</w:t>
              </w:r>
            </w:hyperlink>
          </w:p>
        </w:tc>
        <w:tc>
          <w:tcPr>
            <w:tcW w:w="6460" w:type="dxa"/>
            <w:vAlign w:val="bottom"/>
            <w:gridSpan w:val="12"/>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Quantitative and Qualitative Disclosures about Market Risk</w:t>
              </w:r>
            </w:hyperlink>
          </w:p>
        </w:tc>
        <w:tc>
          <w:tcPr>
            <w:tcW w:w="2720" w:type="dxa"/>
            <w:vAlign w:val="bottom"/>
            <w:gridSpan w:val="5"/>
          </w:tcPr>
          <w:p>
            <w:pPr>
              <w:spacing w:after="0"/>
              <w:rPr>
                <w:sz w:val="18"/>
                <w:szCs w:val="18"/>
                <w:color w:val="auto"/>
              </w:rPr>
            </w:pPr>
          </w:p>
        </w:tc>
        <w:tc>
          <w:tcPr>
            <w:tcW w:w="106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4.</w:t>
              </w:r>
            </w:hyperlink>
          </w:p>
        </w:tc>
        <w:tc>
          <w:tcPr>
            <w:tcW w:w="4300" w:type="dxa"/>
            <w:vAlign w:val="bottom"/>
            <w:gridSpan w:val="10"/>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Controls and Procedures</w:t>
              </w:r>
            </w:hyperlink>
          </w:p>
        </w:tc>
        <w:tc>
          <w:tcPr>
            <w:tcW w:w="4880" w:type="dxa"/>
            <w:vAlign w:val="bottom"/>
            <w:gridSpan w:val="7"/>
          </w:tcPr>
          <w:p>
            <w:pPr>
              <w:spacing w:after="0"/>
              <w:rPr>
                <w:sz w:val="18"/>
                <w:szCs w:val="18"/>
                <w:color w:val="auto"/>
              </w:rPr>
            </w:pPr>
          </w:p>
        </w:tc>
        <w:tc>
          <w:tcPr>
            <w:tcW w:w="106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120" w:type="dxa"/>
            <w:vAlign w:val="bottom"/>
            <w:gridSpan w:val="19"/>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PART II. OTHER INFORMATION:</w:t>
              </w:r>
            </w:hyperlink>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40" w:type="dxa"/>
            <w:vAlign w:val="bottom"/>
            <w:gridSpan w:val="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1.</w:t>
              </w:r>
            </w:hyperlink>
          </w:p>
        </w:tc>
        <w:tc>
          <w:tcPr>
            <w:tcW w:w="1320" w:type="dxa"/>
            <w:vAlign w:val="bottom"/>
            <w:gridSpan w:val="5"/>
          </w:tcPr>
          <w:p>
            <w:pPr>
              <w:spacing w:after="0"/>
              <w:rPr>
                <w:rFonts w:ascii="Arial" w:cs="Arial" w:eastAsia="Arial" w:hAnsi="Arial"/>
                <w:sz w:val="18"/>
                <w:szCs w:val="18"/>
                <w:color w:val="0000FF"/>
                <w:w w:val="85"/>
              </w:rPr>
            </w:pPr>
            <w:hyperlink w:anchor="page43">
              <w:r>
                <w:rPr>
                  <w:rFonts w:ascii="Arial" w:cs="Arial" w:eastAsia="Arial" w:hAnsi="Arial"/>
                  <w:sz w:val="18"/>
                  <w:szCs w:val="18"/>
                  <w:color w:val="0000FF"/>
                  <w:w w:val="85"/>
                </w:rPr>
                <w:t>Legal Proceedings</w:t>
              </w:r>
            </w:hyperlink>
          </w:p>
        </w:tc>
        <w:tc>
          <w:tcPr>
            <w:tcW w:w="7860" w:type="dxa"/>
            <w:vAlign w:val="bottom"/>
            <w:gridSpan w:val="12"/>
          </w:tcPr>
          <w:p>
            <w:pPr>
              <w:spacing w:after="0"/>
              <w:rPr>
                <w:sz w:val="24"/>
                <w:szCs w:val="24"/>
                <w:color w:val="auto"/>
              </w:rPr>
            </w:pPr>
          </w:p>
        </w:tc>
        <w:tc>
          <w:tcPr>
            <w:tcW w:w="106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1A.</w:t>
              </w:r>
            </w:hyperlink>
          </w:p>
        </w:tc>
        <w:tc>
          <w:tcPr>
            <w:tcW w:w="1320" w:type="dxa"/>
            <w:vAlign w:val="bottom"/>
            <w:gridSpan w:val="5"/>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Risk Factors</w:t>
              </w:r>
            </w:hyperlink>
          </w:p>
        </w:tc>
        <w:tc>
          <w:tcPr>
            <w:tcW w:w="7860" w:type="dxa"/>
            <w:vAlign w:val="bottom"/>
            <w:gridSpan w:val="12"/>
          </w:tcPr>
          <w:p>
            <w:pPr>
              <w:spacing w:after="0"/>
              <w:rPr>
                <w:sz w:val="18"/>
                <w:szCs w:val="18"/>
                <w:color w:val="auto"/>
              </w:rPr>
            </w:pPr>
          </w:p>
        </w:tc>
        <w:tc>
          <w:tcPr>
            <w:tcW w:w="106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2.</w:t>
              </w:r>
            </w:hyperlink>
          </w:p>
        </w:tc>
        <w:tc>
          <w:tcPr>
            <w:tcW w:w="9180" w:type="dxa"/>
            <w:vAlign w:val="bottom"/>
            <w:gridSpan w:val="17"/>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Unregistered Sales of Equity Securities and Use of Proceeds</w:t>
              </w:r>
            </w:hyperlink>
          </w:p>
        </w:tc>
        <w:tc>
          <w:tcPr>
            <w:tcW w:w="106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3.</w:t>
              </w:r>
            </w:hyperlink>
          </w:p>
        </w:tc>
        <w:tc>
          <w:tcPr>
            <w:tcW w:w="4340" w:type="dxa"/>
            <w:vAlign w:val="bottom"/>
            <w:gridSpan w:val="11"/>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Defaults Upon Senior Securities</w:t>
              </w:r>
            </w:hyperlink>
          </w:p>
        </w:tc>
        <w:tc>
          <w:tcPr>
            <w:tcW w:w="4840" w:type="dxa"/>
            <w:vAlign w:val="bottom"/>
            <w:gridSpan w:val="6"/>
          </w:tcPr>
          <w:p>
            <w:pPr>
              <w:spacing w:after="0"/>
              <w:rPr>
                <w:sz w:val="18"/>
                <w:szCs w:val="18"/>
                <w:color w:val="auto"/>
              </w:rPr>
            </w:pPr>
          </w:p>
        </w:tc>
        <w:tc>
          <w:tcPr>
            <w:tcW w:w="106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4.</w:t>
              </w:r>
            </w:hyperlink>
          </w:p>
        </w:tc>
        <w:tc>
          <w:tcPr>
            <w:tcW w:w="2320" w:type="dxa"/>
            <w:vAlign w:val="bottom"/>
            <w:gridSpan w:val="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Mine Safety Disclosures</w:t>
              </w:r>
            </w:hyperlink>
          </w:p>
        </w:tc>
        <w:tc>
          <w:tcPr>
            <w:tcW w:w="6860" w:type="dxa"/>
            <w:vAlign w:val="bottom"/>
            <w:gridSpan w:val="9"/>
          </w:tcPr>
          <w:p>
            <w:pPr>
              <w:spacing w:after="0"/>
              <w:rPr>
                <w:sz w:val="18"/>
                <w:szCs w:val="18"/>
                <w:color w:val="auto"/>
              </w:rPr>
            </w:pPr>
          </w:p>
        </w:tc>
        <w:tc>
          <w:tcPr>
            <w:tcW w:w="106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5.</w:t>
              </w:r>
            </w:hyperlink>
          </w:p>
        </w:tc>
        <w:tc>
          <w:tcPr>
            <w:tcW w:w="1320" w:type="dxa"/>
            <w:vAlign w:val="bottom"/>
            <w:gridSpan w:val="5"/>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Other Information</w:t>
              </w:r>
            </w:hyperlink>
          </w:p>
        </w:tc>
        <w:tc>
          <w:tcPr>
            <w:tcW w:w="440" w:type="dxa"/>
            <w:vAlign w:val="bottom"/>
            <w:gridSpan w:val="2"/>
          </w:tcPr>
          <w:p>
            <w:pPr>
              <w:spacing w:after="0"/>
              <w:rPr>
                <w:sz w:val="18"/>
                <w:szCs w:val="18"/>
                <w:color w:val="auto"/>
              </w:rPr>
            </w:pPr>
          </w:p>
        </w:tc>
        <w:tc>
          <w:tcPr>
            <w:tcW w:w="7420" w:type="dxa"/>
            <w:vAlign w:val="bottom"/>
            <w:gridSpan w:val="10"/>
          </w:tcPr>
          <w:p>
            <w:pPr>
              <w:spacing w:after="0"/>
              <w:rPr>
                <w:sz w:val="18"/>
                <w:szCs w:val="18"/>
                <w:color w:val="auto"/>
              </w:rPr>
            </w:pPr>
          </w:p>
        </w:tc>
        <w:tc>
          <w:tcPr>
            <w:tcW w:w="106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860" w:type="dxa"/>
            <w:vAlign w:val="bottom"/>
            <w:gridSpan w:val="1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6.</w:t>
              </w:r>
            </w:hyperlink>
          </w:p>
        </w:tc>
        <w:tc>
          <w:tcPr>
            <w:tcW w:w="600" w:type="dxa"/>
            <w:vAlign w:val="bottom"/>
            <w:gridSpan w:val="3"/>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Exhibits</w:t>
              </w:r>
            </w:hyperlink>
          </w:p>
        </w:tc>
        <w:tc>
          <w:tcPr>
            <w:tcW w:w="720" w:type="dxa"/>
            <w:vAlign w:val="bottom"/>
            <w:gridSpan w:val="2"/>
          </w:tcPr>
          <w:p>
            <w:pPr>
              <w:spacing w:after="0"/>
              <w:rPr>
                <w:sz w:val="18"/>
                <w:szCs w:val="18"/>
                <w:color w:val="auto"/>
              </w:rPr>
            </w:pPr>
          </w:p>
        </w:tc>
        <w:tc>
          <w:tcPr>
            <w:tcW w:w="7860" w:type="dxa"/>
            <w:vAlign w:val="bottom"/>
            <w:gridSpan w:val="12"/>
          </w:tcPr>
          <w:p>
            <w:pPr>
              <w:spacing w:after="0"/>
              <w:rPr>
                <w:sz w:val="18"/>
                <w:szCs w:val="18"/>
                <w:color w:val="auto"/>
              </w:rPr>
            </w:pPr>
          </w:p>
        </w:tc>
        <w:tc>
          <w:tcPr>
            <w:tcW w:w="106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580" w:type="dxa"/>
            <w:vAlign w:val="bottom"/>
            <w:gridSpan w:val="1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20" w:type="dxa"/>
            <w:vAlign w:val="bottom"/>
            <w:gridSpan w:val="19"/>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Index to Exhibits</w:t>
              </w:r>
            </w:hyperlink>
          </w:p>
        </w:tc>
        <w:tc>
          <w:tcPr>
            <w:tcW w:w="106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Signatures</w:t>
              </w:r>
            </w:hyperlink>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14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64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April 3,</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51"/>
              <w:spacing w:after="0" w:line="135" w:lineRule="exact"/>
              <w:rPr>
                <w:sz w:val="20"/>
                <w:szCs w:val="20"/>
                <w:color w:val="auto"/>
              </w:rPr>
            </w:pPr>
            <w:r>
              <w:rPr>
                <w:rFonts w:ascii="Arial" w:cs="Arial" w:eastAsia="Arial" w:hAnsi="Arial"/>
                <w:sz w:val="14"/>
                <w:szCs w:val="14"/>
                <w:b w:val="1"/>
                <w:bCs w:val="1"/>
                <w:color w:val="auto"/>
              </w:rPr>
              <w:t>March 28,</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April 3,</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71"/>
              <w:spacing w:after="0" w:line="135" w:lineRule="exact"/>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88"/>
        </w:trPr>
        <w:tc>
          <w:tcPr>
            <w:tcW w:w="64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1,748.6</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1,140.6</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640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604.4</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Equity in loss of unconsolidated affiliates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related to refinancing</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6400" w:type="dxa"/>
            <w:vAlign w:val="bottom"/>
          </w:tcPr>
          <w:p>
            <w:pPr>
              <w:ind w:left="360"/>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from continuing operations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3"/>
        </w:trPr>
        <w:tc>
          <w:tcPr>
            <w:tcW w:w="6400" w:type="dxa"/>
            <w:vAlign w:val="bottom"/>
          </w:tcPr>
          <w:p>
            <w:pPr>
              <w:ind w:left="36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Basic income (loss) per common share:</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net income per common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common shares outstanding during the period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Diluted income (loss) per common share:</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net income per common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2"/>
              </w:rPr>
              <w:t>Weighted-average common shares outstanding during the period plus dilutive potential</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4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common shares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14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4"/>
        </w:trPr>
        <w:tc>
          <w:tcPr>
            <w:tcW w:w="64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April 3,</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53"/>
              <w:spacing w:after="0" w:line="135" w:lineRule="exact"/>
              <w:rPr>
                <w:sz w:val="20"/>
                <w:szCs w:val="20"/>
                <w:color w:val="auto"/>
              </w:rPr>
            </w:pPr>
            <w:r>
              <w:rPr>
                <w:rFonts w:ascii="Arial" w:cs="Arial" w:eastAsia="Arial" w:hAnsi="Arial"/>
                <w:sz w:val="14"/>
                <w:szCs w:val="14"/>
                <w:b w:val="1"/>
                <w:bCs w:val="1"/>
                <w:color w:val="auto"/>
              </w:rPr>
              <w:t>March 28,</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April 3,</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53"/>
              <w:spacing w:after="0" w:line="135" w:lineRule="exact"/>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88"/>
        </w:trPr>
        <w:tc>
          <w:tcPr>
            <w:tcW w:w="6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foreign currency translation adjustment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6440" w:type="dxa"/>
            <w:vAlign w:val="bottom"/>
          </w:tcPr>
          <w:p>
            <w:pPr>
              <w:ind w:left="480"/>
              <w:spacing w:after="0"/>
              <w:rPr>
                <w:sz w:val="20"/>
                <w:szCs w:val="20"/>
                <w:color w:val="auto"/>
              </w:rPr>
            </w:pPr>
            <w:r>
              <w:rPr>
                <w:rFonts w:ascii="Arial" w:cs="Arial" w:eastAsia="Arial" w:hAnsi="Arial"/>
                <w:sz w:val="18"/>
                <w:szCs w:val="18"/>
                <w:color w:val="auto"/>
              </w:rPr>
              <w:t>Net unrealized gain (loss) on derivative instruments, net of tax</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76"/>
        </w:trPr>
        <w:tc>
          <w:tcPr>
            <w:tcW w:w="64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2"/>
              </w:rPr>
              <w:t>Reclassification of net unrealized losses on derivative instruments to net income,</w:t>
            </w: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of tax</w:t>
            </w: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Pension and other post-retirement benefit adjustments, net of tax</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Comprehensive income attributable to controlling interest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 w:name="page5"/>
    <w:bookmarkEnd w:id="4"/>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w w:val="92"/>
              </w:rPr>
              <w:t>Six Months Ended</w:t>
            </w:r>
          </w:p>
        </w:tc>
      </w:tr>
      <w:tr>
        <w:trPr>
          <w:trHeight w:val="134"/>
        </w:trPr>
        <w:tc>
          <w:tcPr>
            <w:tcW w:w="814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April 3,</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ind w:right="368"/>
              <w:spacing w:after="0" w:line="135" w:lineRule="exact"/>
              <w:rPr>
                <w:sz w:val="20"/>
                <w:szCs w:val="20"/>
                <w:color w:val="auto"/>
              </w:rPr>
            </w:pPr>
            <w:r>
              <w:rPr>
                <w:rFonts w:ascii="Arial" w:cs="Arial" w:eastAsia="Arial" w:hAnsi="Arial"/>
                <w:sz w:val="14"/>
                <w:szCs w:val="14"/>
                <w:b w:val="1"/>
                <w:bCs w:val="1"/>
                <w:color w:val="auto"/>
              </w:rPr>
              <w:t>March 28,</w:t>
            </w:r>
          </w:p>
        </w:tc>
      </w:tr>
      <w:tr>
        <w:trPr>
          <w:trHeight w:val="188"/>
        </w:trPr>
        <w:tc>
          <w:tcPr>
            <w:tcW w:w="81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r>
      <w:tr>
        <w:trPr>
          <w:trHeight w:val="170"/>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86"/>
        </w:trPr>
        <w:tc>
          <w:tcPr>
            <w:tcW w:w="8140" w:type="dxa"/>
            <w:vAlign w:val="bottom"/>
          </w:tcPr>
          <w:p>
            <w:pPr>
              <w:ind w:left="360"/>
              <w:spacing w:after="0"/>
              <w:rPr>
                <w:sz w:val="20"/>
                <w:szCs w:val="20"/>
                <w:color w:val="auto"/>
              </w:rPr>
            </w:pPr>
            <w:r>
              <w:rPr>
                <w:rFonts w:ascii="Arial" w:cs="Arial" w:eastAsia="Arial" w:hAnsi="Arial"/>
                <w:sz w:val="14"/>
                <w:szCs w:val="14"/>
                <w:color w:val="auto"/>
              </w:rPr>
              <w:t>Net income</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335.3</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181.1</w:t>
            </w:r>
          </w:p>
        </w:tc>
      </w:tr>
      <w:tr>
        <w:trPr>
          <w:trHeight w:val="192"/>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Adjustments to reconcile net income to net cash used in operating activities:</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86"/>
        </w:trPr>
        <w:tc>
          <w:tcPr>
            <w:tcW w:w="8140" w:type="dxa"/>
            <w:vAlign w:val="bottom"/>
          </w:tcPr>
          <w:p>
            <w:pPr>
              <w:ind w:left="680"/>
              <w:spacing w:after="0"/>
              <w:rPr>
                <w:sz w:val="20"/>
                <w:szCs w:val="20"/>
                <w:color w:val="auto"/>
              </w:rPr>
            </w:pPr>
            <w:r>
              <w:rPr>
                <w:rFonts w:ascii="Arial" w:cs="Arial" w:eastAsia="Arial" w:hAnsi="Arial"/>
                <w:sz w:val="14"/>
                <w:szCs w:val="14"/>
                <w:color w:val="auto"/>
              </w:rPr>
              <w:t>Costs related to refinancing</w:t>
            </w:r>
          </w:p>
        </w:tc>
        <w:tc>
          <w:tcPr>
            <w:tcW w:w="98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192"/>
        </w:trPr>
        <w:tc>
          <w:tcPr>
            <w:tcW w:w="81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Share-based compensation expense</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r>
      <w:tr>
        <w:trPr>
          <w:trHeight w:val="186"/>
        </w:trPr>
        <w:tc>
          <w:tcPr>
            <w:tcW w:w="8140" w:type="dxa"/>
            <w:vAlign w:val="bottom"/>
          </w:tcPr>
          <w:p>
            <w:pPr>
              <w:ind w:left="680"/>
              <w:spacing w:after="0"/>
              <w:rPr>
                <w:sz w:val="20"/>
                <w:szCs w:val="20"/>
                <w:color w:val="auto"/>
              </w:rPr>
            </w:pPr>
            <w:r>
              <w:rPr>
                <w:rFonts w:ascii="Arial" w:cs="Arial" w:eastAsia="Arial" w:hAnsi="Arial"/>
                <w:sz w:val="14"/>
                <w:szCs w:val="14"/>
                <w:color w:val="auto"/>
              </w:rPr>
              <w:t>Depreciation</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30.1</w:t>
            </w:r>
          </w:p>
        </w:tc>
      </w:tr>
      <w:tr>
        <w:trPr>
          <w:trHeight w:val="192"/>
        </w:trPr>
        <w:tc>
          <w:tcPr>
            <w:tcW w:w="81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Amortization</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r>
      <w:tr>
        <w:trPr>
          <w:trHeight w:val="186"/>
        </w:trPr>
        <w:tc>
          <w:tcPr>
            <w:tcW w:w="8140" w:type="dxa"/>
            <w:vAlign w:val="bottom"/>
          </w:tcPr>
          <w:p>
            <w:pPr>
              <w:ind w:left="680"/>
              <w:spacing w:after="0"/>
              <w:rPr>
                <w:sz w:val="20"/>
                <w:szCs w:val="20"/>
                <w:color w:val="auto"/>
              </w:rPr>
            </w:pPr>
            <w:r>
              <w:rPr>
                <w:rFonts w:ascii="Arial" w:cs="Arial" w:eastAsia="Arial" w:hAnsi="Arial"/>
                <w:sz w:val="14"/>
                <w:szCs w:val="14"/>
                <w:color w:val="auto"/>
              </w:rPr>
              <w:t>Other, net</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92"/>
        </w:trPr>
        <w:tc>
          <w:tcPr>
            <w:tcW w:w="81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Changes in assets and liabilities, net of acquired businesses:</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86"/>
        </w:trPr>
        <w:tc>
          <w:tcPr>
            <w:tcW w:w="8140" w:type="dxa"/>
            <w:vAlign w:val="bottom"/>
          </w:tcPr>
          <w:p>
            <w:pPr>
              <w:ind w:left="1120"/>
              <w:spacing w:after="0"/>
              <w:rPr>
                <w:sz w:val="20"/>
                <w:szCs w:val="20"/>
                <w:color w:val="auto"/>
              </w:rPr>
            </w:pPr>
            <w:r>
              <w:rPr>
                <w:rFonts w:ascii="Arial" w:cs="Arial" w:eastAsia="Arial" w:hAnsi="Arial"/>
                <w:sz w:val="14"/>
                <w:szCs w:val="14"/>
                <w:color w:val="auto"/>
              </w:rPr>
              <w:t>Accounts receivable</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(908.1)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(866.8)</w:t>
            </w:r>
          </w:p>
        </w:tc>
      </w:tr>
      <w:tr>
        <w:trPr>
          <w:trHeight w:val="192"/>
        </w:trPr>
        <w:tc>
          <w:tcPr>
            <w:tcW w:w="81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Inventories</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(206.7)</w:t>
            </w:r>
          </w:p>
        </w:tc>
      </w:tr>
      <w:tr>
        <w:trPr>
          <w:trHeight w:val="186"/>
        </w:trPr>
        <w:tc>
          <w:tcPr>
            <w:tcW w:w="8140" w:type="dxa"/>
            <w:vAlign w:val="bottom"/>
          </w:tcPr>
          <w:p>
            <w:pPr>
              <w:ind w:left="1120"/>
              <w:spacing w:after="0"/>
              <w:rPr>
                <w:sz w:val="20"/>
                <w:szCs w:val="20"/>
                <w:color w:val="auto"/>
              </w:rPr>
            </w:pPr>
            <w:r>
              <w:rPr>
                <w:rFonts w:ascii="Arial" w:cs="Arial" w:eastAsia="Arial" w:hAnsi="Arial"/>
                <w:sz w:val="14"/>
                <w:szCs w:val="14"/>
                <w:color w:val="auto"/>
              </w:rPr>
              <w:t>Prepaid and other assets</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(35.1)</w:t>
            </w:r>
          </w:p>
        </w:tc>
      </w:tr>
      <w:tr>
        <w:trPr>
          <w:trHeight w:val="192"/>
        </w:trPr>
        <w:tc>
          <w:tcPr>
            <w:tcW w:w="81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Accounts payable</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w:t>
            </w:r>
          </w:p>
        </w:tc>
      </w:tr>
      <w:tr>
        <w:trPr>
          <w:trHeight w:val="186"/>
        </w:trPr>
        <w:tc>
          <w:tcPr>
            <w:tcW w:w="8140" w:type="dxa"/>
            <w:vAlign w:val="bottom"/>
          </w:tcPr>
          <w:p>
            <w:pPr>
              <w:ind w:left="1120"/>
              <w:spacing w:after="0"/>
              <w:rPr>
                <w:sz w:val="20"/>
                <w:szCs w:val="20"/>
                <w:color w:val="auto"/>
              </w:rPr>
            </w:pPr>
            <w:r>
              <w:rPr>
                <w:rFonts w:ascii="Arial" w:cs="Arial" w:eastAsia="Arial" w:hAnsi="Arial"/>
                <w:sz w:val="14"/>
                <w:szCs w:val="14"/>
                <w:color w:val="auto"/>
              </w:rPr>
              <w:t>Other current liabilities</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115.4</w:t>
            </w:r>
          </w:p>
        </w:tc>
      </w:tr>
      <w:tr>
        <w:trPr>
          <w:trHeight w:val="192"/>
        </w:trPr>
        <w:tc>
          <w:tcPr>
            <w:tcW w:w="81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Other non-current items</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86"/>
        </w:trPr>
        <w:tc>
          <w:tcPr>
            <w:tcW w:w="8140" w:type="dxa"/>
            <w:vAlign w:val="bottom"/>
            <w:tcBorders>
              <w:bottom w:val="single" w:sz="8" w:color="CCEEFF"/>
            </w:tcBorders>
          </w:tcPr>
          <w:p>
            <w:pPr>
              <w:ind w:left="1120"/>
              <w:spacing w:after="0"/>
              <w:rPr>
                <w:sz w:val="20"/>
                <w:szCs w:val="20"/>
                <w:color w:val="auto"/>
              </w:rPr>
            </w:pPr>
            <w:r>
              <w:rPr>
                <w:rFonts w:ascii="Arial" w:cs="Arial" w:eastAsia="Arial" w:hAnsi="Arial"/>
                <w:sz w:val="14"/>
                <w:szCs w:val="14"/>
                <w:color w:val="auto"/>
              </w:rPr>
              <w:t>Other, net</w:t>
            </w: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r>
      <w:tr>
        <w:trPr>
          <w:trHeight w:val="183"/>
        </w:trPr>
        <w:tc>
          <w:tcPr>
            <w:tcW w:w="81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Net cash used in operating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(607.1)</w:t>
            </w:r>
          </w:p>
        </w:tc>
      </w:tr>
      <w:tr>
        <w:trPr>
          <w:trHeight w:val="199"/>
        </w:trPr>
        <w:tc>
          <w:tcPr>
            <w:tcW w:w="8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9"/>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86"/>
        </w:trPr>
        <w:tc>
          <w:tcPr>
            <w:tcW w:w="8140" w:type="dxa"/>
            <w:vAlign w:val="bottom"/>
          </w:tcPr>
          <w:p>
            <w:pPr>
              <w:ind w:left="360"/>
              <w:spacing w:after="0"/>
              <w:rPr>
                <w:sz w:val="20"/>
                <w:szCs w:val="20"/>
                <w:color w:val="auto"/>
              </w:rPr>
            </w:pPr>
            <w:r>
              <w:rPr>
                <w:rFonts w:ascii="Arial" w:cs="Arial" w:eastAsia="Arial" w:hAnsi="Arial"/>
                <w:sz w:val="14"/>
                <w:szCs w:val="14"/>
                <w:color w:val="auto"/>
              </w:rPr>
              <w:t>Proceeds from sale of long-lived assets</w:t>
            </w:r>
          </w:p>
        </w:tc>
        <w:tc>
          <w:tcPr>
            <w:tcW w:w="98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92"/>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Investments in property, plant and equipment</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r>
      <w:tr>
        <w:trPr>
          <w:trHeight w:val="186"/>
        </w:trPr>
        <w:tc>
          <w:tcPr>
            <w:tcW w:w="8140" w:type="dxa"/>
            <w:vAlign w:val="bottom"/>
          </w:tcPr>
          <w:p>
            <w:pPr>
              <w:ind w:left="360"/>
              <w:spacing w:after="0"/>
              <w:rPr>
                <w:sz w:val="20"/>
                <w:szCs w:val="20"/>
                <w:color w:val="auto"/>
              </w:rPr>
            </w:pPr>
            <w:r>
              <w:rPr>
                <w:rFonts w:ascii="Arial" w:cs="Arial" w:eastAsia="Arial" w:hAnsi="Arial"/>
                <w:sz w:val="14"/>
                <w:szCs w:val="14"/>
                <w:color w:val="auto"/>
              </w:rPr>
              <w:t>Investments in loans receivable</w:t>
            </w:r>
          </w:p>
        </w:tc>
        <w:tc>
          <w:tcPr>
            <w:tcW w:w="98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92"/>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sale of brand extension assets</w:t>
            </w:r>
          </w:p>
        </w:tc>
        <w:tc>
          <w:tcPr>
            <w:tcW w:w="9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w:t>
            </w:r>
          </w:p>
        </w:tc>
      </w:tr>
      <w:tr>
        <w:trPr>
          <w:trHeight w:val="186"/>
        </w:trPr>
        <w:tc>
          <w:tcPr>
            <w:tcW w:w="8140" w:type="dxa"/>
            <w:vAlign w:val="bottom"/>
          </w:tcPr>
          <w:p>
            <w:pPr>
              <w:ind w:left="360"/>
              <w:spacing w:after="0"/>
              <w:rPr>
                <w:sz w:val="20"/>
                <w:szCs w:val="20"/>
                <w:color w:val="auto"/>
              </w:rPr>
            </w:pPr>
            <w:r>
              <w:rPr>
                <w:rFonts w:ascii="Arial" w:cs="Arial" w:eastAsia="Arial" w:hAnsi="Arial"/>
                <w:sz w:val="14"/>
                <w:szCs w:val="14"/>
                <w:color w:val="auto"/>
              </w:rPr>
              <w:t>Investments in unconsolidated affiliates</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(100.7)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Payment for acquisitions, net of cash acquired</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investing, net</w:t>
            </w: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183"/>
        </w:trPr>
        <w:tc>
          <w:tcPr>
            <w:tcW w:w="8140" w:type="dxa"/>
            <w:vAlign w:val="bottom"/>
            <w:shd w:val="clear" w:color="auto" w:fill="CCEEFF"/>
          </w:tcPr>
          <w:p>
            <w:pPr>
              <w:ind w:left="1400"/>
              <w:spacing w:after="0"/>
              <w:rPr>
                <w:sz w:val="20"/>
                <w:szCs w:val="20"/>
                <w:color w:val="auto"/>
              </w:rPr>
            </w:pPr>
            <w:r>
              <w:rPr>
                <w:rFonts w:ascii="Arial" w:cs="Arial" w:eastAsia="Arial" w:hAnsi="Arial"/>
                <w:sz w:val="14"/>
                <w:szCs w:val="14"/>
                <w:color w:val="auto"/>
              </w:rPr>
              <w:t>Net cash provided by (used in) investing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82.1</w:t>
            </w:r>
          </w:p>
        </w:tc>
      </w:tr>
      <w:tr>
        <w:trPr>
          <w:trHeight w:val="199"/>
        </w:trPr>
        <w:tc>
          <w:tcPr>
            <w:tcW w:w="8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9"/>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86"/>
        </w:trPr>
        <w:tc>
          <w:tcPr>
            <w:tcW w:w="8140" w:type="dxa"/>
            <w:vAlign w:val="bottom"/>
          </w:tcPr>
          <w:p>
            <w:pPr>
              <w:ind w:left="360"/>
              <w:spacing w:after="0"/>
              <w:rPr>
                <w:sz w:val="20"/>
                <w:szCs w:val="20"/>
                <w:color w:val="auto"/>
              </w:rPr>
            </w:pPr>
            <w:r>
              <w:rPr>
                <w:rFonts w:ascii="Arial" w:cs="Arial" w:eastAsia="Arial" w:hAnsi="Arial"/>
                <w:sz w:val="14"/>
                <w:szCs w:val="14"/>
                <w:color w:val="auto"/>
              </w:rPr>
              <w:t>Borrowings under revolving and bank lines of credit and term loans</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1,113.7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1,089.3</w:t>
            </w:r>
          </w:p>
        </w:tc>
      </w:tr>
      <w:tr>
        <w:trPr>
          <w:trHeight w:val="192"/>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Repayments under revolving and bank lines of credit and term loans</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(469.1)</w:t>
            </w:r>
          </w:p>
        </w:tc>
      </w:tr>
      <w:tr>
        <w:trPr>
          <w:trHeight w:val="186"/>
        </w:trPr>
        <w:tc>
          <w:tcPr>
            <w:tcW w:w="8140" w:type="dxa"/>
            <w:vAlign w:val="bottom"/>
          </w:tcPr>
          <w:p>
            <w:pPr>
              <w:ind w:left="360"/>
              <w:spacing w:after="0"/>
              <w:rPr>
                <w:sz w:val="20"/>
                <w:szCs w:val="20"/>
                <w:color w:val="auto"/>
              </w:rPr>
            </w:pPr>
            <w:r>
              <w:rPr>
                <w:rFonts w:ascii="Arial" w:cs="Arial" w:eastAsia="Arial" w:hAnsi="Arial"/>
                <w:sz w:val="14"/>
                <w:szCs w:val="14"/>
                <w:color w:val="auto"/>
              </w:rPr>
              <w:t>Proceeds from issuance of 4.000% Senior Notes</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issuance of 4.500% Senior Notes</w:t>
            </w:r>
          </w:p>
        </w:tc>
        <w:tc>
          <w:tcPr>
            <w:tcW w:w="9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w:t>
            </w:r>
          </w:p>
        </w:tc>
      </w:tr>
      <w:tr>
        <w:trPr>
          <w:trHeight w:val="186"/>
        </w:trPr>
        <w:tc>
          <w:tcPr>
            <w:tcW w:w="8140" w:type="dxa"/>
            <w:vAlign w:val="bottom"/>
          </w:tcPr>
          <w:p>
            <w:pPr>
              <w:ind w:left="360"/>
              <w:spacing w:after="0"/>
              <w:rPr>
                <w:sz w:val="20"/>
                <w:szCs w:val="20"/>
                <w:color w:val="auto"/>
              </w:rPr>
            </w:pPr>
            <w:r>
              <w:rPr>
                <w:rFonts w:ascii="Arial" w:cs="Arial" w:eastAsia="Arial" w:hAnsi="Arial"/>
                <w:sz w:val="14"/>
                <w:szCs w:val="14"/>
                <w:color w:val="auto"/>
              </w:rPr>
              <w:t>Repayment of 6.000% Senior Notes</w:t>
            </w:r>
          </w:p>
        </w:tc>
        <w:tc>
          <w:tcPr>
            <w:tcW w:w="98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(400.0)</w:t>
            </w:r>
          </w:p>
        </w:tc>
      </w:tr>
      <w:tr>
        <w:trPr>
          <w:trHeight w:val="192"/>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Financing and issuance fees</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r>
      <w:tr>
        <w:trPr>
          <w:trHeight w:val="186"/>
        </w:trPr>
        <w:tc>
          <w:tcPr>
            <w:tcW w:w="8140" w:type="dxa"/>
            <w:vAlign w:val="bottom"/>
          </w:tcPr>
          <w:p>
            <w:pPr>
              <w:ind w:left="360"/>
              <w:spacing w:after="0"/>
              <w:rPr>
                <w:sz w:val="20"/>
                <w:szCs w:val="20"/>
                <w:color w:val="auto"/>
              </w:rPr>
            </w:pPr>
            <w:r>
              <w:rPr>
                <w:rFonts w:ascii="Arial" w:cs="Arial" w:eastAsia="Arial" w:hAnsi="Arial"/>
                <w:sz w:val="14"/>
                <w:szCs w:val="14"/>
                <w:color w:val="auto"/>
              </w:rPr>
              <w:t>Dividends paid</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(65.4)</w:t>
            </w:r>
          </w:p>
        </w:tc>
      </w:tr>
      <w:tr>
        <w:trPr>
          <w:trHeight w:val="192"/>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Purchase of Common Shares</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r>
      <w:tr>
        <w:trPr>
          <w:trHeight w:val="186"/>
        </w:trPr>
        <w:tc>
          <w:tcPr>
            <w:tcW w:w="8140" w:type="dxa"/>
            <w:vAlign w:val="bottom"/>
          </w:tcPr>
          <w:p>
            <w:pPr>
              <w:ind w:left="360"/>
              <w:spacing w:after="0"/>
              <w:rPr>
                <w:sz w:val="20"/>
                <w:szCs w:val="20"/>
                <w:color w:val="auto"/>
              </w:rPr>
            </w:pPr>
            <w:r>
              <w:rPr>
                <w:rFonts w:ascii="Arial" w:cs="Arial" w:eastAsia="Arial" w:hAnsi="Arial"/>
                <w:sz w:val="14"/>
                <w:szCs w:val="14"/>
                <w:color w:val="auto"/>
              </w:rPr>
              <w:t>Payments on seller notes</w:t>
            </w:r>
          </w:p>
        </w:tc>
        <w:tc>
          <w:tcPr>
            <w:tcW w:w="98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192"/>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received from exercise of stock options</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86"/>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Acquisition of noncontrolling interests</w:t>
            </w: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1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Net cash provided by financing activities</w:t>
            </w:r>
          </w:p>
        </w:tc>
        <w:tc>
          <w:tcPr>
            <w:tcW w:w="9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871.1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537.3</w:t>
            </w:r>
          </w:p>
        </w:tc>
      </w:tr>
      <w:tr>
        <w:trPr>
          <w:trHeight w:val="17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186"/>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r>
      <w:tr>
        <w:trPr>
          <w:trHeight w:val="18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r>
      <w:tr>
        <w:trPr>
          <w:trHeight w:val="20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28,</w:t>
            </w:r>
          </w:p>
        </w:tc>
        <w:tc>
          <w:tcPr>
            <w:tcW w:w="220" w:type="dxa"/>
            <w:vAlign w:val="bottom"/>
          </w:tcPr>
          <w:p>
            <w:pPr>
              <w:spacing w:after="0"/>
              <w:rPr>
                <w:sz w:val="14"/>
                <w:szCs w:val="14"/>
                <w:color w:val="auto"/>
              </w:rPr>
            </w:pPr>
          </w:p>
        </w:tc>
        <w:tc>
          <w:tcPr>
            <w:tcW w:w="1280" w:type="dxa"/>
            <w:vAlign w:val="bottom"/>
          </w:tcPr>
          <w:p>
            <w:pPr>
              <w:jc w:val="right"/>
              <w:ind w:right="21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6"/>
        </w:trPr>
        <w:tc>
          <w:tcPr>
            <w:tcW w:w="65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6520" w:type="dxa"/>
            <w:vAlign w:val="bottom"/>
          </w:tcPr>
          <w:p>
            <w:pPr>
              <w:ind w:left="528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less allowances of $12.4, $12.6 and $7.5, respectively</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0" w:type="dxa"/>
            <w:vAlign w:val="bottom"/>
          </w:tcPr>
          <w:p>
            <w:pPr>
              <w:spacing w:after="0"/>
              <w:rPr>
                <w:sz w:val="1"/>
                <w:szCs w:val="1"/>
                <w:color w:val="auto"/>
              </w:rPr>
            </w:pP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Accounts receivable pledged</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and other current assets</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1,216.6</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Investment in unconsolidated affiliates</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Property, plant and equipment, net of accumulated depreciation of $713.3, $655.7 and</w:t>
            </w:r>
          </w:p>
        </w:tc>
        <w:tc>
          <w:tcPr>
            <w:tcW w:w="3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535.4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$682.1, respectively</w:t>
            </w:r>
          </w:p>
        </w:tc>
        <w:tc>
          <w:tcPr>
            <w:tcW w:w="3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544.1</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3,380.5</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5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900" w:type="dxa"/>
            <w:vAlign w:val="bottom"/>
            <w:gridSpan w:val="2"/>
            <w:shd w:val="clear" w:color="auto" w:fill="CCEEFF"/>
          </w:tcPr>
          <w:p>
            <w:pPr>
              <w:ind w:left="4480"/>
              <w:spacing w:after="0"/>
              <w:rPr>
                <w:sz w:val="20"/>
                <w:szCs w:val="20"/>
                <w:color w:val="auto"/>
              </w:rPr>
            </w:pPr>
            <w:r>
              <w:rPr>
                <w:rFonts w:ascii="Arial" w:cs="Arial" w:eastAsia="Arial" w:hAnsi="Arial"/>
                <w:sz w:val="18"/>
                <w:szCs w:val="18"/>
                <w:b w:val="1"/>
                <w:bCs w:val="1"/>
                <w:color w:val="auto"/>
              </w:rPr>
              <w:t>LIABILITIES AND EQUITY</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debt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23"/>
        </w:trPr>
        <w:tc>
          <w:tcPr>
            <w:tcW w:w="65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950.4</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1,455.1</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2,677.6</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Commitments and contingencies (Note 11)</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520" w:type="dxa"/>
            <w:vAlign w:val="bottom"/>
          </w:tcPr>
          <w:p>
            <w:pPr>
              <w:ind w:left="360"/>
              <w:spacing w:after="0" w:line="176" w:lineRule="exact"/>
              <w:rPr>
                <w:sz w:val="20"/>
                <w:szCs w:val="20"/>
                <w:color w:val="auto"/>
              </w:rPr>
            </w:pPr>
            <w:r>
              <w:rPr>
                <w:rFonts w:ascii="Arial" w:cs="Arial" w:eastAsia="Arial" w:hAnsi="Arial"/>
                <w:sz w:val="18"/>
                <w:szCs w:val="18"/>
                <w:color w:val="auto"/>
                <w:w w:val="98"/>
              </w:rPr>
              <w:t>Common shares and capital in excess of $0.01 stated value per share; shares</w:t>
            </w:r>
          </w:p>
        </w:tc>
        <w:tc>
          <w:tcPr>
            <w:tcW w:w="3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473.0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450.5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outstanding of 55.7, 55.5 and 55.8, respectively</w:t>
            </w:r>
          </w:p>
        </w:tc>
        <w:tc>
          <w:tcPr>
            <w:tcW w:w="3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1,235.6</w:t>
            </w:r>
          </w:p>
        </w:tc>
        <w:tc>
          <w:tcPr>
            <w:tcW w:w="0" w:type="dxa"/>
            <w:vAlign w:val="bottom"/>
          </w:tcPr>
          <w:p>
            <w:pPr>
              <w:spacing w:after="0"/>
              <w:rPr>
                <w:sz w:val="1"/>
                <w:szCs w:val="1"/>
                <w:color w:val="auto"/>
              </w:rPr>
            </w:pP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Treasury shares, at cost; 12.4, 12.7 and 12.4 shares, respectively</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(921.8)</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23"/>
        </w:trPr>
        <w:tc>
          <w:tcPr>
            <w:tcW w:w="6520" w:type="dxa"/>
            <w:vAlign w:val="bottom"/>
          </w:tcPr>
          <w:p>
            <w:pPr>
              <w:ind w:left="680"/>
              <w:spacing w:after="0"/>
              <w:rPr>
                <w:sz w:val="20"/>
                <w:szCs w:val="20"/>
                <w:color w:val="auto"/>
              </w:rPr>
            </w:pPr>
            <w:r>
              <w:rPr>
                <w:rFonts w:ascii="Arial" w:cs="Arial" w:eastAsia="Arial" w:hAnsi="Arial"/>
                <w:sz w:val="18"/>
                <w:szCs w:val="18"/>
                <w:color w:val="auto"/>
              </w:rPr>
              <w:t>Total equity—controlling interest</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697.2</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equity</w:t>
            </w:r>
          </w:p>
        </w:tc>
        <w:tc>
          <w:tcPr>
            <w:tcW w:w="3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940.9</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794.6</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702.9</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equity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Scotts Miracle-Gro Company (“Scotts Miracle-Gro” or “Parent”) and its subsidiaries (collectively, together with Scotts Miracle-Gro, the “Company”) are engaged in the manufacturing, marketing and sale of products for lawn and garden care and indoor and hydroponic gardening. The Company’s products are sold in North America, Europe and Asia.</w:t>
      </w:r>
    </w:p>
    <w:p>
      <w:pPr>
        <w:spacing w:after="0" w:line="1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North America consumer lawn and garden business is highly seasonal, with more than 75% of its annual net sales occurring in the second and third fiscal quarters.</w:t>
      </w:r>
    </w:p>
    <w:p>
      <w:pPr>
        <w:spacing w:after="0" w:line="10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follows a 13-week quarterly accounting cycle pursuant to which the first three fiscal quarters end on a Saturday and the fiscal year always ends on September 30. This fiscal calendar convention requires the Company to cycle forward the first three fiscal quarter ends every six years. Fiscal 2021 is impacted by this process and, as a result, the first quarter of fiscal 2021 had five additional days and the fourth quarter of fiscal 2021 will have six fewer days compared to the respective quarters of fiscal 2020. In addition, the second quarter of fiscal 2021 ended six days later than the second quarter of fiscal 2020 and those six days fall within the Company’s peak selling season. The Company’s second quarter of fiscal 2021 ended on April 3, 2021 while the Company’s second quarter of fiscal 2020 ended on March 28, 2020.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4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Company’s unaudited condensed consolidated financial statements for the three and six months ended April 3, 2021 and March 28, 2020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On February 26, 2021, the Company acquired the remaining outstanding shares of AeroGrow International, Inc. (“AeroGrow”). Prior to this date, the equity owned by other shareholders was shown as noncontrolling interest in the Condensed Consolidated Balance Sheets, and the other shareholders’ portion of net earnings and other comprehensive income was shown as net (income) loss or comprehensive (income) loss attributable to noncontrolling interest in the Condensed Consolidated Statements of Operations and Condensed Consolidated Statements of Comprehensive Income (Loss), respectively. The results of businesses acquired or disposed of are included in the condensed consolidated financial statements from the date of each acquisition or up to the date of disposal, respectively. In the opinion of management, interim results reflect all normal and recurring adjustments and are not necessarily indicative of results for a full year.</w:t>
      </w:r>
    </w:p>
    <w:p>
      <w:pPr>
        <w:spacing w:after="0" w:line="10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GAAP have been omitted or condensed pursuant to the rules and regulations of the Securities and Exchange Commission (“SEC”). Accordingly, this Quarterly Report on Form 10-Q should be read in conjunction with Scotts Miracle-Gro’s Annual Report on Form 10-K for the fiscal year ended September 30, 2020 (the “2020 Annual Report”), which includes a complete set of footnote disclosures, including the Company’s significant accounting policies.</w:t>
      </w:r>
    </w:p>
    <w:p>
      <w:pPr>
        <w:spacing w:after="0" w:line="10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Condensed Consolidated Balance Sheet at September 30, 2020 has been derived from the Company’s audited Consolidated Balance Sheet at that date, but does not include all of the information and footnotes required by GAAP for complete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15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had non-cash investing activities of $7.9 and $3.7 during the six months ended April 3, 2021 and March 28, 2020, respectively, representing unpaid liabilities to acquire property, plant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Statements of Cash Flows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4"/>
                <w:szCs w:val="14"/>
                <w:b w:val="1"/>
                <w:bCs w:val="1"/>
                <w:color w:val="auto"/>
                <w:w w:val="90"/>
              </w:rPr>
              <w:t>Six Months Ended</w:t>
            </w:r>
          </w:p>
        </w:tc>
        <w:tc>
          <w:tcPr>
            <w:tcW w:w="4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35"/>
        </w:trPr>
        <w:tc>
          <w:tcPr>
            <w:tcW w:w="358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0" w:type="dxa"/>
            <w:vAlign w:val="bottom"/>
          </w:tcPr>
          <w:p>
            <w:pPr>
              <w:jc w:val="center"/>
              <w:ind w:left="439"/>
              <w:spacing w:after="0" w:line="135" w:lineRule="exact"/>
              <w:rPr>
                <w:sz w:val="20"/>
                <w:szCs w:val="20"/>
                <w:color w:val="auto"/>
              </w:rPr>
            </w:pPr>
            <w:r>
              <w:rPr>
                <w:rFonts w:ascii="Arial" w:cs="Arial" w:eastAsia="Arial" w:hAnsi="Arial"/>
                <w:sz w:val="14"/>
                <w:szCs w:val="14"/>
                <w:b w:val="1"/>
                <w:bCs w:val="1"/>
                <w:color w:val="auto"/>
              </w:rPr>
              <w:t>April 3,</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left="322"/>
              <w:spacing w:after="0" w:line="135" w:lineRule="exact"/>
              <w:rPr>
                <w:sz w:val="20"/>
                <w:szCs w:val="20"/>
                <w:color w:val="auto"/>
              </w:rPr>
            </w:pPr>
            <w:r>
              <w:rPr>
                <w:rFonts w:ascii="Arial" w:cs="Arial" w:eastAsia="Arial" w:hAnsi="Arial"/>
                <w:sz w:val="14"/>
                <w:szCs w:val="14"/>
                <w:b w:val="1"/>
                <w:bCs w:val="1"/>
                <w:color w:val="auto"/>
                <w:w w:val="99"/>
              </w:rPr>
              <w:t>March 28,</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8"/>
        </w:trPr>
        <w:tc>
          <w:tcPr>
            <w:tcW w:w="3580" w:type="dxa"/>
            <w:vAlign w:val="bottom"/>
          </w:tcPr>
          <w:p>
            <w:pPr>
              <w:spacing w:after="0"/>
              <w:rPr>
                <w:sz w:val="16"/>
                <w:szCs w:val="16"/>
                <w:color w:val="auto"/>
              </w:rPr>
            </w:pPr>
          </w:p>
        </w:tc>
        <w:tc>
          <w:tcPr>
            <w:tcW w:w="552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122"/>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4"/>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45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90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40.2</w:t>
            </w:r>
          </w:p>
        </w:tc>
        <w:tc>
          <w:tcPr>
            <w:tcW w:w="20" w:type="dxa"/>
            <w:vAlign w:val="bottom"/>
          </w:tcPr>
          <w:p>
            <w:pPr>
              <w:spacing w:after="0"/>
              <w:rPr>
                <w:sz w:val="19"/>
                <w:szCs w:val="19"/>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Income tax payments</w:t>
            </w:r>
          </w:p>
        </w:tc>
        <w:tc>
          <w:tcPr>
            <w:tcW w:w="4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15.4</w:t>
            </w:r>
          </w:p>
        </w:tc>
        <w:tc>
          <w:tcPr>
            <w:tcW w:w="20" w:type="dxa"/>
            <w:vAlign w:val="bottom"/>
          </w:tcPr>
          <w:p>
            <w:pPr>
              <w:spacing w:after="0"/>
              <w:rPr>
                <w:sz w:val="20"/>
                <w:szCs w:val="20"/>
                <w:color w:val="auto"/>
              </w:rPr>
            </w:pPr>
          </w:p>
        </w:tc>
      </w:tr>
      <w:tr>
        <w:trPr>
          <w:trHeight w:val="877"/>
        </w:trPr>
        <w:tc>
          <w:tcPr>
            <w:tcW w:w="3580" w:type="dxa"/>
            <w:vAlign w:val="bottom"/>
          </w:tcPr>
          <w:p>
            <w:pPr>
              <w:spacing w:after="0"/>
              <w:rPr>
                <w:sz w:val="24"/>
                <w:szCs w:val="24"/>
                <w:color w:val="auto"/>
              </w:rPr>
            </w:pPr>
          </w:p>
        </w:tc>
        <w:tc>
          <w:tcPr>
            <w:tcW w:w="4520" w:type="dxa"/>
            <w:vAlign w:val="bottom"/>
          </w:tcPr>
          <w:p>
            <w:pPr>
              <w:jc w:val="right"/>
              <w:ind w:right="2359"/>
              <w:spacing w:after="0"/>
              <w:rPr>
                <w:sz w:val="20"/>
                <w:szCs w:val="20"/>
                <w:color w:val="auto"/>
              </w:rPr>
            </w:pPr>
            <w:r>
              <w:rPr>
                <w:rFonts w:ascii="Arial" w:cs="Arial" w:eastAsia="Arial" w:hAnsi="Arial"/>
                <w:sz w:val="18"/>
                <w:szCs w:val="18"/>
                <w:color w:val="auto"/>
              </w:rPr>
              <w:t>7</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 w:name="page8"/>
    <w:bookmarkEnd w:id="7"/>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in Unconsolidated Affiliates</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Non-marketable equity investments in which the Company has the ability to exercise significant influence, but does not control, are accounted for using the equity method of accounting, with the Company’s proportionate share of the earnings and losses of these entities reflected in the Condensed Consolidated Statements of Operations. The Company evaluates its equity method investments for impairment whenever events or changes in circumstances indicate that the carrying amounts of such investments may be impaired. If a decline in the value of an equity method investment is determined to be other than temporary, an impairment loss is recognized in earnings for the amount by which the carrying amount of the investment exceeds its estimated fair value.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ACCOUNTING PRONOUNCEMENTS</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June 2016, the Financial Accounting Standards Board (“FASB”) issued Accounting Standards Update (“ASU”) No. 2016-13, “Financial Instruments - Credit Losses (Topic 326),” which changes the impairment model for most financial assets to require measurement and recognition of expected credit losses for financial assets held. The Company adopted this guidance on October 1, 2020. The adoption of this guidance did not have a material impact on the Company’s consolidated financial position, results of operations or cash flows.</w:t>
      </w:r>
    </w:p>
    <w:p>
      <w:pPr>
        <w:spacing w:after="0" w:line="119"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August 2018, the FASB issued ASU No. 2018-15, “Intangibles-Goodwill and Other-Internal-Use Software (Topic 350):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Company adopted this guidance on October 1, 2020. The adoption of this guidance did not have a material impact on the Company’s consolidated financial position, results of operations or cash flows.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ISSUED ACCOUNTING PRONOUNCEMENTS</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simplifies the accounting for income taxes by removing certain exceptions to the general principles in ASC 740 and also clarifies and amends existing guidance to improve consistent application. The provisions are effective for the Company’s financial statements no later than the fiscal year beginning October 1, 2021. The Company is continuing to assess the impact of the amended guidance.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International Business</w:t>
      </w:r>
    </w:p>
    <w:p>
      <w:pPr>
        <w:spacing w:after="0" w:line="104"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Prior to August 31, 2017, the Company operated consumer lawn and garden businesses located in Australia, Austria, Belgium, Luxembourg, Czech Republic, France, Germany, Poland and the United Kingdom (the “International Business”). On August 31, 2017, the Company completed the sale of the International Business. As a result, effective in its fourth quarter of fiscal 2017, the Company classified its results of operations for all periods presented to reflect the International Business as a discontinued operation. The sale proceeds were net of seller financing provided by the Company in the form of a $29.7 loan for seven years bearing interest at 5% for the first three years, with annual 2.5% increases thereafter. The seller financing loan receivable is recorded in the “Other assets” line in the Consolidated Balance Sheets as of April 3, 2021. The transaction also included contingent consideration with a maximum payout of $23.8 and an initial fair value of $18.2, the payment of which depends on the achievement of certain performance criteria by the International Business following the closing of the transaction through fiscal 2020. The Company has not yet established whether the International Business has achieved the performance criteria for fiscal 2020 and the recorded contingent consideration, which is based upon the best information available to the Company, will be adjusted once the results are determined. If the Company determines that the International Business has not achieved the performance criteria, the Company would be required to record a charge of approximately $18.0 in the “Income (loss) from discontinued operations, net of tax” line in the Condensed Consolidated Statements of Operations to write-off the contingent consideration receivable.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INVESTMENTS</w:t>
      </w:r>
    </w:p>
    <w:p>
      <w:pPr>
        <w:spacing w:after="0" w:line="16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On December 31, 2020, pursuant to the terms of the Contribution and Unit Purchase Agreement between the Company and Alabama Farmers Cooperative, Inc. (“AFC”), the Company acquired a 50% equity interest in the Bonnie Plants business of planting, growing, developing, manufacturing, distributing, marketing, and selling live plants, plant food, fertilizer and potting soil through a newly formed joint venture with AFC (“Bonnie Plants, LLC”) in exchange for a cash payment of $100.7, as well as non-cash investing activities that included forgiveness of the Company’s outstanding loan receivable with AFC and surrender of the Company’s options to increase its economic interest in the Bonnie Plants business. The Company’s loan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 w:name="page9"/>
    <w:bookmarkEnd w:id="8"/>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receivable with AFC, which was previously recognized in the “Other assets” line in the Condensed Consolidated Balance Sheets, had a carrying value of $66.4 on December 31, 2020 and the Company recognized a gain of $12.5 during the three months ended January 2, 2021 to write-up the value of the loan to its closing date fair value of $78.9 in the “Other non-operating income, net” line in the Condensed Consolidated Statements of Operations. The Company’s options to increase its economic interest in the Bonnie Plants business were previously recognized in the “Other assets” line in the Condensed Consolidated Balance Sheets and had an estimated fair value of $23.3 on December 31, 2020. The Company’s interest in Bonnie Plants, LLC had an initial fair value of $202.9 and is recorded in the “Investment in unconsolidated affiliates” line in the Condensed Consolidated Balance Sheets. The Company’s interest is accounted for using the equity method of accounting, with the Company’s proportionate share of Bonnie Plants, LLC earnings subsequent to December 31, 2020 reflected in the Condensed Consolidated Statements of Operations. The estimated fair value of the loan receivable with AFC was determined using an income-based approach, which includes market participant expectations of cash flows over the remaining useful life discounted to present value using an appropriate discount rate. The fair value estimate utilized significant unobservable inputs and thus represents a Level 3 nonrecurring fair value measurement.</w:t>
      </w:r>
    </w:p>
    <w:p>
      <w:pPr>
        <w:spacing w:after="0" w:line="10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On November 11, 2020, the Company entered into an agreement and plan of merger to acquire the remaining outstanding shares of AeroGrow for cash consideration of $3.00 per share, or approximately $20.1. The merger closed on February 26, 2021. Prior to closing, SMG Growing Media, Inc., a wholly-owned subsidiary of Scotts Miracle-Gro, was the holder of 80.5% of the outstanding shares of AeroGrow. The closing date carrying value of the noncontrolling interest was $6.7 and the $13.4 difference between the purchase price and carrying value was recognized in the “Common shares and capital in excess of $0.01 stated value per share” line within “Total equity—controlling interest” in the Condensed Consolidated Balance Sheets.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RESTRUCTURING AND OTHER</w:t>
      </w:r>
    </w:p>
    <w:p>
      <w:pPr>
        <w:spacing w:after="0" w:line="14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“Impairment, restructuring and other” and “Income (loss) from discontinued operations, net of tax” lines in the Condensed Consolidated Statements of Operations. The following table details impairment, restructuring and other charges (recoveries) for each of the periods presented:</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140" w:type="dxa"/>
            <w:vAlign w:val="bottom"/>
            <w:gridSpan w:val="4"/>
          </w:tcPr>
          <w:p>
            <w:pPr>
              <w:ind w:left="400"/>
              <w:spacing w:after="0"/>
              <w:rPr>
                <w:sz w:val="20"/>
                <w:szCs w:val="20"/>
                <w:color w:val="auto"/>
              </w:rPr>
            </w:pPr>
            <w:r>
              <w:rPr>
                <w:rFonts w:ascii="Arial" w:cs="Arial" w:eastAsia="Arial" w:hAnsi="Arial"/>
                <w:sz w:val="14"/>
                <w:szCs w:val="14"/>
                <w:b w:val="1"/>
                <w:bCs w:val="1"/>
                <w:color w:val="auto"/>
              </w:rPr>
              <w:t>Six Months Ended</w:t>
            </w:r>
          </w:p>
        </w:tc>
      </w:tr>
      <w:tr>
        <w:trPr>
          <w:trHeight w:val="134"/>
        </w:trPr>
        <w:tc>
          <w:tcPr>
            <w:tcW w:w="64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April 3,</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4"/>
              <w:spacing w:after="0" w:line="135" w:lineRule="exact"/>
              <w:rPr>
                <w:sz w:val="20"/>
                <w:szCs w:val="20"/>
                <w:color w:val="auto"/>
              </w:rPr>
            </w:pPr>
            <w:r>
              <w:rPr>
                <w:rFonts w:ascii="Arial" w:cs="Arial" w:eastAsia="Arial" w:hAnsi="Arial"/>
                <w:sz w:val="14"/>
                <w:szCs w:val="14"/>
                <w:b w:val="1"/>
                <w:bCs w:val="1"/>
                <w:color w:val="auto"/>
                <w:w w:val="99"/>
              </w:rPr>
              <w:t>March 28,</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April 3,</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4"/>
              <w:spacing w:after="0" w:line="135" w:lineRule="exact"/>
              <w:rPr>
                <w:sz w:val="20"/>
                <w:szCs w:val="20"/>
                <w:color w:val="auto"/>
              </w:rPr>
            </w:pPr>
            <w:r>
              <w:rPr>
                <w:rFonts w:ascii="Arial" w:cs="Arial" w:eastAsia="Arial" w:hAnsi="Arial"/>
                <w:sz w:val="14"/>
                <w:szCs w:val="14"/>
                <w:b w:val="1"/>
                <w:bCs w:val="1"/>
                <w:color w:val="auto"/>
                <w:w w:val="99"/>
              </w:rPr>
              <w:t>March 28,</w:t>
            </w:r>
          </w:p>
        </w:tc>
      </w:tr>
      <w:tr>
        <w:trPr>
          <w:trHeight w:val="188"/>
        </w:trPr>
        <w:tc>
          <w:tcPr>
            <w:tcW w:w="64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r>
      <w:tr>
        <w:trPr>
          <w:trHeight w:val="211"/>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Cost of sales—impairment, restructuring and other:</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6400" w:type="dxa"/>
            <w:vAlign w:val="bottom"/>
          </w:tcPr>
          <w:p>
            <w:pPr>
              <w:ind w:left="200"/>
              <w:spacing w:after="0"/>
              <w:rPr>
                <w:sz w:val="20"/>
                <w:szCs w:val="20"/>
                <w:color w:val="auto"/>
              </w:rPr>
            </w:pPr>
            <w:r>
              <w:rPr>
                <w:rFonts w:ascii="Arial" w:cs="Arial" w:eastAsia="Arial" w:hAnsi="Arial"/>
                <w:sz w:val="18"/>
                <w:szCs w:val="18"/>
                <w:color w:val="auto"/>
              </w:rPr>
              <w:t>COVID-19 related costs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center"/>
              <w:ind w:left="474"/>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center"/>
              <w:ind w:left="474"/>
              <w:spacing w:after="0"/>
              <w:rPr>
                <w:sz w:val="20"/>
                <w:szCs w:val="20"/>
                <w:color w:val="auto"/>
              </w:rPr>
            </w:pPr>
            <w:r>
              <w:rPr>
                <w:rFonts w:ascii="Arial" w:cs="Arial" w:eastAsia="Arial" w:hAnsi="Arial"/>
                <w:sz w:val="18"/>
                <w:szCs w:val="18"/>
                <w:color w:val="auto"/>
                <w:w w:val="87"/>
              </w:rPr>
              <w:t>3.1</w:t>
            </w:r>
          </w:p>
        </w:tc>
      </w:tr>
      <w:tr>
        <w:trPr>
          <w:trHeight w:val="230"/>
        </w:trPr>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and other charges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474"/>
              <w:spacing w:after="0"/>
              <w:rPr>
                <w:sz w:val="20"/>
                <w:szCs w:val="20"/>
                <w:color w:val="auto"/>
              </w:rPr>
            </w:pPr>
            <w:r>
              <w:rPr>
                <w:rFonts w:ascii="Arial" w:cs="Arial" w:eastAsia="Arial" w:hAnsi="Arial"/>
                <w:sz w:val="18"/>
                <w:szCs w:val="18"/>
                <w:color w:val="auto"/>
                <w:w w:val="87"/>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474"/>
              <w:spacing w:after="0"/>
              <w:rPr>
                <w:sz w:val="20"/>
                <w:szCs w:val="20"/>
                <w:color w:val="auto"/>
              </w:rPr>
            </w:pPr>
            <w:r>
              <w:rPr>
                <w:rFonts w:ascii="Arial" w:cs="Arial" w:eastAsia="Arial" w:hAnsi="Arial"/>
                <w:sz w:val="18"/>
                <w:szCs w:val="18"/>
                <w:color w:val="auto"/>
                <w:w w:val="87"/>
              </w:rPr>
              <w:t>0.5</w:t>
            </w: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COVID-19 related costs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474"/>
              <w:spacing w:after="0"/>
              <w:rPr>
                <w:sz w:val="20"/>
                <w:szCs w:val="20"/>
                <w:color w:val="auto"/>
              </w:rPr>
            </w:pPr>
            <w:r>
              <w:rPr>
                <w:rFonts w:ascii="Arial" w:cs="Arial" w:eastAsia="Arial" w:hAnsi="Arial"/>
                <w:sz w:val="18"/>
                <w:szCs w:val="18"/>
                <w:color w:val="auto"/>
                <w:w w:val="87"/>
              </w:rPr>
              <w:t>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474"/>
              <w:spacing w:after="0"/>
              <w:rPr>
                <w:sz w:val="20"/>
                <w:szCs w:val="20"/>
                <w:color w:val="auto"/>
              </w:rPr>
            </w:pPr>
            <w:r>
              <w:rPr>
                <w:rFonts w:ascii="Arial" w:cs="Arial" w:eastAsia="Arial" w:hAnsi="Arial"/>
                <w:sz w:val="18"/>
                <w:szCs w:val="18"/>
                <w:color w:val="auto"/>
                <w:w w:val="87"/>
              </w:rPr>
              <w:t>0.7</w:t>
            </w:r>
          </w:p>
        </w:tc>
      </w:tr>
      <w:tr>
        <w:trPr>
          <w:trHeight w:val="230"/>
        </w:trPr>
        <w:tc>
          <w:tcPr>
            <w:tcW w:w="6400" w:type="dxa"/>
            <w:vAlign w:val="bottom"/>
          </w:tcPr>
          <w:p>
            <w:pPr>
              <w:ind w:left="200"/>
              <w:spacing w:after="0"/>
              <w:rPr>
                <w:sz w:val="20"/>
                <w:szCs w:val="20"/>
                <w:color w:val="auto"/>
              </w:rPr>
            </w:pPr>
            <w:r>
              <w:rPr>
                <w:rFonts w:ascii="Arial" w:cs="Arial" w:eastAsia="Arial" w:hAnsi="Arial"/>
                <w:sz w:val="18"/>
                <w:szCs w:val="18"/>
                <w:color w:val="auto"/>
              </w:rPr>
              <w:t>Restructuring and other charges (recoveries), net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left="434"/>
              <w:spacing w:after="0"/>
              <w:rPr>
                <w:sz w:val="20"/>
                <w:szCs w:val="20"/>
                <w:color w:val="auto"/>
              </w:rPr>
            </w:pPr>
            <w:r>
              <w:rPr>
                <w:rFonts w:ascii="Arial" w:cs="Arial" w:eastAsia="Arial" w:hAnsi="Arial"/>
                <w:sz w:val="18"/>
                <w:szCs w:val="18"/>
                <w:color w:val="auto"/>
                <w:w w:val="91"/>
              </w:rPr>
              <w:t>(0.4)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center"/>
              <w:ind w:left="454"/>
              <w:spacing w:after="0"/>
              <w:rPr>
                <w:sz w:val="20"/>
                <w:szCs w:val="20"/>
                <w:color w:val="auto"/>
              </w:rPr>
            </w:pPr>
            <w:r>
              <w:rPr>
                <w:rFonts w:ascii="Arial" w:cs="Arial" w:eastAsia="Arial" w:hAnsi="Arial"/>
                <w:sz w:val="18"/>
                <w:szCs w:val="18"/>
                <w:color w:val="auto"/>
                <w:w w:val="97"/>
              </w:rPr>
              <w:t>(2.9)</w:t>
            </w:r>
          </w:p>
        </w:tc>
      </w:tr>
      <w:tr>
        <w:trPr>
          <w:trHeight w:val="223"/>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 restructuring and other charges from continuing operations</w:t>
            </w: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center"/>
              <w:ind w:left="474"/>
              <w:spacing w:after="0"/>
              <w:rPr>
                <w:sz w:val="20"/>
                <w:szCs w:val="20"/>
                <w:color w:val="auto"/>
              </w:rPr>
            </w:pPr>
            <w:r>
              <w:rPr>
                <w:rFonts w:ascii="Arial" w:cs="Arial" w:eastAsia="Arial" w:hAnsi="Arial"/>
                <w:sz w:val="18"/>
                <w:szCs w:val="18"/>
                <w:color w:val="auto"/>
                <w:w w:val="87"/>
              </w:rPr>
              <w:t>3.7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center"/>
              <w:ind w:left="474"/>
              <w:spacing w:after="0"/>
              <w:rPr>
                <w:sz w:val="20"/>
                <w:szCs w:val="20"/>
                <w:color w:val="auto"/>
              </w:rPr>
            </w:pPr>
            <w:r>
              <w:rPr>
                <w:rFonts w:ascii="Arial" w:cs="Arial" w:eastAsia="Arial" w:hAnsi="Arial"/>
                <w:sz w:val="18"/>
                <w:szCs w:val="18"/>
                <w:color w:val="auto"/>
                <w:w w:val="87"/>
              </w:rPr>
              <w:t>1.4</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Restructuring and other charges (recoveries), net, from discontinued operations</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center"/>
              <w:ind w:left="434"/>
              <w:spacing w:after="0"/>
              <w:rPr>
                <w:sz w:val="20"/>
                <w:szCs w:val="20"/>
                <w:color w:val="auto"/>
              </w:rPr>
            </w:pPr>
            <w:r>
              <w:rPr>
                <w:rFonts w:ascii="Arial" w:cs="Arial" w:eastAsia="Arial" w:hAnsi="Arial"/>
                <w:sz w:val="18"/>
                <w:szCs w:val="18"/>
                <w:color w:val="auto"/>
                <w:w w:val="91"/>
              </w:rPr>
              <w:t>(3.1)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center"/>
              <w:ind w:left="454"/>
              <w:spacing w:after="0"/>
              <w:rPr>
                <w:sz w:val="20"/>
                <w:szCs w:val="20"/>
                <w:color w:val="auto"/>
              </w:rPr>
            </w:pPr>
            <w:r>
              <w:rPr>
                <w:rFonts w:ascii="Arial" w:cs="Arial" w:eastAsia="Arial" w:hAnsi="Arial"/>
                <w:sz w:val="18"/>
                <w:szCs w:val="18"/>
                <w:color w:val="auto"/>
                <w:w w:val="97"/>
              </w:rPr>
              <w:t>(3.1)</w:t>
            </w:r>
          </w:p>
        </w:tc>
      </w:tr>
      <w:tr>
        <w:trPr>
          <w:trHeight w:val="248"/>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impairment, restructuring and other charges (recoveries)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center"/>
              <w:ind w:left="474"/>
              <w:spacing w:after="0"/>
              <w:rPr>
                <w:sz w:val="20"/>
                <w:szCs w:val="20"/>
                <w:color w:val="auto"/>
              </w:rPr>
            </w:pPr>
            <w:r>
              <w:rPr>
                <w:rFonts w:ascii="Arial" w:cs="Arial" w:eastAsia="Arial" w:hAnsi="Arial"/>
                <w:sz w:val="18"/>
                <w:szCs w:val="18"/>
                <w:color w:val="auto"/>
                <w:w w:val="87"/>
              </w:rPr>
              <w:t>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center"/>
              <w:ind w:left="454"/>
              <w:spacing w:after="0"/>
              <w:rPr>
                <w:sz w:val="20"/>
                <w:szCs w:val="20"/>
                <w:color w:val="auto"/>
              </w:rPr>
            </w:pPr>
            <w:r>
              <w:rPr>
                <w:rFonts w:ascii="Arial" w:cs="Arial" w:eastAsia="Arial" w:hAnsi="Arial"/>
                <w:sz w:val="18"/>
                <w:szCs w:val="18"/>
                <w:color w:val="auto"/>
                <w:w w:val="97"/>
              </w:rPr>
              <w:t>(1.7)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activity related to liabilities associated with restructuring and other during the six months ended April 3, 2021:</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accrued for restructuring and other at September 30, 2020</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Restructuring and other charges from continuing operations</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and other</w:t>
            </w: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23"/>
        </w:trPr>
        <w:tc>
          <w:tcPr>
            <w:tcW w:w="9740" w:type="dxa"/>
            <w:vAlign w:val="bottom"/>
          </w:tcPr>
          <w:p>
            <w:pPr>
              <w:ind w:left="20"/>
              <w:spacing w:after="0"/>
              <w:rPr>
                <w:sz w:val="20"/>
                <w:szCs w:val="20"/>
                <w:color w:val="auto"/>
              </w:rPr>
            </w:pPr>
            <w:r>
              <w:rPr>
                <w:rFonts w:ascii="Arial" w:cs="Arial" w:eastAsia="Arial" w:hAnsi="Arial"/>
                <w:sz w:val="18"/>
                <w:szCs w:val="18"/>
                <w:color w:val="auto"/>
              </w:rPr>
              <w:t>Amounts accrued for restructuring and other at April 3, 2021</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1"/>
        </w:trPr>
        <w:tc>
          <w:tcPr>
            <w:tcW w:w="9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Included in restructuring accruals, as of April 3, 2021, is $1.1 that is classified as long-term. Payments against the long-term accruals will be incurred as the employees covered by the restructuring plan retire or through the passage of time. The remaining amounts accrued will continue to be paid out over the course of the next twelve months.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COVID-19</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World Health Organization recognized COVID-19 as a public health emergency of international concern on January 30, 2020 and as a global pandemic on March 11, 2020. In response to the COVID-19 pandemic, the Company has implemented additional measures intended to both protect the health and safety of its employees and maintain its ability to provide products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 w:name="page10"/>
    <w:bookmarkEnd w:id="9"/>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its customers, including (i) requiring a significant part of its workforce to work from home, (ii) monitoring its employees for COVID-19 symptoms, (iii) making additional personal protective equipment available to its operations team, (iv) requiring all manufacturing and warehousing associates to take their temperatures before beginning a shift, (v) modifying work methods and schedules of its manufacturing and field associates to create distance or add barriers between associates, consumers and others, (vi) expanding cleaning efforts at its operation centers, (vii) modifying attendance policies so that associates may elect to stay home if they have symptoms, (viii) prioritizing production for goods that are more essential to its customers and (ix) implementing an interim premium pay allowance for certain associates in its field sales force or working in manufacturing or distribution centers. During the three and six months ended April 3, 2021, the Company incurred costs of $14.9 and $24.2, respectively, associated with the COVID-19 pandemic primarily related to premium pay. The Company incurred costs of $10.7 and $19.0 in its U.S. Consumer segment, $1.5 and $1.9 in its Hawthorne segment and $0.1 in its Other segment in the “Cost of sales—impairment, restructuring and other” line in the Condensed Consolidated Statements of Operations during the three and six months ended April 3, 2021, respectively. The Company incurred costs of $2.6 and $3.2 in its U.S. Consumer segment in the “Impairment, restructuring and other” line in the Condensed Consolidated Statements of Operations during the three and six months ended April 3, 2021, respectively. Since the inception of the COVID-19 pandemic, total costs classified within the “Cost of sales—impairment, restructuring and other” and the “Impairment, restructuring and other” lines in the Condensed Consolidated Statements of Operations are $38.4 for the U.S. Consumer segment, $4.5 for the Hawthorne segment and $0.7 for the Other segment.</w:t>
      </w:r>
    </w:p>
    <w:p>
      <w:pPr>
        <w:spacing w:after="0" w:line="103"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During the three and six months ended March 28, 2020, the Company incurred costs of $3.8 associated with the COVID-19 pandemic primarily related to premium pay and incremental cleaning costs. The Company incurred costs of $2.6 in its U.S. Consumer segment and $0.5 in its Hawthorne segment in the “Cost of sales—impairment, restructuring and other” line in the Condensed Consolidated Statements of Operations during the three and six months ended March 28, 2020. The Company incurred costs of $0.7 in its U.S. Consumer segment in the “Impairment, restructuring and other” line in the Condensed Consolidated Statements of Operations during the three and six months ended March 28, 2020.</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Project Catalyst</w:t>
      </w:r>
    </w:p>
    <w:p>
      <w:pPr>
        <w:spacing w:after="0" w:line="14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connection with the acquisition of Sunlight Supply during the third quarter of fiscal 2018, the Company announced the launch of an initiative called Project Catalyst, which is a company-wide restructuring effort to reduce operating costs throughout the U.S. Consumer, Hawthorne and Other segments and drive synergies from acquisitions within the Hawthorne segment. Costs incurred during the three and six months ended April 3, 2021 and March 28, 2020 related to Project Catalyst were not material. Costs incurred to date since the inception of Project Catalyst are $25.1 for the Hawthorne segment, $14.0 for the U.S. Consumer segment, $1.3 for the Other segment and $2.8 for Corporate. Additionally, during the three and six months ended March 28, 2020, the Company received zero and $2.6, respectively, from the final settlement of escrow funds related to a previous acquisition within the Hawthorne segment that was recognized in the “Impairment, restructuring and other” line in the Condensed Consolidated Statements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3,</w:t>
            </w: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w:t>
            </w:r>
          </w:p>
        </w:tc>
        <w:tc>
          <w:tcPr>
            <w:tcW w:w="200" w:type="dxa"/>
            <w:vAlign w:val="bottom"/>
          </w:tcPr>
          <w:p>
            <w:pPr>
              <w:spacing w:after="0"/>
              <w:rPr>
                <w:sz w:val="14"/>
                <w:szCs w:val="14"/>
                <w:color w:val="auto"/>
              </w:rPr>
            </w:pPr>
          </w:p>
        </w:tc>
        <w:tc>
          <w:tcPr>
            <w:tcW w:w="1300" w:type="dxa"/>
            <w:vAlign w:val="bottom"/>
          </w:tcPr>
          <w:p>
            <w:pPr>
              <w:jc w:val="right"/>
              <w:ind w:right="236"/>
              <w:spacing w:after="0"/>
              <w:rPr>
                <w:sz w:val="20"/>
                <w:szCs w:val="20"/>
                <w:color w:val="auto"/>
              </w:rPr>
            </w:pPr>
            <w:r>
              <w:rPr>
                <w:rFonts w:ascii="Arial" w:cs="Arial" w:eastAsia="Arial" w:hAnsi="Arial"/>
                <w:sz w:val="14"/>
                <w:szCs w:val="14"/>
                <w:b w:val="1"/>
                <w:bCs w:val="1"/>
                <w:color w:val="auto"/>
              </w:rPr>
              <w:t>September 30,</w:t>
            </w:r>
          </w:p>
        </w:tc>
      </w:tr>
      <w:tr>
        <w:trPr>
          <w:trHeight w:val="188"/>
        </w:trPr>
        <w:tc>
          <w:tcPr>
            <w:tcW w:w="65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r>
      <w:tr>
        <w:trPr>
          <w:trHeight w:val="224"/>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164.8</w:t>
            </w: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621.9</w:t>
            </w:r>
          </w:p>
        </w:tc>
      </w:tr>
      <w:tr>
        <w:trPr>
          <w:trHeight w:val="20"/>
        </w:trPr>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Adjustments to reflect inventories at net realizable values were $21.4 at April 3, 2021, $12.5 at March 28, 2020 and $31.3 at September 30, 2020.</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MARKETING AGREEMENT</w:t>
      </w:r>
    </w:p>
    <w:p>
      <w:pPr>
        <w:spacing w:after="0" w:line="148"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7"/>
          <w:szCs w:val="17"/>
          <w:color w:val="auto"/>
        </w:rPr>
        <w:t>The Scotts Company LLC (“Scotts LLC”) is the exclusive agent of Monsanto Company, a subsidiary of Bayer AG (“Monsanto”), for the marketing and distribution of certain of Monsanto’s consumer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branded products in the United States and certain other specified countries. Effective August 1, 2019, the Company entered into the Third Amended and Restated Exclusive Agency and Marketing Agreement (the “Third Restated Agreement”) which amended, among other things, the provisions of the Second Amended and Restated Exclusive Agency and Marketing Agreement (the “Restated Marketing Agreement”) relating to commissions, contributions, noncompetition, and termination. The annual commission payable under the Third Restated Agreement is equal to 50% of the actual earnings before interest and income taxes of Monsanto’s consumer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 w:name="page11"/>
    <w:bookmarkEnd w:id="10"/>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85" w:lineRule="exact"/>
        <w:rPr>
          <w:sz w:val="20"/>
          <w:szCs w:val="20"/>
          <w:color w:val="auto"/>
        </w:rPr>
      </w:pPr>
    </w:p>
    <w:p>
      <w:pPr>
        <w:jc w:val="both"/>
        <w:ind w:right="20"/>
        <w:spacing w:after="0" w:line="228" w:lineRule="auto"/>
        <w:rPr>
          <w:sz w:val="20"/>
          <w:szCs w:val="20"/>
          <w:color w:val="auto"/>
        </w:rPr>
      </w:pPr>
      <w:r>
        <w:rPr>
          <w:rFonts w:ascii="Arial" w:cs="Arial" w:eastAsia="Arial" w:hAnsi="Arial"/>
          <w:sz w:val="17"/>
          <w:szCs w:val="17"/>
          <w:color w:val="auto"/>
        </w:rPr>
        <w:t>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business in the markets covered by the Third Restated Agreement (“Program EBIT”). The Third Restated Agreement also requires the Company to make annual payments of $18.0 to Monsanto as a contribution against the overall expenses of its consumer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business, subject to reduction pursuant to the Third Restated Agreement for any program year in which the Program EBIT does not equal or exceed $36.0.</w:t>
      </w:r>
    </w:p>
    <w:p>
      <w:pPr>
        <w:spacing w:after="0" w:line="12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Unless Monsanto terminates the Third Restated Agreement due to an event of default by the Company, termination rights under the Third Restated Agreement include the following:</w:t>
      </w:r>
    </w:p>
    <w:p>
      <w:pPr>
        <w:spacing w:after="0" w:line="103" w:lineRule="exact"/>
        <w:rPr>
          <w:sz w:val="20"/>
          <w:szCs w:val="20"/>
          <w:color w:val="auto"/>
        </w:rPr>
      </w:pPr>
    </w:p>
    <w:p>
      <w:pPr>
        <w:ind w:left="660" w:hanging="328"/>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may terminate the Third Restated Agreement (i) for any reason effective as of September 30, 2022 by delivery of notice of termination to Monsanto on January 15, 2021 (a “Convenience Termination”) or (ii) upon the insolvency or bankruptcy of Monsanto;</w:t>
      </w:r>
    </w:p>
    <w:p>
      <w:pPr>
        <w:spacing w:after="0" w:line="78" w:lineRule="exact"/>
        <w:rPr>
          <w:rFonts w:ascii="Arial" w:cs="Arial" w:eastAsia="Arial" w:hAnsi="Arial"/>
          <w:sz w:val="17"/>
          <w:szCs w:val="17"/>
          <w:color w:val="auto"/>
        </w:rPr>
      </w:pPr>
    </w:p>
    <w:p>
      <w:pPr>
        <w:jc w:val="both"/>
        <w:ind w:left="66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Monsanto may terminate the Third Restated Agreement in the event that Monsanto decides to decommission the permits, licenses and registrations needed for, and the trademarks, trade names, packages, copyrights and designs used in, the sale of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in the lawn and garden market (a “Brand Decommissioning Termination”); and</w:t>
      </w:r>
    </w:p>
    <w:p>
      <w:pPr>
        <w:spacing w:after="0" w:line="1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party may terminate the Third Restated Agreement if Program EBIT falls below $50.0 and, in such case, no termination fee would be payable to either party.</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January 15, 2021, the Company declined to exercise its Convenience Termination right.</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termination fee structure requires Monsanto to pay a termination fee to the Company in an amount equal to (i) $175.0 upon a Convenience Termination, which the Company declined to exercise, (ii) $375.0 upon a Brand Decommissioning Termination, and (iii) the greater of $175.0 or four times an amount equal to the average of the Program EBIT for the three program years before the year of termination, minus $186.4, if Monsanto or its successor terminates the Third Restated Agreement as a result of a Roundup Sale or Change of Control of Monsanto (each, as defined in the Third Restated Agreement).</w:t>
      </w:r>
    </w:p>
    <w:p>
      <w:pPr>
        <w:spacing w:after="0" w:line="107" w:lineRule="exact"/>
        <w:rPr>
          <w:sz w:val="20"/>
          <w:szCs w:val="20"/>
          <w:color w:val="auto"/>
        </w:rPr>
      </w:pPr>
    </w:p>
    <w:p>
      <w:pPr>
        <w:jc w:val="both"/>
        <w:ind w:firstLine="405"/>
        <w:spacing w:after="0" w:line="280" w:lineRule="auto"/>
        <w:rPr>
          <w:sz w:val="20"/>
          <w:szCs w:val="20"/>
          <w:color w:val="auto"/>
        </w:rPr>
      </w:pPr>
      <w:r>
        <w:rPr>
          <w:rFonts w:ascii="Arial" w:cs="Arial" w:eastAsia="Arial" w:hAnsi="Arial"/>
          <w:sz w:val="16"/>
          <w:szCs w:val="16"/>
          <w:color w:val="auto"/>
        </w:rPr>
        <w:t>In connection with the signing of the Third Restated Agreement, the Company also entered into the Brand Extension Agreement Asset Purchase Agreement (the “BEA Purchase Agreement”). The BEA Purchase Agreement provides for the sale by the Company to Monsanto of specified assets related to, among other things, the development, manufacture, production, advertising, marketing, promotion, distribution, importation, exportation, offer for sale and sale of specified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branded products sold outside the non-selective weedkiller category within the residential lawn and garden market. The consideration paid by Monsanto was $112.0 plus the value of finished goods inventory of $3.5. This consideration receivable was recorded in the “Prepaid and other current assets” line in the Consolidated Balance Sheets until it was received by the Company on January 13, 2020. The carrying value of the assets sold included the brand extension agreement intangible asset with a carrying value of $111.7.</w:t>
      </w:r>
    </w:p>
    <w:p>
      <w:pPr>
        <w:spacing w:after="0" w:line="10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8"/>
          <w:szCs w:val="18"/>
          <w:color w:val="auto"/>
        </w:rPr>
        <w:t>The elements of the net commission and reimbursements earned under the Restated Marketing Agreement and Third Restated Agreement and included in the “Net sales” line in the Condensed Consolidated Statements of Operations are as follows:</w:t>
      </w: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280" w:type="dxa"/>
            <w:vAlign w:val="bottom"/>
            <w:gridSpan w:val="4"/>
          </w:tcPr>
          <w:p>
            <w:pPr>
              <w:ind w:left="460"/>
              <w:spacing w:after="0"/>
              <w:rPr>
                <w:sz w:val="20"/>
                <w:szCs w:val="20"/>
                <w:color w:val="auto"/>
              </w:rPr>
            </w:pPr>
            <w:r>
              <w:rPr>
                <w:rFonts w:ascii="Arial" w:cs="Arial" w:eastAsia="Arial" w:hAnsi="Arial"/>
                <w:sz w:val="14"/>
                <w:szCs w:val="14"/>
                <w:b w:val="1"/>
                <w:bCs w:val="1"/>
                <w:color w:val="auto"/>
              </w:rPr>
              <w:t>Six Months Ended</w:t>
            </w:r>
          </w:p>
        </w:tc>
      </w:tr>
      <w:tr>
        <w:trPr>
          <w:trHeight w:val="135"/>
        </w:trPr>
        <w:tc>
          <w:tcPr>
            <w:tcW w:w="6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April 3,</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ind w:left="80"/>
              <w:spacing w:after="0" w:line="135" w:lineRule="exact"/>
              <w:rPr>
                <w:sz w:val="20"/>
                <w:szCs w:val="20"/>
                <w:color w:val="auto"/>
              </w:rPr>
            </w:pPr>
            <w:r>
              <w:rPr>
                <w:rFonts w:ascii="Arial" w:cs="Arial" w:eastAsia="Arial" w:hAnsi="Arial"/>
                <w:sz w:val="14"/>
                <w:szCs w:val="14"/>
                <w:b w:val="1"/>
                <w:bCs w:val="1"/>
                <w:color w:val="auto"/>
              </w:rPr>
              <w:t>March 28,</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April 3,</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ind w:left="80"/>
              <w:spacing w:after="0" w:line="135" w:lineRule="exact"/>
              <w:rPr>
                <w:sz w:val="20"/>
                <w:szCs w:val="20"/>
                <w:color w:val="auto"/>
              </w:rPr>
            </w:pPr>
            <w:r>
              <w:rPr>
                <w:rFonts w:ascii="Arial" w:cs="Arial" w:eastAsia="Arial" w:hAnsi="Arial"/>
                <w:sz w:val="14"/>
                <w:szCs w:val="14"/>
                <w:b w:val="1"/>
                <w:bCs w:val="1"/>
                <w:color w:val="auto"/>
              </w:rPr>
              <w:t>March 28,</w:t>
            </w:r>
          </w:p>
        </w:tc>
      </w:tr>
      <w:tr>
        <w:trPr>
          <w:trHeight w:val="188"/>
        </w:trPr>
        <w:tc>
          <w:tcPr>
            <w:tcW w:w="6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2020</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commission</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42.1</w:t>
            </w: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Contribution expenses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7"/>
              </w:rPr>
              <w:t>(4.5)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7"/>
              </w:rPr>
              <w:t>(4.5)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7"/>
              </w:rPr>
              <w:t>(9.0)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7"/>
              </w:rPr>
              <w:t>(9.0)</w:t>
            </w:r>
          </w:p>
        </w:tc>
      </w:tr>
      <w:tr>
        <w:trPr>
          <w:trHeight w:val="223"/>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commission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33.1</w:t>
            </w:r>
          </w:p>
        </w:tc>
      </w:tr>
      <w:tr>
        <w:trPr>
          <w:trHeight w:val="230"/>
        </w:trPr>
        <w:tc>
          <w:tcPr>
            <w:tcW w:w="61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Reimbursements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30.3</w:t>
            </w:r>
          </w:p>
        </w:tc>
      </w:tr>
      <w:tr>
        <w:trPr>
          <w:trHeight w:val="248"/>
        </w:trPr>
        <w:tc>
          <w:tcPr>
            <w:tcW w:w="6100" w:type="dxa"/>
            <w:vAlign w:val="bottom"/>
            <w:tcBorders>
              <w:bottom w:val="single" w:sz="8" w:color="CCEEFF"/>
            </w:tcBorders>
            <w:shd w:val="clear" w:color="auto" w:fill="CCEEFF"/>
          </w:tcPr>
          <w:p>
            <w:pPr>
              <w:ind w:left="360"/>
              <w:spacing w:after="0" w:line="223" w:lineRule="exact"/>
              <w:rPr>
                <w:sz w:val="20"/>
                <w:szCs w:val="20"/>
                <w:color w:val="auto"/>
              </w:rPr>
            </w:pPr>
            <w:r>
              <w:rPr>
                <w:rFonts w:ascii="Arial" w:cs="Arial" w:eastAsia="Arial" w:hAnsi="Arial"/>
                <w:sz w:val="18"/>
                <w:szCs w:val="18"/>
                <w:color w:val="auto"/>
              </w:rPr>
              <w:t>Total net sales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63.4</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3560" w:type="dxa"/>
            <w:vAlign w:val="bottom"/>
          </w:tcPr>
          <w:p>
            <w:pPr>
              <w:ind w:left="20"/>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tc>
        <w:tc>
          <w:tcPr>
            <w:tcW w:w="454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rPr>
              <w:t>THE SCOTTS MIRACLE-GRO COMPANY</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0"/>
        </w:trPr>
        <w:tc>
          <w:tcPr>
            <w:tcW w:w="9720" w:type="dxa"/>
            <w:vAlign w:val="bottom"/>
            <w:gridSpan w:val="8"/>
          </w:tcPr>
          <w:p>
            <w:pPr>
              <w:jc w:val="center"/>
              <w:ind w:left="1431"/>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4540" w:type="dxa"/>
            <w:vAlign w:val="bottom"/>
            <w:gridSpan w:val="4"/>
          </w:tcPr>
          <w:p>
            <w:pPr>
              <w:jc w:val="center"/>
              <w:ind w:right="440"/>
              <w:spacing w:after="0"/>
              <w:rPr>
                <w:sz w:val="20"/>
                <w:szCs w:val="20"/>
                <w:color w:val="auto"/>
              </w:rPr>
            </w:pPr>
            <w:r>
              <w:rPr>
                <w:rFonts w:ascii="Arial" w:cs="Arial" w:eastAsia="Arial" w:hAnsi="Arial"/>
                <w:sz w:val="16"/>
                <w:szCs w:val="16"/>
                <w:b w:val="1"/>
                <w:bCs w:val="1"/>
                <w:color w:val="auto"/>
                <w:w w:val="91"/>
              </w:rPr>
              <w:t>(Dollars in millions, except per share data)</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721"/>
        </w:trPr>
        <w:tc>
          <w:tcPr>
            <w:tcW w:w="3560" w:type="dxa"/>
            <w:vAlign w:val="bottom"/>
          </w:tcPr>
          <w:p>
            <w:pPr>
              <w:spacing w:after="0"/>
              <w:rPr>
                <w:sz w:val="20"/>
                <w:szCs w:val="20"/>
                <w:color w:val="auto"/>
              </w:rPr>
            </w:pPr>
            <w:r>
              <w:rPr>
                <w:rFonts w:ascii="Arial" w:cs="Arial" w:eastAsia="Arial" w:hAnsi="Arial"/>
                <w:sz w:val="18"/>
                <w:szCs w:val="18"/>
                <w:b w:val="1"/>
                <w:bCs w:val="1"/>
                <w:color w:val="auto"/>
              </w:rPr>
              <w:t>NOTE 7. DEBT</w:t>
            </w:r>
          </w:p>
        </w:tc>
        <w:tc>
          <w:tcPr>
            <w:tcW w:w="2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5"/>
        </w:trPr>
        <w:tc>
          <w:tcPr>
            <w:tcW w:w="3560" w:type="dxa"/>
            <w:vAlign w:val="bottom"/>
          </w:tcPr>
          <w:p>
            <w:pPr>
              <w:ind w:left="420"/>
              <w:spacing w:after="0"/>
              <w:rPr>
                <w:sz w:val="20"/>
                <w:szCs w:val="20"/>
                <w:color w:val="auto"/>
              </w:rPr>
            </w:pPr>
            <w:r>
              <w:rPr>
                <w:rFonts w:ascii="Arial" w:cs="Arial" w:eastAsia="Arial" w:hAnsi="Arial"/>
                <w:sz w:val="18"/>
                <w:szCs w:val="18"/>
                <w:color w:val="auto"/>
                <w:w w:val="99"/>
              </w:rPr>
              <w:t>The components of debt are as follows:</w:t>
            </w:r>
          </w:p>
        </w:tc>
        <w:tc>
          <w:tcPr>
            <w:tcW w:w="2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2"/>
        </w:trPr>
        <w:tc>
          <w:tcPr>
            <w:tcW w:w="35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3,</w:t>
            </w: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w:t>
            </w:r>
          </w:p>
        </w:tc>
        <w:tc>
          <w:tcPr>
            <w:tcW w:w="200" w:type="dxa"/>
            <w:vAlign w:val="bottom"/>
          </w:tcPr>
          <w:p>
            <w:pPr>
              <w:spacing w:after="0"/>
              <w:rPr>
                <w:sz w:val="14"/>
                <w:szCs w:val="14"/>
                <w:color w:val="auto"/>
              </w:rPr>
            </w:pPr>
          </w:p>
        </w:tc>
        <w:tc>
          <w:tcPr>
            <w:tcW w:w="1300" w:type="dxa"/>
            <w:vAlign w:val="bottom"/>
          </w:tcPr>
          <w:p>
            <w:pPr>
              <w:jc w:val="right"/>
              <w:ind w:right="233"/>
              <w:spacing w:after="0"/>
              <w:rPr>
                <w:sz w:val="20"/>
                <w:szCs w:val="20"/>
                <w:color w:val="auto"/>
              </w:rPr>
            </w:pPr>
            <w:r>
              <w:rPr>
                <w:rFonts w:ascii="Arial" w:cs="Arial" w:eastAsia="Arial" w:hAnsi="Arial"/>
                <w:sz w:val="14"/>
                <w:szCs w:val="14"/>
                <w:b w:val="1"/>
                <w:bCs w:val="1"/>
                <w:color w:val="auto"/>
              </w:rPr>
              <w:t>September 30,</w:t>
            </w:r>
          </w:p>
        </w:tc>
      </w:tr>
      <w:tr>
        <w:trPr>
          <w:trHeight w:val="188"/>
        </w:trPr>
        <w:tc>
          <w:tcPr>
            <w:tcW w:w="3560" w:type="dxa"/>
            <w:vAlign w:val="bottom"/>
            <w:tcBorders>
              <w:bottom w:val="single" w:sz="8" w:color="CCEEFF"/>
            </w:tcBorders>
          </w:tcPr>
          <w:p>
            <w:pPr>
              <w:spacing w:after="0"/>
              <w:rPr>
                <w:sz w:val="16"/>
                <w:szCs w:val="16"/>
                <w:color w:val="auto"/>
              </w:rPr>
            </w:pPr>
          </w:p>
        </w:tc>
        <w:tc>
          <w:tcPr>
            <w:tcW w:w="2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11"/>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Facilities:</w:t>
            </w:r>
          </w:p>
        </w:tc>
        <w:tc>
          <w:tcPr>
            <w:tcW w:w="2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3560" w:type="dxa"/>
            <w:vAlign w:val="bottom"/>
          </w:tcPr>
          <w:p>
            <w:pPr>
              <w:ind w:left="220"/>
              <w:spacing w:after="0"/>
              <w:rPr>
                <w:sz w:val="20"/>
                <w:szCs w:val="20"/>
                <w:color w:val="auto"/>
              </w:rPr>
            </w:pPr>
            <w:r>
              <w:rPr>
                <w:rFonts w:ascii="Arial" w:cs="Arial" w:eastAsia="Arial" w:hAnsi="Arial"/>
                <w:sz w:val="18"/>
                <w:szCs w:val="18"/>
                <w:color w:val="auto"/>
              </w:rPr>
              <w:t>Revolving loans</w:t>
            </w:r>
          </w:p>
        </w:tc>
        <w:tc>
          <w:tcPr>
            <w:tcW w:w="32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460.2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691.9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230"/>
        </w:trPr>
        <w:tc>
          <w:tcPr>
            <w:tcW w:w="3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 loans</w:t>
            </w:r>
          </w:p>
        </w:tc>
        <w:tc>
          <w:tcPr>
            <w:tcW w:w="2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w:t>
            </w: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Senior Notes – 4.000%</w:t>
            </w:r>
          </w:p>
        </w:tc>
        <w:tc>
          <w:tcPr>
            <w:tcW w:w="2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 4.500%</w:t>
            </w:r>
          </w:p>
        </w:tc>
        <w:tc>
          <w:tcPr>
            <w:tcW w:w="2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Senior Notes – 5.250%</w:t>
            </w:r>
          </w:p>
        </w:tc>
        <w:tc>
          <w:tcPr>
            <w:tcW w:w="2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facility</w:t>
            </w:r>
          </w:p>
        </w:tc>
        <w:tc>
          <w:tcPr>
            <w:tcW w:w="2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9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2,551.3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1,531.2</w:t>
            </w: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portions</w:t>
            </w:r>
          </w:p>
        </w:tc>
        <w:tc>
          <w:tcPr>
            <w:tcW w:w="2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29"/>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issuance costs</w:t>
            </w:r>
          </w:p>
        </w:tc>
        <w:tc>
          <w:tcPr>
            <w:tcW w:w="29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4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1,455.1</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July 5, 2018, the Company entered into a fifth amended and restated credit agreement (the “Fifth A&amp;R Credit Agreement”), providing the Company and certain of its subsidiaries with five-year senior secured loan facilities in the aggregate principal amount of $2,300.0, comprised of a revolving credit facility of $1,500.0 and a term loan in the original principal amount of $800.0 (the “Fifth A&amp;R Credit Facilities”).</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April 3, 2021, the Company had letters of credit outstanding in the aggregate principal amount of $19.8 and had $1,020.0 of borrowing availability under the Fifth A&amp;R Credit Agreement. The weighted average interest rates on average borrowings under the Fifth A&amp;R Credit Agreement were 1.9% and 3.7% for the six months ended April 3, 2021 and March 28, 2020, respectively.</w:t>
      </w:r>
    </w:p>
    <w:p>
      <w:pPr>
        <w:spacing w:after="0" w:line="11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Fifth A&amp;R Credit Agreement contains, among other obligations, an affirmative covenant regarding the Company’s leverage ratio on the last day of each quarter calculated as average total indebtedness, divided by the Company’s earnings before interest, taxes, depreciation and amortization (“EBITDA”), as adjusted pursuant to the terms of the Fifth A&amp;R Credit Agreement (“Adjusted EBITDA”). The maximum leverage ratio is 4.50. The Company’s leverage ratio was 2.11 at April 3, 2021. The Fifth A&amp;R Credit Agreement also contains an affirmative covenant regarding the Company’s interest coverage ratio determined as of the end of each of its fiscal quarters. The interest coverage ratio is calculated as Adjusted EBITDA divided by interest expense, as described in the Fifth A&amp;R Credit Agreement, and excludes costs related to refinancings. The minimum interest coverage ratio was 3.00 for the twelve months ended April 3, 2021. The Company’s interest coverage ratio was 13.58 for the twelve months ended April 3, 2021.</w:t>
      </w:r>
    </w:p>
    <w:p>
      <w:pPr>
        <w:spacing w:after="0" w:line="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Fifth A&amp;R Credit Agreement allows the Company to make unlimited restricted payments (as defined in the Fifth A&amp;R Credit Agreement), including dividend payments and repurchases of the common shares of Scotts Miracle-Gro (“Common Shares”), as long as the leverage ratio resulting from the making of such restricted payments is 4.00 or less. Otherwise, the Company may make further restricted payments in an aggregate amount for each fiscal year not to exceed $225.0.</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Senior Notes</w:t>
      </w:r>
    </w:p>
    <w:p>
      <w:pPr>
        <w:spacing w:after="0" w:line="15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December 15, 2016, Scotts Miracle-Gro issued $250.0 aggregate principal amount of 5.250% Senior Notes due 2026 (the “5.250% Senior Notes”). The 5.250% Senior Notes represent general unsecured senior obligations and rank equal in right of payment with the Company’s existing and future unsecured senior debt. The 5.250% Senior Notes have interest payment dates of June 15 and December 15 of each year. Substantially all of Scotts Miracle-Gro’s directly and indirectly owned domestic subsidiaries serve as guarantors of the 5.250% Senior Notes.</w:t>
      </w:r>
    </w:p>
    <w:p>
      <w:pPr>
        <w:spacing w:after="0" w:line="90"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On October 22, 2019, Scotts Miracle-Gro issued $450.0 aggregate principal amount of 4.500% Senior Notes due 2029 (the “4.500% Senior Notes”). The net proceeds of the offering were used to redeem all of the Company’s outstanding 6.000% Senior Notes due 2023 (the “6.000% Senior Notes”) and for general corporate purposes. The 4.500% Senior Notes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2" w:name="page13"/>
    <w:bookmarkEnd w:id="12"/>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represent general unsecured senior obligations and rank equal in right of payment with the Company’s existing and future unsecured senior debt. The 4.500% Senior Notes have interest payment dates of April 15 and October 15 of each year. All of Scotts Miracle-Gro’s domestic subsidiaries that serve as guarantors of the 5.250% Senior Notes also serve as guarantors of the 4.500% Senior Notes.</w:t>
      </w:r>
    </w:p>
    <w:p>
      <w:pPr>
        <w:spacing w:after="0" w:line="103"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On October 23, 2019, Scotts Miracle-Gro redeemed all of its outstanding 6.000% Senior Notes for a redemption price of $412.5, comprised of $0.5 of accrued and unpaid interest, $12.0 of redemption premium, and $400.0 for outstanding principal amount. The $12.0 redemption premium was recognized in the “Costs related to refinancing” line on the Condensed Consolidated Statements of Operations during the first quarter of fiscal 2020. Additionally, the Company had $3.1 in unamortized bond issuance costs associated with the 6.000% Senior Notes, which were written-off during the first quarter of fiscal 2020 and were recognized in the “Costs related to refinancing” line in the Condensed Consolidated Statements of Operations.</w:t>
      </w:r>
    </w:p>
    <w:p>
      <w:pPr>
        <w:spacing w:after="0" w:line="109"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On March 17, 2021, Scotts Miracle-Gro issued $500.0 aggregate principal amount of 4.000% Senior Notes due 2031 (the “4.000% Senior Notes”). The net proceeds of the offering were used to reduce borrowings under the Fifth A&amp;R Credit Facilities. The 4.000% Senior Notes represent general unsecured senior obligations and rank equal in right of payment with the Company’s existing and future unsecured senior debt. The 4.000% Senior Notes have interest payment dates of April 1 and October 1 of each year, commencing October 1, 2021. All of Scotts Miracle-Gro’s domestic subsidiaries that serve as guarantors of the 5.250% Senior Notes also serve as guarantors of the 4.000% Senior Notes.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On April 7, 2017, the Company entered into a Master Repurchase Agreement (including the annexes thereto, the “Repurchase Agreement”) and a Master Framework Agreement, as amended annually (the “Framework Agreement” and, together with the Repurchase Agreement, the “Receivables Facility”). Under the Receivables Facility, the Company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receivables which may be sold under the Receivables Facility is $400.0 and the commitment amount during the seasonal commitment period beginning on February 26, 2021 and ending on June 18, 2021 is $160.0. The Receivables Facility expires on August 20, 2021.</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accounts for the sale of receivables under the Receivables Facility as short-term debt and continues to carry the receivables on its Condensed Consolidated Balance Sheets, primarily as a result of the Company’s requirement to repurchase receivables sold. As of April 3, 2021 and March 28, 2020, there were $160.0 in borrowings on receivables pledged as collateral under the Receivables Facility, and the carrying value of the receivables pledged as collateral was $177.8.</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has outstanding interest rate swap agreements with major financial institutions that effectively convert a portion of the Company’s variable-rate debt to a fixed rate. Interest payments made between the effective date and expiration date are hedged by the swap agreements. Swap agreements that were hedging interest payments as of April 3, 2021, March 28, 2020 and September 30, 2020 had a maximum total U.S. dollar equivalent notional amount of $900.0, $850.0 and $600.0, respectively. The notional amount, effective date, expiration date and rate of each of the swap agreements outstanding at April 3, 2021 are shown in the table below:</w:t>
      </w:r>
    </w:p>
    <w:tbl>
      <w:tblPr>
        <w:tblLayout w:type="fixed"/>
        <w:tblInd w:w="60" w:type="dxa"/>
        <w:tblCellMar>
          <w:top w:w="0" w:type="dxa"/>
          <w:left w:w="0" w:type="dxa"/>
          <w:bottom w:w="0" w:type="dxa"/>
          <w:right w:w="0" w:type="dxa"/>
        </w:tblCellMar>
      </w:tblPr>
      <w:tr>
        <w:trPr>
          <w:trHeight w:val="148"/>
        </w:trPr>
        <w:tc>
          <w:tcPr>
            <w:tcW w:w="500" w:type="dxa"/>
            <w:vAlign w:val="bottom"/>
          </w:tcPr>
          <w:p>
            <w:pPr>
              <w:spacing w:after="0"/>
              <w:rPr>
                <w:sz w:val="12"/>
                <w:szCs w:val="12"/>
                <w:color w:val="auto"/>
              </w:rPr>
            </w:pPr>
          </w:p>
        </w:tc>
        <w:tc>
          <w:tcPr>
            <w:tcW w:w="1820" w:type="dxa"/>
            <w:vAlign w:val="bottom"/>
          </w:tcPr>
          <w:p>
            <w:pPr>
              <w:jc w:val="right"/>
              <w:ind w:right="814"/>
              <w:spacing w:after="0" w:line="148" w:lineRule="exact"/>
              <w:rPr>
                <w:sz w:val="20"/>
                <w:szCs w:val="20"/>
                <w:color w:val="auto"/>
              </w:rPr>
            </w:pPr>
            <w:r>
              <w:rPr>
                <w:rFonts w:ascii="Arial" w:cs="Arial" w:eastAsia="Arial" w:hAnsi="Arial"/>
                <w:sz w:val="14"/>
                <w:szCs w:val="14"/>
                <w:b w:val="1"/>
                <w:bCs w:val="1"/>
                <w:color w:val="auto"/>
              </w:rPr>
              <w:t>Notional</w:t>
            </w:r>
          </w:p>
        </w:tc>
        <w:tc>
          <w:tcPr>
            <w:tcW w:w="320" w:type="dxa"/>
            <w:vAlign w:val="bottom"/>
          </w:tcPr>
          <w:p>
            <w:pPr>
              <w:spacing w:after="0"/>
              <w:rPr>
                <w:sz w:val="12"/>
                <w:szCs w:val="12"/>
                <w:color w:val="auto"/>
              </w:rPr>
            </w:pPr>
          </w:p>
        </w:tc>
        <w:tc>
          <w:tcPr>
            <w:tcW w:w="286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92"/>
              </w:rPr>
              <w:t>Effective</w:t>
            </w:r>
          </w:p>
        </w:tc>
        <w:tc>
          <w:tcPr>
            <w:tcW w:w="280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99"/>
              </w:rPr>
              <w:t>Expiration</w:t>
            </w:r>
          </w:p>
        </w:tc>
        <w:tc>
          <w:tcPr>
            <w:tcW w:w="2840" w:type="dxa"/>
            <w:vAlign w:val="bottom"/>
          </w:tcPr>
          <w:p>
            <w:pPr>
              <w:jc w:val="right"/>
              <w:ind w:right="1174"/>
              <w:spacing w:after="0" w:line="148" w:lineRule="exact"/>
              <w:rPr>
                <w:sz w:val="20"/>
                <w:szCs w:val="20"/>
                <w:color w:val="auto"/>
              </w:rPr>
            </w:pPr>
            <w:r>
              <w:rPr>
                <w:rFonts w:ascii="Arial" w:cs="Arial" w:eastAsia="Arial" w:hAnsi="Arial"/>
                <w:sz w:val="14"/>
                <w:szCs w:val="14"/>
                <w:b w:val="1"/>
                <w:bCs w:val="1"/>
                <w:color w:val="auto"/>
              </w:rPr>
              <w:t>Fixed</w:t>
            </w:r>
          </w:p>
        </w:tc>
      </w:tr>
      <w:tr>
        <w:trPr>
          <w:trHeight w:val="188"/>
        </w:trPr>
        <w:tc>
          <w:tcPr>
            <w:tcW w:w="500" w:type="dxa"/>
            <w:vAlign w:val="bottom"/>
          </w:tcPr>
          <w:p>
            <w:pPr>
              <w:spacing w:after="0"/>
              <w:rPr>
                <w:sz w:val="16"/>
                <w:szCs w:val="16"/>
                <w:color w:val="auto"/>
              </w:rPr>
            </w:pPr>
          </w:p>
        </w:tc>
        <w:tc>
          <w:tcPr>
            <w:tcW w:w="1820" w:type="dxa"/>
            <w:vAlign w:val="bottom"/>
          </w:tcPr>
          <w:p>
            <w:pPr>
              <w:jc w:val="right"/>
              <w:ind w:right="834"/>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6"/>
                <w:szCs w:val="16"/>
                <w:color w:val="auto"/>
              </w:rPr>
            </w:pPr>
          </w:p>
        </w:tc>
        <w:tc>
          <w:tcPr>
            <w:tcW w:w="2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Date (a)</w:t>
            </w:r>
          </w:p>
        </w:tc>
        <w:tc>
          <w:tcPr>
            <w:tcW w:w="2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Date</w:t>
            </w:r>
          </w:p>
        </w:tc>
        <w:tc>
          <w:tcPr>
            <w:tcW w:w="2840" w:type="dxa"/>
            <w:vAlign w:val="bottom"/>
          </w:tcPr>
          <w:p>
            <w:pPr>
              <w:jc w:val="right"/>
              <w:ind w:right="1194"/>
              <w:spacing w:after="0"/>
              <w:rPr>
                <w:sz w:val="20"/>
                <w:szCs w:val="20"/>
                <w:color w:val="auto"/>
              </w:rPr>
            </w:pPr>
            <w:r>
              <w:rPr>
                <w:rFonts w:ascii="Arial" w:cs="Arial" w:eastAsia="Arial" w:hAnsi="Arial"/>
                <w:sz w:val="14"/>
                <w:szCs w:val="14"/>
                <w:b w:val="1"/>
                <w:bCs w:val="1"/>
                <w:color w:val="auto"/>
              </w:rPr>
              <w:t>Rate</w:t>
            </w:r>
          </w:p>
        </w:tc>
      </w:tr>
      <w:tr>
        <w:trPr>
          <w:trHeight w:val="224"/>
        </w:trPr>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2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(b)</w:t>
            </w: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6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6/7/2021</w:t>
            </w:r>
          </w:p>
        </w:tc>
        <w:tc>
          <w:tcPr>
            <w:tcW w:w="34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2.87 %</w:t>
            </w:r>
          </w:p>
        </w:tc>
      </w:tr>
      <w:tr>
        <w:trPr>
          <w:trHeight w:val="230"/>
        </w:trPr>
        <w:tc>
          <w:tcPr>
            <w:tcW w:w="5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11/7/2018</w:t>
            </w:r>
          </w:p>
        </w:tc>
        <w:tc>
          <w:tcPr>
            <w:tcW w:w="36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7/7/2021</w:t>
            </w:r>
          </w:p>
        </w:tc>
        <w:tc>
          <w:tcPr>
            <w:tcW w:w="34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2.96 %</w:t>
            </w:r>
          </w:p>
        </w:tc>
      </w:tr>
      <w:tr>
        <w:trPr>
          <w:trHeight w:val="230"/>
        </w:trPr>
        <w:tc>
          <w:tcPr>
            <w:tcW w:w="5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6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10/7/2021</w:t>
            </w:r>
          </w:p>
        </w:tc>
        <w:tc>
          <w:tcPr>
            <w:tcW w:w="34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2.98 %</w:t>
            </w:r>
          </w:p>
        </w:tc>
      </w:tr>
      <w:tr>
        <w:trPr>
          <w:trHeight w:val="230"/>
        </w:trPr>
        <w:tc>
          <w:tcPr>
            <w:tcW w:w="5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12/21/2020</w:t>
            </w:r>
          </w:p>
        </w:tc>
        <w:tc>
          <w:tcPr>
            <w:tcW w:w="36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6/20/2023</w:t>
            </w:r>
          </w:p>
        </w:tc>
        <w:tc>
          <w:tcPr>
            <w:tcW w:w="34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1.36 %</w:t>
            </w:r>
          </w:p>
        </w:tc>
      </w:tr>
      <w:tr>
        <w:trPr>
          <w:trHeight w:val="229"/>
        </w:trPr>
        <w:tc>
          <w:tcPr>
            <w:tcW w:w="5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20" w:type="dxa"/>
            <w:vAlign w:val="bottom"/>
            <w:shd w:val="clear" w:color="auto" w:fill="CCEEFF"/>
          </w:tcPr>
          <w:p>
            <w:pPr>
              <w:spacing w:after="0"/>
              <w:rPr>
                <w:sz w:val="20"/>
                <w:szCs w:val="20"/>
                <w:color w:val="auto"/>
              </w:rPr>
            </w:pPr>
            <w:r>
              <w:rPr>
                <w:rFonts w:ascii="Arial" w:cs="Arial" w:eastAsia="Arial" w:hAnsi="Arial"/>
                <w:sz w:val="13"/>
                <w:szCs w:val="13"/>
                <w:color w:val="auto"/>
              </w:rPr>
              <w:t>(b)</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1/7/2021</w:t>
            </w:r>
          </w:p>
        </w:tc>
        <w:tc>
          <w:tcPr>
            <w:tcW w:w="36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4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r>
      <w:tr>
        <w:trPr>
          <w:trHeight w:val="230"/>
        </w:trPr>
        <w:tc>
          <w:tcPr>
            <w:tcW w:w="5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10/7/2021</w:t>
            </w:r>
          </w:p>
        </w:tc>
        <w:tc>
          <w:tcPr>
            <w:tcW w:w="36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6/7/2023</w:t>
            </w:r>
          </w:p>
        </w:tc>
        <w:tc>
          <w:tcPr>
            <w:tcW w:w="34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1.37 %</w:t>
            </w:r>
          </w:p>
        </w:tc>
      </w:tr>
      <w:tr>
        <w:trPr>
          <w:trHeight w:val="230"/>
        </w:trPr>
        <w:tc>
          <w:tcPr>
            <w:tcW w:w="5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EEFF"/>
          </w:tcPr>
          <w:p>
            <w:pPr>
              <w:spacing w:after="0"/>
              <w:rPr>
                <w:sz w:val="20"/>
                <w:szCs w:val="20"/>
                <w:color w:val="auto"/>
              </w:rPr>
            </w:pPr>
            <w:r>
              <w:rPr>
                <w:rFonts w:ascii="Arial" w:cs="Arial" w:eastAsia="Arial" w:hAnsi="Arial"/>
                <w:sz w:val="13"/>
                <w:szCs w:val="13"/>
                <w:color w:val="auto"/>
              </w:rPr>
              <w:t>(b)</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1/20/2022</w:t>
            </w:r>
          </w:p>
        </w:tc>
        <w:tc>
          <w:tcPr>
            <w:tcW w:w="36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6/20/2024</w:t>
            </w:r>
          </w:p>
        </w:tc>
        <w:tc>
          <w:tcPr>
            <w:tcW w:w="34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0.58 %</w:t>
            </w:r>
          </w:p>
        </w:tc>
      </w:tr>
      <w:tr>
        <w:trPr>
          <w:trHeight w:val="230"/>
        </w:trPr>
        <w:tc>
          <w:tcPr>
            <w:tcW w:w="5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6/8/2026</w:t>
            </w:r>
          </w:p>
        </w:tc>
        <w:tc>
          <w:tcPr>
            <w:tcW w:w="34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0.85 %</w:t>
            </w:r>
          </w:p>
        </w:tc>
      </w:tr>
    </w:tbl>
    <w:p>
      <w:pPr>
        <w:spacing w:after="0" w:line="9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are first hedged by the applicable swap agreement.</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Notional amount adjusts in accordance with a specified seasonal schedule. This represents the maximum notional amount at any point in time.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3" w:name="page14"/>
    <w:bookmarkEnd w:id="13"/>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14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weighted average interest rates on the Company’s debt were 3.5% and 4.3% for the six months ended April 3, 2021 and March 28, 2020,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w:t>
      </w:r>
    </w:p>
    <w:p>
      <w:pPr>
        <w:spacing w:after="0" w:line="148" w:lineRule="exact"/>
        <w:rPr>
          <w:sz w:val="20"/>
          <w:szCs w:val="20"/>
          <w:color w:val="auto"/>
        </w:rPr>
      </w:pPr>
    </w:p>
    <w:p>
      <w:pPr>
        <w:ind w:firstLine="405"/>
        <w:spacing w:after="0" w:line="271" w:lineRule="auto"/>
        <w:rPr>
          <w:sz w:val="20"/>
          <w:szCs w:val="20"/>
          <w:color w:val="auto"/>
        </w:rPr>
      </w:pPr>
      <w:r>
        <w:rPr>
          <w:rFonts w:ascii="Arial" w:cs="Arial" w:eastAsia="Arial" w:hAnsi="Arial"/>
          <w:sz w:val="18"/>
          <w:szCs w:val="18"/>
          <w:color w:val="auto"/>
        </w:rPr>
        <w:t>The following tables provide a summary of the changes in total equity, equity attributable to controlling interest, and equity attributable to noncontrolling interests for each of the periods indicated:</w:t>
      </w:r>
    </w:p>
    <w:tbl>
      <w:tblPr>
        <w:tblLayout w:type="fixed"/>
        <w:tblInd w:w="0" w:type="dxa"/>
        <w:tblCellMar>
          <w:top w:w="0" w:type="dxa"/>
          <w:left w:w="0" w:type="dxa"/>
          <w:bottom w:w="0" w:type="dxa"/>
          <w:right w:w="0" w:type="dxa"/>
        </w:tblCellMar>
      </w:tblPr>
      <w:tr>
        <w:trPr>
          <w:trHeight w:val="127"/>
        </w:trPr>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87"/>
              </w:rPr>
              <w:t>Common Shares</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1"/>
              </w:rPr>
              <w:t>and Capital in</w:t>
            </w:r>
          </w:p>
        </w:tc>
        <w:tc>
          <w:tcPr>
            <w:tcW w:w="220" w:type="dxa"/>
            <w:vAlign w:val="bottom"/>
          </w:tcPr>
          <w:p>
            <w:pPr>
              <w:spacing w:after="0"/>
              <w:rPr>
                <w:sz w:val="10"/>
                <w:szCs w:val="10"/>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Retained</w:t>
            </w:r>
          </w:p>
        </w:tc>
        <w:tc>
          <w:tcPr>
            <w:tcW w:w="220" w:type="dxa"/>
            <w:vAlign w:val="bottom"/>
          </w:tcPr>
          <w:p>
            <w:pPr>
              <w:spacing w:after="0"/>
              <w:rPr>
                <w:sz w:val="10"/>
                <w:szCs w:val="10"/>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87"/>
              </w:rPr>
              <w:t>Treasury</w:t>
            </w:r>
          </w:p>
        </w:tc>
        <w:tc>
          <w:tcPr>
            <w:tcW w:w="12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Accumulated Other</w:t>
            </w:r>
          </w:p>
        </w:tc>
        <w:tc>
          <w:tcPr>
            <w:tcW w:w="160" w:type="dxa"/>
            <w:vAlign w:val="bottom"/>
          </w:tcPr>
          <w:p>
            <w:pPr>
              <w:spacing w:after="0"/>
              <w:rPr>
                <w:sz w:val="10"/>
                <w:szCs w:val="10"/>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2"/>
              </w:rPr>
              <w:t>Total Equity -</w:t>
            </w:r>
          </w:p>
        </w:tc>
        <w:tc>
          <w:tcPr>
            <w:tcW w:w="140" w:type="dxa"/>
            <w:vAlign w:val="bottom"/>
          </w:tcPr>
          <w:p>
            <w:pPr>
              <w:spacing w:after="0"/>
              <w:rPr>
                <w:sz w:val="10"/>
                <w:szCs w:val="10"/>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6"/>
              </w:rPr>
              <w:t>Noncontrolling</w:t>
            </w:r>
          </w:p>
        </w:tc>
        <w:tc>
          <w:tcPr>
            <w:tcW w:w="240" w:type="dxa"/>
            <w:vAlign w:val="bottom"/>
          </w:tcPr>
          <w:p>
            <w:pPr>
              <w:spacing w:after="0"/>
              <w:rPr>
                <w:sz w:val="10"/>
                <w:szCs w:val="10"/>
                <w:color w:val="auto"/>
              </w:rPr>
            </w:pPr>
          </w:p>
        </w:tc>
        <w:tc>
          <w:tcPr>
            <w:tcW w:w="900" w:type="dxa"/>
            <w:vAlign w:val="bottom"/>
            <w:vMerge w:val="restart"/>
          </w:tcPr>
          <w:p>
            <w:pPr>
              <w:jc w:val="center"/>
              <w:ind w:right="189"/>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2"/>
              </w:rPr>
              <w:t>Excess of Stated</w:t>
            </w:r>
          </w:p>
        </w:tc>
        <w:tc>
          <w:tcPr>
            <w:tcW w:w="2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Value</w:t>
            </w: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3"/>
                <w:szCs w:val="13"/>
                <w:b w:val="1"/>
                <w:bCs w:val="1"/>
                <w:color w:val="auto"/>
              </w:rPr>
              <w:t>Earnings</w:t>
            </w:r>
          </w:p>
        </w:tc>
        <w:tc>
          <w:tcPr>
            <w:tcW w:w="2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2"/>
              </w:rPr>
              <w:t>Shares</w:t>
            </w:r>
          </w:p>
        </w:tc>
        <w:tc>
          <w:tcPr>
            <w:tcW w:w="1280" w:type="dxa"/>
            <w:vAlign w:val="bottom"/>
            <w:gridSpan w:val="3"/>
          </w:tcPr>
          <w:p>
            <w:pPr>
              <w:ind w:left="20"/>
              <w:spacing w:after="0"/>
              <w:rPr>
                <w:sz w:val="20"/>
                <w:szCs w:val="20"/>
                <w:color w:val="auto"/>
              </w:rPr>
            </w:pPr>
            <w:r>
              <w:rPr>
                <w:rFonts w:ascii="Arial" w:cs="Arial" w:eastAsia="Arial" w:hAnsi="Arial"/>
                <w:sz w:val="13"/>
                <w:szCs w:val="13"/>
                <w:b w:val="1"/>
                <w:bCs w:val="1"/>
                <w:color w:val="auto"/>
                <w:w w:val="94"/>
              </w:rPr>
              <w:t>Comprehensive Loss</w:t>
            </w:r>
          </w:p>
        </w:tc>
        <w:tc>
          <w:tcPr>
            <w:tcW w:w="12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Controlling Interest</w:t>
            </w: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Interest</w:t>
            </w:r>
          </w:p>
        </w:tc>
        <w:tc>
          <w:tcPr>
            <w:tcW w:w="240" w:type="dxa"/>
            <w:vAlign w:val="bottom"/>
          </w:tcPr>
          <w:p>
            <w:pPr>
              <w:spacing w:after="0"/>
              <w:rPr>
                <w:sz w:val="14"/>
                <w:szCs w:val="14"/>
                <w:color w:val="auto"/>
              </w:rPr>
            </w:pPr>
          </w:p>
        </w:tc>
        <w:tc>
          <w:tcPr>
            <w:tcW w:w="900" w:type="dxa"/>
            <w:vAlign w:val="bottom"/>
          </w:tcPr>
          <w:p>
            <w:pPr>
              <w:jc w:val="center"/>
              <w:ind w:right="189"/>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8"/>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482.5</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1,235.6</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(921.8)</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702.9</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($0.62 per share)</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Treasury share purchases</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9"/>
        </w:trPr>
        <w:tc>
          <w:tcPr>
            <w:tcW w:w="2500" w:type="dxa"/>
            <w:vAlign w:val="bottom"/>
          </w:tcPr>
          <w:p>
            <w:pPr>
              <w:ind w:left="20"/>
              <w:spacing w:after="0"/>
              <w:rPr>
                <w:sz w:val="20"/>
                <w:szCs w:val="20"/>
                <w:color w:val="auto"/>
              </w:rPr>
            </w:pPr>
            <w:r>
              <w:rPr>
                <w:rFonts w:ascii="Arial" w:cs="Arial" w:eastAsia="Arial" w:hAnsi="Arial"/>
                <w:sz w:val="14"/>
                <w:szCs w:val="14"/>
                <w:color w:val="auto"/>
              </w:rPr>
              <w:t>Balance at January 2, 2021</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490.5</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1,224.4</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(958.8)</w:t>
            </w:r>
          </w:p>
        </w:tc>
        <w:tc>
          <w:tcPr>
            <w:tcW w:w="100" w:type="dxa"/>
            <w:vAlign w:val="bottom"/>
          </w:tcPr>
          <w:p>
            <w:pPr>
              <w:spacing w:after="0"/>
              <w:rPr>
                <w:sz w:val="15"/>
                <w:szCs w:val="15"/>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(83.5)</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672.6</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679.0</w:t>
            </w: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310.2</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Dividends declared ($0.62 per share)</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purchases</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noncontrolling interests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83"/>
        </w:trPr>
        <w:tc>
          <w:tcPr>
            <w:tcW w:w="2500" w:type="dxa"/>
            <w:vAlign w:val="bottom"/>
          </w:tcPr>
          <w:p>
            <w:pPr>
              <w:ind w:left="20"/>
              <w:spacing w:after="0"/>
              <w:rPr>
                <w:sz w:val="20"/>
                <w:szCs w:val="20"/>
                <w:color w:val="auto"/>
              </w:rPr>
            </w:pPr>
            <w:r>
              <w:rPr>
                <w:rFonts w:ascii="Arial" w:cs="Arial" w:eastAsia="Arial" w:hAnsi="Arial"/>
                <w:sz w:val="14"/>
                <w:szCs w:val="14"/>
                <w:color w:val="auto"/>
              </w:rPr>
              <w:t>Balance at April 3,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473.0</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1,500.2</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(954.3)</w:t>
            </w:r>
          </w:p>
        </w:tc>
        <w:tc>
          <w:tcPr>
            <w:tcW w:w="100" w:type="dxa"/>
            <w:vAlign w:val="bottom"/>
          </w:tcPr>
          <w:p>
            <w:pPr>
              <w:spacing w:after="0"/>
              <w:rPr>
                <w:sz w:val="15"/>
                <w:szCs w:val="15"/>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(78.0)</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940.9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940.9</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3740" w:type="dxa"/>
            <w:vAlign w:val="bottom"/>
            <w:gridSpan w:val="4"/>
          </w:tcPr>
          <w:p>
            <w:pPr>
              <w:spacing w:after="0"/>
              <w:rPr>
                <w:sz w:val="20"/>
                <w:szCs w:val="20"/>
                <w:color w:val="auto"/>
              </w:rPr>
            </w:pPr>
            <w:r>
              <w:rPr>
                <w:rFonts w:ascii="Arial" w:cs="Arial" w:eastAsia="Arial" w:hAnsi="Arial"/>
                <w:sz w:val="14"/>
                <w:szCs w:val="14"/>
                <w:color w:val="auto"/>
              </w:rPr>
              <w:t>The sum of the components may not equal due to rounding.</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Common Shares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1"/>
              </w:rPr>
              <w:t>and Capital in</w:t>
            </w:r>
          </w:p>
        </w:tc>
        <w:tc>
          <w:tcPr>
            <w:tcW w:w="220" w:type="dxa"/>
            <w:vAlign w:val="bottom"/>
          </w:tcPr>
          <w:p>
            <w:pPr>
              <w:spacing w:after="0"/>
              <w:rPr>
                <w:sz w:val="10"/>
                <w:szCs w:val="10"/>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Retained</w:t>
            </w:r>
          </w:p>
        </w:tc>
        <w:tc>
          <w:tcPr>
            <w:tcW w:w="220" w:type="dxa"/>
            <w:vAlign w:val="bottom"/>
          </w:tcPr>
          <w:p>
            <w:pPr>
              <w:spacing w:after="0"/>
              <w:rPr>
                <w:sz w:val="10"/>
                <w:szCs w:val="10"/>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87"/>
              </w:rPr>
              <w:t>Treasury</w:t>
            </w:r>
          </w:p>
        </w:tc>
        <w:tc>
          <w:tcPr>
            <w:tcW w:w="12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Accumulated Other</w:t>
            </w:r>
          </w:p>
        </w:tc>
        <w:tc>
          <w:tcPr>
            <w:tcW w:w="160" w:type="dxa"/>
            <w:vAlign w:val="bottom"/>
          </w:tcPr>
          <w:p>
            <w:pPr>
              <w:spacing w:after="0"/>
              <w:rPr>
                <w:sz w:val="10"/>
                <w:szCs w:val="10"/>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2"/>
              </w:rPr>
              <w:t>Total Equity -</w:t>
            </w:r>
          </w:p>
        </w:tc>
        <w:tc>
          <w:tcPr>
            <w:tcW w:w="140" w:type="dxa"/>
            <w:vAlign w:val="bottom"/>
          </w:tcPr>
          <w:p>
            <w:pPr>
              <w:spacing w:after="0"/>
              <w:rPr>
                <w:sz w:val="10"/>
                <w:szCs w:val="10"/>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6"/>
              </w:rPr>
              <w:t>Noncontrolling</w:t>
            </w:r>
          </w:p>
        </w:tc>
        <w:tc>
          <w:tcPr>
            <w:tcW w:w="240" w:type="dxa"/>
            <w:vAlign w:val="bottom"/>
          </w:tcPr>
          <w:p>
            <w:pPr>
              <w:spacing w:after="0"/>
              <w:rPr>
                <w:sz w:val="10"/>
                <w:szCs w:val="10"/>
                <w:color w:val="auto"/>
              </w:rPr>
            </w:pPr>
          </w:p>
        </w:tc>
        <w:tc>
          <w:tcPr>
            <w:tcW w:w="900" w:type="dxa"/>
            <w:vAlign w:val="bottom"/>
            <w:vMerge w:val="restart"/>
          </w:tcPr>
          <w:p>
            <w:pPr>
              <w:jc w:val="center"/>
              <w:ind w:right="189"/>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2"/>
              </w:rPr>
              <w:t>Excess of Stated</w:t>
            </w:r>
          </w:p>
        </w:tc>
        <w:tc>
          <w:tcPr>
            <w:tcW w:w="2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Value</w:t>
            </w: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3"/>
                <w:szCs w:val="13"/>
                <w:b w:val="1"/>
                <w:bCs w:val="1"/>
                <w:color w:val="auto"/>
              </w:rPr>
              <w:t>Earnings</w:t>
            </w:r>
          </w:p>
        </w:tc>
        <w:tc>
          <w:tcPr>
            <w:tcW w:w="2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2"/>
              </w:rPr>
              <w:t>Shares</w:t>
            </w:r>
          </w:p>
        </w:tc>
        <w:tc>
          <w:tcPr>
            <w:tcW w:w="1280" w:type="dxa"/>
            <w:vAlign w:val="bottom"/>
            <w:gridSpan w:val="3"/>
          </w:tcPr>
          <w:p>
            <w:pPr>
              <w:ind w:left="20"/>
              <w:spacing w:after="0"/>
              <w:rPr>
                <w:sz w:val="20"/>
                <w:szCs w:val="20"/>
                <w:color w:val="auto"/>
              </w:rPr>
            </w:pPr>
            <w:r>
              <w:rPr>
                <w:rFonts w:ascii="Arial" w:cs="Arial" w:eastAsia="Arial" w:hAnsi="Arial"/>
                <w:sz w:val="13"/>
                <w:szCs w:val="13"/>
                <w:b w:val="1"/>
                <w:bCs w:val="1"/>
                <w:color w:val="auto"/>
                <w:w w:val="94"/>
              </w:rPr>
              <w:t>Comprehensive Loss</w:t>
            </w:r>
          </w:p>
        </w:tc>
        <w:tc>
          <w:tcPr>
            <w:tcW w:w="12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Controlling Interest</w:t>
            </w: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Interest</w:t>
            </w:r>
          </w:p>
        </w:tc>
        <w:tc>
          <w:tcPr>
            <w:tcW w:w="240" w:type="dxa"/>
            <w:vAlign w:val="bottom"/>
          </w:tcPr>
          <w:p>
            <w:pPr>
              <w:spacing w:after="0"/>
              <w:rPr>
                <w:sz w:val="14"/>
                <w:szCs w:val="14"/>
                <w:color w:val="auto"/>
              </w:rPr>
            </w:pPr>
          </w:p>
        </w:tc>
        <w:tc>
          <w:tcPr>
            <w:tcW w:w="900" w:type="dxa"/>
            <w:vAlign w:val="bottom"/>
          </w:tcPr>
          <w:p>
            <w:pPr>
              <w:jc w:val="center"/>
              <w:ind w:right="189"/>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8"/>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442.2</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1,274.7</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(904.3)</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723.2</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($0.58 per share)</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6"/>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28,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448.9</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1,169.8</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(903.1)</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624.6</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629.3</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252.4</w:t>
            </w: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($0.58 per share)</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Treasury share purchases</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issuances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Balance at March 28, 2020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450.5</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1,389.0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(941.9)</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789.7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794.6</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4" w:name="page15"/>
    <w:bookmarkEnd w:id="14"/>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AOCL by component were as follows for each of the periods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Net Unrealized Gain</w:t>
            </w:r>
          </w:p>
        </w:tc>
        <w:tc>
          <w:tcPr>
            <w:tcW w:w="14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Net Unrealized Gain</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14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(Loss) in</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(Loss)</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Pension and Other</w:t>
            </w: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80" w:type="dxa"/>
            <w:vAlign w:val="bottom"/>
          </w:tcPr>
          <w:p>
            <w:pPr>
              <w:spacing w:after="0"/>
              <w:rPr>
                <w:sz w:val="11"/>
                <w:szCs w:val="11"/>
                <w:color w:val="auto"/>
              </w:rPr>
            </w:pPr>
          </w:p>
        </w:tc>
        <w:tc>
          <w:tcPr>
            <w:tcW w:w="12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On Derivative</w:t>
            </w:r>
          </w:p>
        </w:tc>
        <w:tc>
          <w:tcPr>
            <w:tcW w:w="120" w:type="dxa"/>
            <w:vAlign w:val="bottom"/>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Post-Retirement</w:t>
            </w:r>
          </w:p>
        </w:tc>
        <w:tc>
          <w:tcPr>
            <w:tcW w:w="160" w:type="dxa"/>
            <w:vAlign w:val="bottom"/>
          </w:tcPr>
          <w:p>
            <w:pPr>
              <w:spacing w:after="0"/>
              <w:rPr>
                <w:sz w:val="11"/>
                <w:szCs w:val="11"/>
                <w:color w:val="auto"/>
              </w:rPr>
            </w:pPr>
          </w:p>
        </w:tc>
        <w:tc>
          <w:tcPr>
            <w:tcW w:w="1200" w:type="dxa"/>
            <w:vAlign w:val="bottom"/>
          </w:tcPr>
          <w:p>
            <w:pPr>
              <w:jc w:val="center"/>
              <w:ind w:right="73"/>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6"/>
        </w:trPr>
        <w:tc>
          <w:tcPr>
            <w:tcW w:w="5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Benefits</w:t>
            </w:r>
          </w:p>
        </w:tc>
        <w:tc>
          <w:tcPr>
            <w:tcW w:w="160" w:type="dxa"/>
            <w:vAlign w:val="bottom"/>
          </w:tcPr>
          <w:p>
            <w:pPr>
              <w:spacing w:after="0"/>
              <w:rPr>
                <w:sz w:val="16"/>
                <w:szCs w:val="16"/>
                <w:color w:val="auto"/>
              </w:rPr>
            </w:pPr>
          </w:p>
        </w:tc>
        <w:tc>
          <w:tcPr>
            <w:tcW w:w="1200" w:type="dxa"/>
            <w:vAlign w:val="bottom"/>
          </w:tcPr>
          <w:p>
            <w:pPr>
              <w:jc w:val="center"/>
              <w:ind w:right="73"/>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26"/>
        </w:trPr>
        <w:tc>
          <w:tcPr>
            <w:tcW w:w="5460" w:type="dxa"/>
            <w:vAlign w:val="bottom"/>
          </w:tcPr>
          <w:p>
            <w:pPr>
              <w:ind w:left="20"/>
              <w:spacing w:after="0"/>
              <w:rPr>
                <w:sz w:val="20"/>
                <w:szCs w:val="20"/>
                <w:color w:val="auto"/>
              </w:rPr>
            </w:pPr>
            <w:r>
              <w:rPr>
                <w:rFonts w:ascii="Arial" w:cs="Arial" w:eastAsia="Arial" w:hAnsi="Arial"/>
                <w:sz w:val="18"/>
                <w:szCs w:val="18"/>
                <w:color w:val="auto"/>
              </w:rPr>
              <w:t>Balance at January 2, 2021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76"/>
        </w:trPr>
        <w:tc>
          <w:tcPr>
            <w:tcW w:w="5460" w:type="dxa"/>
            <w:vAlign w:val="bottom"/>
          </w:tcPr>
          <w:p>
            <w:pPr>
              <w:ind w:left="240"/>
              <w:spacing w:after="0" w:line="176" w:lineRule="exact"/>
              <w:rPr>
                <w:sz w:val="20"/>
                <w:szCs w:val="20"/>
                <w:color w:val="auto"/>
              </w:rPr>
            </w:pPr>
            <w:r>
              <w:rPr>
                <w:rFonts w:ascii="Arial" w:cs="Arial" w:eastAsia="Arial" w:hAnsi="Arial"/>
                <w:sz w:val="18"/>
                <w:szCs w:val="18"/>
                <w:color w:val="auto"/>
              </w:rPr>
              <w:t>Amounts reclassified from accumulated other comprehensive net</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5460" w:type="dxa"/>
            <w:vAlign w:val="bottom"/>
          </w:tcPr>
          <w:p>
            <w:pPr>
              <w:ind w:left="240"/>
              <w:spacing w:after="0"/>
              <w:rPr>
                <w:sz w:val="20"/>
                <w:szCs w:val="20"/>
                <w:color w:val="auto"/>
              </w:rPr>
            </w:pPr>
            <w:r>
              <w:rPr>
                <w:rFonts w:ascii="Arial" w:cs="Arial" w:eastAsia="Arial" w:hAnsi="Arial"/>
                <w:sz w:val="18"/>
                <w:szCs w:val="18"/>
                <w:color w:val="auto"/>
              </w:rPr>
              <w:t>income (loss)</w:t>
            </w:r>
          </w:p>
        </w:tc>
        <w:tc>
          <w:tcPr>
            <w:tcW w:w="1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benefit (expense)</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April 3,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28,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29"/>
        </w:trPr>
        <w:tc>
          <w:tcPr>
            <w:tcW w:w="5460" w:type="dxa"/>
            <w:vAlign w:val="bottom"/>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176"/>
        </w:trPr>
        <w:tc>
          <w:tcPr>
            <w:tcW w:w="54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Amounts reclassified from accumulated other comprehensive net</w:t>
            </w: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(loss)</w:t>
            </w:r>
          </w:p>
        </w:tc>
        <w:tc>
          <w:tcPr>
            <w:tcW w:w="12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Income tax benefit (expense)</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Balance at March 28,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
        </w:trPr>
        <w:tc>
          <w:tcPr>
            <w:tcW w:w="5460" w:type="dxa"/>
            <w:vAlign w:val="bottom"/>
            <w:vMerge w:val="restart"/>
          </w:tcPr>
          <w:p>
            <w:pPr>
              <w:spacing w:after="0"/>
              <w:rPr>
                <w:sz w:val="20"/>
                <w:szCs w:val="20"/>
                <w:color w:val="auto"/>
              </w:rPr>
            </w:pPr>
            <w:r>
              <w:rPr>
                <w:rFonts w:ascii="Arial" w:cs="Arial" w:eastAsia="Arial" w:hAnsi="Arial"/>
                <w:sz w:val="14"/>
                <w:szCs w:val="14"/>
                <w:color w:val="auto"/>
              </w:rPr>
              <w:t>The sum of the components may not equal due to rounding.</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5"/>
        </w:trPr>
        <w:tc>
          <w:tcPr>
            <w:tcW w:w="546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3"/>
        </w:trPr>
        <w:tc>
          <w:tcPr>
            <w:tcW w:w="5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Net Unrealized Gain</w:t>
            </w:r>
          </w:p>
        </w:tc>
        <w:tc>
          <w:tcPr>
            <w:tcW w:w="14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Net Unrealized Gain</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14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(Loss) in</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(Loss)</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Pension and Other</w:t>
            </w: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80" w:type="dxa"/>
            <w:vAlign w:val="bottom"/>
          </w:tcPr>
          <w:p>
            <w:pPr>
              <w:spacing w:after="0"/>
              <w:rPr>
                <w:sz w:val="11"/>
                <w:szCs w:val="11"/>
                <w:color w:val="auto"/>
              </w:rPr>
            </w:pPr>
          </w:p>
        </w:tc>
        <w:tc>
          <w:tcPr>
            <w:tcW w:w="12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On Derivative</w:t>
            </w:r>
          </w:p>
        </w:tc>
        <w:tc>
          <w:tcPr>
            <w:tcW w:w="120" w:type="dxa"/>
            <w:vAlign w:val="bottom"/>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Post-Retirement</w:t>
            </w:r>
          </w:p>
        </w:tc>
        <w:tc>
          <w:tcPr>
            <w:tcW w:w="160" w:type="dxa"/>
            <w:vAlign w:val="bottom"/>
          </w:tcPr>
          <w:p>
            <w:pPr>
              <w:spacing w:after="0"/>
              <w:rPr>
                <w:sz w:val="11"/>
                <w:szCs w:val="11"/>
                <w:color w:val="auto"/>
              </w:rPr>
            </w:pPr>
          </w:p>
        </w:tc>
        <w:tc>
          <w:tcPr>
            <w:tcW w:w="1200" w:type="dxa"/>
            <w:vAlign w:val="bottom"/>
          </w:tcPr>
          <w:p>
            <w:pPr>
              <w:jc w:val="center"/>
              <w:ind w:right="73"/>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6"/>
        </w:trPr>
        <w:tc>
          <w:tcPr>
            <w:tcW w:w="5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Benefits</w:t>
            </w:r>
          </w:p>
        </w:tc>
        <w:tc>
          <w:tcPr>
            <w:tcW w:w="160" w:type="dxa"/>
            <w:vAlign w:val="bottom"/>
          </w:tcPr>
          <w:p>
            <w:pPr>
              <w:spacing w:after="0"/>
              <w:rPr>
                <w:sz w:val="16"/>
                <w:szCs w:val="16"/>
                <w:color w:val="auto"/>
              </w:rPr>
            </w:pPr>
          </w:p>
        </w:tc>
        <w:tc>
          <w:tcPr>
            <w:tcW w:w="1200" w:type="dxa"/>
            <w:vAlign w:val="bottom"/>
          </w:tcPr>
          <w:p>
            <w:pPr>
              <w:jc w:val="center"/>
              <w:ind w:right="73"/>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26"/>
        </w:trPr>
        <w:tc>
          <w:tcPr>
            <w:tcW w:w="5460" w:type="dxa"/>
            <w:vAlign w:val="bottom"/>
          </w:tcPr>
          <w:p>
            <w:pPr>
              <w:ind w:left="20"/>
              <w:spacing w:after="0"/>
              <w:rPr>
                <w:sz w:val="20"/>
                <w:szCs w:val="20"/>
                <w:color w:val="auto"/>
              </w:rPr>
            </w:pPr>
            <w:r>
              <w:rPr>
                <w:rFonts w:ascii="Arial" w:cs="Arial" w:eastAsia="Arial" w:hAnsi="Arial"/>
                <w:sz w:val="18"/>
                <w:szCs w:val="18"/>
                <w:color w:val="auto"/>
              </w:rPr>
              <w:t>Balance at September 30, 2020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175"/>
        </w:trPr>
        <w:tc>
          <w:tcPr>
            <w:tcW w:w="5460" w:type="dxa"/>
            <w:vAlign w:val="bottom"/>
          </w:tcPr>
          <w:p>
            <w:pPr>
              <w:ind w:left="240"/>
              <w:spacing w:after="0" w:line="176" w:lineRule="exact"/>
              <w:rPr>
                <w:sz w:val="20"/>
                <w:szCs w:val="20"/>
                <w:color w:val="auto"/>
              </w:rPr>
            </w:pPr>
            <w:r>
              <w:rPr>
                <w:rFonts w:ascii="Arial" w:cs="Arial" w:eastAsia="Arial" w:hAnsi="Arial"/>
                <w:sz w:val="18"/>
                <w:szCs w:val="18"/>
                <w:color w:val="auto"/>
              </w:rPr>
              <w:t>Amounts reclassified from accumulated other comprehensive net</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income (loss)</w:t>
            </w:r>
          </w:p>
        </w:tc>
        <w:tc>
          <w:tcPr>
            <w:tcW w:w="1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benefit (expense)</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April 3,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September 30,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175"/>
        </w:trPr>
        <w:tc>
          <w:tcPr>
            <w:tcW w:w="54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Amounts reclassified from accumulated other comprehensive net</w:t>
            </w: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(loss)</w:t>
            </w:r>
          </w:p>
        </w:tc>
        <w:tc>
          <w:tcPr>
            <w:tcW w:w="12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Income tax benefit (expense)</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Balance at March 28,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5" w:name="page16"/>
    <w:bookmarkEnd w:id="15"/>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Dividends</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July 27, 2020, the Scotts Miracle-Gro Board of Directors approved an increase in the Company’s quarterly cash dividend from $0.58 to $0.62 per Common Share. In addition, on July 27, 2020, the Scotts Miracle-Gro Board of Directors approved a special cash dividend of $5.00 per Common Share, which was paid on September 10, 2020 to all shareholders of record at the close of business on August 27,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 Repurchases</w:t>
      </w:r>
    </w:p>
    <w:p>
      <w:pPr>
        <w:spacing w:after="0" w:line="15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August 11, 2014, Scotts Miracle-Gro announced that its Board of Directors authorized the repurchase of up to $500.0 of Common Shares over a five-year period (effective November 1, 2014 through September 30, 2019). On August 3, 2016, Scotts Miracle-Gro announced that its Board of Directors authorized a $500.0 increase to the share repurchase authorization ending on September 30, 2019. On August 2, 2019, the Scotts Miracle-Gro Board of Directors authorized an extension of the share repurchase authorization through March 28, 2020. The amended authorization allowed for repurchases of Common Shares of up to an aggregate amount of $1,000.0 through March 28, 2020. During the three and six months ended March 28, 2020, Scotts Miracle-Gro repurchased 0.4 million Common Shares under this share repurchase authorization for $48.2. From the effective date of this share repurchase authorization in the fourth quarter of fiscal 2014 through March 28, 2020, Scotts Miracle-Gro repurchased approximately 8.7 million Common Shares for $762.8.</w:t>
      </w:r>
    </w:p>
    <w:p>
      <w:pPr>
        <w:spacing w:after="0" w:line="11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February 6, 2020, Scotts Miracle-Gro announced that its Board of Directors authorized the repurchase of up to $750.0 of Common Shares from April 30, 2020 through March 25, 2023. The authorization provides the Company with flexibility to purchase Common Shares from time to time in open market purchases or through privately negotiated transactions. All or part of the repurchases may be made under Rule 10b5-1 plans, which the Company may enter into from time to time and which enable the repurchases to occur on a more regular basis, or pursuant to accelerated share repurchases. The share repurchase authorization may be suspended or discontinued by the Board of Directors at any time, and there can be no guarantee as to the timing or amount of any repurchases. There were no share repurchases under this share repurchase authorization during fiscal 2020. During the three and six months ended April 3, 2021, Scotts Miracle-Gro repurchased approximately 0.1 million and 0.3 million Common Shares under this share repurchase authorization for $12.5 and $50.5, respectively. The “Treasury share purchases” lines in the tables above include cash paid to tax authorities to satisfy statutory income tax withholding obligations related to share-based compensation of $11.3 and $11.7 for the three and six months ended April 3, 2021, respectively, and $4.7 for the three and six months ended March 28,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share-based awards granted during each of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34"/>
        </w:trPr>
        <w:tc>
          <w:tcPr>
            <w:tcW w:w="6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gridSpan w:val="4"/>
          </w:tcPr>
          <w:p>
            <w:pPr>
              <w:jc w:val="right"/>
              <w:ind w:right="384"/>
              <w:spacing w:after="0" w:line="135" w:lineRule="exact"/>
              <w:rPr>
                <w:sz w:val="20"/>
                <w:szCs w:val="20"/>
                <w:color w:val="auto"/>
              </w:rPr>
            </w:pPr>
            <w:r>
              <w:rPr>
                <w:rFonts w:ascii="Arial" w:cs="Arial" w:eastAsia="Arial" w:hAnsi="Arial"/>
                <w:sz w:val="14"/>
                <w:szCs w:val="14"/>
                <w:b w:val="1"/>
                <w:bCs w:val="1"/>
                <w:color w:val="auto"/>
              </w:rPr>
              <w:t>April 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March 28,</w:t>
            </w:r>
          </w:p>
        </w:tc>
      </w:tr>
      <w:tr>
        <w:trPr>
          <w:trHeight w:val="188"/>
        </w:trPr>
        <w:tc>
          <w:tcPr>
            <w:tcW w:w="64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ind w:right="484"/>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r>
      <w:tr>
        <w:trPr>
          <w:trHeight w:val="21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6400" w:type="dxa"/>
            <w:vAlign w:val="bottom"/>
          </w:tcPr>
          <w:p>
            <w:pPr>
              <w:ind w:left="360"/>
              <w:spacing w:after="0"/>
              <w:rPr>
                <w:sz w:val="20"/>
                <w:szCs w:val="20"/>
                <w:color w:val="auto"/>
              </w:rPr>
            </w:pPr>
            <w:r>
              <w:rPr>
                <w:rFonts w:ascii="Arial" w:cs="Arial" w:eastAsia="Arial" w:hAnsi="Arial"/>
                <w:sz w:val="18"/>
                <w:szCs w:val="18"/>
                <w:color w:val="auto"/>
              </w:rPr>
              <w:t>Options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183,553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stock units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61,749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117,266</w:t>
            </w:r>
          </w:p>
        </w:tc>
        <w:tc>
          <w:tcPr>
            <w:tcW w:w="20" w:type="dxa"/>
            <w:vAlign w:val="bottom"/>
            <w:shd w:val="clear" w:color="auto" w:fill="CCEEFF"/>
          </w:tcPr>
          <w:p>
            <w:pPr>
              <w:spacing w:after="0"/>
              <w:rPr>
                <w:sz w:val="19"/>
                <w:szCs w:val="19"/>
                <w:color w:val="auto"/>
              </w:rPr>
            </w:pPr>
          </w:p>
        </w:tc>
      </w:tr>
      <w:tr>
        <w:trPr>
          <w:trHeight w:val="230"/>
        </w:trPr>
        <w:tc>
          <w:tcPr>
            <w:tcW w:w="6400" w:type="dxa"/>
            <w:vAlign w:val="bottom"/>
          </w:tcPr>
          <w:p>
            <w:pPr>
              <w:ind w:left="360"/>
              <w:spacing w:after="0"/>
              <w:rPr>
                <w:sz w:val="20"/>
                <w:szCs w:val="20"/>
                <w:color w:val="auto"/>
              </w:rPr>
            </w:pPr>
            <w:r>
              <w:rPr>
                <w:rFonts w:ascii="Arial" w:cs="Arial" w:eastAsia="Arial" w:hAnsi="Arial"/>
                <w:sz w:val="18"/>
                <w:szCs w:val="18"/>
                <w:color w:val="auto"/>
              </w:rPr>
              <w:t>Performance units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1,903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37,166</w:t>
            </w:r>
          </w:p>
        </w:tc>
        <w:tc>
          <w:tcPr>
            <w:tcW w:w="20" w:type="dxa"/>
            <w:vAlign w:val="bottom"/>
          </w:tcPr>
          <w:p>
            <w:pPr>
              <w:spacing w:after="0"/>
              <w:rPr>
                <w:sz w:val="19"/>
                <w:szCs w:val="19"/>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Non-Employee Directors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Restricted and deferred stock units</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8,187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15,483</w:t>
            </w:r>
          </w:p>
        </w:tc>
        <w:tc>
          <w:tcPr>
            <w:tcW w:w="20" w:type="dxa"/>
            <w:vAlign w:val="bottom"/>
            <w:tcBorders>
              <w:bottom w:val="single" w:sz="8" w:color="auto"/>
            </w:tcBorders>
          </w:tcPr>
          <w:p>
            <w:pPr>
              <w:spacing w:after="0"/>
              <w:rPr>
                <w:sz w:val="19"/>
                <w:szCs w:val="19"/>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share-based awards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255,392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169,915</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fair value at grant dates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shd w:val="clear" w:color="auto" w:fill="CCEEFF"/>
          </w:tcPr>
          <w:p>
            <w:pPr>
              <w:spacing w:after="0"/>
              <w:rPr>
                <w:sz w:val="19"/>
                <w:szCs w:val="19"/>
                <w:color w:val="auto"/>
              </w:rPr>
            </w:pPr>
          </w:p>
        </w:tc>
      </w:tr>
      <w:tr>
        <w:trPr>
          <w:trHeight w:val="351"/>
        </w:trPr>
        <w:tc>
          <w:tcPr>
            <w:tcW w:w="6400" w:type="dxa"/>
            <w:vAlign w:val="bottom"/>
          </w:tcPr>
          <w:p>
            <w:pPr>
              <w:ind w:left="420"/>
              <w:spacing w:after="0"/>
              <w:rPr>
                <w:sz w:val="20"/>
                <w:szCs w:val="20"/>
                <w:color w:val="auto"/>
              </w:rPr>
            </w:pPr>
            <w:r>
              <w:rPr>
                <w:rFonts w:ascii="Arial" w:cs="Arial" w:eastAsia="Arial" w:hAnsi="Arial"/>
                <w:sz w:val="18"/>
                <w:szCs w:val="18"/>
                <w:color w:val="auto"/>
                <w:w w:val="91"/>
              </w:rPr>
              <w:t>Total share-based compensation was as follows for each of the periods indicated:</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6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5"/>
          </w:tcPr>
          <w:p>
            <w:pPr>
              <w:jc w:val="right"/>
              <w:ind w:right="408"/>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8"/>
          </w:tcPr>
          <w:p>
            <w:pPr>
              <w:ind w:left="620"/>
              <w:spacing w:after="0"/>
              <w:rPr>
                <w:sz w:val="20"/>
                <w:szCs w:val="20"/>
                <w:color w:val="auto"/>
              </w:rPr>
            </w:pPr>
            <w:r>
              <w:rPr>
                <w:rFonts w:ascii="Arial" w:cs="Arial" w:eastAsia="Arial" w:hAnsi="Arial"/>
                <w:sz w:val="14"/>
                <w:szCs w:val="14"/>
                <w:b w:val="1"/>
                <w:bCs w:val="1"/>
                <w:color w:val="auto"/>
              </w:rPr>
              <w:t>Six Months Ended</w:t>
            </w:r>
          </w:p>
        </w:tc>
      </w:tr>
      <w:tr>
        <w:trPr>
          <w:trHeight w:val="135"/>
        </w:trPr>
        <w:tc>
          <w:tcPr>
            <w:tcW w:w="64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April 3,</w:t>
            </w: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ind w:right="128"/>
              <w:spacing w:after="0" w:line="135" w:lineRule="exact"/>
              <w:rPr>
                <w:sz w:val="20"/>
                <w:szCs w:val="20"/>
                <w:color w:val="auto"/>
              </w:rPr>
            </w:pPr>
            <w:r>
              <w:rPr>
                <w:rFonts w:ascii="Arial" w:cs="Arial" w:eastAsia="Arial" w:hAnsi="Arial"/>
                <w:sz w:val="14"/>
                <w:szCs w:val="14"/>
                <w:b w:val="1"/>
                <w:bCs w:val="1"/>
                <w:color w:val="auto"/>
              </w:rPr>
              <w:t>March 28,</w:t>
            </w: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Borders>
              <w:top w:val="single" w:sz="8" w:color="auto"/>
            </w:tcBorders>
            <w:gridSpan w:val="5"/>
          </w:tcPr>
          <w:p>
            <w:pPr>
              <w:ind w:left="320"/>
              <w:spacing w:after="0" w:line="135" w:lineRule="exact"/>
              <w:rPr>
                <w:sz w:val="20"/>
                <w:szCs w:val="20"/>
                <w:color w:val="auto"/>
              </w:rPr>
            </w:pPr>
            <w:r>
              <w:rPr>
                <w:rFonts w:ascii="Arial" w:cs="Arial" w:eastAsia="Arial" w:hAnsi="Arial"/>
                <w:sz w:val="14"/>
                <w:szCs w:val="14"/>
                <w:b w:val="1"/>
                <w:bCs w:val="1"/>
                <w:color w:val="auto"/>
              </w:rPr>
              <w:t>April 3,</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75"/>
              <w:spacing w:after="0" w:line="135" w:lineRule="exact"/>
              <w:rPr>
                <w:sz w:val="20"/>
                <w:szCs w:val="20"/>
                <w:color w:val="auto"/>
              </w:rPr>
            </w:pPr>
            <w:r>
              <w:rPr>
                <w:rFonts w:ascii="Arial" w:cs="Arial" w:eastAsia="Arial" w:hAnsi="Arial"/>
                <w:sz w:val="14"/>
                <w:szCs w:val="14"/>
                <w:b w:val="1"/>
                <w:bCs w:val="1"/>
                <w:color w:val="auto"/>
                <w:w w:val="99"/>
              </w:rPr>
              <w:t>March 28,</w:t>
            </w:r>
          </w:p>
        </w:tc>
        <w:tc>
          <w:tcPr>
            <w:tcW w:w="20" w:type="dxa"/>
            <w:vAlign w:val="bottom"/>
          </w:tcPr>
          <w:p>
            <w:pPr>
              <w:spacing w:after="0"/>
              <w:rPr>
                <w:sz w:val="11"/>
                <w:szCs w:val="11"/>
                <w:color w:val="auto"/>
              </w:rPr>
            </w:pPr>
          </w:p>
        </w:tc>
      </w:tr>
      <w:tr>
        <w:trPr>
          <w:trHeight w:val="188"/>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r>
      <w:tr>
        <w:trPr>
          <w:trHeight w:val="224"/>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25.8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9"/>
                <w:szCs w:val="19"/>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Related tax benefit recognized</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r>
      <w:tr>
        <w:trPr>
          <w:trHeight w:val="877"/>
        </w:trPr>
        <w:tc>
          <w:tcPr>
            <w:tcW w:w="6400" w:type="dxa"/>
            <w:vAlign w:val="bottom"/>
          </w:tcPr>
          <w:p>
            <w:pPr>
              <w:ind w:left="554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6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6" w:name="page17"/>
    <w:bookmarkEnd w:id="16"/>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option activity during the six months ended April 3, 2021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280" w:type="dxa"/>
            <w:vAlign w:val="bottom"/>
          </w:tcPr>
          <w:p>
            <w:pPr>
              <w:jc w:val="center"/>
              <w:ind w:left="648"/>
              <w:spacing w:after="0"/>
              <w:rPr>
                <w:sz w:val="20"/>
                <w:szCs w:val="20"/>
                <w:color w:val="auto"/>
              </w:rPr>
            </w:pPr>
            <w:r>
              <w:rPr>
                <w:rFonts w:ascii="Arial" w:cs="Arial" w:eastAsia="Arial" w:hAnsi="Arial"/>
                <w:sz w:val="14"/>
                <w:szCs w:val="14"/>
                <w:b w:val="1"/>
                <w:bCs w:val="1"/>
                <w:color w:val="auto"/>
                <w:w w:val="90"/>
              </w:rPr>
              <w:t>No. of</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jc w:val="right"/>
              <w:ind w:right="595"/>
              <w:spacing w:after="0"/>
              <w:rPr>
                <w:sz w:val="20"/>
                <w:szCs w:val="20"/>
                <w:color w:val="auto"/>
              </w:rPr>
            </w:pPr>
            <w:r>
              <w:rPr>
                <w:rFonts w:ascii="Arial" w:cs="Arial" w:eastAsia="Arial" w:hAnsi="Arial"/>
                <w:sz w:val="14"/>
                <w:szCs w:val="14"/>
                <w:b w:val="1"/>
                <w:bCs w:val="1"/>
                <w:color w:val="auto"/>
              </w:rPr>
              <w:t>Wtd. Avg.</w:t>
            </w:r>
          </w:p>
        </w:tc>
      </w:tr>
      <w:tr>
        <w:trPr>
          <w:trHeight w:val="188"/>
        </w:trPr>
        <w:tc>
          <w:tcPr>
            <w:tcW w:w="71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ind w:left="648"/>
              <w:spacing w:after="0"/>
              <w:rPr>
                <w:sz w:val="20"/>
                <w:szCs w:val="20"/>
                <w:color w:val="auto"/>
              </w:rPr>
            </w:pPr>
            <w:r>
              <w:rPr>
                <w:rFonts w:ascii="Arial" w:cs="Arial" w:eastAsia="Arial" w:hAnsi="Arial"/>
                <w:sz w:val="14"/>
                <w:szCs w:val="14"/>
                <w:b w:val="1"/>
                <w:bCs w:val="1"/>
                <w:color w:val="auto"/>
                <w:w w:val="90"/>
              </w:rPr>
              <w:t>Options</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Exercise Price</w:t>
            </w:r>
          </w:p>
        </w:tc>
      </w:tr>
      <w:tr>
        <w:trPr>
          <w:trHeight w:val="224"/>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2020</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619,225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w:t>
            </w:r>
          </w:p>
        </w:tc>
      </w:tr>
      <w:tr>
        <w:trPr>
          <w:trHeight w:val="229"/>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00" w:type="dxa"/>
            <w:vAlign w:val="bottom"/>
          </w:tcPr>
          <w:p>
            <w:pPr>
              <w:ind w:left="40"/>
              <w:spacing w:after="0"/>
              <w:rPr>
                <w:sz w:val="20"/>
                <w:szCs w:val="20"/>
                <w:color w:val="auto"/>
              </w:rPr>
            </w:pPr>
            <w:r>
              <w:rPr>
                <w:rFonts w:ascii="Arial" w:cs="Arial" w:eastAsia="Arial" w:hAnsi="Arial"/>
                <w:sz w:val="18"/>
                <w:szCs w:val="18"/>
                <w:color w:val="auto"/>
                <w:w w:val="98"/>
              </w:rPr>
              <w:t>183,553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236.53</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2"/>
              </w:rPr>
              <w:t>(99,902)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w:t>
            </w:r>
          </w:p>
        </w:tc>
      </w:tr>
      <w:tr>
        <w:trPr>
          <w:trHeight w:val="223"/>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Awards outstanding at April 3, 2021</w:t>
            </w:r>
          </w:p>
        </w:tc>
        <w:tc>
          <w:tcPr>
            <w:tcW w:w="700" w:type="dxa"/>
            <w:vAlign w:val="bottom"/>
          </w:tcPr>
          <w:p>
            <w:pPr>
              <w:ind w:left="40"/>
              <w:spacing w:after="0"/>
              <w:rPr>
                <w:sz w:val="20"/>
                <w:szCs w:val="20"/>
                <w:color w:val="auto"/>
              </w:rPr>
            </w:pPr>
            <w:r>
              <w:rPr>
                <w:rFonts w:ascii="Arial" w:cs="Arial" w:eastAsia="Arial" w:hAnsi="Arial"/>
                <w:sz w:val="18"/>
                <w:szCs w:val="18"/>
                <w:color w:val="auto"/>
                <w:w w:val="98"/>
              </w:rPr>
              <w:t>702,876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104.04</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519,323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w:t>
            </w:r>
          </w:p>
        </w:tc>
      </w:tr>
    </w:tbl>
    <w:p>
      <w:pPr>
        <w:spacing w:after="0" w:line="13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At April 3, 2021, the total pre-tax compensation cost, net of estimated forfeitures, related to nonvested stock options not yet recognized was $4.1, which is expected to be recognized over a weighted-average period of 2.7 years. The total intrinsic value of stock options exercised was $17.1 for the six months ended April 3, 2021. Cash received from the exercise of stock options, including amounts received from employee purchases under the employee stock purchase plan, was $7.5 and $2.1 for the six months ended April 3, 2021 and March 28, 2020, respectively. The following summarizes certain information pertaining to stock option awards outstanding and exercisable at April 3, 2021:</w:t>
      </w: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Awards Outstanding</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Awards Exercisable</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No of</w:t>
            </w:r>
          </w:p>
        </w:tc>
        <w:tc>
          <w:tcPr>
            <w:tcW w:w="120" w:type="dxa"/>
            <w:vAlign w:val="bottom"/>
          </w:tcPr>
          <w:p>
            <w:pPr>
              <w:spacing w:after="0"/>
              <w:rPr>
                <w:sz w:val="11"/>
                <w:szCs w:val="11"/>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Wtd. Avg.</w:t>
            </w:r>
          </w:p>
        </w:tc>
        <w:tc>
          <w:tcPr>
            <w:tcW w:w="180" w:type="dxa"/>
            <w:vAlign w:val="bottom"/>
          </w:tcPr>
          <w:p>
            <w:pPr>
              <w:spacing w:after="0"/>
              <w:rPr>
                <w:sz w:val="11"/>
                <w:szCs w:val="11"/>
                <w:color w:val="auto"/>
              </w:rPr>
            </w:pPr>
          </w:p>
        </w:tc>
        <w:tc>
          <w:tcPr>
            <w:tcW w:w="92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w w:val="95"/>
              </w:rPr>
              <w:t>Wtd. Avg.</w:t>
            </w:r>
          </w:p>
        </w:tc>
        <w:tc>
          <w:tcPr>
            <w:tcW w:w="100" w:type="dxa"/>
            <w:vAlign w:val="bottom"/>
          </w:tcPr>
          <w:p>
            <w:pPr>
              <w:spacing w:after="0"/>
              <w:rPr>
                <w:sz w:val="11"/>
                <w:szCs w:val="11"/>
                <w:color w:val="auto"/>
              </w:rPr>
            </w:pPr>
          </w:p>
        </w:tc>
        <w:tc>
          <w:tcPr>
            <w:tcW w:w="110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No. of</w:t>
            </w:r>
          </w:p>
        </w:tc>
        <w:tc>
          <w:tcPr>
            <w:tcW w:w="120" w:type="dxa"/>
            <w:vAlign w:val="bottom"/>
          </w:tcPr>
          <w:p>
            <w:pPr>
              <w:spacing w:after="0"/>
              <w:rPr>
                <w:sz w:val="11"/>
                <w:szCs w:val="11"/>
                <w:color w:val="auto"/>
              </w:rPr>
            </w:pP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Wtd. Avg.</w:t>
            </w:r>
          </w:p>
        </w:tc>
        <w:tc>
          <w:tcPr>
            <w:tcW w:w="180" w:type="dxa"/>
            <w:vAlign w:val="bottom"/>
          </w:tcPr>
          <w:p>
            <w:pPr>
              <w:spacing w:after="0"/>
              <w:rPr>
                <w:sz w:val="11"/>
                <w:szCs w:val="11"/>
                <w:color w:val="auto"/>
              </w:rPr>
            </w:pPr>
          </w:p>
        </w:tc>
        <w:tc>
          <w:tcPr>
            <w:tcW w:w="92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5"/>
              </w:rPr>
              <w:t>Wtd. Avg.</w:t>
            </w:r>
          </w:p>
        </w:tc>
        <w:tc>
          <w:tcPr>
            <w:tcW w:w="0" w:type="dxa"/>
            <w:vAlign w:val="bottom"/>
          </w:tcPr>
          <w:p>
            <w:pPr>
              <w:spacing w:after="0"/>
              <w:rPr>
                <w:sz w:val="1"/>
                <w:szCs w:val="1"/>
                <w:color w:val="auto"/>
              </w:rPr>
            </w:pPr>
          </w:p>
        </w:tc>
      </w:tr>
      <w:tr>
        <w:trPr>
          <w:trHeight w:val="135"/>
        </w:trPr>
        <w:tc>
          <w:tcPr>
            <w:tcW w:w="4120" w:type="dxa"/>
            <w:vAlign w:val="bottom"/>
            <w:gridSpan w:val="2"/>
            <w:vMerge w:val="restart"/>
          </w:tcPr>
          <w:p>
            <w:pPr>
              <w:ind w:left="20"/>
              <w:spacing w:after="0"/>
              <w:rPr>
                <w:sz w:val="20"/>
                <w:szCs w:val="20"/>
                <w:color w:val="auto"/>
              </w:rPr>
            </w:pPr>
            <w:r>
              <w:rPr>
                <w:rFonts w:ascii="Arial" w:cs="Arial" w:eastAsia="Arial" w:hAnsi="Arial"/>
                <w:sz w:val="18"/>
                <w:szCs w:val="18"/>
                <w:color w:val="auto"/>
              </w:rPr>
              <w:t>Range of Exercise Price</w:t>
            </w: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Exercise</w:t>
            </w: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1"/>
                <w:szCs w:val="11"/>
                <w:color w:val="auto"/>
              </w:rPr>
            </w:pPr>
          </w:p>
        </w:tc>
        <w:tc>
          <w:tcPr>
            <w:tcW w:w="920" w:type="dxa"/>
            <w:vAlign w:val="bottom"/>
          </w:tcPr>
          <w:p>
            <w:pPr>
              <w:jc w:val="center"/>
              <w:ind w:right="76"/>
              <w:spacing w:after="0" w:line="13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9"/>
        </w:trPr>
        <w:tc>
          <w:tcPr>
            <w:tcW w:w="4120" w:type="dxa"/>
            <w:vAlign w:val="bottom"/>
            <w:gridSpan w:val="2"/>
            <w:vMerge w:val="continue"/>
          </w:tcPr>
          <w:p>
            <w:pPr>
              <w:spacing w:after="0"/>
              <w:rPr>
                <w:sz w:val="16"/>
                <w:szCs w:val="16"/>
                <w:color w:val="auto"/>
              </w:rPr>
            </w:pPr>
          </w:p>
        </w:tc>
        <w:tc>
          <w:tcPr>
            <w:tcW w:w="1080" w:type="dxa"/>
            <w:vAlign w:val="bottom"/>
          </w:tcPr>
          <w:p>
            <w:pPr>
              <w:jc w:val="right"/>
              <w:ind w:right="216"/>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Remaining Life</w:t>
            </w:r>
          </w:p>
        </w:tc>
        <w:tc>
          <w:tcPr>
            <w:tcW w:w="18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1100" w:type="dxa"/>
            <w:vAlign w:val="bottom"/>
          </w:tcPr>
          <w:p>
            <w:pPr>
              <w:jc w:val="right"/>
              <w:ind w:right="216"/>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Life</w:t>
            </w:r>
          </w:p>
        </w:tc>
        <w:tc>
          <w:tcPr>
            <w:tcW w:w="180" w:type="dxa"/>
            <w:vAlign w:val="bottom"/>
          </w:tcPr>
          <w:p>
            <w:pPr>
              <w:spacing w:after="0"/>
              <w:rPr>
                <w:sz w:val="16"/>
                <w:szCs w:val="16"/>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3"/>
        </w:trPr>
        <w:tc>
          <w:tcPr>
            <w:tcW w:w="4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$42.60 - $42.60</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$59.62 - $64.55</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62.18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62.18</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$236.53 - $236.53</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236.53</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104.04</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8820" w:type="dxa"/>
            <w:vAlign w:val="bottom"/>
            <w:gridSpan w:val="10"/>
          </w:tcPr>
          <w:p>
            <w:pPr>
              <w:ind w:left="420"/>
              <w:spacing w:after="0"/>
              <w:rPr>
                <w:sz w:val="20"/>
                <w:szCs w:val="20"/>
                <w:color w:val="auto"/>
              </w:rPr>
            </w:pPr>
            <w:r>
              <w:rPr>
                <w:rFonts w:ascii="Arial" w:cs="Arial" w:eastAsia="Arial" w:hAnsi="Arial"/>
                <w:sz w:val="18"/>
                <w:szCs w:val="18"/>
                <w:color w:val="auto"/>
                <w:w w:val="97"/>
              </w:rPr>
              <w:t>The intrinsic values of the stock option awards outstanding and exercisable at April 3, 2021 were as follows: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Outstanding</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20" w:type="dxa"/>
            <w:vAlign w:val="bottom"/>
            <w:gridSpan w:val="2"/>
          </w:tcPr>
          <w:p>
            <w:pPr>
              <w:jc w:val="right"/>
              <w:ind w:right="58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Exercisable</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6"/>
          <w:szCs w:val="16"/>
          <w:color w:val="auto"/>
        </w:rPr>
        <w:t>The grant date fair value of stock option awards is estimated using a binomial model. Expected market price volatility is based on implied volatilities from traded options on Common Shares and historical volatility specific to the Common Shares. Historical data, including demographic factors impacting historical exercise behavior, is used to estimate stock option exercises and employee terminations within the valuation model. The risk-free rate for periods within the contractual life of the stock option is based on the U.S. Treasury yield curve in effect at the time of grant. The expected life of stock options is based on historical experience and expectations for grants outstanding. The weighted average assumptions for awards granted in fiscal 2021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market price volatility</w:t>
            </w:r>
          </w:p>
        </w:tc>
        <w:tc>
          <w:tcPr>
            <w:tcW w:w="3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31.9 %</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3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Expected life of stock options in years</w:t>
            </w:r>
          </w:p>
        </w:tc>
        <w:tc>
          <w:tcPr>
            <w:tcW w:w="3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6.06</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weighted-average fair value per stock option</w:t>
            </w:r>
          </w:p>
        </w:tc>
        <w:tc>
          <w:tcPr>
            <w:tcW w:w="33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61.15</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share-based awards</w:t>
      </w:r>
    </w:p>
    <w:p>
      <w:pPr>
        <w:spacing w:after="0" w:line="14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8"/>
          <w:szCs w:val="18"/>
          <w:color w:val="auto"/>
        </w:rPr>
        <w:t>Restricted share-based award activity (including restricted stock units and deferred stock units) during the six months ended April 3, 2021 was as follows:</w:t>
      </w:r>
    </w:p>
    <w:tbl>
      <w:tblPr>
        <w:tblLayout w:type="fixed"/>
        <w:tblInd w:w="0" w:type="dxa"/>
        <w:tblCellMar>
          <w:top w:w="0" w:type="dxa"/>
          <w:left w:w="0" w:type="dxa"/>
          <w:bottom w:w="0" w:type="dxa"/>
          <w:right w:w="0" w:type="dxa"/>
        </w:tblCellMar>
      </w:tblPr>
      <w:tr>
        <w:trPr>
          <w:trHeight w:val="144"/>
        </w:trPr>
        <w:tc>
          <w:tcPr>
            <w:tcW w:w="7180" w:type="dxa"/>
            <w:vAlign w:val="bottom"/>
          </w:tcPr>
          <w:p>
            <w:pPr>
              <w:spacing w:after="0"/>
              <w:rPr>
                <w:sz w:val="12"/>
                <w:szCs w:val="12"/>
                <w:color w:val="auto"/>
              </w:rPr>
            </w:pPr>
          </w:p>
        </w:tc>
        <w:tc>
          <w:tcPr>
            <w:tcW w:w="1220" w:type="dxa"/>
            <w:vAlign w:val="bottom"/>
          </w:tcPr>
          <w:p>
            <w:pPr>
              <w:ind w:left="820"/>
              <w:spacing w:after="0" w:line="145" w:lineRule="exact"/>
              <w:rPr>
                <w:sz w:val="20"/>
                <w:szCs w:val="20"/>
                <w:color w:val="auto"/>
              </w:rPr>
            </w:pPr>
            <w:r>
              <w:rPr>
                <w:rFonts w:ascii="Arial" w:cs="Arial" w:eastAsia="Arial" w:hAnsi="Arial"/>
                <w:sz w:val="14"/>
                <w:szCs w:val="14"/>
                <w:b w:val="1"/>
                <w:bCs w:val="1"/>
                <w:color w:val="auto"/>
                <w:w w:val="95"/>
              </w:rPr>
              <w:t>No. of</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jc w:val="right"/>
              <w:ind w:right="215"/>
              <w:spacing w:after="0" w:line="145" w:lineRule="exact"/>
              <w:rPr>
                <w:sz w:val="20"/>
                <w:szCs w:val="20"/>
                <w:color w:val="auto"/>
              </w:rPr>
            </w:pPr>
            <w:r>
              <w:rPr>
                <w:rFonts w:ascii="Arial" w:cs="Arial" w:eastAsia="Arial" w:hAnsi="Arial"/>
                <w:sz w:val="14"/>
                <w:szCs w:val="14"/>
                <w:b w:val="1"/>
                <w:bCs w:val="1"/>
                <w:color w:val="auto"/>
              </w:rPr>
              <w:t>Wtd. Avg. Grant Date</w:t>
            </w:r>
          </w:p>
        </w:tc>
      </w:tr>
      <w:tr>
        <w:trPr>
          <w:trHeight w:val="188"/>
        </w:trPr>
        <w:tc>
          <w:tcPr>
            <w:tcW w:w="71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Units</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Fair Value per Unit</w:t>
            </w:r>
          </w:p>
        </w:tc>
      </w:tr>
      <w:tr>
        <w:trPr>
          <w:trHeight w:val="224"/>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2020</w:t>
            </w:r>
          </w:p>
        </w:tc>
        <w:tc>
          <w:tcPr>
            <w:tcW w:w="1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94.53</w:t>
            </w:r>
          </w:p>
        </w:tc>
      </w:tr>
      <w:tr>
        <w:trPr>
          <w:trHeight w:val="230"/>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69,936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232.70</w:t>
            </w:r>
          </w:p>
        </w:tc>
      </w:tr>
      <w:tr>
        <w:trPr>
          <w:trHeight w:val="229"/>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(132,105)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98.67</w:t>
            </w:r>
          </w:p>
        </w:tc>
      </w:tr>
      <w:tr>
        <w:trPr>
          <w:trHeight w:val="243"/>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Awards outstanding at April 3, 2021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432,438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April 3, 2021, the total pre-tax compensation cost, net of estimated forfeitures, related to nonvested restricted stock</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7" w:name="page18"/>
    <w:bookmarkEnd w:id="17"/>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units not yet recognized was $13.8, which is expected to be recognized over a weighted-average period of 2.0 years. The total fair value of restricted stock units and deferred stock units vested was $29.5 for the six months ended April 3, 2021.</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Performance-based award activity during the six months ended April 3, 2021 was as follows (based on target award amounts):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260" w:type="dxa"/>
            <w:vAlign w:val="bottom"/>
          </w:tcPr>
          <w:p>
            <w:pPr>
              <w:ind w:left="820"/>
              <w:spacing w:after="0"/>
              <w:rPr>
                <w:sz w:val="20"/>
                <w:szCs w:val="20"/>
                <w:color w:val="auto"/>
              </w:rPr>
            </w:pPr>
            <w:r>
              <w:rPr>
                <w:rFonts w:ascii="Arial" w:cs="Arial" w:eastAsia="Arial" w:hAnsi="Arial"/>
                <w:sz w:val="14"/>
                <w:szCs w:val="14"/>
                <w:b w:val="1"/>
                <w:bCs w:val="1"/>
                <w:color w:val="auto"/>
              </w:rPr>
              <w:t>No. of</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jc w:val="right"/>
              <w:ind w:right="215"/>
              <w:spacing w:after="0"/>
              <w:rPr>
                <w:sz w:val="20"/>
                <w:szCs w:val="20"/>
                <w:color w:val="auto"/>
              </w:rPr>
            </w:pPr>
            <w:r>
              <w:rPr>
                <w:rFonts w:ascii="Arial" w:cs="Arial" w:eastAsia="Arial" w:hAnsi="Arial"/>
                <w:sz w:val="14"/>
                <w:szCs w:val="14"/>
                <w:b w:val="1"/>
                <w:bCs w:val="1"/>
                <w:color w:val="auto"/>
              </w:rPr>
              <w:t>Wtd. Avg. Grant Date</w:t>
            </w:r>
          </w:p>
        </w:tc>
      </w:tr>
      <w:tr>
        <w:trPr>
          <w:trHeight w:val="188"/>
        </w:trPr>
        <w:tc>
          <w:tcPr>
            <w:tcW w:w="71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Units</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Fair Value per Unit</w:t>
            </w:r>
          </w:p>
        </w:tc>
      </w:tr>
      <w:tr>
        <w:trPr>
          <w:trHeight w:val="224"/>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2020</w:t>
            </w: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666,128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236.53</w:t>
            </w:r>
          </w:p>
        </w:tc>
      </w:tr>
      <w:tr>
        <w:trPr>
          <w:trHeight w:val="229"/>
        </w:trPr>
        <w:tc>
          <w:tcPr>
            <w:tcW w:w="84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87.99</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90.91</w:t>
            </w:r>
          </w:p>
        </w:tc>
      </w:tr>
      <w:tr>
        <w:trPr>
          <w:trHeight w:val="243"/>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Awards outstanding at April 3, 2021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577,343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96.75</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Vested at an average of 196 percent of the target performance share units granted.</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April 3, 2021, the total pre-tax compensation cost, net of estimated forfeitures, related to nonvested performance-based units not yet recognized was $16.9, which is expected to be recognized over a weighted-average period of 1.3 years. The total fair value of performance-based units vested was $11.9 for the six months ended April 3,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COMMON SHARE</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information necessary to calculate basic and diluted income per Common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14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64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April 3,</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52"/>
              <w:spacing w:after="0" w:line="135" w:lineRule="exact"/>
              <w:rPr>
                <w:sz w:val="20"/>
                <w:szCs w:val="20"/>
                <w:color w:val="auto"/>
              </w:rPr>
            </w:pPr>
            <w:r>
              <w:rPr>
                <w:rFonts w:ascii="Arial" w:cs="Arial" w:eastAsia="Arial" w:hAnsi="Arial"/>
                <w:sz w:val="14"/>
                <w:szCs w:val="14"/>
                <w:b w:val="1"/>
                <w:bCs w:val="1"/>
                <w:color w:val="auto"/>
              </w:rPr>
              <w:t>March 28,</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April 3,</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52"/>
              <w:spacing w:after="0" w:line="135" w:lineRule="exact"/>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88"/>
        </w:trPr>
        <w:tc>
          <w:tcPr>
            <w:tcW w:w="6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3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attributable to controlling interest from continuing operations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3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Income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Weighted-average Common Shares outstanding</w:t>
            </w: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3"/>
        </w:trPr>
        <w:tc>
          <w:tcPr>
            <w:tcW w:w="6460" w:type="dxa"/>
            <w:vAlign w:val="bottom"/>
            <w:tcBorders>
              <w:bottom w:val="single" w:sz="8" w:color="CCEEFF"/>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during the period</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60" w:type="dxa"/>
            <w:vAlign w:val="bottom"/>
            <w:vMerge w:val="continue"/>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5.58</w:t>
            </w:r>
          </w:p>
        </w:tc>
        <w:tc>
          <w:tcPr>
            <w:tcW w:w="12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4.48</w:t>
            </w:r>
          </w:p>
        </w:tc>
        <w:tc>
          <w:tcPr>
            <w:tcW w:w="12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6.02</w:t>
            </w:r>
          </w:p>
        </w:tc>
        <w:tc>
          <w:tcPr>
            <w:tcW w:w="10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64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Income Per Common Share:</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360"/>
              <w:spacing w:after="0" w:line="176" w:lineRule="exact"/>
              <w:rPr>
                <w:sz w:val="20"/>
                <w:szCs w:val="20"/>
                <w:color w:val="auto"/>
              </w:rPr>
            </w:pPr>
            <w:r>
              <w:rPr>
                <w:rFonts w:ascii="Arial" w:cs="Arial" w:eastAsia="Arial" w:hAnsi="Arial"/>
                <w:sz w:val="18"/>
                <w:szCs w:val="18"/>
                <w:color w:val="auto"/>
              </w:rPr>
              <w:t>Weighted-average Common Shares outstanding</w:t>
            </w: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30"/>
        </w:trPr>
        <w:tc>
          <w:tcPr>
            <w:tcW w:w="6460" w:type="dxa"/>
            <w:vAlign w:val="bottom"/>
          </w:tcPr>
          <w:p>
            <w:pPr>
              <w:ind w:left="360"/>
              <w:spacing w:after="0"/>
              <w:rPr>
                <w:sz w:val="20"/>
                <w:szCs w:val="20"/>
                <w:color w:val="auto"/>
              </w:rPr>
            </w:pPr>
            <w:r>
              <w:rPr>
                <w:rFonts w:ascii="Arial" w:cs="Arial" w:eastAsia="Arial" w:hAnsi="Arial"/>
                <w:sz w:val="18"/>
                <w:szCs w:val="18"/>
                <w:color w:val="auto"/>
              </w:rPr>
              <w:t>during the period</w:t>
            </w:r>
          </w:p>
        </w:tc>
        <w:tc>
          <w:tcPr>
            <w:tcW w:w="2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potential Common Shares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155"/>
        </w:trPr>
        <w:tc>
          <w:tcPr>
            <w:tcW w:w="6460" w:type="dxa"/>
            <w:vAlign w:val="bottom"/>
          </w:tcPr>
          <w:p>
            <w:pPr>
              <w:ind w:left="360"/>
              <w:spacing w:after="0" w:line="156" w:lineRule="exact"/>
              <w:rPr>
                <w:sz w:val="20"/>
                <w:szCs w:val="20"/>
                <w:color w:val="auto"/>
              </w:rPr>
            </w:pPr>
            <w:r>
              <w:rPr>
                <w:rFonts w:ascii="Arial" w:cs="Arial" w:eastAsia="Arial" w:hAnsi="Arial"/>
                <w:sz w:val="18"/>
                <w:szCs w:val="18"/>
                <w:color w:val="auto"/>
              </w:rPr>
              <w:t>Weighted-average number of Common Shares</w:t>
            </w:r>
          </w:p>
        </w:tc>
        <w:tc>
          <w:tcPr>
            <w:tcW w:w="2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3"/>
        </w:trPr>
        <w:tc>
          <w:tcPr>
            <w:tcW w:w="6460" w:type="dxa"/>
            <w:vAlign w:val="bottom"/>
          </w:tcPr>
          <w:p>
            <w:pPr>
              <w:ind w:left="360"/>
              <w:spacing w:after="0" w:line="202" w:lineRule="exact"/>
              <w:rPr>
                <w:sz w:val="20"/>
                <w:szCs w:val="20"/>
                <w:color w:val="auto"/>
              </w:rPr>
            </w:pPr>
            <w:r>
              <w:rPr>
                <w:rFonts w:ascii="Arial" w:cs="Arial" w:eastAsia="Arial" w:hAnsi="Arial"/>
                <w:sz w:val="18"/>
                <w:szCs w:val="18"/>
                <w:color w:val="auto"/>
              </w:rPr>
              <w:t>outstanding and dilutive potential Common Shares</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0"/>
        </w:trPr>
        <w:tc>
          <w:tcPr>
            <w:tcW w:w="6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Stock options with exercise prices greater than the average market price of the underlying Common Shares are excluded from the computation of diluted income per Common Share because they are out-of-the-money and the effect of their inclusion would be anti-dilutive. For the three and six months ended April 3, 2021, the average number of out-of-the-money options was 0.1 million. There were no out-of-the-money options for the three and six months ended March 28, 2020.</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8" w:name="page19"/>
    <w:bookmarkEnd w:id="18"/>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6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effective tax rates related to continuing operations for the six months ended April 3, 2021 and March 28, 2020 were 23.1% and 25.2%, respectively. The effective tax rate used for interim reporting purposes is based on management’s best estimate of factors impacting the effective tax rate for the full fiscal year and includes the impact of discrete items recognized in the quarter. There can be no assurance that the effective tax rate estimated for interim financial reporting purposes will approximate the effective tax rate determined at fiscal year end.</w:t>
      </w:r>
    </w:p>
    <w:p>
      <w:pPr>
        <w:spacing w:after="0" w:line="5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2017. There are currently no ongoing audits with respect to the U.S. federal jurisdiction. With respect to the foreign jurisdictions, a German audit covering fiscal years 2014 through 2017 is underway with no known material impact to the financial statements. The Company is currently under examination by certain U.S. state and local tax authorities covering various periods from fiscal years 2012 through 2019. In addition to the aforementioned audits, certain other tax deficiency notices and refund claims for previous years remain unresolved.</w:t>
      </w:r>
    </w:p>
    <w:p>
      <w:pPr>
        <w:spacing w:after="0" w:line="1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the outcomes of such examinations and the timing of any payments required upon the conclusion of such examinations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CONTINGENCIES</w:t>
      </w:r>
    </w:p>
    <w:p>
      <w:pPr>
        <w:spacing w:after="0" w:line="14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in the aggregate, are adequate; however, there can be no assurance that final resolution of these matters will not have a material effect on the Company’s financial condition, results of operations or cash flows.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April 3, 2021, $3.6 was accrued in the “Other liabilities” line in the Condensed Consolidated Balance Sheets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58"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consolidated financial statements as the likelihood of a loss is not probable at this time; and the Company does not believe a reasonably possible loss would be material to, nor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9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9" w:name="page20"/>
    <w:bookmarkEnd w:id="19"/>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INSTRUMENTS AND HEDGING ACTIVITIES</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uses currency forward contracts to manage the exchange rate risk associated with intercompany loans and certain other balances denominated in foreign currencies. Currency forward contracts are valued using observable forward rates in commonly quoted intervals for the full term of the contracts. The notional amount of outstanding currency forward contracts was $168.0, $141.2 and $160.1 at April 3, 2021, March 28, 2020 and September 30, 2020, respectively. Contracts outstanding at April 3, 2021 will mature over the next fiscal quarter.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5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Company enters into interest rate swap agreements as a means to hedge its variable interest rate risk on debt instruments. Net amounts to be received or paid under the swap agreements are reflected as adjustments to interest expense. The Company has outstanding interest rate swap agreements with major financial institutions that effectively convert a portion of the Company’s variable-rate debt to a fixed rate. Interest rate swap agreements are valued based on the present value of the estimated future net cash flows using implied rates in the applicable yield curve as of the valuation date. The swap agreements had a maximum total U.S. dollar equivalent notional amount of $900.0, $850.0 and $600.0 at April 3, 2021, March 28, 2020 and September 30, 2020, respectively. Refer to “NOTE 7. DEBT” for the terms of the swap agreements outstanding at April 3, 2021. Included in the AOCL balance at April 3, 2021 was a loss of $5.6 related to interest rate swap agreements that is expected to be reclassified to earnings during the next twelve months, consistent with the timing of the underlying hedged transactions.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enters into hedging arrangements designed to fix the price of a portion of its projected future urea, diesel and resin requirements. Commodity contracts are valued using observable commodity exchange prices in active markets. Included in the AOCL balance at April 3, 2021 was a gain of $3.8 related to commodity hedges that is expected to be reclassified to earnings during the next twelve months, consistent with the timing of the underlying hedged transactions.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Commodity</w:t>
            </w:r>
          </w:p>
        </w:tc>
        <w:tc>
          <w:tcPr>
            <w:tcW w:w="2080" w:type="dxa"/>
            <w:vAlign w:val="bottom"/>
            <w:gridSpan w:val="2"/>
          </w:tcPr>
          <w:p>
            <w:pPr>
              <w:ind w:left="740"/>
              <w:spacing w:after="0"/>
              <w:rPr>
                <w:sz w:val="20"/>
                <w:szCs w:val="20"/>
                <w:color w:val="auto"/>
              </w:rPr>
            </w:pPr>
            <w:r>
              <w:rPr>
                <w:rFonts w:ascii="Arial" w:cs="Arial" w:eastAsia="Arial" w:hAnsi="Arial"/>
                <w:sz w:val="14"/>
                <w:szCs w:val="14"/>
                <w:b w:val="1"/>
                <w:bCs w:val="1"/>
                <w:color w:val="auto"/>
              </w:rPr>
              <w:t>April 3,</w:t>
            </w:r>
          </w:p>
        </w:tc>
        <w:tc>
          <w:tcPr>
            <w:tcW w:w="2080" w:type="dxa"/>
            <w:vAlign w:val="bottom"/>
            <w:gridSpan w:val="2"/>
          </w:tcPr>
          <w:p>
            <w:pPr>
              <w:ind w:left="660"/>
              <w:spacing w:after="0"/>
              <w:rPr>
                <w:sz w:val="20"/>
                <w:szCs w:val="20"/>
                <w:color w:val="auto"/>
              </w:rPr>
            </w:pPr>
            <w:r>
              <w:rPr>
                <w:rFonts w:ascii="Arial" w:cs="Arial" w:eastAsia="Arial" w:hAnsi="Arial"/>
                <w:sz w:val="14"/>
                <w:szCs w:val="14"/>
                <w:b w:val="1"/>
                <w:bCs w:val="1"/>
                <w:color w:val="auto"/>
              </w:rPr>
              <w:t>March 28,</w:t>
            </w:r>
          </w:p>
        </w:tc>
        <w:tc>
          <w:tcPr>
            <w:tcW w:w="2020" w:type="dxa"/>
            <w:vAlign w:val="bottom"/>
            <w:gridSpan w:val="2"/>
          </w:tcPr>
          <w:p>
            <w:pPr>
              <w:ind w:lef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8"/>
        </w:trPr>
        <w:tc>
          <w:tcPr>
            <w:tcW w:w="5060" w:type="dxa"/>
            <w:vAlign w:val="bottom"/>
            <w:gridSpan w:val="2"/>
            <w:vMerge w:val="continue"/>
          </w:tcPr>
          <w:p>
            <w:pPr>
              <w:spacing w:after="0"/>
              <w:rPr>
                <w:sz w:val="16"/>
                <w:szCs w:val="16"/>
                <w:color w:val="auto"/>
              </w:rPr>
            </w:pPr>
          </w:p>
        </w:tc>
        <w:tc>
          <w:tcPr>
            <w:tcW w:w="1960" w:type="dxa"/>
            <w:vAlign w:val="bottom"/>
          </w:tcPr>
          <w:p>
            <w:pPr>
              <w:jc w:val="right"/>
              <w:ind w:right="75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960" w:type="dxa"/>
            <w:vAlign w:val="bottom"/>
          </w:tcPr>
          <w:p>
            <w:pPr>
              <w:jc w:val="right"/>
              <w:ind w:right="75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980" w:type="dxa"/>
            <w:vAlign w:val="bottom"/>
          </w:tcPr>
          <w:p>
            <w:pPr>
              <w:jc w:val="right"/>
              <w:ind w:right="756"/>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Urea</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 tons</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 tons</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76,500 tons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Resin</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 pounds</w:t>
            </w:r>
          </w:p>
        </w:tc>
        <w:tc>
          <w:tcPr>
            <w:tcW w:w="2080" w:type="dxa"/>
            <w:vAlign w:val="bottom"/>
            <w:gridSpan w:val="2"/>
          </w:tcPr>
          <w:p>
            <w:pPr>
              <w:jc w:val="right"/>
              <w:ind w:right="140"/>
              <w:spacing w:after="0"/>
              <w:rPr>
                <w:sz w:val="20"/>
                <w:szCs w:val="20"/>
                <w:color w:val="auto"/>
              </w:rPr>
            </w:pPr>
            <w:r>
              <w:rPr>
                <w:rFonts w:ascii="Arial" w:cs="Arial" w:eastAsia="Arial" w:hAnsi="Arial"/>
                <w:sz w:val="18"/>
                <w:szCs w:val="18"/>
                <w:color w:val="auto"/>
              </w:rPr>
              <w:t>8,100,000 pounds</w:t>
            </w:r>
          </w:p>
        </w:tc>
        <w:tc>
          <w:tcPr>
            <w:tcW w:w="1980" w:type="dxa"/>
            <w:vAlign w:val="bottom"/>
          </w:tcPr>
          <w:p>
            <w:pPr>
              <w:jc w:val="right"/>
              <w:spacing w:after="0"/>
              <w:rPr>
                <w:sz w:val="20"/>
                <w:szCs w:val="20"/>
                <w:color w:val="auto"/>
              </w:rPr>
            </w:pPr>
            <w:r>
              <w:rPr>
                <w:rFonts w:ascii="Arial" w:cs="Arial" w:eastAsia="Arial" w:hAnsi="Arial"/>
                <w:sz w:val="18"/>
                <w:szCs w:val="18"/>
                <w:color w:val="auto"/>
              </w:rPr>
              <w:t>9,100,000 pounds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Diesel</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4,368,000 gallons</w:t>
            </w: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5,418,000 gallons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5,838,000 gallons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Heating Oil</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1,680,000 gallons</w:t>
            </w:r>
          </w:p>
        </w:tc>
        <w:tc>
          <w:tcPr>
            <w:tcW w:w="2080" w:type="dxa"/>
            <w:vAlign w:val="bottom"/>
            <w:gridSpan w:val="2"/>
          </w:tcPr>
          <w:p>
            <w:pPr>
              <w:jc w:val="right"/>
              <w:ind w:right="140"/>
              <w:spacing w:after="0"/>
              <w:rPr>
                <w:sz w:val="20"/>
                <w:szCs w:val="20"/>
                <w:color w:val="auto"/>
              </w:rPr>
            </w:pPr>
            <w:r>
              <w:rPr>
                <w:rFonts w:ascii="Arial" w:cs="Arial" w:eastAsia="Arial" w:hAnsi="Arial"/>
                <w:sz w:val="18"/>
                <w:szCs w:val="18"/>
                <w:color w:val="auto"/>
              </w:rPr>
              <w:t>1,890,000 gallons</w:t>
            </w:r>
          </w:p>
        </w:tc>
        <w:tc>
          <w:tcPr>
            <w:tcW w:w="1980" w:type="dxa"/>
            <w:vAlign w:val="bottom"/>
          </w:tcPr>
          <w:p>
            <w:pPr>
              <w:jc w:val="right"/>
              <w:spacing w:after="0"/>
              <w:rPr>
                <w:sz w:val="20"/>
                <w:szCs w:val="20"/>
                <w:color w:val="auto"/>
              </w:rPr>
            </w:pPr>
            <w:r>
              <w:rPr>
                <w:rFonts w:ascii="Arial" w:cs="Arial" w:eastAsia="Arial" w:hAnsi="Arial"/>
                <w:sz w:val="18"/>
                <w:szCs w:val="18"/>
                <w:color w:val="auto"/>
              </w:rPr>
              <w:t>2,142,000 gallons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7"/>
        </w:trPr>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jc w:val="right"/>
              <w:ind w:right="1215"/>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3500" w:type="dxa"/>
            <w:vAlign w:val="bottom"/>
            <w:gridSpan w:val="3"/>
          </w:tcPr>
          <w:p>
            <w:pPr>
              <w:ind w:left="20"/>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tc>
        <w:tc>
          <w:tcPr>
            <w:tcW w:w="4120" w:type="dxa"/>
            <w:vAlign w:val="bottom"/>
            <w:gridSpan w:val="3"/>
          </w:tcPr>
          <w:p>
            <w:pPr>
              <w:jc w:val="center"/>
              <w:ind w:left="33"/>
              <w:spacing w:after="0"/>
              <w:rPr>
                <w:sz w:val="20"/>
                <w:szCs w:val="20"/>
                <w:color w:val="auto"/>
              </w:rPr>
            </w:pPr>
            <w:r>
              <w:rPr>
                <w:rFonts w:ascii="Arial" w:cs="Arial" w:eastAsia="Arial" w:hAnsi="Arial"/>
                <w:sz w:val="18"/>
                <w:szCs w:val="18"/>
                <w:b w:val="1"/>
                <w:bCs w:val="1"/>
                <w:color w:val="auto"/>
              </w:rPr>
              <w:t>THE SCOTTS MIRACLE-GRO COMPANY</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760" w:type="dxa"/>
            <w:vAlign w:val="bottom"/>
            <w:gridSpan w:val="11"/>
          </w:tcPr>
          <w:p>
            <w:pPr>
              <w:jc w:val="center"/>
              <w:ind w:left="1393"/>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3"/>
          </w:tcPr>
          <w:p>
            <w:pPr>
              <w:jc w:val="center"/>
              <w:ind w:left="13"/>
              <w:spacing w:after="0"/>
              <w:rPr>
                <w:sz w:val="20"/>
                <w:szCs w:val="20"/>
                <w:color w:val="auto"/>
              </w:rPr>
            </w:pPr>
            <w:r>
              <w:rPr>
                <w:rFonts w:ascii="Arial" w:cs="Arial" w:eastAsia="Arial" w:hAnsi="Arial"/>
                <w:sz w:val="16"/>
                <w:szCs w:val="16"/>
                <w:b w:val="1"/>
                <w:bCs w:val="1"/>
                <w:color w:val="auto"/>
                <w:w w:val="91"/>
              </w:rPr>
              <w:t>(Dollars in millions, except per share data)</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4"/>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88"/>
              </w:rPr>
              <w:t>Fair Values of Derivative Instruments</w:t>
            </w:r>
          </w:p>
        </w:tc>
        <w:tc>
          <w:tcPr>
            <w:tcW w:w="680" w:type="dxa"/>
            <w:vAlign w:val="bottom"/>
            <w:gridSpan w:val="2"/>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760" w:type="dxa"/>
            <w:vAlign w:val="bottom"/>
            <w:gridSpan w:val="11"/>
          </w:tcPr>
          <w:p>
            <w:pPr>
              <w:ind w:left="420"/>
              <w:spacing w:after="0"/>
              <w:rPr>
                <w:sz w:val="20"/>
                <w:szCs w:val="20"/>
                <w:color w:val="auto"/>
              </w:rPr>
            </w:pPr>
            <w:r>
              <w:rPr>
                <w:rFonts w:ascii="Arial" w:cs="Arial" w:eastAsia="Arial" w:hAnsi="Arial"/>
                <w:sz w:val="18"/>
                <w:szCs w:val="18"/>
                <w:color w:val="auto"/>
                <w:w w:val="94"/>
              </w:rPr>
              <w:t>The fair values of the Company’s derivative instruments, which represent Level 2 fair value measurements, were as follows: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Assets / (Liabilities)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Location</w:t>
            </w:r>
          </w:p>
        </w:tc>
        <w:tc>
          <w:tcPr>
            <w:tcW w:w="10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April 3,</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March 28,</w:t>
            </w:r>
          </w:p>
        </w:tc>
        <w:tc>
          <w:tcPr>
            <w:tcW w:w="200" w:type="dxa"/>
            <w:vAlign w:val="bottom"/>
          </w:tcPr>
          <w:p>
            <w:pPr>
              <w:spacing w:after="0"/>
              <w:rPr>
                <w:sz w:val="11"/>
                <w:szCs w:val="11"/>
                <w:color w:val="auto"/>
              </w:rPr>
            </w:pPr>
          </w:p>
        </w:tc>
        <w:tc>
          <w:tcPr>
            <w:tcW w:w="1280" w:type="dxa"/>
            <w:vAlign w:val="bottom"/>
          </w:tcPr>
          <w:p>
            <w:pPr>
              <w:jc w:val="right"/>
              <w:ind w:right="213"/>
              <w:spacing w:after="0" w:line="135"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8"/>
        </w:trPr>
        <w:tc>
          <w:tcPr>
            <w:tcW w:w="3500" w:type="dxa"/>
            <w:vAlign w:val="bottom"/>
            <w:gridSpan w:val="3"/>
            <w:vMerge w:val="continue"/>
          </w:tcPr>
          <w:p>
            <w:pPr>
              <w:spacing w:after="0"/>
              <w:rPr>
                <w:sz w:val="16"/>
                <w:szCs w:val="16"/>
                <w:color w:val="auto"/>
              </w:rPr>
            </w:pPr>
          </w:p>
        </w:tc>
        <w:tc>
          <w:tcPr>
            <w:tcW w:w="3060" w:type="dxa"/>
            <w:vAlign w:val="bottom"/>
            <w:gridSpan w:val="2"/>
            <w:vMerge w:val="continue"/>
          </w:tcPr>
          <w:p>
            <w:pPr>
              <w:spacing w:after="0"/>
              <w:rPr>
                <w:sz w:val="16"/>
                <w:szCs w:val="16"/>
                <w:color w:val="auto"/>
              </w:rPr>
            </w:pPr>
          </w:p>
        </w:tc>
        <w:tc>
          <w:tcPr>
            <w:tcW w:w="1060" w:type="dxa"/>
            <w:vAlign w:val="bottom"/>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33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12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0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Commodity hedging instruments</w:t>
            </w:r>
          </w:p>
        </w:tc>
        <w:tc>
          <w:tcPr>
            <w:tcW w:w="3060" w:type="dxa"/>
            <w:vAlign w:val="bottom"/>
            <w:gridSpan w:val="2"/>
          </w:tcPr>
          <w:p>
            <w:pPr>
              <w:spacing w:after="0"/>
              <w:rPr>
                <w:sz w:val="20"/>
                <w:szCs w:val="20"/>
                <w:color w:val="auto"/>
              </w:rPr>
            </w:pPr>
            <w:r>
              <w:rPr>
                <w:rFonts w:ascii="Arial" w:cs="Arial" w:eastAsia="Arial" w:hAnsi="Arial"/>
                <w:sz w:val="18"/>
                <w:szCs w:val="18"/>
                <w:color w:val="auto"/>
              </w:rPr>
              <w:t>Prepaid and other current assets</w:t>
            </w:r>
          </w:p>
        </w:tc>
        <w:tc>
          <w:tcPr>
            <w:tcW w:w="10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0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6560" w:type="dxa"/>
            <w:vAlign w:val="bottom"/>
            <w:gridSpan w:val="5"/>
          </w:tcPr>
          <w:p>
            <w:pPr>
              <w:ind w:left="360"/>
              <w:spacing w:after="0"/>
              <w:rPr>
                <w:sz w:val="20"/>
                <w:szCs w:val="20"/>
                <w:color w:val="auto"/>
              </w:rPr>
            </w:pPr>
            <w:r>
              <w:rPr>
                <w:rFonts w:ascii="Arial" w:cs="Arial" w:eastAsia="Arial" w:hAnsi="Arial"/>
                <w:sz w:val="18"/>
                <w:szCs w:val="18"/>
                <w:color w:val="auto"/>
              </w:rPr>
              <w:t>Total derivatives designated as hedging instruments</w:t>
            </w: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5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Derivatives Not Designated As Hedging Instruments</w:t>
            </w:r>
          </w:p>
        </w:tc>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Balance Sheet Location</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3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Currency forward contracts</w:t>
            </w:r>
          </w:p>
        </w:tc>
        <w:tc>
          <w:tcPr>
            <w:tcW w:w="12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0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Commodity hedging instruments</w:t>
            </w: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0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gridSpan w:val="5"/>
            <w:shd w:val="clear" w:color="auto" w:fill="CCEEFF"/>
          </w:tcPr>
          <w:p>
            <w:pPr>
              <w:ind w:left="360"/>
              <w:spacing w:after="0"/>
              <w:rPr>
                <w:sz w:val="20"/>
                <w:szCs w:val="20"/>
                <w:color w:val="auto"/>
              </w:rPr>
            </w:pPr>
            <w:r>
              <w:rPr>
                <w:rFonts w:ascii="Arial" w:cs="Arial" w:eastAsia="Arial" w:hAnsi="Arial"/>
                <w:sz w:val="18"/>
                <w:szCs w:val="18"/>
                <w:color w:val="auto"/>
              </w:rPr>
              <w:t>Total derivatives not designated as hedging instruments</w:t>
            </w: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3500" w:type="dxa"/>
            <w:vAlign w:val="bottom"/>
            <w:gridSpan w:val="3"/>
          </w:tcPr>
          <w:p>
            <w:pPr>
              <w:ind w:left="360"/>
              <w:spacing w:after="0"/>
              <w:rPr>
                <w:sz w:val="20"/>
                <w:szCs w:val="20"/>
                <w:color w:val="auto"/>
              </w:rPr>
            </w:pPr>
            <w:r>
              <w:rPr>
                <w:rFonts w:ascii="Arial" w:cs="Arial" w:eastAsia="Arial" w:hAnsi="Arial"/>
                <w:sz w:val="18"/>
                <w:szCs w:val="18"/>
                <w:color w:val="auto"/>
              </w:rPr>
              <w:t>Total derivatives</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 of derivative instruments on AOCL, net of tax, and the Condensed Consolidated Statements of Operations for each of the periods presented was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18"/>
          </w:tcPr>
          <w:p>
            <w:pPr>
              <w:jc w:val="right"/>
              <w:ind w:right="10"/>
              <w:spacing w:after="0"/>
              <w:rPr>
                <w:sz w:val="20"/>
                <w:szCs w:val="20"/>
                <w:color w:val="auto"/>
              </w:rPr>
            </w:pPr>
            <w:r>
              <w:rPr>
                <w:rFonts w:ascii="Arial" w:cs="Arial" w:eastAsia="Arial" w:hAnsi="Arial"/>
                <w:sz w:val="14"/>
                <w:szCs w:val="14"/>
                <w:b w:val="1"/>
                <w:bCs w:val="1"/>
                <w:color w:val="auto"/>
              </w:rPr>
              <w:t>Amount Of Gain / (Loss) Recognized In AOCL</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8"/>
          </w:tcPr>
          <w:p>
            <w:pPr>
              <w:jc w:val="right"/>
              <w:ind w:right="49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jc w:val="right"/>
              <w:ind w:right="59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3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April 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March 28,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April 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w w:val="99"/>
              </w:rPr>
              <w:t>March 28,</w:t>
            </w:r>
          </w:p>
        </w:tc>
        <w:tc>
          <w:tcPr>
            <w:tcW w:w="0" w:type="dxa"/>
            <w:vAlign w:val="bottom"/>
          </w:tcPr>
          <w:p>
            <w:pPr>
              <w:spacing w:after="0"/>
              <w:rPr>
                <w:sz w:val="1"/>
                <w:szCs w:val="1"/>
                <w:color w:val="auto"/>
              </w:rPr>
            </w:pPr>
          </w:p>
        </w:tc>
      </w:tr>
      <w:tr>
        <w:trPr>
          <w:trHeight w:val="188"/>
        </w:trPr>
        <w:tc>
          <w:tcPr>
            <w:tcW w:w="382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4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Commodity hedging instruments</w:t>
            </w:r>
          </w:p>
        </w:tc>
        <w:tc>
          <w:tcPr>
            <w:tcW w:w="4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9"/>
          </w:tcPr>
          <w:p>
            <w:pPr>
              <w:ind w:left="280"/>
              <w:spacing w:after="0"/>
              <w:rPr>
                <w:sz w:val="20"/>
                <w:szCs w:val="20"/>
                <w:color w:val="auto"/>
              </w:rPr>
            </w:pPr>
            <w:r>
              <w:rPr>
                <w:rFonts w:ascii="Arial" w:cs="Arial" w:eastAsia="Arial" w:hAnsi="Arial"/>
                <w:sz w:val="14"/>
                <w:szCs w:val="14"/>
                <w:b w:val="1"/>
                <w:bCs w:val="1"/>
                <w:color w:val="auto"/>
              </w:rPr>
              <w:t>Amount Of Gain / (Loss)</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8"/>
          </w:tcPr>
          <w:p>
            <w:pPr>
              <w:jc w:val="right"/>
              <w:ind w:right="49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jc w:val="right"/>
              <w:ind w:right="59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3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40" w:type="dxa"/>
            <w:vAlign w:val="bottom"/>
          </w:tcPr>
          <w:p>
            <w:pPr>
              <w:spacing w:after="0"/>
              <w:rPr>
                <w:sz w:val="15"/>
                <w:szCs w:val="15"/>
                <w:color w:val="auto"/>
              </w:rPr>
            </w:pPr>
          </w:p>
        </w:tc>
        <w:tc>
          <w:tcPr>
            <w:tcW w:w="23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Reclassified From AOCL Into</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April 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March 28,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April 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March 28,</w:t>
            </w:r>
          </w:p>
        </w:tc>
        <w:tc>
          <w:tcPr>
            <w:tcW w:w="0" w:type="dxa"/>
            <w:vAlign w:val="bottom"/>
          </w:tcPr>
          <w:p>
            <w:pPr>
              <w:spacing w:after="0"/>
              <w:rPr>
                <w:sz w:val="1"/>
                <w:szCs w:val="1"/>
                <w:color w:val="auto"/>
              </w:rPr>
            </w:pPr>
          </w:p>
        </w:tc>
      </w:tr>
      <w:tr>
        <w:trPr>
          <w:trHeight w:val="188"/>
        </w:trPr>
        <w:tc>
          <w:tcPr>
            <w:tcW w:w="3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3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Statement Of Operations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40"/>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159"/>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3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Commodity hedging instruments</w:t>
            </w:r>
          </w:p>
        </w:tc>
        <w:tc>
          <w:tcPr>
            <w:tcW w:w="234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Cost of sales</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9"/>
          </w:tcPr>
          <w:p>
            <w:pPr>
              <w:ind w:left="300"/>
              <w:spacing w:after="0"/>
              <w:rPr>
                <w:sz w:val="20"/>
                <w:szCs w:val="20"/>
                <w:color w:val="auto"/>
              </w:rPr>
            </w:pPr>
            <w:r>
              <w:rPr>
                <w:rFonts w:ascii="Arial" w:cs="Arial" w:eastAsia="Arial" w:hAnsi="Arial"/>
                <w:sz w:val="14"/>
                <w:szCs w:val="14"/>
                <w:b w:val="1"/>
                <w:bCs w:val="1"/>
                <w:color w:val="auto"/>
              </w:rPr>
              <w:t>Amount Of Gain / (Loss)</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9"/>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jc w:val="right"/>
              <w:ind w:right="57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3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40" w:type="dxa"/>
            <w:vAlign w:val="bottom"/>
          </w:tcPr>
          <w:p>
            <w:pPr>
              <w:spacing w:after="0"/>
              <w:rPr>
                <w:sz w:val="15"/>
                <w:szCs w:val="15"/>
                <w:color w:val="auto"/>
              </w:rPr>
            </w:pPr>
          </w:p>
        </w:tc>
        <w:tc>
          <w:tcPr>
            <w:tcW w:w="23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Recognized In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4"/>
          </w:tcPr>
          <w:p>
            <w:pPr>
              <w:ind w:left="140"/>
              <w:spacing w:after="0"/>
              <w:rPr>
                <w:sz w:val="20"/>
                <w:szCs w:val="20"/>
                <w:color w:val="auto"/>
              </w:rPr>
            </w:pPr>
            <w:r>
              <w:rPr>
                <w:rFonts w:ascii="Arial" w:cs="Arial" w:eastAsia="Arial" w:hAnsi="Arial"/>
                <w:sz w:val="14"/>
                <w:szCs w:val="14"/>
                <w:b w:val="1"/>
                <w:bCs w:val="1"/>
                <w:color w:val="auto"/>
              </w:rPr>
              <w:t>April 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28,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April 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March 28,</w:t>
            </w:r>
          </w:p>
        </w:tc>
        <w:tc>
          <w:tcPr>
            <w:tcW w:w="0" w:type="dxa"/>
            <w:vAlign w:val="bottom"/>
          </w:tcPr>
          <w:p>
            <w:pPr>
              <w:spacing w:after="0"/>
              <w:rPr>
                <w:sz w:val="1"/>
                <w:szCs w:val="1"/>
                <w:color w:val="auto"/>
              </w:rPr>
            </w:pPr>
          </w:p>
        </w:tc>
      </w:tr>
      <w:tr>
        <w:trPr>
          <w:trHeight w:val="188"/>
        </w:trPr>
        <w:tc>
          <w:tcPr>
            <w:tcW w:w="3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3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Statement Of Operations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Currency forward contracts</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w w:val="96"/>
              </w:rPr>
              <w:t>Other income / expense, net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gridSpan w:val="2"/>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center"/>
              <w:ind w:left="599"/>
              <w:spacing w:after="0"/>
              <w:rPr>
                <w:sz w:val="20"/>
                <w:szCs w:val="20"/>
                <w:color w:val="auto"/>
              </w:rPr>
            </w:pPr>
            <w:r>
              <w:rPr>
                <w:rFonts w:ascii="Arial" w:cs="Arial" w:eastAsia="Arial" w:hAnsi="Arial"/>
                <w:sz w:val="18"/>
                <w:szCs w:val="18"/>
                <w:color w:val="auto"/>
                <w:w w:val="87"/>
              </w:rPr>
              <w:t>5.9</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gridSpan w:val="2"/>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Commodity hedging instruments</w:t>
            </w:r>
          </w:p>
        </w:tc>
        <w:tc>
          <w:tcPr>
            <w:tcW w:w="4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Cost of sales</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8"/>
                <w:szCs w:val="18"/>
                <w:color w:val="auto"/>
                <w:w w:val="91"/>
              </w:rPr>
              <w:t>(2.8)</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center"/>
              <w:ind w:left="599"/>
              <w:spacing w:after="0"/>
              <w:rPr>
                <w:sz w:val="20"/>
                <w:szCs w:val="20"/>
                <w:color w:val="auto"/>
              </w:rPr>
            </w:pPr>
            <w:r>
              <w:rPr>
                <w:rFonts w:ascii="Arial" w:cs="Arial" w:eastAsia="Arial" w:hAnsi="Arial"/>
                <w:sz w:val="18"/>
                <w:szCs w:val="18"/>
                <w:color w:val="auto"/>
                <w:w w:val="87"/>
              </w:rPr>
              <w:t>3.1</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2960" w:type="dxa"/>
            <w:vAlign w:val="bottom"/>
          </w:tcPr>
          <w:p>
            <w:pPr>
              <w:ind w:left="20"/>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tc>
        <w:tc>
          <w:tcPr>
            <w:tcW w:w="860" w:type="dxa"/>
            <w:vAlign w:val="bottom"/>
          </w:tcPr>
          <w:p>
            <w:pPr>
              <w:spacing w:after="0"/>
              <w:rPr>
                <w:sz w:val="20"/>
                <w:szCs w:val="20"/>
                <w:color w:val="auto"/>
              </w:rPr>
            </w:pPr>
          </w:p>
        </w:tc>
        <w:tc>
          <w:tcPr>
            <w:tcW w:w="3920" w:type="dxa"/>
            <w:vAlign w:val="bottom"/>
            <w:gridSpan w:val="11"/>
          </w:tcPr>
          <w:p>
            <w:pPr>
              <w:jc w:val="center"/>
              <w:ind w:right="320"/>
              <w:spacing w:after="0"/>
              <w:rPr>
                <w:sz w:val="20"/>
                <w:szCs w:val="20"/>
                <w:color w:val="auto"/>
              </w:rPr>
            </w:pPr>
            <w:r>
              <w:rPr>
                <w:rFonts w:ascii="Arial" w:cs="Arial" w:eastAsia="Arial" w:hAnsi="Arial"/>
                <w:sz w:val="18"/>
                <w:szCs w:val="18"/>
                <w:b w:val="1"/>
                <w:bCs w:val="1"/>
                <w:color w:val="auto"/>
              </w:rPr>
              <w:t>THE SCOTTS MIRACLE-GRO COMPANY</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140" w:type="dxa"/>
            <w:vAlign w:val="bottom"/>
            <w:gridSpan w:val="19"/>
          </w:tcPr>
          <w:p>
            <w:pPr>
              <w:jc w:val="center"/>
              <w:ind w:left="1018"/>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gridSpan w:val="10"/>
          </w:tcPr>
          <w:p>
            <w:pPr>
              <w:jc w:val="center"/>
              <w:ind w:right="560"/>
              <w:spacing w:after="0"/>
              <w:rPr>
                <w:sz w:val="20"/>
                <w:szCs w:val="20"/>
                <w:color w:val="auto"/>
              </w:rPr>
            </w:pPr>
            <w:r>
              <w:rPr>
                <w:rFonts w:ascii="Arial" w:cs="Arial" w:eastAsia="Arial" w:hAnsi="Arial"/>
                <w:sz w:val="16"/>
                <w:szCs w:val="16"/>
                <w:b w:val="1"/>
                <w:bCs w:val="1"/>
                <w:color w:val="auto"/>
                <w:w w:val="91"/>
              </w:rPr>
              <w:t>(Dollars in millions, except per share data)</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2"/>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NOTE 13. FAIR VALUE MEASUREMENTS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140" w:type="dxa"/>
            <w:vAlign w:val="bottom"/>
            <w:gridSpan w:val="19"/>
          </w:tcPr>
          <w:p>
            <w:pPr>
              <w:ind w:left="420"/>
              <w:spacing w:after="0"/>
              <w:rPr>
                <w:sz w:val="20"/>
                <w:szCs w:val="20"/>
                <w:color w:val="auto"/>
              </w:rPr>
            </w:pPr>
            <w:r>
              <w:rPr>
                <w:rFonts w:ascii="Arial" w:cs="Arial" w:eastAsia="Arial" w:hAnsi="Arial"/>
                <w:sz w:val="18"/>
                <w:szCs w:val="18"/>
                <w:color w:val="auto"/>
                <w:w w:val="94"/>
              </w:rPr>
              <w:t>The following table summarizes the fair value of the Company’s assets and liabilities for which disclosure of fair value is required:</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722"/>
              <w:spacing w:after="0"/>
              <w:rPr>
                <w:sz w:val="20"/>
                <w:szCs w:val="20"/>
                <w:color w:val="auto"/>
              </w:rPr>
            </w:pPr>
            <w:r>
              <w:rPr>
                <w:rFonts w:ascii="Arial" w:cs="Arial" w:eastAsia="Arial" w:hAnsi="Arial"/>
                <w:sz w:val="13"/>
                <w:szCs w:val="13"/>
                <w:b w:val="1"/>
                <w:bCs w:val="1"/>
                <w:color w:val="auto"/>
              </w:rPr>
              <w:t>April 3, 2021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662"/>
              <w:spacing w:after="0"/>
              <w:rPr>
                <w:sz w:val="20"/>
                <w:szCs w:val="20"/>
                <w:color w:val="auto"/>
              </w:rPr>
            </w:pPr>
            <w:r>
              <w:rPr>
                <w:rFonts w:ascii="Arial" w:cs="Arial" w:eastAsia="Arial" w:hAnsi="Arial"/>
                <w:sz w:val="13"/>
                <w:szCs w:val="13"/>
                <w:b w:val="1"/>
                <w:bCs w:val="1"/>
                <w:color w:val="auto"/>
              </w:rPr>
              <w:t>March 28, 2020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3"/>
                <w:szCs w:val="13"/>
                <w:b w:val="1"/>
                <w:bCs w:val="1"/>
                <w:color w:val="auto"/>
              </w:rPr>
              <w:t>September 30, 2020</w:t>
            </w:r>
          </w:p>
        </w:tc>
        <w:tc>
          <w:tcPr>
            <w:tcW w:w="0" w:type="dxa"/>
            <w:vAlign w:val="bottom"/>
          </w:tcPr>
          <w:p>
            <w:pPr>
              <w:spacing w:after="0"/>
              <w:rPr>
                <w:sz w:val="1"/>
                <w:szCs w:val="1"/>
                <w:color w:val="auto"/>
              </w:rPr>
            </w:pPr>
          </w:p>
        </w:tc>
      </w:tr>
      <w:tr>
        <w:trPr>
          <w:trHeight w:val="108"/>
        </w:trPr>
        <w:tc>
          <w:tcPr>
            <w:tcW w:w="2960" w:type="dxa"/>
            <w:vAlign w:val="bottom"/>
          </w:tcPr>
          <w:p>
            <w:pPr>
              <w:spacing w:after="0"/>
              <w:rPr>
                <w:sz w:val="9"/>
                <w:szCs w:val="9"/>
                <w:color w:val="auto"/>
              </w:rPr>
            </w:pPr>
          </w:p>
        </w:tc>
        <w:tc>
          <w:tcPr>
            <w:tcW w:w="860" w:type="dxa"/>
            <w:vAlign w:val="bottom"/>
          </w:tcPr>
          <w:p>
            <w:pPr>
              <w:jc w:val="center"/>
              <w:ind w:left="144"/>
              <w:spacing w:after="0" w:line="108" w:lineRule="exact"/>
              <w:rPr>
                <w:sz w:val="20"/>
                <w:szCs w:val="20"/>
                <w:color w:val="auto"/>
              </w:rPr>
            </w:pPr>
            <w:r>
              <w:rPr>
                <w:rFonts w:ascii="Arial" w:cs="Arial" w:eastAsia="Arial" w:hAnsi="Arial"/>
                <w:sz w:val="12"/>
                <w:szCs w:val="12"/>
                <w:b w:val="1"/>
                <w:bCs w:val="1"/>
                <w:color w:val="auto"/>
                <w:w w:val="97"/>
              </w:rPr>
              <w:t>Fair Value</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3"/>
              </w:rPr>
              <w:t>Carrying</w:t>
            </w:r>
          </w:p>
        </w:tc>
        <w:tc>
          <w:tcPr>
            <w:tcW w:w="180" w:type="dxa"/>
            <w:vAlign w:val="bottom"/>
          </w:tcPr>
          <w:p>
            <w:pPr>
              <w:spacing w:after="0"/>
              <w:rPr>
                <w:sz w:val="9"/>
                <w:szCs w:val="9"/>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Estimated</w:t>
            </w:r>
          </w:p>
        </w:tc>
        <w:tc>
          <w:tcPr>
            <w:tcW w:w="200" w:type="dxa"/>
            <w:vAlign w:val="bottom"/>
          </w:tcPr>
          <w:p>
            <w:pPr>
              <w:spacing w:after="0"/>
              <w:rPr>
                <w:sz w:val="9"/>
                <w:szCs w:val="9"/>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3"/>
              </w:rPr>
              <w:t>Carrying</w:t>
            </w:r>
          </w:p>
        </w:tc>
        <w:tc>
          <w:tcPr>
            <w:tcW w:w="180" w:type="dxa"/>
            <w:vAlign w:val="bottom"/>
          </w:tcPr>
          <w:p>
            <w:pPr>
              <w:spacing w:after="0"/>
              <w:rPr>
                <w:sz w:val="9"/>
                <w:szCs w:val="9"/>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Estimated</w:t>
            </w:r>
          </w:p>
        </w:tc>
        <w:tc>
          <w:tcPr>
            <w:tcW w:w="200" w:type="dxa"/>
            <w:vAlign w:val="bottom"/>
          </w:tcPr>
          <w:p>
            <w:pPr>
              <w:spacing w:after="0"/>
              <w:rPr>
                <w:sz w:val="9"/>
                <w:szCs w:val="9"/>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3"/>
              </w:rPr>
              <w:t>Carrying</w:t>
            </w:r>
          </w:p>
        </w:tc>
        <w:tc>
          <w:tcPr>
            <w:tcW w:w="180" w:type="dxa"/>
            <w:vAlign w:val="bottom"/>
          </w:tcPr>
          <w:p>
            <w:pPr>
              <w:spacing w:after="0"/>
              <w:rPr>
                <w:sz w:val="9"/>
                <w:szCs w:val="9"/>
                <w:color w:val="auto"/>
              </w:rPr>
            </w:pPr>
          </w:p>
        </w:tc>
        <w:tc>
          <w:tcPr>
            <w:tcW w:w="920" w:type="dxa"/>
            <w:vAlign w:val="bottom"/>
            <w:vMerge w:val="restart"/>
          </w:tcPr>
          <w:p>
            <w:pPr>
              <w:jc w:val="right"/>
              <w:ind w:right="202"/>
              <w:spacing w:after="0"/>
              <w:rPr>
                <w:sz w:val="20"/>
                <w:szCs w:val="20"/>
                <w:color w:val="auto"/>
              </w:rPr>
            </w:pPr>
            <w:r>
              <w:rPr>
                <w:rFonts w:ascii="Arial" w:cs="Arial" w:eastAsia="Arial" w:hAnsi="Arial"/>
                <w:sz w:val="13"/>
                <w:szCs w:val="13"/>
                <w:b w:val="1"/>
                <w:bCs w:val="1"/>
                <w:color w:val="auto"/>
                <w:w w:val="99"/>
              </w:rPr>
              <w:t>Estimated</w:t>
            </w:r>
          </w:p>
        </w:tc>
        <w:tc>
          <w:tcPr>
            <w:tcW w:w="0" w:type="dxa"/>
            <w:vAlign w:val="bottom"/>
          </w:tcPr>
          <w:p>
            <w:pPr>
              <w:spacing w:after="0"/>
              <w:rPr>
                <w:sz w:val="1"/>
                <w:szCs w:val="1"/>
                <w:color w:val="auto"/>
              </w:rPr>
            </w:pPr>
          </w:p>
        </w:tc>
      </w:tr>
      <w:tr>
        <w:trPr>
          <w:trHeight w:val="121"/>
        </w:trPr>
        <w:tc>
          <w:tcPr>
            <w:tcW w:w="2960" w:type="dxa"/>
            <w:vAlign w:val="bottom"/>
          </w:tcPr>
          <w:p>
            <w:pPr>
              <w:spacing w:after="0"/>
              <w:rPr>
                <w:sz w:val="10"/>
                <w:szCs w:val="10"/>
                <w:color w:val="auto"/>
              </w:rPr>
            </w:pPr>
          </w:p>
        </w:tc>
        <w:tc>
          <w:tcPr>
            <w:tcW w:w="860" w:type="dxa"/>
            <w:vAlign w:val="bottom"/>
          </w:tcPr>
          <w:p>
            <w:pPr>
              <w:jc w:val="center"/>
              <w:ind w:left="144"/>
              <w:spacing w:after="0" w:line="122" w:lineRule="exact"/>
              <w:rPr>
                <w:sz w:val="20"/>
                <w:szCs w:val="20"/>
                <w:color w:val="auto"/>
              </w:rPr>
            </w:pPr>
            <w:r>
              <w:rPr>
                <w:rFonts w:ascii="Arial" w:cs="Arial" w:eastAsia="Arial" w:hAnsi="Arial"/>
                <w:sz w:val="13"/>
                <w:szCs w:val="13"/>
                <w:b w:val="1"/>
                <w:bCs w:val="1"/>
                <w:color w:val="auto"/>
                <w:w w:val="93"/>
              </w:rPr>
              <w:t>Hierarchy</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960" w:type="dxa"/>
            <w:vAlign w:val="bottom"/>
          </w:tcPr>
          <w:p>
            <w:pPr>
              <w:spacing w:after="0"/>
              <w:rPr>
                <w:sz w:val="14"/>
                <w:szCs w:val="14"/>
                <w:color w:val="auto"/>
              </w:rPr>
            </w:pPr>
          </w:p>
        </w:tc>
        <w:tc>
          <w:tcPr>
            <w:tcW w:w="860" w:type="dxa"/>
            <w:vAlign w:val="bottom"/>
          </w:tcPr>
          <w:p>
            <w:pPr>
              <w:jc w:val="center"/>
              <w:ind w:left="144"/>
              <w:spacing w:after="0"/>
              <w:rPr>
                <w:sz w:val="20"/>
                <w:szCs w:val="20"/>
                <w:color w:val="auto"/>
              </w:rPr>
            </w:pPr>
            <w:r>
              <w:rPr>
                <w:rFonts w:ascii="Arial" w:cs="Arial" w:eastAsia="Arial" w:hAnsi="Arial"/>
                <w:sz w:val="13"/>
                <w:szCs w:val="13"/>
                <w:b w:val="1"/>
                <w:bCs w:val="1"/>
                <w:color w:val="auto"/>
                <w:w w:val="84"/>
              </w:rPr>
              <w:t>Level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3"/>
                <w:szCs w:val="13"/>
                <w:b w:val="1"/>
                <w:bCs w:val="1"/>
                <w:color w:val="auto"/>
              </w:rPr>
              <w:t>Fair Value</w:t>
            </w:r>
          </w:p>
        </w:tc>
        <w:tc>
          <w:tcPr>
            <w:tcW w:w="2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3"/>
                <w:szCs w:val="13"/>
                <w:b w:val="1"/>
                <w:bCs w:val="1"/>
                <w:color w:val="auto"/>
              </w:rPr>
              <w:t>Fair Value</w:t>
            </w:r>
          </w:p>
        </w:tc>
        <w:tc>
          <w:tcPr>
            <w:tcW w:w="2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4"/>
                <w:szCs w:val="14"/>
                <w:color w:val="auto"/>
              </w:rPr>
            </w:pPr>
          </w:p>
        </w:tc>
        <w:tc>
          <w:tcPr>
            <w:tcW w:w="920" w:type="dxa"/>
            <w:vAlign w:val="bottom"/>
          </w:tcPr>
          <w:p>
            <w:pPr>
              <w:jc w:val="right"/>
              <w:ind w:right="182"/>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02"/>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860" w:type="dxa"/>
            <w:vAlign w:val="bottom"/>
          </w:tcPr>
          <w:p>
            <w:pPr>
              <w:spacing w:after="0"/>
              <w:rPr>
                <w:sz w:val="20"/>
                <w:szCs w:val="20"/>
                <w:color w:val="auto"/>
              </w:rPr>
            </w:pPr>
            <w:r>
              <w:rPr>
                <w:rFonts w:ascii="Arial" w:cs="Arial" w:eastAsia="Arial" w:hAnsi="Arial"/>
                <w:sz w:val="16"/>
                <w:szCs w:val="16"/>
                <w:color w:val="auto"/>
              </w:rPr>
              <w:t>Level 1</w:t>
            </w:r>
          </w:p>
        </w:tc>
        <w:tc>
          <w:tcPr>
            <w:tcW w:w="5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960" w:type="dxa"/>
            <w:vAlign w:val="bottom"/>
          </w:tcPr>
          <w:p>
            <w:pPr>
              <w:ind w:left="220"/>
              <w:spacing w:after="0" w:line="166" w:lineRule="exact"/>
              <w:rPr>
                <w:sz w:val="20"/>
                <w:szCs w:val="20"/>
                <w:color w:val="auto"/>
              </w:rPr>
            </w:pPr>
            <w:r>
              <w:rPr>
                <w:rFonts w:ascii="Arial" w:cs="Arial" w:eastAsia="Arial" w:hAnsi="Arial"/>
                <w:sz w:val="16"/>
                <w:szCs w:val="16"/>
                <w:color w:val="auto"/>
              </w:rPr>
              <w:t>Investment securities in non-qualified</w:t>
            </w:r>
          </w:p>
        </w:tc>
        <w:tc>
          <w:tcPr>
            <w:tcW w:w="860" w:type="dxa"/>
            <w:vAlign w:val="bottom"/>
            <w:vMerge w:val="restart"/>
          </w:tcPr>
          <w:p>
            <w:pPr>
              <w:spacing w:after="0"/>
              <w:rPr>
                <w:sz w:val="20"/>
                <w:szCs w:val="20"/>
                <w:color w:val="auto"/>
              </w:rPr>
            </w:pPr>
            <w:r>
              <w:rPr>
                <w:rFonts w:ascii="Arial" w:cs="Arial" w:eastAsia="Arial" w:hAnsi="Arial"/>
                <w:sz w:val="16"/>
                <w:szCs w:val="16"/>
                <w:color w:val="auto"/>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ind w:right="2"/>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ind w:right="3"/>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09"/>
        </w:trPr>
        <w:tc>
          <w:tcPr>
            <w:tcW w:w="2960" w:type="dxa"/>
            <w:vAlign w:val="bottom"/>
          </w:tcPr>
          <w:p>
            <w:pPr>
              <w:ind w:left="220"/>
              <w:spacing w:after="0"/>
              <w:rPr>
                <w:sz w:val="20"/>
                <w:szCs w:val="20"/>
                <w:color w:val="auto"/>
              </w:rPr>
            </w:pPr>
            <w:r>
              <w:rPr>
                <w:rFonts w:ascii="Arial" w:cs="Arial" w:eastAsia="Arial" w:hAnsi="Arial"/>
                <w:sz w:val="16"/>
                <w:szCs w:val="16"/>
                <w:color w:val="auto"/>
              </w:rPr>
              <w:t>retirement plan assets</w:t>
            </w:r>
          </w:p>
        </w:tc>
        <w:tc>
          <w:tcPr>
            <w:tcW w:w="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Bonnie Option</w:t>
            </w:r>
          </w:p>
        </w:tc>
        <w:tc>
          <w:tcPr>
            <w:tcW w:w="860" w:type="dxa"/>
            <w:vAlign w:val="bottom"/>
            <w:shd w:val="clear" w:color="auto" w:fill="CCEEFF"/>
          </w:tcPr>
          <w:p>
            <w:pPr>
              <w:spacing w:after="0"/>
              <w:rPr>
                <w:sz w:val="20"/>
                <w:szCs w:val="20"/>
                <w:color w:val="auto"/>
              </w:rPr>
            </w:pPr>
            <w:r>
              <w:rPr>
                <w:rFonts w:ascii="Arial" w:cs="Arial" w:eastAsia="Arial" w:hAnsi="Arial"/>
                <w:sz w:val="16"/>
                <w:szCs w:val="16"/>
                <w:color w:val="auto"/>
              </w:rPr>
              <w:t>Level 3</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Debt instruments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Credit facilities – revolving loans</w:t>
            </w:r>
          </w:p>
        </w:tc>
        <w:tc>
          <w:tcPr>
            <w:tcW w:w="860" w:type="dxa"/>
            <w:vAlign w:val="bottom"/>
            <w:shd w:val="clear" w:color="auto" w:fill="CCEEFF"/>
          </w:tcPr>
          <w:p>
            <w:pPr>
              <w:spacing w:after="0"/>
              <w:rPr>
                <w:sz w:val="20"/>
                <w:szCs w:val="20"/>
                <w:color w:val="auto"/>
              </w:rPr>
            </w:pPr>
            <w:r>
              <w:rPr>
                <w:rFonts w:ascii="Arial" w:cs="Arial" w:eastAsia="Arial" w:hAnsi="Arial"/>
                <w:sz w:val="16"/>
                <w:szCs w:val="16"/>
                <w:color w:val="auto"/>
              </w:rPr>
              <w:t>Level 2</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691.9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691.9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13"/>
        </w:trPr>
        <w:tc>
          <w:tcPr>
            <w:tcW w:w="2960" w:type="dxa"/>
            <w:vAlign w:val="bottom"/>
          </w:tcPr>
          <w:p>
            <w:pPr>
              <w:ind w:left="220"/>
              <w:spacing w:after="0"/>
              <w:rPr>
                <w:sz w:val="20"/>
                <w:szCs w:val="20"/>
                <w:color w:val="auto"/>
              </w:rPr>
            </w:pPr>
            <w:r>
              <w:rPr>
                <w:rFonts w:ascii="Arial" w:cs="Arial" w:eastAsia="Arial" w:hAnsi="Arial"/>
                <w:sz w:val="16"/>
                <w:szCs w:val="16"/>
                <w:color w:val="auto"/>
              </w:rPr>
              <w:t>Credit facilities – term loans</w:t>
            </w:r>
          </w:p>
        </w:tc>
        <w:tc>
          <w:tcPr>
            <w:tcW w:w="860" w:type="dxa"/>
            <w:vAlign w:val="bottom"/>
          </w:tcPr>
          <w:p>
            <w:pPr>
              <w:spacing w:after="0"/>
              <w:rPr>
                <w:sz w:val="20"/>
                <w:szCs w:val="20"/>
                <w:color w:val="auto"/>
              </w:rPr>
            </w:pPr>
            <w:r>
              <w:rPr>
                <w:rFonts w:ascii="Arial" w:cs="Arial" w:eastAsia="Arial" w:hAnsi="Arial"/>
                <w:sz w:val="16"/>
                <w:szCs w:val="16"/>
                <w:color w:val="auto"/>
              </w:rPr>
              <w:t>Level 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690.0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690.0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740.0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740.0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710.0</w:t>
            </w:r>
          </w:p>
        </w:tc>
        <w:tc>
          <w:tcPr>
            <w:tcW w:w="0" w:type="dxa"/>
            <w:vAlign w:val="bottom"/>
          </w:tcPr>
          <w:p>
            <w:pPr>
              <w:spacing w:after="0"/>
              <w:rPr>
                <w:sz w:val="1"/>
                <w:szCs w:val="1"/>
                <w:color w:val="auto"/>
              </w:rPr>
            </w:pPr>
          </w:p>
        </w:tc>
      </w:tr>
      <w:tr>
        <w:trPr>
          <w:trHeight w:val="232"/>
        </w:trPr>
        <w:tc>
          <w:tcPr>
            <w:tcW w:w="2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Senior Notes – 4.000%</w:t>
            </w:r>
          </w:p>
        </w:tc>
        <w:tc>
          <w:tcPr>
            <w:tcW w:w="860" w:type="dxa"/>
            <w:vAlign w:val="bottom"/>
            <w:shd w:val="clear" w:color="auto" w:fill="CCEEFF"/>
          </w:tcPr>
          <w:p>
            <w:pPr>
              <w:spacing w:after="0"/>
              <w:rPr>
                <w:sz w:val="20"/>
                <w:szCs w:val="20"/>
                <w:color w:val="auto"/>
              </w:rPr>
            </w:pPr>
            <w:r>
              <w:rPr>
                <w:rFonts w:ascii="Arial" w:cs="Arial" w:eastAsia="Arial" w:hAnsi="Arial"/>
                <w:sz w:val="16"/>
                <w:szCs w:val="16"/>
                <w:color w:val="auto"/>
              </w:rPr>
              <w:t>Level 2</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497.5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960" w:type="dxa"/>
            <w:vAlign w:val="bottom"/>
          </w:tcPr>
          <w:p>
            <w:pPr>
              <w:ind w:left="220"/>
              <w:spacing w:after="0"/>
              <w:rPr>
                <w:sz w:val="20"/>
                <w:szCs w:val="20"/>
                <w:color w:val="auto"/>
              </w:rPr>
            </w:pPr>
            <w:r>
              <w:rPr>
                <w:rFonts w:ascii="Arial" w:cs="Arial" w:eastAsia="Arial" w:hAnsi="Arial"/>
                <w:sz w:val="16"/>
                <w:szCs w:val="16"/>
                <w:color w:val="auto"/>
              </w:rPr>
              <w:t>Senior Notes – 4.500%</w:t>
            </w:r>
          </w:p>
        </w:tc>
        <w:tc>
          <w:tcPr>
            <w:tcW w:w="860" w:type="dxa"/>
            <w:vAlign w:val="bottom"/>
          </w:tcPr>
          <w:p>
            <w:pPr>
              <w:spacing w:after="0"/>
              <w:rPr>
                <w:sz w:val="20"/>
                <w:szCs w:val="20"/>
                <w:color w:val="auto"/>
              </w:rPr>
            </w:pPr>
            <w:r>
              <w:rPr>
                <w:rFonts w:ascii="Arial" w:cs="Arial" w:eastAsia="Arial" w:hAnsi="Arial"/>
                <w:sz w:val="16"/>
                <w:szCs w:val="16"/>
                <w:color w:val="auto"/>
              </w:rPr>
              <w:t>Level 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464.6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400.5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476.4</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Senior Notes – 5.250%</w:t>
            </w:r>
          </w:p>
        </w:tc>
        <w:tc>
          <w:tcPr>
            <w:tcW w:w="860" w:type="dxa"/>
            <w:vAlign w:val="bottom"/>
            <w:shd w:val="clear" w:color="auto" w:fill="CCEEFF"/>
          </w:tcPr>
          <w:p>
            <w:pPr>
              <w:spacing w:after="0"/>
              <w:rPr>
                <w:sz w:val="20"/>
                <w:szCs w:val="20"/>
                <w:color w:val="auto"/>
              </w:rPr>
            </w:pPr>
            <w:r>
              <w:rPr>
                <w:rFonts w:ascii="Arial" w:cs="Arial" w:eastAsia="Arial" w:hAnsi="Arial"/>
                <w:sz w:val="16"/>
                <w:szCs w:val="16"/>
                <w:color w:val="auto"/>
              </w:rPr>
              <w:t>Level 2</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w:t>
            </w:r>
          </w:p>
        </w:tc>
        <w:tc>
          <w:tcPr>
            <w:tcW w:w="0" w:type="dxa"/>
            <w:vAlign w:val="bottom"/>
          </w:tcPr>
          <w:p>
            <w:pPr>
              <w:spacing w:after="0"/>
              <w:rPr>
                <w:sz w:val="1"/>
                <w:szCs w:val="1"/>
                <w:color w:val="auto"/>
              </w:rPr>
            </w:pPr>
          </w:p>
        </w:tc>
      </w:tr>
      <w:tr>
        <w:trPr>
          <w:trHeight w:val="213"/>
        </w:trPr>
        <w:tc>
          <w:tcPr>
            <w:tcW w:w="2960" w:type="dxa"/>
            <w:vAlign w:val="bottom"/>
          </w:tcPr>
          <w:p>
            <w:pPr>
              <w:ind w:left="220"/>
              <w:spacing w:after="0"/>
              <w:rPr>
                <w:sz w:val="20"/>
                <w:szCs w:val="20"/>
                <w:color w:val="auto"/>
              </w:rPr>
            </w:pPr>
            <w:r>
              <w:rPr>
                <w:rFonts w:ascii="Arial" w:cs="Arial" w:eastAsia="Arial" w:hAnsi="Arial"/>
                <w:sz w:val="16"/>
                <w:szCs w:val="16"/>
                <w:color w:val="auto"/>
              </w:rPr>
              <w:t>Receivables facility</w:t>
            </w:r>
          </w:p>
        </w:tc>
        <w:tc>
          <w:tcPr>
            <w:tcW w:w="860" w:type="dxa"/>
            <w:vAlign w:val="bottom"/>
          </w:tcPr>
          <w:p>
            <w:pPr>
              <w:spacing w:after="0"/>
              <w:rPr>
                <w:sz w:val="20"/>
                <w:szCs w:val="20"/>
                <w:color w:val="auto"/>
              </w:rPr>
            </w:pPr>
            <w:r>
              <w:rPr>
                <w:rFonts w:ascii="Arial" w:cs="Arial" w:eastAsia="Arial" w:hAnsi="Arial"/>
                <w:sz w:val="16"/>
                <w:szCs w:val="16"/>
                <w:color w:val="auto"/>
              </w:rPr>
              <w:t>Level 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debt</w:t>
            </w:r>
          </w:p>
        </w:tc>
        <w:tc>
          <w:tcPr>
            <w:tcW w:w="860" w:type="dxa"/>
            <w:vAlign w:val="bottom"/>
            <w:shd w:val="clear" w:color="auto" w:fill="CCEEFF"/>
          </w:tcPr>
          <w:p>
            <w:pPr>
              <w:spacing w:after="0"/>
              <w:rPr>
                <w:sz w:val="20"/>
                <w:szCs w:val="20"/>
                <w:color w:val="auto"/>
              </w:rPr>
            </w:pPr>
            <w:r>
              <w:rPr>
                <w:rFonts w:ascii="Arial" w:cs="Arial" w:eastAsia="Arial" w:hAnsi="Arial"/>
                <w:sz w:val="16"/>
                <w:szCs w:val="16"/>
                <w:color w:val="auto"/>
              </w:rPr>
              <w:t>Level 2</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LEASES</w:t>
      </w:r>
    </w:p>
    <w:p>
      <w:pPr>
        <w:spacing w:after="0" w:line="17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leases certain property and equipment from third parties under various non-cancelable lease agreements, including industrial, commercial and office properties and equipment that support the management, manufacturing, distribution and research and development of products marketed and sold by the Company. The lease agreements generally require that the Company pay taxes, insurance and maintenance expenses related to the leased assets. At April 3, 2021, the Company had entered into operating leases that were yet to commence with a combined total expected lease liability of $45.3. From time to time, the Company will sublease portions of its facilities, resulting in sublease income. Sublease income and the related cash flows were not material to the condensed consolidated financial statements for the three and six months ended April 3, 2021 and March 28, 2020.</w:t>
      </w:r>
    </w:p>
    <w:p>
      <w:pPr>
        <w:spacing w:after="0" w:line="11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leases certain vehicles (primarily cars and light trucks) under agreements that are cancellable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April 3, 2021, the Company’s residual value guarantee would have approximated $4.1.</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2" w:name="page23"/>
    <w:bookmarkEnd w:id="22"/>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balance sheet information related to the Company’s leases was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April 3,</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w w:val="99"/>
              </w:rPr>
              <w:t>March 28,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20" w:type="dxa"/>
            <w:vAlign w:val="bottom"/>
            <w:gridSpan w:val="2"/>
            <w:vMerge w:val="continue"/>
          </w:tcPr>
          <w:p>
            <w:pPr>
              <w:spacing w:after="0"/>
              <w:rPr>
                <w:sz w:val="16"/>
                <w:szCs w:val="16"/>
                <w:color w:val="auto"/>
              </w:rPr>
            </w:pPr>
          </w:p>
        </w:tc>
        <w:tc>
          <w:tcPr>
            <w:tcW w:w="110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20" w:type="dxa"/>
            <w:vAlign w:val="bottom"/>
            <w:tcBorders>
              <w:top w:val="single" w:sz="8" w:color="auto"/>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Right-of-use assets</w:t>
            </w:r>
          </w:p>
        </w:tc>
        <w:tc>
          <w:tcPr>
            <w:tcW w:w="32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8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208.0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125.6</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Current lease liabilities</w:t>
            </w:r>
          </w:p>
        </w:tc>
        <w:tc>
          <w:tcPr>
            <w:tcW w:w="322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lease liabilities</w:t>
            </w: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154.9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Total operating lease liabilities</w:t>
            </w:r>
          </w:p>
        </w:tc>
        <w:tc>
          <w:tcPr>
            <w:tcW w:w="2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215.0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Finance leases:</w:t>
            </w:r>
          </w:p>
        </w:tc>
        <w:tc>
          <w:tcPr>
            <w:tcW w:w="2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lease liabilities</w:t>
            </w: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debt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Non-current lease liabilities</w:t>
            </w:r>
          </w:p>
        </w:tc>
        <w:tc>
          <w:tcPr>
            <w:tcW w:w="3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finance lease liabilities</w:t>
            </w:r>
          </w:p>
        </w:tc>
        <w:tc>
          <w:tcPr>
            <w:tcW w:w="2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8"/>
                <w:szCs w:val="18"/>
                <w:color w:val="auto"/>
                <w:w w:val="89"/>
              </w:rPr>
              <w:t>Components of lease cost were as follows:</w:t>
            </w:r>
          </w:p>
        </w:tc>
        <w:tc>
          <w:tcPr>
            <w:tcW w:w="2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3240" w:type="dxa"/>
            <w:vAlign w:val="bottom"/>
            <w:gridSpan w:val="2"/>
            <w:vMerge w:val="continue"/>
          </w:tcPr>
          <w:p>
            <w:pPr>
              <w:spacing w:after="0"/>
              <w:rPr>
                <w:sz w:val="24"/>
                <w:szCs w:val="24"/>
                <w:color w:val="auto"/>
              </w:rPr>
            </w:pPr>
          </w:p>
        </w:tc>
        <w:tc>
          <w:tcPr>
            <w:tcW w:w="2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gridSpan w:val="8"/>
          </w:tcPr>
          <w:p>
            <w:pPr>
              <w:ind w:lef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April 3,</w:t>
            </w: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4"/>
          </w:tcPr>
          <w:p>
            <w:pPr>
              <w:jc w:val="center"/>
              <w:ind w:right="10"/>
              <w:spacing w:after="0" w:line="135" w:lineRule="exact"/>
              <w:rPr>
                <w:sz w:val="20"/>
                <w:szCs w:val="20"/>
                <w:color w:val="auto"/>
              </w:rPr>
            </w:pPr>
            <w:r>
              <w:rPr>
                <w:rFonts w:ascii="Arial" w:cs="Arial" w:eastAsia="Arial" w:hAnsi="Arial"/>
                <w:sz w:val="14"/>
                <w:szCs w:val="14"/>
                <w:b w:val="1"/>
                <w:bCs w:val="1"/>
                <w:color w:val="auto"/>
                <w:w w:val="99"/>
              </w:rPr>
              <w:t>March 28,</w:t>
            </w: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April 3,</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93"/>
              <w:spacing w:after="0" w:line="135" w:lineRule="exact"/>
              <w:rPr>
                <w:sz w:val="20"/>
                <w:szCs w:val="20"/>
                <w:color w:val="auto"/>
              </w:rPr>
            </w:pPr>
            <w:r>
              <w:rPr>
                <w:rFonts w:ascii="Arial" w:cs="Arial" w:eastAsia="Arial" w:hAnsi="Arial"/>
                <w:sz w:val="14"/>
                <w:szCs w:val="14"/>
                <w:b w:val="1"/>
                <w:bCs w:val="1"/>
                <w:color w:val="auto"/>
              </w:rPr>
              <w:t>March 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4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(a)</w:t>
            </w:r>
          </w:p>
        </w:tc>
        <w:tc>
          <w:tcPr>
            <w:tcW w:w="28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2"/>
          </w:tcPr>
          <w:p>
            <w:pPr>
              <w:ind w:left="20"/>
              <w:spacing w:after="0"/>
              <w:rPr>
                <w:sz w:val="20"/>
                <w:szCs w:val="20"/>
                <w:color w:val="auto"/>
              </w:rPr>
            </w:pPr>
            <w:r>
              <w:rPr>
                <w:rFonts w:ascii="Arial" w:cs="Arial" w:eastAsia="Arial" w:hAnsi="Arial"/>
                <w:sz w:val="18"/>
                <w:szCs w:val="18"/>
                <w:color w:val="auto"/>
              </w:rPr>
              <w:t>Variable lease cost</w:t>
            </w:r>
          </w:p>
        </w:tc>
        <w:tc>
          <w:tcPr>
            <w:tcW w:w="2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40" w:type="dxa"/>
            <w:vAlign w:val="bottom"/>
            <w:gridSpan w:val="2"/>
            <w:shd w:val="clear" w:color="auto" w:fill="CCEEFF"/>
          </w:tcPr>
          <w:p>
            <w:pPr>
              <w:spacing w:after="0"/>
              <w:rPr>
                <w:sz w:val="22"/>
                <w:szCs w:val="22"/>
                <w:color w:val="auto"/>
              </w:rPr>
            </w:pPr>
          </w:p>
        </w:tc>
        <w:tc>
          <w:tcPr>
            <w:tcW w:w="28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2"/>
          </w:tcPr>
          <w:p>
            <w:pPr>
              <w:ind w:left="20"/>
              <w:spacing w:after="0"/>
              <w:rPr>
                <w:sz w:val="20"/>
                <w:szCs w:val="20"/>
                <w:color w:val="auto"/>
              </w:rPr>
            </w:pPr>
            <w:r>
              <w:rPr>
                <w:rFonts w:ascii="Arial" w:cs="Arial" w:eastAsia="Arial" w:hAnsi="Arial"/>
                <w:sz w:val="18"/>
                <w:szCs w:val="18"/>
                <w:color w:val="auto"/>
              </w:rPr>
              <w:t>Finance lease cost</w:t>
            </w:r>
          </w:p>
        </w:tc>
        <w:tc>
          <w:tcPr>
            <w:tcW w:w="2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right-of-use assets</w:t>
            </w:r>
          </w:p>
        </w:tc>
        <w:tc>
          <w:tcPr>
            <w:tcW w:w="2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Interest on lease liabilities</w:t>
            </w:r>
          </w:p>
        </w:tc>
        <w:tc>
          <w:tcPr>
            <w:tcW w:w="2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finance lease cost</w:t>
            </w:r>
          </w:p>
        </w:tc>
        <w:tc>
          <w:tcPr>
            <w:tcW w:w="2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60" w:hanging="652"/>
        <w:spacing w:after="0" w:line="263" w:lineRule="auto"/>
        <w:tabs>
          <w:tab w:leader="none" w:pos="657"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lease cost includes amortization of ROU assets of $14.6 and $27.9 for the three and six months ended April 3, 2021, respectively, and $11.8 and $22.9 for the three and six months ended March 28, 2020, respectively. Short-term lease expense is excluded from operating lease cost and is not material.</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and non-cash activity related to the Company’s leases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Six Months Ended</w:t>
            </w:r>
          </w:p>
        </w:tc>
      </w:tr>
      <w:tr>
        <w:trPr>
          <w:trHeight w:val="134"/>
        </w:trPr>
        <w:tc>
          <w:tcPr>
            <w:tcW w:w="55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April 3,</w:t>
            </w:r>
          </w:p>
        </w:tc>
        <w:tc>
          <w:tcPr>
            <w:tcW w:w="200" w:type="dxa"/>
            <w:vAlign w:val="bottom"/>
          </w:tcPr>
          <w:p>
            <w:pPr>
              <w:spacing w:after="0"/>
              <w:rPr>
                <w:sz w:val="11"/>
                <w:szCs w:val="11"/>
                <w:color w:val="auto"/>
              </w:rPr>
            </w:pPr>
          </w:p>
        </w:tc>
        <w:tc>
          <w:tcPr>
            <w:tcW w:w="1000" w:type="dxa"/>
            <w:vAlign w:val="bottom"/>
          </w:tcPr>
          <w:p>
            <w:pPr>
              <w:jc w:val="right"/>
              <w:ind w:right="195"/>
              <w:spacing w:after="0" w:line="135" w:lineRule="exact"/>
              <w:rPr>
                <w:sz w:val="20"/>
                <w:szCs w:val="20"/>
                <w:color w:val="auto"/>
              </w:rPr>
            </w:pPr>
            <w:r>
              <w:rPr>
                <w:rFonts w:ascii="Arial" w:cs="Arial" w:eastAsia="Arial" w:hAnsi="Arial"/>
                <w:sz w:val="14"/>
                <w:szCs w:val="14"/>
                <w:b w:val="1"/>
                <w:bCs w:val="1"/>
                <w:color w:val="auto"/>
              </w:rPr>
              <w:t>March 28,</w:t>
            </w:r>
          </w:p>
        </w:tc>
      </w:tr>
      <w:tr>
        <w:trPr>
          <w:trHeight w:val="188"/>
        </w:trPr>
        <w:tc>
          <w:tcPr>
            <w:tcW w:w="5500" w:type="dxa"/>
            <w:vAlign w:val="bottom"/>
            <w:tcBorders>
              <w:bottom w:val="single" w:sz="8" w:color="CCEEFF"/>
            </w:tcBorders>
          </w:tcPr>
          <w:p>
            <w:pPr>
              <w:spacing w:after="0"/>
              <w:rPr>
                <w:sz w:val="16"/>
                <w:szCs w:val="16"/>
                <w:color w:val="auto"/>
              </w:rPr>
            </w:pPr>
          </w:p>
        </w:tc>
        <w:tc>
          <w:tcPr>
            <w:tcW w:w="3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r>
      <w:tr>
        <w:trPr>
          <w:trHeight w:val="211"/>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89"/>
              </w:rPr>
              <w:t>Cash paid for amounts included in the measurement of lease liabilities:</w:t>
            </w:r>
          </w:p>
        </w:tc>
        <w:tc>
          <w:tcPr>
            <w:tcW w:w="3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550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 net</w:t>
            </w:r>
          </w:p>
        </w:tc>
        <w:tc>
          <w:tcPr>
            <w:tcW w:w="3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30"/>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3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550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3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6"/>
        </w:trPr>
        <w:tc>
          <w:tcPr>
            <w:tcW w:w="5500" w:type="dxa"/>
            <w:vAlign w:val="bottom"/>
            <w:shd w:val="clear" w:color="auto" w:fill="CCEEFF"/>
          </w:tcPr>
          <w:p>
            <w:pPr>
              <w:spacing w:after="0"/>
              <w:rPr>
                <w:sz w:val="22"/>
                <w:szCs w:val="22"/>
                <w:color w:val="auto"/>
              </w:rPr>
            </w:pPr>
          </w:p>
        </w:tc>
        <w:tc>
          <w:tcPr>
            <w:tcW w:w="3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3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3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550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877"/>
        </w:trPr>
        <w:tc>
          <w:tcPr>
            <w:tcW w:w="5500" w:type="dxa"/>
            <w:vAlign w:val="bottom"/>
          </w:tcPr>
          <w:p>
            <w:pPr>
              <w:spacing w:after="0"/>
              <w:rPr>
                <w:sz w:val="24"/>
                <w:szCs w:val="24"/>
                <w:color w:val="auto"/>
              </w:rPr>
            </w:pPr>
          </w:p>
        </w:tc>
        <w:tc>
          <w:tcPr>
            <w:tcW w:w="3220" w:type="dxa"/>
            <w:vAlign w:val="bottom"/>
          </w:tcPr>
          <w:p>
            <w:pPr>
              <w:jc w:val="right"/>
              <w:ind w:right="2910"/>
              <w:spacing w:after="0"/>
              <w:rPr>
                <w:sz w:val="20"/>
                <w:szCs w:val="20"/>
                <w:color w:val="auto"/>
              </w:rPr>
            </w:pPr>
            <w:r>
              <w:rPr>
                <w:rFonts w:ascii="Arial" w:cs="Arial" w:eastAsia="Arial" w:hAnsi="Arial"/>
                <w:sz w:val="18"/>
                <w:szCs w:val="18"/>
                <w:color w:val="auto"/>
                <w:w w:val="99"/>
              </w:rPr>
              <w:t>23</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3" w:name="page24"/>
    <w:bookmarkEnd w:id="23"/>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Weighted-average remaining lease term and discount rate for the Company’s leases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892"/>
              <w:spacing w:after="0"/>
              <w:rPr>
                <w:sz w:val="20"/>
                <w:szCs w:val="20"/>
                <w:color w:val="auto"/>
              </w:rPr>
            </w:pPr>
            <w:r>
              <w:rPr>
                <w:rFonts w:ascii="Arial" w:cs="Arial" w:eastAsia="Arial" w:hAnsi="Arial"/>
                <w:sz w:val="14"/>
                <w:szCs w:val="14"/>
                <w:b w:val="1"/>
                <w:bCs w:val="1"/>
                <w:color w:val="auto"/>
              </w:rPr>
              <w:t>April 3,</w:t>
            </w:r>
          </w:p>
        </w:tc>
      </w:tr>
      <w:tr>
        <w:trPr>
          <w:trHeight w:val="188"/>
        </w:trPr>
        <w:tc>
          <w:tcPr>
            <w:tcW w:w="80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92"/>
              <w:spacing w:after="0"/>
              <w:rPr>
                <w:sz w:val="20"/>
                <w:szCs w:val="20"/>
                <w:color w:val="auto"/>
              </w:rPr>
            </w:pPr>
            <w:r>
              <w:rPr>
                <w:rFonts w:ascii="Arial" w:cs="Arial" w:eastAsia="Arial" w:hAnsi="Arial"/>
                <w:sz w:val="14"/>
                <w:szCs w:val="14"/>
                <w:b w:val="1"/>
                <w:bCs w:val="1"/>
                <w:color w:val="auto"/>
                <w:w w:val="89"/>
              </w:rPr>
              <w:t>2021</w:t>
            </w:r>
          </w:p>
        </w:tc>
      </w:tr>
      <w:tr>
        <w:trPr>
          <w:trHeight w:val="211"/>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lease term (in years):</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56"/>
        </w:trPr>
        <w:tc>
          <w:tcPr>
            <w:tcW w:w="8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30"/>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29"/>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378"/>
        </w:trPr>
        <w:tc>
          <w:tcPr>
            <w:tcW w:w="8140" w:type="dxa"/>
            <w:vAlign w:val="bottom"/>
            <w:gridSpan w:val="2"/>
          </w:tcPr>
          <w:p>
            <w:pPr>
              <w:ind w:left="420"/>
              <w:spacing w:after="0"/>
              <w:rPr>
                <w:sz w:val="20"/>
                <w:szCs w:val="20"/>
                <w:color w:val="auto"/>
              </w:rPr>
            </w:pPr>
            <w:r>
              <w:rPr>
                <w:rFonts w:ascii="Arial" w:cs="Arial" w:eastAsia="Arial" w:hAnsi="Arial"/>
                <w:sz w:val="18"/>
                <w:szCs w:val="18"/>
                <w:color w:val="auto"/>
                <w:w w:val="93"/>
              </w:rPr>
              <w:t>Maturities of lease liabilities by fiscal year for the Company’s leases as of April 3, 2021 were as follows:</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0"/>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8"/>
                <w:szCs w:val="18"/>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Operating Leases</w:t>
            </w:r>
          </w:p>
        </w:tc>
        <w:tc>
          <w:tcPr>
            <w:tcW w:w="120" w:type="dxa"/>
            <w:vAlign w:val="bottom"/>
          </w:tcPr>
          <w:p>
            <w:pPr>
              <w:spacing w:after="0"/>
              <w:rPr>
                <w:sz w:val="18"/>
                <w:szCs w:val="18"/>
                <w:color w:val="auto"/>
              </w:rPr>
            </w:pPr>
          </w:p>
        </w:tc>
        <w:tc>
          <w:tcPr>
            <w:tcW w:w="1380" w:type="dxa"/>
            <w:vAlign w:val="bottom"/>
          </w:tcPr>
          <w:p>
            <w:pPr>
              <w:jc w:val="right"/>
              <w:ind w:right="192"/>
              <w:spacing w:after="0"/>
              <w:rPr>
                <w:sz w:val="20"/>
                <w:szCs w:val="20"/>
                <w:color w:val="auto"/>
              </w:rPr>
            </w:pPr>
            <w:r>
              <w:rPr>
                <w:rFonts w:ascii="Arial" w:cs="Arial" w:eastAsia="Arial" w:hAnsi="Arial"/>
                <w:sz w:val="14"/>
                <w:szCs w:val="14"/>
                <w:b w:val="1"/>
                <w:bCs w:val="1"/>
                <w:color w:val="auto"/>
              </w:rPr>
              <w:t>Finance Leases</w:t>
            </w:r>
          </w:p>
        </w:tc>
      </w:tr>
      <w:tr>
        <w:trPr>
          <w:trHeight w:val="229"/>
        </w:trPr>
        <w:tc>
          <w:tcPr>
            <w:tcW w:w="8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 (remainder of the year)</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23"/>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30"/>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48"/>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16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divides its operations into three reportable segments: U.S. Consumer, Hawthorne and Other. U.S. Consumer consists of the Company’s consumer lawn and garden business located in the geographic United States. Hawthorne consists of the Company’s indoor and hydroponic gardening business. Other consists of the Company’s consumer lawn and garden business in geographies other than the U.S. and the Company’s product sales to commercial nurseries, greenhouses and other professional customers. In addition, Corporate consists of general and administrative expenses and certain other income and expense items not allocated to the business segments. This identification of reportable segments is consistent with how the segments report to and are managed by the chief operating decision maker of the Company.</w:t>
      </w:r>
    </w:p>
    <w:p>
      <w:pPr>
        <w:spacing w:after="0" w:line="11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During the three months ended January 2, 2021, the Company changed its internal organization structure such that AeroGrow is now managed by and reported within the U.S. Consumer segment. Within the U.S. Consumer segment, AeroGrow is integrated into the Company’s overall direct to consumer focus and strategy. AeroGrow was previously managed by and reported within the Hawthorne segment. The prior period amounts have been reclassified to conform to the new organization structure. This change in organization structure resulted in a change in the Company’s reporting units. As a result, goodwill included in impacted reporting units was reallocated using a relative fair value approach, resulting in $15.8 of goodwill reallocated from the Hawthorne segment to the U.S. Consumer segment during the three months ended January 2, 2021. In addition, the Company completed an assessment of potential goodwill impairment immediately before and after the reallocation and determined that no impairment existed.</w:t>
      </w:r>
    </w:p>
    <w:p>
      <w:pPr>
        <w:spacing w:after="0" w:line="96"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performance of each reportable segment is evaluated based on several factors, including income (loss) from continuing operations before income taxes, amortization, impairment, restructuring and other charges (“Segment Profit (Loss)”). Senior management uses Segment Profit (Loss) to evaluate segment performance because the Company believes this measure is indicative of performance trends and the overall earnings potential of each segment.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4" w:name="page25"/>
    <w:bookmarkEnd w:id="24"/>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financial information for the Company’s reportable segments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14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Six Months Ended</w:t>
            </w:r>
          </w:p>
        </w:tc>
      </w:tr>
      <w:tr>
        <w:trPr>
          <w:trHeight w:val="135"/>
        </w:trPr>
        <w:tc>
          <w:tcPr>
            <w:tcW w:w="64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April 3,</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52"/>
              <w:spacing w:after="0" w:line="135" w:lineRule="exact"/>
              <w:rPr>
                <w:sz w:val="20"/>
                <w:szCs w:val="20"/>
                <w:color w:val="auto"/>
              </w:rPr>
            </w:pPr>
            <w:r>
              <w:rPr>
                <w:rFonts w:ascii="Arial" w:cs="Arial" w:eastAsia="Arial" w:hAnsi="Arial"/>
                <w:sz w:val="14"/>
                <w:szCs w:val="14"/>
                <w:b w:val="1"/>
                <w:bCs w:val="1"/>
                <w:color w:val="auto"/>
              </w:rPr>
              <w:t>March 28,</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April 3,</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52"/>
              <w:spacing w:after="0" w:line="135" w:lineRule="exact"/>
              <w:rPr>
                <w:sz w:val="20"/>
                <w:szCs w:val="20"/>
                <w:color w:val="auto"/>
              </w:rPr>
            </w:pPr>
            <w:r>
              <w:rPr>
                <w:rFonts w:ascii="Arial" w:cs="Arial" w:eastAsia="Arial" w:hAnsi="Arial"/>
                <w:sz w:val="14"/>
                <w:szCs w:val="14"/>
                <w:b w:val="1"/>
                <w:bCs w:val="1"/>
                <w:color w:val="auto"/>
              </w:rPr>
              <w:t>March 28,</w:t>
            </w:r>
          </w:p>
        </w:tc>
      </w:tr>
      <w:tr>
        <w:trPr>
          <w:trHeight w:val="188"/>
        </w:trPr>
        <w:tc>
          <w:tcPr>
            <w:tcW w:w="64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r>
      <w:tr>
        <w:trPr>
          <w:trHeight w:val="21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6400" w:type="dxa"/>
            <w:vAlign w:val="bottom"/>
          </w:tcPr>
          <w:p>
            <w:pPr>
              <w:ind w:left="240"/>
              <w:spacing w:after="0"/>
              <w:rPr>
                <w:sz w:val="20"/>
                <w:szCs w:val="20"/>
                <w:color w:val="auto"/>
              </w:rPr>
            </w:pPr>
            <w:r>
              <w:rPr>
                <w:rFonts w:ascii="Arial" w:cs="Arial" w:eastAsia="Arial" w:hAnsi="Arial"/>
                <w:sz w:val="18"/>
                <w:szCs w:val="18"/>
                <w:color w:val="auto"/>
              </w:rPr>
              <w:t>U.S. Consumer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1,113.2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1,782.2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1,278.6</w:t>
            </w:r>
          </w:p>
        </w:tc>
      </w:tr>
      <w:tr>
        <w:trPr>
          <w:trHeight w:val="229"/>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Hawthorne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w:t>
            </w:r>
          </w:p>
        </w:tc>
      </w:tr>
      <w:tr>
        <w:trPr>
          <w:trHeight w:val="230"/>
        </w:trPr>
        <w:tc>
          <w:tcPr>
            <w:tcW w:w="6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r>
      <w:tr>
        <w:trPr>
          <w:trHeight w:val="248"/>
        </w:trPr>
        <w:tc>
          <w:tcPr>
            <w:tcW w:w="6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Consolidated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Profit: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400" w:type="dxa"/>
            <w:vAlign w:val="bottom"/>
          </w:tcPr>
          <w:p>
            <w:pPr>
              <w:ind w:left="240"/>
              <w:spacing w:after="0"/>
              <w:rPr>
                <w:sz w:val="20"/>
                <w:szCs w:val="20"/>
                <w:color w:val="auto"/>
              </w:rPr>
            </w:pPr>
            <w:r>
              <w:rPr>
                <w:rFonts w:ascii="Arial" w:cs="Arial" w:eastAsia="Arial" w:hAnsi="Arial"/>
                <w:sz w:val="18"/>
                <w:szCs w:val="18"/>
                <w:color w:val="auto"/>
              </w:rPr>
              <w:t>U.S. Consumer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435.9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374.6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334.6</w:t>
            </w:r>
          </w:p>
        </w:tc>
      </w:tr>
      <w:tr>
        <w:trPr>
          <w:trHeight w:val="230"/>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Hawthorne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29"/>
        </w:trPr>
        <w:tc>
          <w:tcPr>
            <w:tcW w:w="6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6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Segment Profit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(63.0)</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Impairment, restructuring and other</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loss of unconsolidated affiliates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Costs related to refinancing</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net</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48"/>
        </w:trPr>
        <w:tc>
          <w:tcPr>
            <w:tcW w:w="6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net sales by product category for the periods indicated:</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14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Six Months Ended</w:t>
            </w:r>
          </w:p>
        </w:tc>
      </w:tr>
      <w:tr>
        <w:trPr>
          <w:trHeight w:val="135"/>
        </w:trPr>
        <w:tc>
          <w:tcPr>
            <w:tcW w:w="63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April 3,</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52"/>
              <w:spacing w:after="0" w:line="135" w:lineRule="exact"/>
              <w:rPr>
                <w:sz w:val="20"/>
                <w:szCs w:val="20"/>
                <w:color w:val="auto"/>
              </w:rPr>
            </w:pPr>
            <w:r>
              <w:rPr>
                <w:rFonts w:ascii="Arial" w:cs="Arial" w:eastAsia="Arial" w:hAnsi="Arial"/>
                <w:sz w:val="14"/>
                <w:szCs w:val="14"/>
                <w:b w:val="1"/>
                <w:bCs w:val="1"/>
                <w:color w:val="auto"/>
              </w:rPr>
              <w:t>March 28,</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April 3,</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52"/>
              <w:spacing w:after="0" w:line="135" w:lineRule="exact"/>
              <w:rPr>
                <w:sz w:val="20"/>
                <w:szCs w:val="20"/>
                <w:color w:val="auto"/>
              </w:rPr>
            </w:pPr>
            <w:r>
              <w:rPr>
                <w:rFonts w:ascii="Arial" w:cs="Arial" w:eastAsia="Arial" w:hAnsi="Arial"/>
                <w:sz w:val="14"/>
                <w:szCs w:val="14"/>
                <w:b w:val="1"/>
                <w:bCs w:val="1"/>
                <w:color w:val="auto"/>
              </w:rPr>
              <w:t>March 28,</w:t>
            </w:r>
          </w:p>
        </w:tc>
      </w:tr>
      <w:tr>
        <w:trPr>
          <w:trHeight w:val="188"/>
        </w:trPr>
        <w:tc>
          <w:tcPr>
            <w:tcW w:w="6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r>
      <w:tr>
        <w:trPr>
          <w:trHeight w:val="211"/>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U.S. Consumer:</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6380" w:type="dxa"/>
            <w:vAlign w:val="bottom"/>
          </w:tcPr>
          <w:p>
            <w:pPr>
              <w:ind w:left="340"/>
              <w:spacing w:after="0"/>
              <w:rPr>
                <w:sz w:val="20"/>
                <w:szCs w:val="20"/>
                <w:color w:val="auto"/>
              </w:rPr>
            </w:pPr>
            <w:r>
              <w:rPr>
                <w:rFonts w:ascii="Arial" w:cs="Arial" w:eastAsia="Arial" w:hAnsi="Arial"/>
                <w:sz w:val="18"/>
                <w:szCs w:val="18"/>
                <w:color w:val="auto"/>
              </w:rPr>
              <w:t>Growing media and mulch</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416.8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461.6</w:t>
            </w:r>
          </w:p>
        </w:tc>
      </w:tr>
      <w:tr>
        <w:trPr>
          <w:trHeight w:val="230"/>
        </w:trPr>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Lawn care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w:t>
            </w:r>
          </w:p>
        </w:tc>
      </w:tr>
      <w:tr>
        <w:trPr>
          <w:trHeight w:val="229"/>
        </w:trPr>
        <w:tc>
          <w:tcPr>
            <w:tcW w:w="6380" w:type="dxa"/>
            <w:vAlign w:val="bottom"/>
          </w:tcPr>
          <w:p>
            <w:pPr>
              <w:ind w:left="340"/>
              <w:spacing w:after="0"/>
              <w:rPr>
                <w:sz w:val="20"/>
                <w:szCs w:val="20"/>
                <w:color w:val="auto"/>
              </w:rPr>
            </w:pPr>
            <w:r>
              <w:rPr>
                <w:rFonts w:ascii="Arial" w:cs="Arial" w:eastAsia="Arial" w:hAnsi="Arial"/>
                <w:sz w:val="18"/>
                <w:szCs w:val="18"/>
                <w:color w:val="auto"/>
              </w:rPr>
              <w:t>Controls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143.8</w:t>
            </w:r>
          </w:p>
        </w:tc>
      </w:tr>
      <w:tr>
        <w:trPr>
          <w:trHeight w:val="230"/>
        </w:trPr>
        <w:tc>
          <w:tcPr>
            <w:tcW w:w="6380" w:type="dxa"/>
            <w:vAlign w:val="bottom"/>
            <w:shd w:val="clear" w:color="auto" w:fill="CCEEFF"/>
          </w:tcPr>
          <w:p>
            <w:pPr>
              <w:ind w:left="340"/>
              <w:spacing w:after="0" w:line="230" w:lineRule="exact"/>
              <w:rPr>
                <w:sz w:val="20"/>
                <w:szCs w:val="20"/>
                <w:color w:val="auto"/>
              </w:rPr>
            </w:pPr>
            <w:r>
              <w:rPr>
                <w:rFonts w:ascii="Arial" w:cs="Arial" w:eastAsia="Arial" w:hAnsi="Arial"/>
                <w:sz w:val="18"/>
                <w:szCs w:val="18"/>
                <w:color w:val="auto"/>
              </w:rPr>
              <w:t>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30"/>
        </w:trPr>
        <w:tc>
          <w:tcPr>
            <w:tcW w:w="6380" w:type="dxa"/>
            <w:vAlign w:val="bottom"/>
          </w:tcPr>
          <w:p>
            <w:pPr>
              <w:ind w:left="340"/>
              <w:spacing w:after="0"/>
              <w:rPr>
                <w:sz w:val="20"/>
                <w:szCs w:val="20"/>
                <w:color w:val="auto"/>
              </w:rPr>
            </w:pPr>
            <w:r>
              <w:rPr>
                <w:rFonts w:ascii="Arial" w:cs="Arial" w:eastAsia="Arial" w:hAnsi="Arial"/>
                <w:sz w:val="18"/>
                <w:szCs w:val="18"/>
                <w:color w:val="auto"/>
              </w:rPr>
              <w:t>Other, primarily gardening</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108.2</w:t>
            </w: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Hawthorne: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380" w:type="dxa"/>
            <w:vAlign w:val="bottom"/>
          </w:tcPr>
          <w:p>
            <w:pPr>
              <w:ind w:left="340"/>
              <w:spacing w:after="0"/>
              <w:rPr>
                <w:sz w:val="20"/>
                <w:szCs w:val="20"/>
                <w:color w:val="auto"/>
              </w:rPr>
            </w:pPr>
            <w:r>
              <w:rPr>
                <w:rFonts w:ascii="Arial" w:cs="Arial" w:eastAsia="Arial" w:hAnsi="Arial"/>
                <w:sz w:val="18"/>
                <w:szCs w:val="18"/>
                <w:color w:val="auto"/>
              </w:rPr>
              <w:t>Lighting</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120.7</w:t>
            </w:r>
          </w:p>
        </w:tc>
      </w:tr>
      <w:tr>
        <w:trPr>
          <w:trHeight w:val="230"/>
        </w:trPr>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Nutrients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30"/>
        </w:trPr>
        <w:tc>
          <w:tcPr>
            <w:tcW w:w="6380" w:type="dxa"/>
            <w:vAlign w:val="bottom"/>
          </w:tcPr>
          <w:p>
            <w:pPr>
              <w:ind w:left="340"/>
              <w:spacing w:after="0"/>
              <w:rPr>
                <w:sz w:val="20"/>
                <w:szCs w:val="20"/>
                <w:color w:val="auto"/>
              </w:rPr>
            </w:pPr>
            <w:r>
              <w:rPr>
                <w:rFonts w:ascii="Arial" w:cs="Arial" w:eastAsia="Arial" w:hAnsi="Arial"/>
                <w:sz w:val="18"/>
                <w:szCs w:val="18"/>
                <w:color w:val="auto"/>
              </w:rPr>
              <w:t>Growing media</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65.3</w:t>
            </w:r>
          </w:p>
        </w:tc>
      </w:tr>
      <w:tr>
        <w:trPr>
          <w:trHeight w:val="230"/>
        </w:trPr>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primarily hardware and growing environments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r>
      <w:tr>
        <w:trPr>
          <w:trHeight w:val="229"/>
        </w:trPr>
        <w:tc>
          <w:tcPr>
            <w:tcW w:w="638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Growing media</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30"/>
        </w:trPr>
        <w:tc>
          <w:tcPr>
            <w:tcW w:w="6380" w:type="dxa"/>
            <w:vAlign w:val="bottom"/>
          </w:tcPr>
          <w:p>
            <w:pPr>
              <w:ind w:left="340"/>
              <w:spacing w:after="0"/>
              <w:rPr>
                <w:sz w:val="20"/>
                <w:szCs w:val="20"/>
                <w:color w:val="auto"/>
              </w:rPr>
            </w:pPr>
            <w:r>
              <w:rPr>
                <w:rFonts w:ascii="Arial" w:cs="Arial" w:eastAsia="Arial" w:hAnsi="Arial"/>
                <w:sz w:val="18"/>
                <w:szCs w:val="18"/>
                <w:color w:val="auto"/>
              </w:rPr>
              <w:t>Lawn care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30"/>
        </w:trPr>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primarily gardening and controls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Total net sales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1,748.6</w:t>
            </w:r>
          </w:p>
        </w:tc>
      </w:tr>
      <w:tr>
        <w:trPr>
          <w:trHeight w:val="20"/>
        </w:trPr>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2" w:right="359" w:bottom="1440" w:gutter="0" w:footer="0" w:header="0"/>
        </w:sectPr>
      </w:pPr>
    </w:p>
    <w:bookmarkStart w:id="25" w:name="page26"/>
    <w:bookmarkEnd w:id="25"/>
    <w:p>
      <w:pPr>
        <w:spacing w:after="0"/>
        <w:tabs>
          <w:tab w:leader="none" w:pos="384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34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net sales by geographic area for the periods indicated:</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140" w:type="dxa"/>
            <w:vAlign w:val="bottom"/>
            <w:gridSpan w:val="4"/>
          </w:tcPr>
          <w:p>
            <w:pPr>
              <w:jc w:val="right"/>
              <w:ind w:right="517"/>
              <w:spacing w:after="0"/>
              <w:rPr>
                <w:sz w:val="20"/>
                <w:szCs w:val="20"/>
                <w:color w:val="auto"/>
              </w:rPr>
            </w:pPr>
            <w:r>
              <w:rPr>
                <w:rFonts w:ascii="Arial" w:cs="Arial" w:eastAsia="Arial" w:hAnsi="Arial"/>
                <w:sz w:val="14"/>
                <w:szCs w:val="14"/>
                <w:b w:val="1"/>
                <w:bCs w:val="1"/>
                <w:color w:val="auto"/>
              </w:rPr>
              <w:t>Six Months Ended</w:t>
            </w:r>
          </w:p>
        </w:tc>
      </w:tr>
      <w:tr>
        <w:trPr>
          <w:trHeight w:val="135"/>
        </w:trPr>
        <w:tc>
          <w:tcPr>
            <w:tcW w:w="63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April 3,</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57"/>
              <w:spacing w:after="0" w:line="135" w:lineRule="exact"/>
              <w:rPr>
                <w:sz w:val="20"/>
                <w:szCs w:val="20"/>
                <w:color w:val="auto"/>
              </w:rPr>
            </w:pPr>
            <w:r>
              <w:rPr>
                <w:rFonts w:ascii="Arial" w:cs="Arial" w:eastAsia="Arial" w:hAnsi="Arial"/>
                <w:sz w:val="14"/>
                <w:szCs w:val="14"/>
                <w:b w:val="1"/>
                <w:bCs w:val="1"/>
                <w:color w:val="auto"/>
              </w:rPr>
              <w:t>March 28,</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April 3,</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57"/>
              <w:spacing w:after="0" w:line="135" w:lineRule="exact"/>
              <w:rPr>
                <w:sz w:val="20"/>
                <w:szCs w:val="20"/>
                <w:color w:val="auto"/>
              </w:rPr>
            </w:pPr>
            <w:r>
              <w:rPr>
                <w:rFonts w:ascii="Arial" w:cs="Arial" w:eastAsia="Arial" w:hAnsi="Arial"/>
                <w:sz w:val="14"/>
                <w:szCs w:val="14"/>
                <w:b w:val="1"/>
                <w:bCs w:val="1"/>
                <w:color w:val="auto"/>
              </w:rPr>
              <w:t>March 28,</w:t>
            </w:r>
          </w:p>
        </w:tc>
      </w:tr>
      <w:tr>
        <w:trPr>
          <w:trHeight w:val="188"/>
        </w:trPr>
        <w:tc>
          <w:tcPr>
            <w:tcW w:w="6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r>
      <w:tr>
        <w:trPr>
          <w:trHeight w:val="211"/>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638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1,711.2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1,318.8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2,391.7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1,639.2</w:t>
            </w:r>
          </w:p>
        </w:tc>
      </w:tr>
      <w:tr>
        <w:trPr>
          <w:trHeight w:val="229"/>
        </w:trPr>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23"/>
        </w:trPr>
        <w:tc>
          <w:tcPr>
            <w:tcW w:w="63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1,748.6</w:t>
            </w:r>
          </w:p>
        </w:tc>
      </w:tr>
      <w:tr>
        <w:trPr>
          <w:trHeight w:val="20"/>
        </w:trPr>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62" w:right="359" w:bottom="1440" w:gutter="0" w:footer="0" w:header="0"/>
        </w:sectPr>
      </w:pPr>
    </w:p>
    <w:bookmarkStart w:id="26" w:name="page27"/>
    <w:bookmarkEnd w:id="26"/>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This Management’s Discussion and Analysis (“MD&amp;A”) is divided into the following sections:</w:t>
      </w:r>
    </w:p>
    <w:p>
      <w:pPr>
        <w:spacing w:after="0" w:line="57"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58"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This MD&amp;A should be read in conjunction with “Management’s Discussion and Analysis of Financial Condition and Results of Operations” included in Scotts Miracle-Gro’s Annual Report on Form 10-K for the fiscal year ended September 30, 2020 (the “2020 Annual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48"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We are the leading manufacturer and marketer of branded consumer lawn and garden products in North America. We are the exclusive agent of Monsanto for the marketing and distribution of certain of Monsanto’s consumer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branded products within the United States and certain other specified countries. Through our Hawthorne segment, we are the leading manufacturer, marketer and distributor of lighting, nutrients, growing media, growing environments and hardware products for indoor and hydroponic gardening.</w:t>
      </w:r>
    </w:p>
    <w:p>
      <w:pPr>
        <w:spacing w:after="0" w:line="13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Beginning in fiscal 2015, our Hawthorne segment made a series of key acquisitions and investments, including General Hydroponics, Gavita, Botanicare, Vermicrop, Agrolux and Can-Filters. On June 4, 2018, our Hawthorne segment acquired substantially all of the assets of Sunlight Supply. At the time of the acquisition, Sunlight Supply was a leading developer, manufacturer, marketer and distributor of horticultural, organics, lighting and hydroponic gardening products. Prior to the transaction, Sunlight Supply served as a non-exclusive distributor of our products. In connection with our acquisition of Sunlight Supply, we announced the launch of an initiative called Project Catalyst. Project Catalyst is a company-wide restructuring effort to reduce operating costs throughout our U.S. Consumer, Hawthorne and Other segments and drive synergies from acquisitions within our Hawthorne segment.</w:t>
      </w:r>
    </w:p>
    <w:p>
      <w:pPr>
        <w:spacing w:after="0" w:line="12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operations are divided into three reportable segments: U.S. Consumer, Hawthorne and Other. U.S. Consumer consists of our consumer lawn and garden business located in the geographic United States. Hawthorne consists of our indoor and hydroponic gardening business. Other consists of our consumer lawn and garden business in geographies other than the U.S. and our product sales to commercial nurseries, greenhouses and other professional customers. In addition, Corporate consists of general and administrative expenses and certain other income and expense items not allocated to the business segments. This division of reportable segments is consistent with how the segments report to and are managed by our chief operating decision maker. See “SEGMENT RESULTS” below for additional information regarding our evaluation of segment performance.</w:t>
      </w:r>
    </w:p>
    <w:p>
      <w:pPr>
        <w:spacing w:after="0" w:line="83"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Due to the seasonal nature of the lawn and garden business, significant portions of our products ship to our retail customers during our second and third fiscal quarters, as noted in the chart below. Our annual net sales are further concentrated in the second and third fiscal quarters by retailers who rely on our ability to deliver products closer to when consumers buy our products, thereby reducing retailers’ pre-season inventories. We follow a 13-week quarterly accounting cycle pursuant to which the first three fiscal quarters end on a Saturday and the fiscal year always ends on September 30. This fiscal calendar convention requires us to cycle forward the first three fiscal quarter ends every six years. Fiscal 2021 is impacted by this process and, as a result, our first quarter of fiscal 2021 had five additional days and our fourth quarter of fiscal 2021 will have six fewer days compared to the respective quarters of fiscal 2020. In addition, our second quarter of fiscal 2021 ended six days later than our second quarter of fiscal 2020 and those six days fall within our peak selling season. This resulted in an increase in net sales of approximately $122.5 and $176.9, and an increase in net income attributable to controlling interest from continuing operations per diluted share of $0.55 and $0.70 for the three and six months ended April 3, 2021, respectively, compared to the three and six months ended March 28, 2020.</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5"/>
        </w:trPr>
        <w:tc>
          <w:tcPr>
            <w:tcW w:w="2520" w:type="dxa"/>
            <w:vAlign w:val="bottom"/>
          </w:tcPr>
          <w:p>
            <w:pPr>
              <w:ind w:left="20"/>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tc>
        <w:tc>
          <w:tcPr>
            <w:tcW w:w="5400" w:type="dxa"/>
            <w:vAlign w:val="bottom"/>
            <w:gridSpan w:val="3"/>
          </w:tcPr>
          <w:p>
            <w:pPr>
              <w:jc w:val="center"/>
              <w:ind w:left="714"/>
              <w:spacing w:after="0"/>
              <w:rPr>
                <w:sz w:val="20"/>
                <w:szCs w:val="20"/>
                <w:color w:val="auto"/>
              </w:rPr>
            </w:pPr>
            <w:r>
              <w:rPr>
                <w:rFonts w:ascii="Arial" w:cs="Arial" w:eastAsia="Arial" w:hAnsi="Arial"/>
                <w:sz w:val="18"/>
                <w:szCs w:val="18"/>
                <w:b w:val="1"/>
                <w:bCs w:val="1"/>
                <w:color w:val="auto"/>
              </w:rPr>
              <w:t>THE SCOTTS MIRACLE-GRO COMPANY</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86"/>
        </w:trPr>
        <w:tc>
          <w:tcPr>
            <w:tcW w:w="2520" w:type="dxa"/>
            <w:vAlign w:val="bottom"/>
          </w:tcPr>
          <w:p>
            <w:pPr>
              <w:spacing w:after="0"/>
              <w:rPr>
                <w:sz w:val="16"/>
                <w:szCs w:val="16"/>
                <w:color w:val="auto"/>
              </w:rPr>
            </w:pPr>
          </w:p>
        </w:tc>
        <w:tc>
          <w:tcPr>
            <w:tcW w:w="5400" w:type="dxa"/>
            <w:vAlign w:val="bottom"/>
            <w:gridSpan w:val="3"/>
          </w:tcPr>
          <w:p>
            <w:pPr>
              <w:jc w:val="center"/>
              <w:ind w:left="714"/>
              <w:spacing w:after="0"/>
              <w:rPr>
                <w:sz w:val="20"/>
                <w:szCs w:val="20"/>
                <w:color w:val="auto"/>
              </w:rPr>
            </w:pPr>
            <w:r>
              <w:rPr>
                <w:rFonts w:ascii="Arial" w:cs="Arial" w:eastAsia="Arial" w:hAnsi="Arial"/>
                <w:sz w:val="14"/>
                <w:szCs w:val="14"/>
                <w:b w:val="1"/>
                <w:bCs w:val="1"/>
                <w:color w:val="auto"/>
                <w:w w:val="92"/>
              </w:rPr>
              <w:t>(Dollars in millions, except per share data)</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808"/>
        </w:trPr>
        <w:tc>
          <w:tcPr>
            <w:tcW w:w="25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840" w:type="dxa"/>
            <w:vAlign w:val="bottom"/>
            <w:gridSpan w:val="5"/>
          </w:tcPr>
          <w:p>
            <w:pPr>
              <w:jc w:val="center"/>
              <w:ind w:left="1042"/>
              <w:spacing w:after="0"/>
              <w:rPr>
                <w:sz w:val="20"/>
                <w:szCs w:val="20"/>
                <w:color w:val="auto"/>
              </w:rPr>
            </w:pPr>
            <w:r>
              <w:rPr>
                <w:rFonts w:ascii="Arial" w:cs="Arial" w:eastAsia="Arial" w:hAnsi="Arial"/>
                <w:sz w:val="14"/>
                <w:szCs w:val="14"/>
                <w:b w:val="1"/>
                <w:bCs w:val="1"/>
                <w:color w:val="auto"/>
                <w:w w:val="91"/>
              </w:rPr>
              <w:t>Percent of Net Sales from Continuing</w:t>
            </w:r>
          </w:p>
        </w:tc>
        <w:tc>
          <w:tcPr>
            <w:tcW w:w="1160" w:type="dxa"/>
            <w:vAlign w:val="bottom"/>
          </w:tcPr>
          <w:p>
            <w:pPr>
              <w:spacing w:after="0"/>
              <w:rPr>
                <w:sz w:val="24"/>
                <w:szCs w:val="24"/>
                <w:color w:val="auto"/>
              </w:rPr>
            </w:pPr>
          </w:p>
        </w:tc>
      </w:tr>
      <w:tr>
        <w:trPr>
          <w:trHeight w:val="188"/>
        </w:trPr>
        <w:tc>
          <w:tcPr>
            <w:tcW w:w="25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4"/>
                <w:szCs w:val="14"/>
                <w:b w:val="1"/>
                <w:bCs w:val="1"/>
                <w:color w:val="auto"/>
                <w:w w:val="95"/>
              </w:rPr>
              <w:t>Operations by Quarter</w:t>
            </w:r>
          </w:p>
        </w:tc>
        <w:tc>
          <w:tcPr>
            <w:tcW w:w="1160" w:type="dxa"/>
            <w:vAlign w:val="bottom"/>
            <w:tcBorders>
              <w:bottom w:val="single" w:sz="8" w:color="auto"/>
            </w:tcBorders>
          </w:tcPr>
          <w:p>
            <w:pPr>
              <w:spacing w:after="0"/>
              <w:rPr>
                <w:sz w:val="16"/>
                <w:szCs w:val="16"/>
                <w:color w:val="auto"/>
              </w:rPr>
            </w:pPr>
          </w:p>
        </w:tc>
      </w:tr>
      <w:tr>
        <w:trPr>
          <w:trHeight w:val="183"/>
        </w:trPr>
        <w:tc>
          <w:tcPr>
            <w:tcW w:w="2520" w:type="dxa"/>
            <w:vAlign w:val="bottom"/>
            <w:tcBorders>
              <w:bottom w:val="single" w:sz="8" w:color="CCEEFF"/>
            </w:tcBorders>
          </w:tcPr>
          <w:p>
            <w:pPr>
              <w:spacing w:after="0"/>
              <w:rPr>
                <w:sz w:val="15"/>
                <w:szCs w:val="15"/>
                <w:color w:val="auto"/>
              </w:rPr>
            </w:pPr>
          </w:p>
        </w:tc>
        <w:tc>
          <w:tcPr>
            <w:tcW w:w="37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224"/>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37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33.5 %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37.7 %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38.1 %</w:t>
            </w:r>
          </w:p>
        </w:tc>
      </w:tr>
      <w:tr>
        <w:trPr>
          <w:trHeight w:val="229"/>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5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37.3 %</w:t>
            </w: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21.5 %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15.8 %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16.3 %</w:t>
            </w:r>
          </w:p>
        </w:tc>
      </w:tr>
    </w:tbl>
    <w:p>
      <w:pPr>
        <w:spacing w:after="0" w:line="12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August 11, 2014, Scotts Miracle-Gro announced that its Board of Directors authorized the repurchase of up to $500.0 of Common Shares over a five-year period (effective November 1, 2014 through September 30, 2019). On August 3, 2016, Scotts Miracle-Gro announced that its Board of Directors authorized a $500.0 increase to the share repurchase authorization ending on September 30, 2019. On August 2, 2019, the Scotts Miracle-Gro Board of Directors authorized an extension of the share repurchase authorization through March 28, 2020. The amended authorization allowed for repurchases of Common Shares of up to an aggregate amount of $1,000.0 through March 28, 2020. During the three and six months ended March 28, 2020, Scotts Miracle-Gro repurchased 0.4 million Common Shares under this share repurchase authorization for $48.2. From the effective date of this share repurchase authorization in the fourth quarter of fiscal 2014 through March 28, 2020, Scotts Miracle-Gro repurchased approximately 8.7 million Common Shares for $762.8.</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February 6, 2020, Scotts Miracle-Gro announced that its Board of Directors authorized the repurchase of up to $750.0 of Common Shares from April 30, 2020 through March 25, 2023. There were no share repurchases under this share repurchase authorization during fiscal 2020. During the three and six months ended April 3, 2021, Scotts Miracle-Gro repurchased approximately 0.1 million and 0.3 million Common Shares under this share repurchase authorization for $12.5 and $50.5, respectively.</w:t>
      </w:r>
    </w:p>
    <w:p>
      <w:pPr>
        <w:spacing w:after="0" w:line="1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July 27, 2020, the Scotts Miracle-Gro Board of Directors approved a special cash dividend of $5.00 per Common Share, which was paid on September 10, 2020 to all shareholders of record at the close of business on August 27, 2020. In addition, on July 27, 2020, the Scotts Miracle-Gro Board of Directors approved an increase in our quarterly cash dividend from $0.58 to $0.62 per Common Share, which was first paid in the fourth quarter of fiscal 2020.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Response and Impacts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World Health Organization recognized COVID-19 as a public health emergency of international concern on January 30, 2020 and as a global pandemic on March 11, 2020. Public health responses have included national pandemic preparedness and response plans, travel restrictions, quarantines, curfews, event postponements and cancellations and closures of facilities including local schools and businesses. The global pandemic and actions taken to contain COVID-19 have adversely affected the global economy and financial markets.</w:t>
      </w:r>
    </w:p>
    <w:p>
      <w:pPr>
        <w:spacing w:after="0" w:line="11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response to the COVID-19 pandemic, we have implemented additional measures intended to both protect the health and safety of our employees and maintain our ability to provide products to our customers, including (i) requiring a significant part of our workforce to work from home, (ii) monitoring our employees for COVID-19 symptoms, (iii) making additional personal protective equipment available to our operations team, (iv) requiring all manufacturing and warehousing associates to take their temperatures before beginning a shift, (v) modifying work methods and schedules of our manufacturing and field associates to create distance or add barriers between associates, consumers and others, (vi) expanding cleaning efforts at our operation centers, (vii) modifying attendance policies so that associates may elect to stay home if they have symptoms, (viii) prioritizing production for goods that are more essential to our customers and (ix) implementing an interim premium pay allowance for certain associates in our field sales force or working in manufacturing or distribution centers. As a result of these additional measures and initiatives, we have incurred incremental costs, mostly related to premium pay provided to our associates, and we expect to continue to incur incremental costs through the end of fiscal 2021. While we believe that these efforts should enable us to maintain our operations during the COVID-19 pandemic, we can provide no assurance that we will be able to do so as a result of the unpredictability of the ultimate impact of the COVID-19 pandemic, including its length, severity and the responses of local, state, federal and foreign governmental authorities to the pandemic.</w:t>
      </w:r>
    </w:p>
    <w:p>
      <w:pPr>
        <w:spacing w:after="0" w:line="9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For our fiscal quarter ended April 3, 2021, we continued to experience increased demand for many of our products in response to the COVID-19 pandemic. The impacts of the pandemic remain uncertain and vary by geography, as infection rates of COVID-19 continue to increase in many regions, and authorities have taken different approaches to address the pandemic and resume economic activity. In those jurisdictions that were subject to business closures or limitations, our manufacturing and distribution operations were viewed as essential services and continued to operate. Likewise, our major retail partners were designated as essential services and remained open. The extent to which the COVID-19 pandemic will ultimately impact our business, results of operations, financial condition and cash flows depends on future developments that are highly uncertain, rapidly evolving and difficult to predict at this time. Depending on the length and severity of the COVID-19 pandemic, we may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8" w:name="page29"/>
    <w:bookmarkEnd w:id="28"/>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experience an increase or decrease in future customer orders driven by volatility in retail foot traffic, consumer shopping and consumption behavior. We are not able to predict the impact, if any, that the COVID-19 pandemic may have on the seasonality of our business.</w:t>
      </w:r>
    </w:p>
    <w:p>
      <w:pPr>
        <w:spacing w:after="0" w:line="89"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For additional information on the impacts and our response to the COVID-19 pandemic, refer to “Management’s Discussion and Analysis of Financial Condition and Results of Operations” in Part II, Item 7 of our Annual Report on Form 10-K for the fiscal year ended September 30,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the components of earnings as a percentage of net sales for the three months ended April 3, 2021 and March 28, 2020:</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28,</w:t>
            </w:r>
          </w:p>
        </w:tc>
        <w:tc>
          <w:tcPr>
            <w:tcW w:w="1520" w:type="dxa"/>
            <w:vAlign w:val="bottom"/>
          </w:tcPr>
          <w:p>
            <w:pPr>
              <w:jc w:val="right"/>
              <w:ind w:right="512"/>
              <w:spacing w:after="0"/>
              <w:rPr>
                <w:sz w:val="20"/>
                <w:szCs w:val="20"/>
                <w:color w:val="auto"/>
              </w:rPr>
            </w:pPr>
            <w:r>
              <w:rPr>
                <w:rFonts w:ascii="Arial" w:cs="Arial" w:eastAsia="Arial" w:hAnsi="Arial"/>
                <w:sz w:val="14"/>
                <w:szCs w:val="14"/>
                <w:b w:val="1"/>
                <w:bCs w:val="1"/>
                <w:color w:val="auto"/>
              </w:rPr>
              <w:t>% Of</w:t>
            </w:r>
          </w:p>
        </w:tc>
      </w:tr>
      <w:tr>
        <w:trPr>
          <w:trHeight w:val="188"/>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Net Sales</w:t>
            </w:r>
          </w:p>
        </w:tc>
        <w:tc>
          <w:tcPr>
            <w:tcW w:w="240" w:type="dxa"/>
            <w:vAlign w:val="bottom"/>
          </w:tcPr>
          <w:p>
            <w:pPr>
              <w:spacing w:after="0"/>
              <w:rPr>
                <w:sz w:val="16"/>
                <w:szCs w:val="16"/>
                <w:color w:val="auto"/>
              </w:rPr>
            </w:pPr>
          </w:p>
        </w:tc>
        <w:tc>
          <w:tcPr>
            <w:tcW w:w="1140" w:type="dxa"/>
            <w:vAlign w:val="bottom"/>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520" w:type="dxa"/>
            <w:vAlign w:val="bottom"/>
          </w:tcPr>
          <w:p>
            <w:pPr>
              <w:jc w:val="right"/>
              <w:ind w:right="392"/>
              <w:spacing w:after="0"/>
              <w:rPr>
                <w:sz w:val="20"/>
                <w:szCs w:val="20"/>
                <w:color w:val="auto"/>
              </w:rPr>
            </w:pPr>
            <w:r>
              <w:rPr>
                <w:rFonts w:ascii="Arial" w:cs="Arial" w:eastAsia="Arial" w:hAnsi="Arial"/>
                <w:sz w:val="14"/>
                <w:szCs w:val="14"/>
                <w:b w:val="1"/>
                <w:bCs w:val="1"/>
                <w:color w:val="auto"/>
              </w:rPr>
              <w:t>Net Sales</w:t>
            </w:r>
          </w:p>
        </w:tc>
      </w:tr>
      <w:tr>
        <w:trPr>
          <w:trHeight w:val="224"/>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1,828.8</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1,382.8</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1,158.9</w:t>
            </w:r>
          </w:p>
        </w:tc>
        <w:tc>
          <w:tcPr>
            <w:tcW w:w="10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829.2</w:t>
            </w:r>
          </w:p>
        </w:tc>
        <w:tc>
          <w:tcPr>
            <w:tcW w:w="12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60.0</w:t>
            </w: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r>
      <w:tr>
        <w:trPr>
          <w:trHeight w:val="223"/>
        </w:trPr>
        <w:tc>
          <w:tcPr>
            <w:tcW w:w="510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657.5</w:t>
            </w:r>
          </w:p>
        </w:tc>
        <w:tc>
          <w:tcPr>
            <w:tcW w:w="10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550.2</w:t>
            </w:r>
          </w:p>
        </w:tc>
        <w:tc>
          <w:tcPr>
            <w:tcW w:w="12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39.8</w:t>
            </w: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510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231.5</w:t>
            </w:r>
          </w:p>
        </w:tc>
        <w:tc>
          <w:tcPr>
            <w:tcW w:w="10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195.6</w:t>
            </w:r>
          </w:p>
        </w:tc>
        <w:tc>
          <w:tcPr>
            <w:tcW w:w="12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14.1</w:t>
            </w:r>
          </w:p>
        </w:tc>
      </w:tr>
      <w:tr>
        <w:trPr>
          <w:trHeight w:val="230"/>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restructuring and other</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tcPr>
          <w:p>
            <w:pPr>
              <w:ind w:left="36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23.2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25.6</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Equity in loss of unconsolidated affiliates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Other non-operating income, net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(0.2)</w:t>
            </w:r>
          </w:p>
        </w:tc>
      </w:tr>
      <w:tr>
        <w:trPr>
          <w:trHeight w:val="223"/>
        </w:trPr>
        <w:tc>
          <w:tcPr>
            <w:tcW w:w="51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22.1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24.1</w:t>
            </w: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from continuing operations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6.1</w:t>
            </w:r>
          </w:p>
        </w:tc>
      </w:tr>
      <w:tr>
        <w:trPr>
          <w:trHeight w:val="223"/>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18.1</w:t>
            </w:r>
          </w:p>
        </w:tc>
      </w:tr>
      <w:tr>
        <w:trPr>
          <w:trHeight w:val="230"/>
        </w:trPr>
        <w:tc>
          <w:tcPr>
            <w:tcW w:w="5100" w:type="dxa"/>
            <w:vAlign w:val="bottom"/>
          </w:tcPr>
          <w:p>
            <w:pPr>
              <w:ind w:left="360"/>
              <w:spacing w:after="0"/>
              <w:rPr>
                <w:sz w:val="20"/>
                <w:szCs w:val="20"/>
                <w:color w:val="auto"/>
              </w:rPr>
            </w:pPr>
            <w:r>
              <w:rPr>
                <w:rFonts w:ascii="Arial" w:cs="Arial" w:eastAsia="Arial" w:hAnsi="Arial"/>
                <w:sz w:val="18"/>
                <w:szCs w:val="18"/>
                <w:color w:val="auto"/>
              </w:rPr>
              <w:t>Income (loss) from discontinued operations, net of tax</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0.2</w:t>
            </w:r>
          </w:p>
        </w:tc>
      </w:tr>
      <w:tr>
        <w:trPr>
          <w:trHeight w:val="248"/>
        </w:trPr>
        <w:tc>
          <w:tcPr>
            <w:tcW w:w="5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9" w:name="page30"/>
    <w:bookmarkEnd w:id="29"/>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the components of earnings as a percentage of net sales for the six months ended April 3, 2021 and March 28, 2020: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28,</w:t>
            </w:r>
          </w:p>
        </w:tc>
        <w:tc>
          <w:tcPr>
            <w:tcW w:w="1360" w:type="dxa"/>
            <w:vAlign w:val="bottom"/>
          </w:tcPr>
          <w:p>
            <w:pPr>
              <w:jc w:val="right"/>
              <w:ind w:right="432"/>
              <w:spacing w:after="0"/>
              <w:rPr>
                <w:sz w:val="20"/>
                <w:szCs w:val="20"/>
                <w:color w:val="auto"/>
              </w:rPr>
            </w:pPr>
            <w:r>
              <w:rPr>
                <w:rFonts w:ascii="Arial" w:cs="Arial" w:eastAsia="Arial" w:hAnsi="Arial"/>
                <w:sz w:val="14"/>
                <w:szCs w:val="14"/>
                <w:b w:val="1"/>
                <w:bCs w:val="1"/>
                <w:color w:val="auto"/>
              </w:rPr>
              <w:t>% Of</w:t>
            </w:r>
          </w:p>
        </w:tc>
      </w:tr>
      <w:tr>
        <w:trPr>
          <w:trHeight w:val="188"/>
        </w:trPr>
        <w:tc>
          <w:tcPr>
            <w:tcW w:w="5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Net Sales</w:t>
            </w:r>
          </w:p>
        </w:tc>
        <w:tc>
          <w:tcPr>
            <w:tcW w:w="200" w:type="dxa"/>
            <w:vAlign w:val="bottom"/>
          </w:tcPr>
          <w:p>
            <w:pPr>
              <w:spacing w:after="0"/>
              <w:rPr>
                <w:sz w:val="16"/>
                <w:szCs w:val="16"/>
                <w:color w:val="auto"/>
              </w:rPr>
            </w:pPr>
          </w:p>
        </w:tc>
        <w:tc>
          <w:tcPr>
            <w:tcW w:w="1000" w:type="dxa"/>
            <w:vAlign w:val="bottom"/>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360" w:type="dxa"/>
            <w:vAlign w:val="bottom"/>
          </w:tcPr>
          <w:p>
            <w:pPr>
              <w:jc w:val="right"/>
              <w:ind w:right="312"/>
              <w:spacing w:after="0"/>
              <w:rPr>
                <w:sz w:val="20"/>
                <w:szCs w:val="20"/>
                <w:color w:val="auto"/>
              </w:rPr>
            </w:pPr>
            <w:r>
              <w:rPr>
                <w:rFonts w:ascii="Arial" w:cs="Arial" w:eastAsia="Arial" w:hAnsi="Arial"/>
                <w:sz w:val="14"/>
                <w:szCs w:val="14"/>
                <w:b w:val="1"/>
                <w:bCs w:val="1"/>
                <w:color w:val="auto"/>
              </w:rPr>
              <w:t>Net Sales</w:t>
            </w:r>
          </w:p>
        </w:tc>
      </w:tr>
      <w:tr>
        <w:trPr>
          <w:trHeight w:val="224"/>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2,577.4</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1,748.6</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1,707.7</w:t>
            </w:r>
          </w:p>
        </w:tc>
        <w:tc>
          <w:tcPr>
            <w:tcW w:w="12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1,140.6</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65.2</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r>
      <w:tr>
        <w:trPr>
          <w:trHeight w:val="223"/>
        </w:trPr>
        <w:tc>
          <w:tcPr>
            <w:tcW w:w="578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848.3</w:t>
            </w:r>
          </w:p>
        </w:tc>
        <w:tc>
          <w:tcPr>
            <w:tcW w:w="12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604.4</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34.6</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578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388.2</w:t>
            </w:r>
          </w:p>
        </w:tc>
        <w:tc>
          <w:tcPr>
            <w:tcW w:w="12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315.4</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18.0</w:t>
            </w:r>
          </w:p>
        </w:tc>
      </w:tr>
      <w:tr>
        <w:trPr>
          <w:trHeight w:val="229"/>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r>
      <w:tr>
        <w:trPr>
          <w:trHeight w:val="230"/>
        </w:trPr>
        <w:tc>
          <w:tcPr>
            <w:tcW w:w="5780" w:type="dxa"/>
            <w:vAlign w:val="bottom"/>
          </w:tcPr>
          <w:p>
            <w:pPr>
              <w:ind w:left="36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3"/>
        </w:trPr>
        <w:tc>
          <w:tcPr>
            <w:tcW w:w="57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17.8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16.6</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Equity in loss of unconsolidated affiliates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related to refinancing</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0.9</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2.4</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(0.3)</w:t>
            </w:r>
          </w:p>
        </w:tc>
      </w:tr>
      <w:tr>
        <w:trPr>
          <w:trHeight w:val="223"/>
        </w:trPr>
        <w:tc>
          <w:tcPr>
            <w:tcW w:w="5780" w:type="dxa"/>
            <w:vAlign w:val="bottom"/>
          </w:tcPr>
          <w:p>
            <w:pPr>
              <w:ind w:left="36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437.3</w:t>
            </w:r>
          </w:p>
        </w:tc>
        <w:tc>
          <w:tcPr>
            <w:tcW w:w="12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238.7</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13.7</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from continuing operations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3.4</w:t>
            </w:r>
          </w:p>
        </w:tc>
      </w:tr>
      <w:tr>
        <w:trPr>
          <w:trHeight w:val="223"/>
        </w:trPr>
        <w:tc>
          <w:tcPr>
            <w:tcW w:w="5780" w:type="dxa"/>
            <w:vAlign w:val="bottom"/>
          </w:tcPr>
          <w:p>
            <w:pPr>
              <w:ind w:left="36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336.2</w:t>
            </w:r>
          </w:p>
        </w:tc>
        <w:tc>
          <w:tcPr>
            <w:tcW w:w="12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178.5</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10.2</w:t>
            </w:r>
          </w:p>
        </w:tc>
      </w:tr>
      <w:tr>
        <w:trPr>
          <w:trHeight w:val="230"/>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discontinued operations, net of tax</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r>
      <w:tr>
        <w:trPr>
          <w:trHeight w:val="223"/>
        </w:trPr>
        <w:tc>
          <w:tcPr>
            <w:tcW w:w="57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335.3</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13.0 %</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1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10.4 %</w:t>
            </w:r>
          </w:p>
        </w:tc>
      </w:tr>
      <w:tr>
        <w:trPr>
          <w:trHeight w:val="21"/>
        </w:trPr>
        <w:tc>
          <w:tcPr>
            <w:tcW w:w="5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sum of the components may not equal due to rounding.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Net sales for the three months ended April 3, 2021 were $1,828.8, an increase of 32.3% from net sales of $1,382.8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28, 2020. Net sales for the six months ended April 3, 2021 were $2,577.4, an increase of 47.4% from net sales of $1,748.6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28, 2020. These changes in net sales were attributable to the following: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1860" w:type="dxa"/>
            <w:vAlign w:val="bottom"/>
          </w:tcPr>
          <w:p>
            <w:pPr>
              <w:jc w:val="center"/>
              <w:ind w:left="448"/>
              <w:spacing w:after="0"/>
              <w:rPr>
                <w:sz w:val="20"/>
                <w:szCs w:val="20"/>
                <w:color w:val="auto"/>
              </w:rPr>
            </w:pPr>
            <w:r>
              <w:rPr>
                <w:rFonts w:ascii="Arial" w:cs="Arial" w:eastAsia="Arial" w:hAnsi="Arial"/>
                <w:sz w:val="14"/>
                <w:szCs w:val="14"/>
                <w:b w:val="1"/>
                <w:bCs w:val="1"/>
                <w:color w:val="auto"/>
                <w:w w:val="93"/>
              </w:rPr>
              <w:t>Three Months Ended</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jc w:val="right"/>
              <w:ind w:right="556"/>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634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6"/>
              </w:rPr>
              <w:t>April 3, 2021</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April 3, 2021</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1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31.2 %</w:t>
            </w: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45.3 %</w:t>
            </w:r>
          </w:p>
        </w:tc>
      </w:tr>
      <w:tr>
        <w:trPr>
          <w:trHeight w:val="230"/>
        </w:trPr>
        <w:tc>
          <w:tcPr>
            <w:tcW w:w="8200" w:type="dxa"/>
            <w:vAlign w:val="bottom"/>
            <w:gridSpan w:val="2"/>
          </w:tcPr>
          <w:p>
            <w:pPr>
              <w:ind w:left="20"/>
              <w:spacing w:after="0"/>
              <w:rPr>
                <w:sz w:val="20"/>
                <w:szCs w:val="20"/>
                <w:color w:val="auto"/>
              </w:rPr>
            </w:pPr>
            <w:r>
              <w:rPr>
                <w:rFonts w:ascii="Arial" w:cs="Arial" w:eastAsia="Arial" w:hAnsi="Arial"/>
                <w:sz w:val="18"/>
                <w:szCs w:val="18"/>
                <w:color w:val="auto"/>
              </w:rPr>
              <w:t>Pricing</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400" w:type="dxa"/>
            <w:vAlign w:val="bottom"/>
          </w:tcPr>
          <w:p>
            <w:pPr>
              <w:jc w:val="right"/>
              <w:ind w:right="136"/>
              <w:spacing w:after="0"/>
              <w:rPr>
                <w:sz w:val="20"/>
                <w:szCs w:val="20"/>
                <w:color w:val="auto"/>
              </w:rPr>
            </w:pPr>
            <w:r>
              <w:rPr>
                <w:rFonts w:ascii="Arial" w:cs="Arial" w:eastAsia="Arial" w:hAnsi="Arial"/>
                <w:sz w:val="18"/>
                <w:szCs w:val="18"/>
                <w:color w:val="auto"/>
              </w:rPr>
              <w:t>1.5</w:t>
            </w:r>
          </w:p>
        </w:tc>
      </w:tr>
      <w:tr>
        <w:trPr>
          <w:trHeight w:val="230"/>
        </w:trPr>
        <w:tc>
          <w:tcPr>
            <w:tcW w:w="8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rates</w:t>
            </w:r>
          </w:p>
        </w:tc>
        <w:tc>
          <w:tcPr>
            <w:tcW w:w="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0.6</w:t>
            </w: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Change in net sales</w:t>
            </w:r>
          </w:p>
        </w:tc>
        <w:tc>
          <w:tcPr>
            <w:tcW w:w="18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32.3 %</w:t>
            </w:r>
          </w:p>
        </w:tc>
        <w:tc>
          <w:tcPr>
            <w:tcW w:w="120" w:type="dxa"/>
            <w:vAlign w:val="bottom"/>
          </w:tcPr>
          <w:p>
            <w:pPr>
              <w:spacing w:after="0"/>
              <w:rPr>
                <w:sz w:val="19"/>
                <w:szCs w:val="19"/>
                <w:color w:val="auto"/>
              </w:rPr>
            </w:pPr>
          </w:p>
        </w:tc>
        <w:tc>
          <w:tcPr>
            <w:tcW w:w="2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47.4 %</w:t>
            </w:r>
          </w:p>
        </w:tc>
      </w:tr>
      <w:tr>
        <w:trPr>
          <w:trHeight w:val="20"/>
        </w:trPr>
        <w:tc>
          <w:tcPr>
            <w:tcW w:w="63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increase in net sales for the three months ended April 3, 2021 as compared to the three months ended March 28, 2020 was primarily driven by:</w:t>
      </w:r>
    </w:p>
    <w:p>
      <w:pPr>
        <w:spacing w:after="0" w:line="140" w:lineRule="exact"/>
        <w:rPr>
          <w:sz w:val="20"/>
          <w:szCs w:val="20"/>
          <w:color w:val="auto"/>
        </w:rPr>
      </w:pPr>
    </w:p>
    <w:p>
      <w:pPr>
        <w:jc w:val="both"/>
        <w:ind w:left="980" w:hanging="324"/>
        <w:spacing w:after="0" w:line="275" w:lineRule="auto"/>
        <w:tabs>
          <w:tab w:leader="none" w:pos="976" w:val="left"/>
        </w:tabs>
        <w:numPr>
          <w:ilvl w:val="0"/>
          <w:numId w:val="8"/>
        </w:numPr>
        <w:rPr>
          <w:rFonts w:ascii="Arial" w:cs="Arial" w:eastAsia="Arial" w:hAnsi="Arial"/>
          <w:sz w:val="13"/>
          <w:szCs w:val="13"/>
          <w:color w:val="333333"/>
        </w:rPr>
      </w:pPr>
      <w:r>
        <w:rPr>
          <w:rFonts w:ascii="Arial" w:cs="Arial" w:eastAsia="Arial" w:hAnsi="Arial"/>
          <w:sz w:val="17"/>
          <w:szCs w:val="17"/>
          <w:color w:val="auto"/>
        </w:rPr>
        <w:t>increased sales volume due to increased consumer demand including impacts of the COVID-19 pandemic and driven by soils, fertilizer, grass seed, controls, plant food and direct to consumer products in our U.S. Consumer segment; lighting, nutrients, growing media, hardware and growing environments products in our Hawthorne segment; increased sales in our Other segment; and the impact of the fiscal calendar shift which caused our second quarter of fiscal 2021 to end six days later than our second quarter of fiscal 2020 with those six days falling within our peak selling season, resulting in an increase in net sales of approximately $122.5;</w:t>
      </w:r>
    </w:p>
    <w:p>
      <w:pPr>
        <w:spacing w:after="0" w:line="68" w:lineRule="exact"/>
        <w:rPr>
          <w:rFonts w:ascii="Arial" w:cs="Arial" w:eastAsia="Arial" w:hAnsi="Arial"/>
          <w:sz w:val="13"/>
          <w:szCs w:val="13"/>
          <w:color w:val="333333"/>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pricing in our Hawthorne and Other segments;</w:t>
      </w:r>
    </w:p>
    <w:p>
      <w:pPr>
        <w:spacing w:after="0" w:line="11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net sales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 and</w:t>
      </w:r>
    </w:p>
    <w:p>
      <w:pPr>
        <w:spacing w:after="0" w:line="64"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favorable impact of foreign exchange rates as a result of the weakening of the U.S. dollar relative to the euro and the Canadian dollar.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0" w:name="page31"/>
    <w:bookmarkEnd w:id="30"/>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increase in net sales for the six months ended April 3, 2021 as compared to the six months ended March 28, 2020 was primarily driven by:</w:t>
      </w:r>
    </w:p>
    <w:p>
      <w:pPr>
        <w:spacing w:after="0" w:line="129" w:lineRule="exact"/>
        <w:rPr>
          <w:sz w:val="20"/>
          <w:szCs w:val="20"/>
          <w:color w:val="auto"/>
        </w:rPr>
      </w:pPr>
    </w:p>
    <w:p>
      <w:pPr>
        <w:jc w:val="both"/>
        <w:ind w:left="980" w:hanging="324"/>
        <w:spacing w:after="0" w:line="255" w:lineRule="auto"/>
        <w:tabs>
          <w:tab w:leader="none" w:pos="976" w:val="left"/>
        </w:tabs>
        <w:numPr>
          <w:ilvl w:val="0"/>
          <w:numId w:val="9"/>
        </w:numPr>
        <w:rPr>
          <w:rFonts w:ascii="Arial" w:cs="Arial" w:eastAsia="Arial" w:hAnsi="Arial"/>
          <w:sz w:val="14"/>
          <w:szCs w:val="14"/>
          <w:color w:val="333333"/>
        </w:rPr>
      </w:pPr>
      <w:r>
        <w:rPr>
          <w:rFonts w:ascii="Arial" w:cs="Arial" w:eastAsia="Arial" w:hAnsi="Arial"/>
          <w:sz w:val="18"/>
          <w:szCs w:val="18"/>
          <w:color w:val="auto"/>
        </w:rPr>
        <w:t>increased sales volume due to increased consumer demand including impacts of the COVID-19 pandemic and driven by soils, fertilizer, grass seed, controls, plant food and direct to consumer products in our U.S. Consumer segment; lighting, nutrients, growing media, hardware and growing environments products in our Hawthorne segment; increased sales in our Other segment; and the impact of the fiscal calendar shift which caused our first quarter of fiscal 2021 to have five additional days and our second quarter of fiscal 2021 to end six days later than our second quarter of fiscal 2020 with those six days falling within our peak selling season, resulting in an increase in net sales of approximately $176.9;</w:t>
      </w:r>
    </w:p>
    <w:p>
      <w:pPr>
        <w:spacing w:after="0" w:line="84" w:lineRule="exact"/>
        <w:rPr>
          <w:rFonts w:ascii="Arial" w:cs="Arial" w:eastAsia="Arial" w:hAnsi="Arial"/>
          <w:sz w:val="14"/>
          <w:szCs w:val="14"/>
          <w:color w:val="333333"/>
        </w:rPr>
      </w:pPr>
    </w:p>
    <w:p>
      <w:pPr>
        <w:ind w:left="980" w:hanging="324"/>
        <w:spacing w:after="0"/>
        <w:tabs>
          <w:tab w:leader="none" w:pos="980" w:val="left"/>
        </w:tabs>
        <w:numPr>
          <w:ilvl w:val="0"/>
          <w:numId w:val="9"/>
        </w:numPr>
        <w:rPr>
          <w:rFonts w:ascii="Arial" w:cs="Arial" w:eastAsia="Arial" w:hAnsi="Arial"/>
          <w:sz w:val="14"/>
          <w:szCs w:val="14"/>
          <w:color w:val="auto"/>
        </w:rPr>
      </w:pPr>
      <w:r>
        <w:rPr>
          <w:rFonts w:ascii="Arial" w:cs="Arial" w:eastAsia="Arial" w:hAnsi="Arial"/>
          <w:sz w:val="18"/>
          <w:szCs w:val="18"/>
          <w:color w:val="auto"/>
        </w:rPr>
        <w:t>increased pricing in our Hawthorne and Other segments;</w:t>
      </w:r>
    </w:p>
    <w:p>
      <w:pPr>
        <w:spacing w:after="0" w:line="111" w:lineRule="exact"/>
        <w:rPr>
          <w:rFonts w:ascii="Arial" w:cs="Arial" w:eastAsia="Arial" w:hAnsi="Arial"/>
          <w:sz w:val="14"/>
          <w:szCs w:val="14"/>
          <w:color w:val="auto"/>
        </w:rPr>
      </w:pPr>
    </w:p>
    <w:p>
      <w:pPr>
        <w:ind w:left="980" w:hanging="324"/>
        <w:spacing w:after="0"/>
        <w:tabs>
          <w:tab w:leader="none" w:pos="980" w:val="left"/>
        </w:tabs>
        <w:numPr>
          <w:ilvl w:val="0"/>
          <w:numId w:val="9"/>
        </w:numPr>
        <w:rPr>
          <w:rFonts w:ascii="Arial" w:cs="Arial" w:eastAsia="Arial" w:hAnsi="Arial"/>
          <w:sz w:val="14"/>
          <w:szCs w:val="14"/>
          <w:color w:val="auto"/>
        </w:rPr>
      </w:pPr>
      <w:r>
        <w:rPr>
          <w:rFonts w:ascii="Arial" w:cs="Arial" w:eastAsia="Arial" w:hAnsi="Arial"/>
          <w:sz w:val="18"/>
          <w:szCs w:val="18"/>
          <w:color w:val="auto"/>
        </w:rPr>
        <w:t>increased net sales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 and</w:t>
      </w:r>
    </w:p>
    <w:p>
      <w:pPr>
        <w:spacing w:after="0" w:line="64" w:lineRule="exact"/>
        <w:rPr>
          <w:rFonts w:ascii="Arial" w:cs="Arial" w:eastAsia="Arial" w:hAnsi="Arial"/>
          <w:sz w:val="14"/>
          <w:szCs w:val="14"/>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favorable impact of foreign exchange rates as a result of the weakening of the U.S. dollar relative to the euro and the Canadian dollar.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major components of cost of sales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48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Six Months Ended</w:t>
            </w:r>
          </w:p>
        </w:tc>
      </w:tr>
      <w:tr>
        <w:trPr>
          <w:trHeight w:val="135"/>
        </w:trPr>
        <w:tc>
          <w:tcPr>
            <w:tcW w:w="56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April 3,</w:t>
            </w: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54"/>
              <w:spacing w:after="0" w:line="135" w:lineRule="exact"/>
              <w:rPr>
                <w:sz w:val="20"/>
                <w:szCs w:val="20"/>
                <w:color w:val="auto"/>
              </w:rPr>
            </w:pPr>
            <w:r>
              <w:rPr>
                <w:rFonts w:ascii="Arial" w:cs="Arial" w:eastAsia="Arial" w:hAnsi="Arial"/>
                <w:sz w:val="14"/>
                <w:szCs w:val="14"/>
                <w:b w:val="1"/>
                <w:bCs w:val="1"/>
                <w:color w:val="auto"/>
              </w:rPr>
              <w:t>March 28,</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April 3,</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54"/>
              <w:spacing w:after="0" w:line="135" w:lineRule="exact"/>
              <w:rPr>
                <w:sz w:val="20"/>
                <w:szCs w:val="20"/>
                <w:color w:val="auto"/>
              </w:rPr>
            </w:pPr>
            <w:r>
              <w:rPr>
                <w:rFonts w:ascii="Arial" w:cs="Arial" w:eastAsia="Arial" w:hAnsi="Arial"/>
                <w:sz w:val="14"/>
                <w:szCs w:val="14"/>
                <w:b w:val="1"/>
                <w:bCs w:val="1"/>
                <w:color w:val="auto"/>
              </w:rPr>
              <w:t>March 28,</w:t>
            </w:r>
          </w:p>
        </w:tc>
      </w:tr>
      <w:tr>
        <w:trPr>
          <w:trHeight w:val="188"/>
        </w:trPr>
        <w:tc>
          <w:tcPr>
            <w:tcW w:w="56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24"/>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653.8</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Manufacturing labor and overhead</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250.1</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and warehousing</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r>
      <w:tr>
        <w:trPr>
          <w:trHeight w:val="229"/>
        </w:trPr>
        <w:tc>
          <w:tcPr>
            <w:tcW w:w="56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1,140.6</w:t>
            </w:r>
          </w:p>
        </w:tc>
      </w:tr>
      <w:tr>
        <w:trPr>
          <w:trHeight w:val="229"/>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48"/>
        </w:trPr>
        <w:tc>
          <w:tcPr>
            <w:tcW w:w="5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1,144.2</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6"/>
                <w:szCs w:val="16"/>
                <w:color w:val="auto"/>
              </w:rPr>
            </w:pPr>
          </w:p>
        </w:tc>
        <w:tc>
          <w:tcPr>
            <w:tcW w:w="1960" w:type="dxa"/>
            <w:vAlign w:val="bottom"/>
          </w:tcPr>
          <w:p>
            <w:pPr>
              <w:jc w:val="right"/>
              <w:ind w:right="494"/>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6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April 3, 2021</w:t>
            </w:r>
          </w:p>
        </w:tc>
        <w:tc>
          <w:tcPr>
            <w:tcW w:w="340" w:type="dxa"/>
            <w:vAlign w:val="bottom"/>
          </w:tcPr>
          <w:p>
            <w:pPr>
              <w:spacing w:after="0"/>
              <w:rPr>
                <w:sz w:val="16"/>
                <w:szCs w:val="16"/>
                <w:color w:val="auto"/>
              </w:rPr>
            </w:pPr>
          </w:p>
        </w:tc>
        <w:tc>
          <w:tcPr>
            <w:tcW w:w="1960" w:type="dxa"/>
            <w:vAlign w:val="bottom"/>
          </w:tcPr>
          <w:p>
            <w:pPr>
              <w:jc w:val="right"/>
              <w:ind w:right="674"/>
              <w:spacing w:after="0"/>
              <w:rPr>
                <w:sz w:val="20"/>
                <w:szCs w:val="20"/>
                <w:color w:val="auto"/>
              </w:rPr>
            </w:pPr>
            <w:r>
              <w:rPr>
                <w:rFonts w:ascii="Arial" w:cs="Arial" w:eastAsia="Arial" w:hAnsi="Arial"/>
                <w:sz w:val="14"/>
                <w:szCs w:val="14"/>
                <w:b w:val="1"/>
                <w:bCs w:val="1"/>
                <w:color w:val="auto"/>
              </w:rPr>
              <w:t>April 3, 2021</w:t>
            </w:r>
          </w:p>
        </w:tc>
      </w:tr>
      <w:tr>
        <w:trPr>
          <w:trHeight w:val="229"/>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 product mix and other</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524.8</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Material cost changes</w:t>
            </w:r>
          </w:p>
        </w:tc>
        <w:tc>
          <w:tcPr>
            <w:tcW w:w="3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6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Costs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3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exchange rates</w:t>
            </w:r>
          </w:p>
        </w:tc>
        <w:tc>
          <w:tcPr>
            <w:tcW w:w="3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6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Impairment, restructuring and other</w:t>
            </w:r>
          </w:p>
        </w:tc>
        <w:tc>
          <w:tcPr>
            <w:tcW w:w="3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cost of sales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increase in cost of sales for the three months ended April 3, 2021 as compared to the three months ended March 28, 2020 was primarily driven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03"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4"/>
          <w:szCs w:val="14"/>
          <w:color w:val="auto"/>
        </w:rPr>
      </w:pPr>
      <w:r>
        <w:rPr>
          <w:rFonts w:ascii="Arial" w:cs="Arial" w:eastAsia="Arial" w:hAnsi="Arial"/>
          <w:sz w:val="18"/>
          <w:szCs w:val="18"/>
          <w:color w:val="auto"/>
        </w:rPr>
        <w:t>higher sales volume in our U.S. Consumer, Hawthorne and Other segments;</w:t>
      </w:r>
    </w:p>
    <w:p>
      <w:pPr>
        <w:spacing w:after="0" w:line="117" w:lineRule="exact"/>
        <w:rPr>
          <w:rFonts w:ascii="Arial" w:cs="Arial" w:eastAsia="Arial" w:hAnsi="Arial"/>
          <w:sz w:val="14"/>
          <w:szCs w:val="14"/>
          <w:color w:val="auto"/>
        </w:rPr>
      </w:pPr>
    </w:p>
    <w:p>
      <w:pPr>
        <w:ind w:left="980" w:hanging="324"/>
        <w:spacing w:after="0"/>
        <w:tabs>
          <w:tab w:leader="none" w:pos="980" w:val="left"/>
        </w:tabs>
        <w:numPr>
          <w:ilvl w:val="0"/>
          <w:numId w:val="10"/>
        </w:numPr>
        <w:rPr>
          <w:rFonts w:ascii="Arial" w:cs="Arial" w:eastAsia="Arial" w:hAnsi="Arial"/>
          <w:sz w:val="14"/>
          <w:szCs w:val="14"/>
          <w:color w:val="auto"/>
        </w:rPr>
      </w:pPr>
      <w:r>
        <w:rPr>
          <w:rFonts w:ascii="Arial" w:cs="Arial" w:eastAsia="Arial" w:hAnsi="Arial"/>
          <w:sz w:val="18"/>
          <w:szCs w:val="18"/>
          <w:color w:val="auto"/>
        </w:rPr>
        <w:t>higher material prices in our U.S. Consumer, Hawthorne and Other segments;</w:t>
      </w:r>
    </w:p>
    <w:p>
      <w:pPr>
        <w:spacing w:after="0" w:line="117" w:lineRule="exact"/>
        <w:rPr>
          <w:rFonts w:ascii="Arial" w:cs="Arial" w:eastAsia="Arial" w:hAnsi="Arial"/>
          <w:sz w:val="14"/>
          <w:szCs w:val="14"/>
          <w:color w:val="auto"/>
        </w:rPr>
      </w:pPr>
    </w:p>
    <w:p>
      <w:pPr>
        <w:ind w:left="980" w:hanging="324"/>
        <w:spacing w:after="0" w:line="277" w:lineRule="auto"/>
        <w:tabs>
          <w:tab w:leader="none" w:pos="976" w:val="left"/>
        </w:tabs>
        <w:numPr>
          <w:ilvl w:val="0"/>
          <w:numId w:val="10"/>
        </w:numPr>
        <w:rPr>
          <w:rFonts w:ascii="Arial" w:cs="Arial" w:eastAsia="Arial" w:hAnsi="Arial"/>
          <w:sz w:val="14"/>
          <w:szCs w:val="14"/>
          <w:color w:val="auto"/>
        </w:rPr>
      </w:pPr>
      <w:r>
        <w:rPr>
          <w:rFonts w:ascii="Arial" w:cs="Arial" w:eastAsia="Arial" w:hAnsi="Arial"/>
          <w:sz w:val="18"/>
          <w:szCs w:val="18"/>
          <w:color w:val="auto"/>
        </w:rPr>
        <w:t>higher transportation prices and warehousing costs included within “volume, product mix and other” in our U.S. Consumer and Hawthorne segments;</w:t>
      </w:r>
    </w:p>
    <w:p>
      <w:pPr>
        <w:spacing w:after="0" w:line="62" w:lineRule="exact"/>
        <w:rPr>
          <w:rFonts w:ascii="Arial" w:cs="Arial" w:eastAsia="Arial" w:hAnsi="Arial"/>
          <w:sz w:val="14"/>
          <w:szCs w:val="14"/>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unfavorable impact of foreign exchange rates as a result of the weakening of the U.S. dollar relative to the euro and the Canadian dollar;</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costs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 and</w:t>
      </w:r>
    </w:p>
    <w:p>
      <w:pPr>
        <w:spacing w:after="0" w:line="73" w:lineRule="exact"/>
        <w:rPr>
          <w:rFonts w:ascii="Arial" w:cs="Arial" w:eastAsia="Arial" w:hAnsi="Arial"/>
          <w:sz w:val="18"/>
          <w:szCs w:val="18"/>
          <w:color w:val="auto"/>
        </w:rPr>
      </w:pPr>
    </w:p>
    <w:p>
      <w:pPr>
        <w:ind w:left="960" w:hanging="304"/>
        <w:spacing w:after="0"/>
        <w:tabs>
          <w:tab w:leader="none" w:pos="960" w:val="left"/>
        </w:tabs>
        <w:numPr>
          <w:ilvl w:val="0"/>
          <w:numId w:val="10"/>
        </w:numPr>
        <w:rPr>
          <w:rFonts w:ascii="Arial" w:cs="Arial" w:eastAsia="Arial" w:hAnsi="Arial"/>
          <w:sz w:val="20"/>
          <w:szCs w:val="20"/>
          <w:color w:val="auto"/>
        </w:rPr>
      </w:pPr>
      <w:r>
        <w:rPr>
          <w:rFonts w:ascii="Arial" w:cs="Arial" w:eastAsia="Arial" w:hAnsi="Arial"/>
          <w:sz w:val="18"/>
          <w:szCs w:val="18"/>
          <w:color w:val="auto"/>
        </w:rPr>
        <w:t>an increase in impairment, restructuring and other charges as a result of costs associated with the COVID-19 pandemic.</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1" w:name="page32"/>
    <w:bookmarkEnd w:id="31"/>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increase in cost of sales for the six months ended April 3, 2021 as compared to the six months ended March 28, 2020 was primarily driven by:</w:t>
      </w:r>
    </w:p>
    <w:p>
      <w:pPr>
        <w:spacing w:after="0" w:line="14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sales volume in our U.S. Consumer, Hawthorne and Other segments;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4"/>
          <w:szCs w:val="14"/>
          <w:color w:val="auto"/>
        </w:rPr>
      </w:pPr>
      <w:r>
        <w:rPr>
          <w:rFonts w:ascii="Arial" w:cs="Arial" w:eastAsia="Arial" w:hAnsi="Arial"/>
          <w:sz w:val="18"/>
          <w:szCs w:val="18"/>
          <w:color w:val="auto"/>
        </w:rPr>
        <w:t>higher material prices in our U.S. Consumer, Hawthorne and Other segments;</w:t>
      </w:r>
    </w:p>
    <w:p>
      <w:pPr>
        <w:spacing w:after="0" w:line="117" w:lineRule="exact"/>
        <w:rPr>
          <w:rFonts w:ascii="Arial" w:cs="Arial" w:eastAsia="Arial" w:hAnsi="Arial"/>
          <w:sz w:val="14"/>
          <w:szCs w:val="14"/>
          <w:color w:val="auto"/>
        </w:rPr>
      </w:pPr>
    </w:p>
    <w:p>
      <w:pPr>
        <w:ind w:left="980" w:hanging="324"/>
        <w:spacing w:after="0" w:line="277" w:lineRule="auto"/>
        <w:tabs>
          <w:tab w:leader="none" w:pos="976" w:val="left"/>
        </w:tabs>
        <w:numPr>
          <w:ilvl w:val="0"/>
          <w:numId w:val="11"/>
        </w:numPr>
        <w:rPr>
          <w:rFonts w:ascii="Arial" w:cs="Arial" w:eastAsia="Arial" w:hAnsi="Arial"/>
          <w:sz w:val="14"/>
          <w:szCs w:val="14"/>
          <w:color w:val="auto"/>
        </w:rPr>
      </w:pPr>
      <w:r>
        <w:rPr>
          <w:rFonts w:ascii="Arial" w:cs="Arial" w:eastAsia="Arial" w:hAnsi="Arial"/>
          <w:sz w:val="18"/>
          <w:szCs w:val="18"/>
          <w:color w:val="auto"/>
        </w:rPr>
        <w:t>higher transportation prices and warehousing costs included within “volume, product mix and other” in our U.S. Consumer and Hawthorne segments;</w:t>
      </w:r>
    </w:p>
    <w:p>
      <w:pPr>
        <w:spacing w:after="0" w:line="62" w:lineRule="exact"/>
        <w:rPr>
          <w:rFonts w:ascii="Arial" w:cs="Arial" w:eastAsia="Arial" w:hAnsi="Arial"/>
          <w:sz w:val="14"/>
          <w:szCs w:val="14"/>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unfavorable impact of foreign exchange rates as a result of the weakening of the U.S. dollar relative to the euro and the Canadian dollar;</w:t>
      </w:r>
    </w:p>
    <w:p>
      <w:pPr>
        <w:spacing w:after="0" w:line="134"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costs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 and</w:t>
      </w:r>
    </w:p>
    <w:p>
      <w:pPr>
        <w:spacing w:after="0" w:line="78" w:lineRule="exact"/>
        <w:rPr>
          <w:rFonts w:ascii="Arial" w:cs="Arial" w:eastAsia="Arial" w:hAnsi="Arial"/>
          <w:sz w:val="18"/>
          <w:szCs w:val="18"/>
          <w:color w:val="auto"/>
        </w:rPr>
      </w:pPr>
    </w:p>
    <w:p>
      <w:pPr>
        <w:ind w:left="960" w:hanging="304"/>
        <w:spacing w:after="0"/>
        <w:tabs>
          <w:tab w:leader="none" w:pos="960" w:val="left"/>
        </w:tabs>
        <w:numPr>
          <w:ilvl w:val="0"/>
          <w:numId w:val="11"/>
        </w:numPr>
        <w:rPr>
          <w:rFonts w:ascii="Arial" w:cs="Arial" w:eastAsia="Arial" w:hAnsi="Arial"/>
          <w:sz w:val="20"/>
          <w:szCs w:val="20"/>
          <w:color w:val="auto"/>
        </w:rPr>
      </w:pPr>
      <w:r>
        <w:rPr>
          <w:rFonts w:ascii="Arial" w:cs="Arial" w:eastAsia="Arial" w:hAnsi="Arial"/>
          <w:sz w:val="18"/>
          <w:szCs w:val="18"/>
          <w:color w:val="auto"/>
        </w:rPr>
        <w:t>an increase in impairment, restructuring and other charges as a result of costs associated with the COVID-19 pandemic.</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As a percentage of net sales, our gross profit rate was 36.0% and 39.8% for the three months ended April 3, 2021 and March 28, 2020, respectively. As a percentage of net sales, our gross profit rate was 32.9% and 34.6% for the six months ended April 3, 2021 and March 28, 2020, respectively. Factors contributing to the change in gross profit rate are outlined in the following table: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2500" w:type="dxa"/>
            <w:vAlign w:val="bottom"/>
            <w:gridSpan w:val="2"/>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2380" w:type="dxa"/>
            <w:vAlign w:val="bottom"/>
          </w:tcPr>
          <w:p>
            <w:pPr>
              <w:ind w:left="620"/>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6360" w:type="dxa"/>
            <w:vAlign w:val="bottom"/>
          </w:tcPr>
          <w:p>
            <w:pPr>
              <w:spacing w:after="0"/>
              <w:rPr>
                <w:sz w:val="16"/>
                <w:szCs w:val="16"/>
                <w:color w:val="auto"/>
              </w:rPr>
            </w:pPr>
          </w:p>
        </w:tc>
        <w:tc>
          <w:tcPr>
            <w:tcW w:w="2500" w:type="dxa"/>
            <w:vAlign w:val="bottom"/>
            <w:gridSpan w:val="2"/>
          </w:tcPr>
          <w:p>
            <w:pPr>
              <w:ind w:left="800"/>
              <w:spacing w:after="0"/>
              <w:rPr>
                <w:sz w:val="20"/>
                <w:szCs w:val="20"/>
                <w:color w:val="auto"/>
              </w:rPr>
            </w:pPr>
            <w:r>
              <w:rPr>
                <w:rFonts w:ascii="Arial" w:cs="Arial" w:eastAsia="Arial" w:hAnsi="Arial"/>
                <w:sz w:val="14"/>
                <w:szCs w:val="14"/>
                <w:b w:val="1"/>
                <w:bCs w:val="1"/>
                <w:color w:val="auto"/>
              </w:rPr>
              <w:t>April 3, 2021</w:t>
            </w:r>
          </w:p>
        </w:tc>
        <w:tc>
          <w:tcPr>
            <w:tcW w:w="2380" w:type="dxa"/>
            <w:vAlign w:val="bottom"/>
          </w:tcPr>
          <w:p>
            <w:pPr>
              <w:ind w:left="780"/>
              <w:spacing w:after="0"/>
              <w:rPr>
                <w:sz w:val="20"/>
                <w:szCs w:val="20"/>
                <w:color w:val="auto"/>
              </w:rPr>
            </w:pPr>
            <w:r>
              <w:rPr>
                <w:rFonts w:ascii="Arial" w:cs="Arial" w:eastAsia="Arial" w:hAnsi="Arial"/>
                <w:sz w:val="14"/>
                <w:szCs w:val="14"/>
                <w:b w:val="1"/>
                <w:bCs w:val="1"/>
                <w:color w:val="auto"/>
              </w:rPr>
              <w:t>April 3, 2021</w:t>
            </w: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Material costs</w:t>
            </w:r>
          </w:p>
        </w:tc>
        <w:tc>
          <w:tcPr>
            <w:tcW w:w="2380" w:type="dxa"/>
            <w:vAlign w:val="bottom"/>
            <w:tcBorders>
              <w:top w:val="single" w:sz="8" w:color="auto"/>
            </w:tcBorders>
            <w:shd w:val="clear" w:color="auto" w:fill="CCEEFF"/>
          </w:tcPr>
          <w:p>
            <w:pPr>
              <w:ind w:left="1860"/>
              <w:spacing w:after="0"/>
              <w:rPr>
                <w:sz w:val="20"/>
                <w:szCs w:val="20"/>
                <w:color w:val="auto"/>
              </w:rPr>
            </w:pPr>
            <w:r>
              <w:rPr>
                <w:rFonts w:ascii="Arial" w:cs="Arial" w:eastAsia="Arial" w:hAnsi="Arial"/>
                <w:sz w:val="18"/>
                <w:szCs w:val="18"/>
                <w:color w:val="auto"/>
                <w:w w:val="94"/>
              </w:rPr>
              <w:t>(0.8)%</w:t>
            </w:r>
          </w:p>
        </w:tc>
        <w:tc>
          <w:tcPr>
            <w:tcW w:w="12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ind w:left="1860"/>
              <w:spacing w:after="0"/>
              <w:rPr>
                <w:sz w:val="20"/>
                <w:szCs w:val="20"/>
                <w:color w:val="auto"/>
              </w:rPr>
            </w:pPr>
            <w:r>
              <w:rPr>
                <w:rFonts w:ascii="Arial" w:cs="Arial" w:eastAsia="Arial" w:hAnsi="Arial"/>
                <w:sz w:val="18"/>
                <w:szCs w:val="18"/>
                <w:color w:val="auto"/>
                <w:w w:val="94"/>
              </w:rPr>
              <w:t>(0.9)%</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Volume, product mix and other</w:t>
            </w:r>
          </w:p>
        </w:tc>
        <w:tc>
          <w:tcPr>
            <w:tcW w:w="2380" w:type="dxa"/>
            <w:vAlign w:val="bottom"/>
          </w:tcPr>
          <w:p>
            <w:pPr>
              <w:ind w:left="186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380" w:type="dxa"/>
            <w:vAlign w:val="bottom"/>
          </w:tcPr>
          <w:p>
            <w:pPr>
              <w:ind w:left="1860"/>
              <w:spacing w:after="0"/>
              <w:rPr>
                <w:sz w:val="20"/>
                <w:szCs w:val="20"/>
                <w:color w:val="auto"/>
              </w:rPr>
            </w:pPr>
            <w:r>
              <w:rPr>
                <w:rFonts w:ascii="Arial" w:cs="Arial" w:eastAsia="Arial" w:hAnsi="Arial"/>
                <w:sz w:val="18"/>
                <w:szCs w:val="18"/>
                <w:color w:val="auto"/>
              </w:rPr>
              <w:t>(0.9)</w:t>
            </w: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commissions and reimbursements</w:t>
            </w:r>
          </w:p>
        </w:tc>
        <w:tc>
          <w:tcPr>
            <w:tcW w:w="238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0.1</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Pricing</w:t>
            </w:r>
          </w:p>
        </w:tc>
        <w:tc>
          <w:tcPr>
            <w:tcW w:w="238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38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0.6</w:t>
            </w:r>
          </w:p>
        </w:tc>
      </w:tr>
      <w:tr>
        <w:trPr>
          <w:trHeight w:val="223"/>
        </w:trPr>
        <w:tc>
          <w:tcPr>
            <w:tcW w:w="6360" w:type="dxa"/>
            <w:vAlign w:val="bottom"/>
            <w:shd w:val="clear" w:color="auto" w:fill="CCEEFF"/>
          </w:tcPr>
          <w:p>
            <w:pPr>
              <w:spacing w:after="0"/>
              <w:rPr>
                <w:sz w:val="19"/>
                <w:szCs w:val="19"/>
                <w:color w:val="auto"/>
              </w:rPr>
            </w:pPr>
          </w:p>
        </w:tc>
        <w:tc>
          <w:tcPr>
            <w:tcW w:w="2380" w:type="dxa"/>
            <w:vAlign w:val="bottom"/>
            <w:shd w:val="clear" w:color="auto" w:fill="CCEEFF"/>
          </w:tcPr>
          <w:p>
            <w:pPr>
              <w:ind w:left="1860"/>
              <w:spacing w:after="0"/>
              <w:rPr>
                <w:sz w:val="20"/>
                <w:szCs w:val="20"/>
                <w:color w:val="auto"/>
              </w:rPr>
            </w:pPr>
            <w:r>
              <w:rPr>
                <w:rFonts w:ascii="Arial" w:cs="Arial" w:eastAsia="Arial" w:hAnsi="Arial"/>
                <w:sz w:val="18"/>
                <w:szCs w:val="18"/>
                <w:color w:val="auto"/>
                <w:w w:val="94"/>
              </w:rPr>
              <w:t>(3.4)%</w:t>
            </w: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ind w:left="1860"/>
              <w:spacing w:after="0"/>
              <w:rPr>
                <w:sz w:val="20"/>
                <w:szCs w:val="20"/>
                <w:color w:val="auto"/>
              </w:rPr>
            </w:pPr>
            <w:r>
              <w:rPr>
                <w:rFonts w:ascii="Arial" w:cs="Arial" w:eastAsia="Arial" w:hAnsi="Arial"/>
                <w:sz w:val="18"/>
                <w:szCs w:val="18"/>
                <w:color w:val="auto"/>
                <w:w w:val="94"/>
              </w:rPr>
              <w:t>(1.1)%</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Impairment, restructuring and other</w:t>
            </w:r>
          </w:p>
        </w:tc>
        <w:tc>
          <w:tcPr>
            <w:tcW w:w="238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38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rPr>
              <w:t>(0.6)</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gross profit rate</w:t>
            </w:r>
          </w:p>
        </w:tc>
        <w:tc>
          <w:tcPr>
            <w:tcW w:w="2380" w:type="dxa"/>
            <w:vAlign w:val="bottom"/>
            <w:tcBorders>
              <w:bottom w:val="single" w:sz="8" w:color="auto"/>
            </w:tcBorders>
            <w:shd w:val="clear" w:color="auto" w:fill="CCEEFF"/>
          </w:tcPr>
          <w:p>
            <w:pPr>
              <w:ind w:left="1860"/>
              <w:spacing w:after="0"/>
              <w:rPr>
                <w:sz w:val="20"/>
                <w:szCs w:val="20"/>
                <w:color w:val="auto"/>
              </w:rPr>
            </w:pPr>
            <w:r>
              <w:rPr>
                <w:rFonts w:ascii="Arial" w:cs="Arial" w:eastAsia="Arial" w:hAnsi="Arial"/>
                <w:sz w:val="18"/>
                <w:szCs w:val="18"/>
                <w:color w:val="auto"/>
                <w:w w:val="94"/>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auto"/>
            </w:tcBorders>
            <w:shd w:val="clear" w:color="auto" w:fill="CCEEFF"/>
          </w:tcPr>
          <w:p>
            <w:pPr>
              <w:ind w:left="1860"/>
              <w:spacing w:after="0"/>
              <w:rPr>
                <w:sz w:val="20"/>
                <w:szCs w:val="20"/>
                <w:color w:val="auto"/>
              </w:rPr>
            </w:pPr>
            <w:r>
              <w:rPr>
                <w:rFonts w:ascii="Arial" w:cs="Arial" w:eastAsia="Arial" w:hAnsi="Arial"/>
                <w:sz w:val="18"/>
                <w:szCs w:val="18"/>
                <w:color w:val="auto"/>
                <w:w w:val="94"/>
              </w:rPr>
              <w:t>(1.7)%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decrease in gross profit rate for the three months ended April 3, 2021 as compared to the three months ended March 28, 2020 was primarily driven by:</w:t>
      </w:r>
    </w:p>
    <w:p>
      <w:pPr>
        <w:spacing w:after="0" w:line="62" w:lineRule="exact"/>
        <w:rPr>
          <w:sz w:val="20"/>
          <w:szCs w:val="20"/>
          <w:color w:val="auto"/>
        </w:rPr>
      </w:pPr>
    </w:p>
    <w:p>
      <w:pPr>
        <w:ind w:left="980" w:hanging="324"/>
        <w:spacing w:after="0" w:line="277" w:lineRule="auto"/>
        <w:tabs>
          <w:tab w:leader="none" w:pos="976" w:val="left"/>
        </w:tabs>
        <w:numPr>
          <w:ilvl w:val="0"/>
          <w:numId w:val="12"/>
        </w:numPr>
        <w:rPr>
          <w:rFonts w:ascii="Arial" w:cs="Arial" w:eastAsia="Arial" w:hAnsi="Arial"/>
          <w:sz w:val="14"/>
          <w:szCs w:val="14"/>
          <w:color w:val="auto"/>
        </w:rPr>
      </w:pPr>
      <w:r>
        <w:rPr>
          <w:rFonts w:ascii="Arial" w:cs="Arial" w:eastAsia="Arial" w:hAnsi="Arial"/>
          <w:sz w:val="18"/>
          <w:szCs w:val="18"/>
          <w:color w:val="auto"/>
        </w:rPr>
        <w:t>higher transportation prices and warehousing costs included within “volume, product mix and other” in our U.S. Consumer and Hawthorne segments;</w:t>
      </w:r>
    </w:p>
    <w:p>
      <w:pPr>
        <w:spacing w:after="0" w:line="62" w:lineRule="exact"/>
        <w:rPr>
          <w:rFonts w:ascii="Arial" w:cs="Arial" w:eastAsia="Arial" w:hAnsi="Arial"/>
          <w:sz w:val="14"/>
          <w:szCs w:val="14"/>
          <w:color w:val="auto"/>
        </w:rPr>
      </w:pPr>
    </w:p>
    <w:p>
      <w:pPr>
        <w:ind w:left="980" w:hanging="324"/>
        <w:spacing w:after="0"/>
        <w:tabs>
          <w:tab w:leader="none" w:pos="980" w:val="left"/>
        </w:tabs>
        <w:numPr>
          <w:ilvl w:val="0"/>
          <w:numId w:val="12"/>
        </w:numPr>
        <w:rPr>
          <w:rFonts w:ascii="Arial" w:cs="Arial" w:eastAsia="Arial" w:hAnsi="Arial"/>
          <w:sz w:val="14"/>
          <w:szCs w:val="14"/>
          <w:color w:val="auto"/>
        </w:rPr>
      </w:pPr>
      <w:r>
        <w:rPr>
          <w:rFonts w:ascii="Arial" w:cs="Arial" w:eastAsia="Arial" w:hAnsi="Arial"/>
          <w:sz w:val="18"/>
          <w:szCs w:val="18"/>
          <w:color w:val="auto"/>
        </w:rPr>
        <w:t>higher material prices in our U.S. Consumer, Hawthorne and Other segments;</w:t>
      </w:r>
    </w:p>
    <w:p>
      <w:pPr>
        <w:spacing w:after="0" w:line="117" w:lineRule="exact"/>
        <w:rPr>
          <w:rFonts w:ascii="Arial" w:cs="Arial" w:eastAsia="Arial" w:hAnsi="Arial"/>
          <w:sz w:val="14"/>
          <w:szCs w:val="14"/>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unfavorable mix driven by higher sales growth in our Hawthorne segment relative to our U.S. Consumer segment;</w:t>
      </w:r>
    </w:p>
    <w:p>
      <w:pPr>
        <w:spacing w:after="0" w:line="11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costs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 and</w:t>
      </w:r>
    </w:p>
    <w:p>
      <w:pPr>
        <w:spacing w:after="0" w:line="78" w:lineRule="exact"/>
        <w:rPr>
          <w:rFonts w:ascii="Arial" w:cs="Arial" w:eastAsia="Arial" w:hAnsi="Arial"/>
          <w:sz w:val="18"/>
          <w:szCs w:val="18"/>
          <w:color w:val="auto"/>
        </w:rPr>
      </w:pPr>
    </w:p>
    <w:p>
      <w:pPr>
        <w:ind w:left="960" w:hanging="304"/>
        <w:spacing w:after="0"/>
        <w:tabs>
          <w:tab w:leader="none" w:pos="960" w:val="left"/>
        </w:tabs>
        <w:numPr>
          <w:ilvl w:val="0"/>
          <w:numId w:val="12"/>
        </w:numPr>
        <w:rPr>
          <w:rFonts w:ascii="Arial" w:cs="Arial" w:eastAsia="Arial" w:hAnsi="Arial"/>
          <w:sz w:val="20"/>
          <w:szCs w:val="20"/>
          <w:color w:val="auto"/>
        </w:rPr>
      </w:pPr>
      <w:r>
        <w:rPr>
          <w:rFonts w:ascii="Arial" w:cs="Arial" w:eastAsia="Arial" w:hAnsi="Arial"/>
          <w:sz w:val="18"/>
          <w:szCs w:val="18"/>
          <w:color w:val="auto"/>
        </w:rPr>
        <w:t>an increase in impairment, restructuring and other charges as a result of costs associated with the COVID-19 pandemic;</w:t>
      </w:r>
    </w:p>
    <w:p>
      <w:pPr>
        <w:spacing w:after="0" w:line="94" w:lineRule="exact"/>
        <w:rPr>
          <w:rFonts w:ascii="Arial" w:cs="Arial" w:eastAsia="Arial" w:hAnsi="Arial"/>
          <w:sz w:val="20"/>
          <w:szCs w:val="20"/>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partially offset by favorable leverage of fixed costs driven by higher sales volume in our U.S. Consumer, Hawthorne and Other segments; and</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pricing in our Hawthorne and Other segments.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decrease in gross profit rate for the six months ended April 3, 2021 as compared to the six months ended March 28, 2020 was primarily driven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03" w:lineRule="exact"/>
        <w:rPr>
          <w:sz w:val="20"/>
          <w:szCs w:val="20"/>
          <w:color w:val="auto"/>
        </w:rPr>
      </w:pPr>
    </w:p>
    <w:p>
      <w:pPr>
        <w:ind w:left="980" w:hanging="324"/>
        <w:spacing w:after="0" w:line="277" w:lineRule="auto"/>
        <w:tabs>
          <w:tab w:leader="none" w:pos="976" w:val="left"/>
        </w:tabs>
        <w:numPr>
          <w:ilvl w:val="0"/>
          <w:numId w:val="13"/>
        </w:numPr>
        <w:rPr>
          <w:rFonts w:ascii="Arial" w:cs="Arial" w:eastAsia="Arial" w:hAnsi="Arial"/>
          <w:sz w:val="14"/>
          <w:szCs w:val="14"/>
          <w:color w:val="auto"/>
        </w:rPr>
      </w:pPr>
      <w:r>
        <w:rPr>
          <w:rFonts w:ascii="Arial" w:cs="Arial" w:eastAsia="Arial" w:hAnsi="Arial"/>
          <w:sz w:val="18"/>
          <w:szCs w:val="18"/>
          <w:color w:val="auto"/>
        </w:rPr>
        <w:t>higher transportation prices and warehousing costs included within “volume, product mix and other” in our U.S. Consumer and Hawthorne segments;</w:t>
      </w:r>
    </w:p>
    <w:p>
      <w:pPr>
        <w:spacing w:after="0" w:line="62" w:lineRule="exact"/>
        <w:rPr>
          <w:rFonts w:ascii="Arial" w:cs="Arial" w:eastAsia="Arial" w:hAnsi="Arial"/>
          <w:sz w:val="14"/>
          <w:szCs w:val="14"/>
          <w:color w:val="auto"/>
        </w:rPr>
      </w:pPr>
    </w:p>
    <w:p>
      <w:pPr>
        <w:ind w:left="980" w:hanging="324"/>
        <w:spacing w:after="0"/>
        <w:tabs>
          <w:tab w:leader="none" w:pos="980" w:val="left"/>
        </w:tabs>
        <w:numPr>
          <w:ilvl w:val="0"/>
          <w:numId w:val="13"/>
        </w:numPr>
        <w:rPr>
          <w:rFonts w:ascii="Arial" w:cs="Arial" w:eastAsia="Arial" w:hAnsi="Arial"/>
          <w:sz w:val="14"/>
          <w:szCs w:val="14"/>
          <w:color w:val="auto"/>
        </w:rPr>
      </w:pPr>
      <w:r>
        <w:rPr>
          <w:rFonts w:ascii="Arial" w:cs="Arial" w:eastAsia="Arial" w:hAnsi="Arial"/>
          <w:sz w:val="18"/>
          <w:szCs w:val="18"/>
          <w:color w:val="auto"/>
        </w:rPr>
        <w:t>higher material prices in our U.S. Consumer, Hawthorne and Other segments;</w:t>
      </w:r>
    </w:p>
    <w:p>
      <w:pPr>
        <w:spacing w:after="0" w:line="117" w:lineRule="exact"/>
        <w:rPr>
          <w:rFonts w:ascii="Arial" w:cs="Arial" w:eastAsia="Arial" w:hAnsi="Arial"/>
          <w:sz w:val="14"/>
          <w:szCs w:val="14"/>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unfavorable mix driven by higher sales growth in our Hawthorne segment relative to our U.S. Consumer segment;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2" w:name="page33"/>
    <w:bookmarkEnd w:id="32"/>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60" w:hanging="304"/>
        <w:spacing w:after="0"/>
        <w:tabs>
          <w:tab w:leader="none" w:pos="960" w:val="left"/>
        </w:tabs>
        <w:numPr>
          <w:ilvl w:val="0"/>
          <w:numId w:val="14"/>
        </w:numPr>
        <w:rPr>
          <w:rFonts w:ascii="Arial" w:cs="Arial" w:eastAsia="Arial" w:hAnsi="Arial"/>
          <w:sz w:val="20"/>
          <w:szCs w:val="20"/>
          <w:color w:val="auto"/>
        </w:rPr>
      </w:pPr>
      <w:r>
        <w:rPr>
          <w:rFonts w:ascii="Arial" w:cs="Arial" w:eastAsia="Arial" w:hAnsi="Arial"/>
          <w:sz w:val="18"/>
          <w:szCs w:val="18"/>
          <w:color w:val="auto"/>
        </w:rPr>
        <w:t>an increase in impairment, restructuring and other charges as a result of costs associated with the COVID-19 pandemic;</w:t>
      </w:r>
    </w:p>
    <w:p>
      <w:pPr>
        <w:spacing w:after="0" w:line="94" w:lineRule="exact"/>
        <w:rPr>
          <w:rFonts w:ascii="Arial" w:cs="Arial" w:eastAsia="Arial" w:hAnsi="Arial"/>
          <w:sz w:val="20"/>
          <w:szCs w:val="20"/>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partially offset by favorable leverage of fixed costs driven by higher sales volume in our U.S. Consumer, Hawthorne and Other segments;</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pricing in our Hawthorne and Other segments; and</w:t>
      </w:r>
    </w:p>
    <w:p>
      <w:pPr>
        <w:spacing w:after="0" w:line="11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net sales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components of selling, general and administrative expenses (“SG&amp;A”)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48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Six Months Ended</w:t>
            </w:r>
          </w:p>
        </w:tc>
      </w:tr>
      <w:tr>
        <w:trPr>
          <w:trHeight w:val="135"/>
        </w:trPr>
        <w:tc>
          <w:tcPr>
            <w:tcW w:w="56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April 3,</w:t>
            </w: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55"/>
              <w:spacing w:after="0" w:line="135" w:lineRule="exact"/>
              <w:rPr>
                <w:sz w:val="20"/>
                <w:szCs w:val="20"/>
                <w:color w:val="auto"/>
              </w:rPr>
            </w:pPr>
            <w:r>
              <w:rPr>
                <w:rFonts w:ascii="Arial" w:cs="Arial" w:eastAsia="Arial" w:hAnsi="Arial"/>
                <w:sz w:val="14"/>
                <w:szCs w:val="14"/>
                <w:b w:val="1"/>
                <w:bCs w:val="1"/>
                <w:color w:val="auto"/>
              </w:rPr>
              <w:t>March 28,</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April 3,</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55"/>
              <w:spacing w:after="0" w:line="135" w:lineRule="exact"/>
              <w:rPr>
                <w:sz w:val="20"/>
                <w:szCs w:val="20"/>
                <w:color w:val="auto"/>
              </w:rPr>
            </w:pPr>
            <w:r>
              <w:rPr>
                <w:rFonts w:ascii="Arial" w:cs="Arial" w:eastAsia="Arial" w:hAnsi="Arial"/>
                <w:sz w:val="14"/>
                <w:szCs w:val="14"/>
                <w:b w:val="1"/>
                <w:bCs w:val="1"/>
                <w:color w:val="auto"/>
              </w:rPr>
              <w:t>March 28,</w:t>
            </w:r>
          </w:p>
        </w:tc>
      </w:tr>
      <w:tr>
        <w:trPr>
          <w:trHeight w:val="188"/>
        </w:trPr>
        <w:tc>
          <w:tcPr>
            <w:tcW w:w="56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selling, 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r>
      <w:tr>
        <w:trPr>
          <w:trHeight w:val="223"/>
        </w:trPr>
        <w:tc>
          <w:tcPr>
            <w:tcW w:w="56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w:t>
            </w:r>
          </w:p>
        </w:tc>
      </w:tr>
      <w:tr>
        <w:trPr>
          <w:trHeight w:val="21"/>
        </w:trPr>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SG&amp;A increased $35.9, or 18.4%, during the three months ended April 3, 2021 compared to the three months ended March 28, 2020. Advertising expense increased $12.8, or 22.9%, during the three months ended April 3, 2021 driven by increased media spending in our U.S. Consumer and Hawthorne segments and the timing of our media spending. Share-based compensation expense increased $5.7, or 47.5%, during the three months ended April 3, 2021 due to an increase in the expected payout percentage on long-term performance-based awards and a higher annual grant value. Other SG&amp;A increased $17.4, or 15.8%, during the three months ended April 3, 2021 driven by increases in short-term variable cash incentive compensation expense and investments in information technology.</w:t>
      </w:r>
    </w:p>
    <w:p>
      <w:pPr>
        <w:spacing w:after="0" w:line="1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SG&amp;A increased $72.8, or 23.1%, during the six months ended April 3, 2021 compared to the six months ended March 28, 2020. Advertising expense increased $28.7, or 43.0%, during the six months ended April 3, 2021 driven by increased media spending in our U.S. Consumer and Hawthorne segments and the timing of our media spending. Share-based compensation expense increased $6.8, or 35.8%, during the six months ended April 3, 2021 due to an increase in the expected payout percentage on long-term performance-based awards and a higher annual grant value. Other SG&amp;A increased $36.5, or 18.7%, during the six months ended April 3, 2021 driven by higher short-term variable cash incentive compensation expense and investments in information technology.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3" w:name="page34"/>
    <w:bookmarkEnd w:id="33"/>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144"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“Impairment, restructuring and other” and “Income (loss) from discontinued operations, net of tax” lines in the Condensed Consolidated Statements of Operations. The following table details impairment, restructuring and other charges (recoveries) for each of the periods presented: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840" w:type="dxa"/>
            <w:vAlign w:val="bottom"/>
            <w:gridSpan w:val="6"/>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480" w:type="dxa"/>
            <w:vAlign w:val="bottom"/>
            <w:gridSpan w:val="4"/>
          </w:tcPr>
          <w:p>
            <w:pPr>
              <w:ind w:lef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5660" w:type="dxa"/>
            <w:vAlign w:val="bottom"/>
          </w:tcPr>
          <w:p>
            <w:pPr>
              <w:spacing w:after="0"/>
              <w:rPr>
                <w:sz w:val="11"/>
                <w:szCs w:val="11"/>
                <w:color w:val="auto"/>
              </w:rPr>
            </w:pPr>
          </w:p>
        </w:tc>
        <w:tc>
          <w:tcPr>
            <w:tcW w:w="9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April 3,</w:t>
            </w: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34"/>
              <w:spacing w:after="0" w:line="135" w:lineRule="exact"/>
              <w:rPr>
                <w:sz w:val="20"/>
                <w:szCs w:val="20"/>
                <w:color w:val="auto"/>
              </w:rPr>
            </w:pPr>
            <w:r>
              <w:rPr>
                <w:rFonts w:ascii="Arial" w:cs="Arial" w:eastAsia="Arial" w:hAnsi="Arial"/>
                <w:sz w:val="14"/>
                <w:szCs w:val="14"/>
                <w:b w:val="1"/>
                <w:bCs w:val="1"/>
                <w:color w:val="auto"/>
                <w:w w:val="99"/>
              </w:rPr>
              <w:t>March 28,</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April 3,</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34"/>
              <w:spacing w:after="0" w:line="135" w:lineRule="exact"/>
              <w:rPr>
                <w:sz w:val="20"/>
                <w:szCs w:val="20"/>
                <w:color w:val="auto"/>
              </w:rPr>
            </w:pPr>
            <w:r>
              <w:rPr>
                <w:rFonts w:ascii="Arial" w:cs="Arial" w:eastAsia="Arial" w:hAnsi="Arial"/>
                <w:sz w:val="14"/>
                <w:szCs w:val="14"/>
                <w:b w:val="1"/>
                <w:bCs w:val="1"/>
                <w:color w:val="auto"/>
                <w:w w:val="99"/>
              </w:rPr>
              <w:t>March 28,</w:t>
            </w:r>
          </w:p>
        </w:tc>
        <w:tc>
          <w:tcPr>
            <w:tcW w:w="0" w:type="dxa"/>
            <w:vAlign w:val="bottom"/>
          </w:tcPr>
          <w:p>
            <w:pPr>
              <w:spacing w:after="0"/>
              <w:rPr>
                <w:sz w:val="1"/>
                <w:szCs w:val="1"/>
                <w:color w:val="auto"/>
              </w:rPr>
            </w:pPr>
          </w:p>
        </w:tc>
      </w:tr>
      <w:tr>
        <w:trPr>
          <w:trHeight w:val="188"/>
        </w:trPr>
        <w:tc>
          <w:tcPr>
            <w:tcW w:w="56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COVID-19 related costs</w:t>
            </w:r>
          </w:p>
        </w:tc>
        <w:tc>
          <w:tcPr>
            <w:tcW w:w="920" w:type="dxa"/>
            <w:vAlign w:val="bottom"/>
          </w:tcPr>
          <w:p>
            <w:pPr>
              <w:jc w:val="right"/>
              <w:ind w:right="721"/>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12.3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634"/>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center"/>
              <w:ind w:left="634"/>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87"/>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87"/>
              </w:rPr>
              <w:t>0.5</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COVID-19 related costs</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87"/>
              </w:rPr>
              <w:t>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87"/>
              </w:rPr>
              <w:t>0.7</w:t>
            </w:r>
          </w:p>
        </w:tc>
        <w:tc>
          <w:tcPr>
            <w:tcW w:w="0" w:type="dxa"/>
            <w:vAlign w:val="bottom"/>
          </w:tcPr>
          <w:p>
            <w:pPr>
              <w:spacing w:after="0"/>
              <w:rPr>
                <w:sz w:val="1"/>
                <w:szCs w:val="1"/>
                <w:color w:val="auto"/>
              </w:rPr>
            </w:pPr>
          </w:p>
        </w:tc>
      </w:tr>
      <w:tr>
        <w:trPr>
          <w:trHeight w:val="229"/>
        </w:trPr>
        <w:tc>
          <w:tcPr>
            <w:tcW w:w="5660" w:type="dxa"/>
            <w:vAlign w:val="bottom"/>
          </w:tcPr>
          <w:p>
            <w:pPr>
              <w:ind w:left="220"/>
              <w:spacing w:after="0"/>
              <w:rPr>
                <w:sz w:val="20"/>
                <w:szCs w:val="20"/>
                <w:color w:val="auto"/>
              </w:rPr>
            </w:pPr>
            <w:r>
              <w:rPr>
                <w:rFonts w:ascii="Arial" w:cs="Arial" w:eastAsia="Arial" w:hAnsi="Arial"/>
                <w:sz w:val="18"/>
                <w:szCs w:val="18"/>
                <w:color w:val="auto"/>
              </w:rPr>
              <w:t>Restructuring and other charges (recoveries), net</w:t>
            </w: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center"/>
              <w:ind w:left="594"/>
              <w:spacing w:after="0"/>
              <w:rPr>
                <w:sz w:val="20"/>
                <w:szCs w:val="20"/>
                <w:color w:val="auto"/>
              </w:rPr>
            </w:pPr>
            <w:r>
              <w:rPr>
                <w:rFonts w:ascii="Arial" w:cs="Arial" w:eastAsia="Arial" w:hAnsi="Arial"/>
                <w:sz w:val="18"/>
                <w:szCs w:val="18"/>
                <w:color w:val="auto"/>
                <w:w w:val="91"/>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center"/>
              <w:ind w:left="614"/>
              <w:spacing w:after="0"/>
              <w:rPr>
                <w:sz w:val="20"/>
                <w:szCs w:val="20"/>
                <w:color w:val="auto"/>
              </w:rPr>
            </w:pPr>
            <w:r>
              <w:rPr>
                <w:rFonts w:ascii="Arial" w:cs="Arial" w:eastAsia="Arial" w:hAnsi="Arial"/>
                <w:sz w:val="18"/>
                <w:szCs w:val="18"/>
                <w:color w:val="auto"/>
                <w:w w:val="97"/>
              </w:rPr>
              <w:t>(2.9)</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Impairment, restructuring and other charges from continuing operations</w:t>
            </w:r>
          </w:p>
        </w:tc>
        <w:tc>
          <w:tcPr>
            <w:tcW w:w="9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87"/>
              </w:rPr>
              <w:t>3.7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87"/>
              </w:rPr>
              <w:t>1.4</w:t>
            </w:r>
          </w:p>
        </w:tc>
        <w:tc>
          <w:tcPr>
            <w:tcW w:w="0" w:type="dxa"/>
            <w:vAlign w:val="bottom"/>
          </w:tcPr>
          <w:p>
            <w:pPr>
              <w:spacing w:after="0"/>
              <w:rPr>
                <w:sz w:val="1"/>
                <w:szCs w:val="1"/>
                <w:color w:val="auto"/>
              </w:rPr>
            </w:pPr>
          </w:p>
        </w:tc>
      </w:tr>
      <w:tr>
        <w:trPr>
          <w:trHeight w:val="175"/>
        </w:trPr>
        <w:tc>
          <w:tcPr>
            <w:tcW w:w="5660" w:type="dxa"/>
            <w:vAlign w:val="bottom"/>
          </w:tcPr>
          <w:p>
            <w:pPr>
              <w:ind w:left="20"/>
              <w:spacing w:after="0" w:line="176" w:lineRule="exact"/>
              <w:rPr>
                <w:sz w:val="20"/>
                <w:szCs w:val="20"/>
                <w:color w:val="auto"/>
              </w:rPr>
            </w:pPr>
            <w:r>
              <w:rPr>
                <w:rFonts w:ascii="Arial" w:cs="Arial" w:eastAsia="Arial" w:hAnsi="Arial"/>
                <w:sz w:val="18"/>
                <w:szCs w:val="18"/>
                <w:color w:val="auto"/>
              </w:rPr>
              <w:t>Restructuring and other charges (recoveries), net, from discontinued</w:t>
            </w:r>
          </w:p>
        </w:tc>
        <w:tc>
          <w:tcPr>
            <w:tcW w:w="920" w:type="dxa"/>
            <w:vAlign w:val="bottom"/>
          </w:tcPr>
          <w:p>
            <w:pPr>
              <w:spacing w:after="0"/>
              <w:rPr>
                <w:sz w:val="15"/>
                <w:szCs w:val="15"/>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100" w:type="dxa"/>
            <w:vAlign w:val="bottom"/>
            <w:vMerge w:val="restart"/>
          </w:tcPr>
          <w:p>
            <w:pPr>
              <w:jc w:val="center"/>
              <w:ind w:left="594"/>
              <w:spacing w:after="0"/>
              <w:rPr>
                <w:sz w:val="20"/>
                <w:szCs w:val="20"/>
                <w:color w:val="auto"/>
              </w:rPr>
            </w:pPr>
            <w:r>
              <w:rPr>
                <w:rFonts w:ascii="Arial" w:cs="Arial" w:eastAsia="Arial" w:hAnsi="Arial"/>
                <w:sz w:val="18"/>
                <w:szCs w:val="18"/>
                <w:color w:val="auto"/>
                <w:w w:val="91"/>
              </w:rPr>
              <w:t>(3.1)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100" w:type="dxa"/>
            <w:vAlign w:val="bottom"/>
            <w:vMerge w:val="restart"/>
          </w:tcPr>
          <w:p>
            <w:pPr>
              <w:jc w:val="center"/>
              <w:ind w:left="614"/>
              <w:spacing w:after="0"/>
              <w:rPr>
                <w:sz w:val="20"/>
                <w:szCs w:val="20"/>
                <w:color w:val="auto"/>
              </w:rPr>
            </w:pPr>
            <w:r>
              <w:rPr>
                <w:rFonts w:ascii="Arial" w:cs="Arial" w:eastAsia="Arial" w:hAnsi="Arial"/>
                <w:sz w:val="18"/>
                <w:szCs w:val="18"/>
                <w:color w:val="auto"/>
                <w:w w:val="97"/>
              </w:rPr>
              <w:t>(3.1)</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operations</w:t>
            </w:r>
          </w:p>
        </w:tc>
        <w:tc>
          <w:tcPr>
            <w:tcW w:w="9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impairment, restructuring and other charges (recoveries)</w:t>
            </w:r>
          </w:p>
        </w:tc>
        <w:tc>
          <w:tcPr>
            <w:tcW w:w="920" w:type="dxa"/>
            <w:vAlign w:val="bottom"/>
            <w:tcBorders>
              <w:top w:val="single" w:sz="8" w:color="auto"/>
              <w:bottom w:val="single" w:sz="8" w:color="auto"/>
            </w:tcBorders>
            <w:shd w:val="clear" w:color="auto" w:fill="CCEEFF"/>
          </w:tcPr>
          <w:p>
            <w:pPr>
              <w:jc w:val="right"/>
              <w:ind w:right="72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87"/>
              </w:rPr>
              <w:t>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center"/>
              <w:ind w:left="614"/>
              <w:spacing w:after="0"/>
              <w:rPr>
                <w:sz w:val="20"/>
                <w:szCs w:val="20"/>
                <w:color w:val="auto"/>
              </w:rPr>
            </w:pPr>
            <w:r>
              <w:rPr>
                <w:rFonts w:ascii="Arial" w:cs="Arial" w:eastAsia="Arial" w:hAnsi="Arial"/>
                <w:sz w:val="18"/>
                <w:szCs w:val="18"/>
                <w:color w:val="auto"/>
                <w:w w:val="97"/>
              </w:rPr>
              <w:t>(1.7)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COVID-19</w:t>
      </w:r>
    </w:p>
    <w:p>
      <w:pPr>
        <w:spacing w:after="0" w:line="15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response to the COVID-19 pandemic, we have implemented additional measures intended to both protect the health and safety of our employees and maintain our ability to provide products to our customers as described in additional detail above under “COVID-19 Response and Impacts.” During the three and six months ended April 3, 2021, we incurred costs of $14.9 and $24.2, respectively, associated with the COVID-19 pandemic primarily related to premium pay. We incurred costs of $10.7 and $19.0 in our U.S. Consumer segment, $1.5 and $1.9 in our Hawthorne segment and $0.1 in our Other segment in the “Cost of sales—impairment, restructuring and other” line in the Condensed Consolidated Statements of Operations during the three and six months ended April 3, 2021, respectively. We incurred costs of $2.6 and $3.2 in our U.S. Consumer segment in the “Impairment, restructuring and other” line in the Condensed Consolidated Statements of Operations during the three and six months ended April 3, 2021, respectively. Since the inception of the COVID-19 pandemic, total costs classified within the “Cost of sales—impairment, restructuring and other” and the “Impairment, restructuring and other” lines in the Condensed Consolidated Statements of Operations are $38.4 for our U.S. Consumer segment, $4.5 for our Hawthorne segment and $0.7 for our Other segment.</w:t>
      </w:r>
    </w:p>
    <w:p>
      <w:pPr>
        <w:spacing w:after="0" w:line="10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three and six months ended March 28, 2020, we incurred costs of $3.8 associated with the COVID-19 pandemic primarily related to premium pay and incremental cleaning costs. We incurred costs of $2.6 in our U.S. Consumer segment and $0.5 in our Hawthorne segment in the “Cost of sales—impairment, restructuring and other” line in the Condensed Consolidated Statements of Operations during the three and six months ended March 28, 2020. We incurred costs of $0.7 in our U.S. Consumer segment in the “Impairment, restructuring and other” line in the Condensed Consolidated Statements of Operations during the three and six months ended March 28, 2020.</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Project Catalyst</w:t>
      </w:r>
    </w:p>
    <w:p>
      <w:pPr>
        <w:spacing w:after="0" w:line="15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connection with the acquisition of Sunlight Supply during the third quarter of fiscal 2018, we announced the launch of an initiative called Project Catalyst, which is a company-wide restructuring effort to reduce operating costs throughout our U.S. Consumer, Hawthorne and Other segments and drive synergies from acquisitions within our Hawthorne segment. Costs incurred during the three and six months ended April 3, 2021 and March 28, 2020 related to Project Catalyst were not material. Costs incurred to date since the inception of Project Catalyst are $25.1 for the Hawthorne segment, $14.0 for our U.S. Consumer segment, $1.3 for our Other segment and $2.8 for Corporate. Additionally, during the three and six months ended March 28, 2020, we received zero and $2.6, respectively, from the final settlement of escrow funds related to a previous acquisition within the Hawthorne segment that was recognized in the “Impairment, restructuring and other” line in the Condensed Consolidated Statements of Operations.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4" w:name="page35"/>
    <w:bookmarkEnd w:id="34"/>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Other (income) expense is comprised of activities outside our normal business operations, such as royalty income from the licensing of certain of our brand names, foreign exchange transaction gains and losses and gains and losses from the disposition of non-inventory assets. Other (income) expense was $(0.6) and $0.6 for the three months ended April 3, 2021 and March 28, 2020, respectively; and was $(1.2) and $0.1 for the six months ended April 3, 2021 and March 28, 2020, respectively. The change for the three and six months ended April 3, 2021 was primarily due to foreign exchange transaction gains and losses.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Income from operations was $424.1 for the three months ended April 3, 2021, an increase of 19.9% compared to $353.7 for the three months ended March 28, 2020; and was $458.1 for the six months ended April 3, 2021, an increase of 57.4% compared to $291.1 for the six months ended March 28, 2020. For the three and six months ended April 3, 2021, the increase was driven by higher net sales, partially offset by a decrease in gross profit rate, higher SG&amp;A and higher impairment, restructuring and other charges.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Loss of Unconsolidated Affiliates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acquired a 50% equity interest in Bonnie Plants, LLC on December 31, 2020. Our interest is accounted for using the equity method of accounting, with our proportionate share of Bonnie Plants, LLC earnings subsequent to December 31, 2020 reflected in the Condensed Consolidated Statements of Operations. Equity in loss of Bonnie Plants, LLC was $1.5 for the three and six months ended April 3,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Related to Refinancing</w:t>
      </w:r>
    </w:p>
    <w:p>
      <w:pPr>
        <w:spacing w:after="0" w:line="14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Costs related to refinancing were zero and $15.1 for the three and six months ended March 28, 2020, respectively. These costs were associated with the redemption of our 6.000% Senior Notes due 2023 (the “6.000% Senior Notes”), and are comprised of $12.0 of redemption premium and $3.1 of unamortized bond issuance costs that were written off. Refer to “NOTE 7. DEBT” of the Notes to the Condensed Consolidated Financial Statements (Unaudited) included in this Quarterly Report on Form 10-Q for more information regarding the redemption of the 6.000% Senior Notes.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Interest expense was $19.3 for the three months ended April 3, 2021, a decrease of 15.0% compared to $22.7 for the three months ended March 28, 2020. The decrease was driven by a decrease in our weighted average interest rate of 95 basis points, partially offset by an increase in average borrowings of $226.9. The decrease in our weighted average interest rate was primarily driven by lower borrowing rates on the Fifth A&amp;R Credit Agreement and the issuance of the 4.000% Senior Notes due 2031 (the “4.000% Senior Notes”). The increase in average borrowings was primarily driven by higher inventory production and acquisition activity.</w:t>
      </w:r>
    </w:p>
    <w:p>
      <w:pPr>
        <w:spacing w:after="0" w:line="10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Interest expense was $35.4 for the six months ended April 3, 2021, a decrease of 17.1% compared to $42.7 for the six months ended March 28, 2020. The decrease was driven by a decrease our weighted average interest rate of 85 basis points, partially offset by an increase in average borrowings of $67.9. The decrease in our weighted average interest rate was driven by lower borrowing rates on the Fifth A&amp;R Credit Agreement. The increase in average borrowings was primarily driven by higher inventory production and acquisition activity.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Non-Operating Income, net</w:t>
      </w:r>
    </w:p>
    <w:p>
      <w:pPr>
        <w:spacing w:after="0" w:line="1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non-operating income was $0.9 and $2.8 for the three months ended April 3, 2021 and March 28, 2020, respectively, and was $16.1 and $5.4 for the six months ended April 3, 2021 and March 28, 2020, respectively.</w:t>
      </w:r>
    </w:p>
    <w:p>
      <w:pPr>
        <w:spacing w:after="0" w:line="89"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On December 31, 2020, we acquired a 50% equity interest in Bonnie Plants, LLC in exchange for a cash payment of $100.7, forgiveness of our outstanding loan receivable with AFC and surrender of our options to increase our economic interest in the Bonnie Plants business. Our loan receivable with AFC, which was previously recognized in the “Other assets” line in the Condensed Consolidated Balance Sheets, had a carrying value of $66.4 on December 31, 2020 and we recognized a gain of $12.5 during the three months ended January 2, 2021 to write-up the value of the loan to its closing date fair value of $78.9 in the “Other non-operating income, net” line in the Condensed Consolidated Statements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from Continuing Operations</w:t>
      </w:r>
    </w:p>
    <w:p>
      <w:pPr>
        <w:spacing w:after="0" w:line="15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effective tax rates related to continuing operations for the six months ended April 3, 2021 and March 28, 2020 were 23.1% and 25.2%, respectively. The effective tax rate used for interim purposes is based on our best estimate of factors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5" w:name="page36"/>
    <w:bookmarkEnd w:id="35"/>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 that the effective tax rate estimated for interim financial reporting purposes will approximate the effective tax rate determined at fiscal year end.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Income from continuing operations was $311.1, or $5.44 per diluted share, for the three months ended April 3, 2021 compared to $249.8, or $4.43 per diluted share, for the three months ended March 28, 2020. The increase was driven by higher net sales and lower interest expense, partially offset by a decrease in gross profit rate, higher SG&amp;A, higher impairment, restructuring and other charges, higher equity in loss of unconsolidated affiliates, lower other non-operating income and higher income tax expense.</w:t>
      </w:r>
    </w:p>
    <w:p>
      <w:pPr>
        <w:spacing w:after="0" w:line="119"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Diluted average common shares used in the diluted income per common share calculation for the three months ended April 3, 2021 were 57.1 million, which included dilutive potential Common Shares of 1.4 million. Diluted average common shares used in the diluted income per common share calculation for the three months ended March 28, 2020 were 56.4 million, which included dilutive potential Common Shares of 0.7 million. The increase was primarily the result of the exercise and issuance of share-based compensation awards, partially offset by Common Share repurchase activity.</w:t>
      </w:r>
    </w:p>
    <w:p>
      <w:pPr>
        <w:spacing w:after="0" w:line="7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Income from continuing operations was $336.2, or $5.88 per diluted share, for the six months ended April 3, 2021 compared to $178.5, or $3.15 per diluted share, for the six months ended March 28, 2020. The increase was driven by higher net sales, lower costs related to refinancing, lower interest expense and higher other non-operating income, partially offset by a decrease in gross profit rate, higher SG&amp;A, higher impairment, restructuring and other charges, higher equity in loss of unconsolidated affiliates and higher income tax expense.</w:t>
      </w:r>
    </w:p>
    <w:p>
      <w:pPr>
        <w:spacing w:after="0" w:line="119"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Diluted average common shares used in the diluted income per common share calculation for the six months ended April 3, 2021 were 57.0 million, which included dilutive potential Common Shares of 1.3 million. Diluted average common shares used in the diluted income per common share calculation for the six months ended March 28, 2020 were 56.6 million, which included dilutive potential Common Shares of 0.9 million. The increase was primarily the result of the exercise and issuance of share-based compensation awards, partially offset by Common Share repurchase activity.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months ended January 2, 2021, we changed our internal organization structure such that AeroGrow is now managed by and reported within our U.S. Consumer segment. Within our U.S. Consumer segment, AeroGrow is integrated into our overall direct to consumer focus and strategy. AeroGrow was previously managed by and reported within our Hawthorne segment. The prior period amounts have been reclassified to conform to the new organization structure.</w:t>
      </w:r>
    </w:p>
    <w:p>
      <w:pPr>
        <w:spacing w:after="0" w:line="1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performance of each reportable segment is evaluated based on several factors, including income (loss) from continuing operations before income taxes, amortization, impairment, restructuring and other charges (“Segment Profit (Loss)”), which is a non-GAAP financial measure. Senior management uses Segment Profit (Loss) to evaluate segment performance because they believe this measure is indicative of performance trends and the overall earnings potential of each segment.</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net sales by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480" w:type="dxa"/>
            <w:vAlign w:val="bottom"/>
            <w:gridSpan w:val="4"/>
          </w:tcPr>
          <w:p>
            <w:pPr>
              <w:jc w:val="right"/>
              <w:ind w:right="716"/>
              <w:spacing w:after="0"/>
              <w:rPr>
                <w:sz w:val="20"/>
                <w:szCs w:val="20"/>
                <w:color w:val="auto"/>
              </w:rPr>
            </w:pPr>
            <w:r>
              <w:rPr>
                <w:rFonts w:ascii="Arial" w:cs="Arial" w:eastAsia="Arial" w:hAnsi="Arial"/>
                <w:sz w:val="14"/>
                <w:szCs w:val="14"/>
                <w:b w:val="1"/>
                <w:bCs w:val="1"/>
                <w:color w:val="auto"/>
              </w:rPr>
              <w:t>Six Months Ended</w:t>
            </w:r>
          </w:p>
        </w:tc>
      </w:tr>
      <w:tr>
        <w:trPr>
          <w:trHeight w:val="135"/>
        </w:trPr>
        <w:tc>
          <w:tcPr>
            <w:tcW w:w="34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April 3,</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56"/>
              <w:spacing w:after="0" w:line="135" w:lineRule="exact"/>
              <w:rPr>
                <w:sz w:val="20"/>
                <w:szCs w:val="20"/>
                <w:color w:val="auto"/>
              </w:rPr>
            </w:pPr>
            <w:r>
              <w:rPr>
                <w:rFonts w:ascii="Arial" w:cs="Arial" w:eastAsia="Arial" w:hAnsi="Arial"/>
                <w:sz w:val="14"/>
                <w:szCs w:val="14"/>
                <w:b w:val="1"/>
                <w:bCs w:val="1"/>
                <w:color w:val="auto"/>
              </w:rPr>
              <w:t>March 28,</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April 3,</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56"/>
              <w:spacing w:after="0" w:line="135" w:lineRule="exact"/>
              <w:rPr>
                <w:sz w:val="20"/>
                <w:szCs w:val="20"/>
                <w:color w:val="auto"/>
              </w:rPr>
            </w:pPr>
            <w:r>
              <w:rPr>
                <w:rFonts w:ascii="Arial" w:cs="Arial" w:eastAsia="Arial" w:hAnsi="Arial"/>
                <w:sz w:val="14"/>
                <w:szCs w:val="14"/>
                <w:b w:val="1"/>
                <w:bCs w:val="1"/>
                <w:color w:val="auto"/>
              </w:rPr>
              <w:t>March 28,</w:t>
            </w:r>
          </w:p>
        </w:tc>
      </w:tr>
      <w:tr>
        <w:trPr>
          <w:trHeight w:val="188"/>
        </w:trPr>
        <w:tc>
          <w:tcPr>
            <w:tcW w:w="3480" w:type="dxa"/>
            <w:vAlign w:val="bottom"/>
            <w:tcBorders>
              <w:bottom w:val="single" w:sz="8" w:color="CCEEFF"/>
            </w:tcBorders>
          </w:tcPr>
          <w:p>
            <w:pPr>
              <w:spacing w:after="0"/>
              <w:rPr>
                <w:sz w:val="16"/>
                <w:szCs w:val="16"/>
                <w:color w:val="auto"/>
              </w:rPr>
            </w:pPr>
          </w:p>
        </w:tc>
        <w:tc>
          <w:tcPr>
            <w:tcW w:w="2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r>
      <w:tr>
        <w:trPr>
          <w:trHeight w:val="224"/>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2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1,278.6</w:t>
            </w: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Hawthorne</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400.3</w:t>
            </w: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23"/>
        </w:trPr>
        <w:tc>
          <w:tcPr>
            <w:tcW w:w="3480" w:type="dxa"/>
            <w:vAlign w:val="bottom"/>
          </w:tcPr>
          <w:p>
            <w:pPr>
              <w:ind w:left="480"/>
              <w:spacing w:after="0"/>
              <w:rPr>
                <w:sz w:val="20"/>
                <w:szCs w:val="20"/>
                <w:color w:val="auto"/>
              </w:rPr>
            </w:pPr>
            <w:r>
              <w:rPr>
                <w:rFonts w:ascii="Arial" w:cs="Arial" w:eastAsia="Arial" w:hAnsi="Arial"/>
                <w:sz w:val="18"/>
                <w:szCs w:val="18"/>
                <w:color w:val="auto"/>
              </w:rPr>
              <w:t>Consolidated</w:t>
            </w:r>
          </w:p>
        </w:tc>
        <w:tc>
          <w:tcPr>
            <w:tcW w:w="21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1,748.6</w:t>
            </w:r>
          </w:p>
        </w:tc>
      </w:tr>
      <w:tr>
        <w:trPr>
          <w:trHeight w:val="20"/>
        </w:trPr>
        <w:tc>
          <w:tcPr>
            <w:tcW w:w="3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71"/>
        </w:trPr>
        <w:tc>
          <w:tcPr>
            <w:tcW w:w="3480" w:type="dxa"/>
            <w:vAlign w:val="bottom"/>
          </w:tcPr>
          <w:p>
            <w:pPr>
              <w:spacing w:after="0"/>
              <w:rPr>
                <w:sz w:val="24"/>
                <w:szCs w:val="24"/>
                <w:color w:val="auto"/>
              </w:rPr>
            </w:pPr>
          </w:p>
        </w:tc>
        <w:tc>
          <w:tcPr>
            <w:tcW w:w="2420" w:type="dxa"/>
            <w:vAlign w:val="bottom"/>
            <w:gridSpan w:val="2"/>
          </w:tcPr>
          <w:p>
            <w:pPr>
              <w:jc w:val="right"/>
              <w:ind w:right="90"/>
              <w:spacing w:after="0"/>
              <w:rPr>
                <w:sz w:val="20"/>
                <w:szCs w:val="20"/>
                <w:color w:val="auto"/>
              </w:rPr>
            </w:pPr>
            <w:r>
              <w:rPr>
                <w:rFonts w:ascii="Arial" w:cs="Arial" w:eastAsia="Arial" w:hAnsi="Arial"/>
                <w:sz w:val="18"/>
                <w:szCs w:val="18"/>
                <w:color w:val="auto"/>
              </w:rPr>
              <w:t>36</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6" w:name="page37"/>
    <w:bookmarkEnd w:id="36"/>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8"/>
          <w:szCs w:val="18"/>
          <w:color w:val="auto"/>
        </w:rPr>
        <w:t>The following table sets forth Segment Profit (Loss) as well as a reconciliation to income from continuing operations before income taxes, the most directly comparable GAAP measure:</w:t>
      </w: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48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Six Months Ended</w:t>
            </w:r>
          </w:p>
        </w:tc>
      </w:tr>
      <w:tr>
        <w:trPr>
          <w:trHeight w:val="134"/>
        </w:trPr>
        <w:tc>
          <w:tcPr>
            <w:tcW w:w="56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April 3,</w:t>
            </w: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53"/>
              <w:spacing w:after="0" w:line="135" w:lineRule="exact"/>
              <w:rPr>
                <w:sz w:val="20"/>
                <w:szCs w:val="20"/>
                <w:color w:val="auto"/>
              </w:rPr>
            </w:pPr>
            <w:r>
              <w:rPr>
                <w:rFonts w:ascii="Arial" w:cs="Arial" w:eastAsia="Arial" w:hAnsi="Arial"/>
                <w:sz w:val="14"/>
                <w:szCs w:val="14"/>
                <w:b w:val="1"/>
                <w:bCs w:val="1"/>
                <w:color w:val="auto"/>
              </w:rPr>
              <w:t>March 28,</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April 3,</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53"/>
              <w:spacing w:after="0" w:line="135" w:lineRule="exact"/>
              <w:rPr>
                <w:sz w:val="20"/>
                <w:szCs w:val="20"/>
                <w:color w:val="auto"/>
              </w:rPr>
            </w:pPr>
            <w:r>
              <w:rPr>
                <w:rFonts w:ascii="Arial" w:cs="Arial" w:eastAsia="Arial" w:hAnsi="Arial"/>
                <w:sz w:val="14"/>
                <w:szCs w:val="14"/>
                <w:b w:val="1"/>
                <w:bCs w:val="1"/>
                <w:color w:val="auto"/>
              </w:rPr>
              <w:t>March 28,</w:t>
            </w:r>
          </w:p>
        </w:tc>
      </w:tr>
      <w:tr>
        <w:trPr>
          <w:trHeight w:val="188"/>
        </w:trPr>
        <w:tc>
          <w:tcPr>
            <w:tcW w:w="56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Hawthorne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5660" w:type="dxa"/>
            <w:vAlign w:val="bottom"/>
          </w:tcPr>
          <w:p>
            <w:pPr>
              <w:ind w:left="480"/>
              <w:spacing w:after="0"/>
              <w:rPr>
                <w:sz w:val="20"/>
                <w:szCs w:val="20"/>
                <w:color w:val="auto"/>
              </w:rPr>
            </w:pPr>
            <w:r>
              <w:rPr>
                <w:rFonts w:ascii="Arial" w:cs="Arial" w:eastAsia="Arial" w:hAnsi="Arial"/>
                <w:sz w:val="18"/>
                <w:szCs w:val="18"/>
                <w:color w:val="auto"/>
              </w:rPr>
              <w:t>Total Segment Profit (Non-GAAP)</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371.3</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Equity in loss of unconsolidated affiliates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related to refinancing</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5660" w:type="dxa"/>
            <w:vAlign w:val="bottom"/>
          </w:tcPr>
          <w:p>
            <w:pPr>
              <w:ind w:left="480"/>
              <w:spacing w:after="0"/>
              <w:rPr>
                <w:sz w:val="20"/>
                <w:szCs w:val="20"/>
                <w:color w:val="auto"/>
              </w:rPr>
            </w:pPr>
            <w:r>
              <w:rPr>
                <w:rFonts w:ascii="Arial" w:cs="Arial" w:eastAsia="Arial" w:hAnsi="Arial"/>
                <w:sz w:val="18"/>
                <w:szCs w:val="18"/>
                <w:color w:val="auto"/>
              </w:rPr>
              <w:t>Income from continuing operations before income taxes (GAAP)</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w:t>
            </w:r>
          </w:p>
        </w:tc>
      </w:tr>
      <w:tr>
        <w:trPr>
          <w:trHeight w:val="20"/>
        </w:trPr>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Consumer</w:t>
      </w:r>
    </w:p>
    <w:p>
      <w:pPr>
        <w:spacing w:after="0" w:line="158"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U.S. Consumer segment net sales were $1,374.0 in the second quarter of fiscal 2021, an increase of 23.4% from second quarter of fiscal 2020 net sales of $1,113.2; and were $1,782.2 for the first six months of fiscal 2021, an increase of 39.4% from the first six months of fiscal 2020 net sales of $1,278.6 . For the second quarter of fiscal 2021, the increase was driven by the favorable impact of volume of 23.7%, which includes the impact of the calendar shift, partially offset by the unfavorable impact of pricing of 0.3%. For the six months ended April 3, 2021, the increase was driven by the favorable impacts of volume, which includes the impact of the calendar shift, and pricing of 38.9% and 0.5%, respectively. The increase in sales volume for the three and six months ended April 3, 2021 was driven by soils, fertilizer, grass seed, controls, plant food and direct to consumer products as well as increased net sales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p>
      <w:pPr>
        <w:spacing w:after="0" w:line="5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U.S. Consumer Segment Profit was $435.9 in the second quarter of fiscal 2021, an increase of 16.4% from the second quarter of fiscal 2020 Segment Profit of $374.6; and was $481.2 for the first six months of fiscal 2021, an increase of 43.8% from the first six months of fiscal 2020 Segment Profit of $334.6. For the three and six months ended April 3, 2021, the increase was due to higher net sales, partially offset by a lower gross profit rate and higher SG&amp;A.</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Hawthorne</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Hawthorne segment net sales were $363.8 in the second quarter of fiscal 2021, an increase of 65.7% from second quarter of fiscal 2020 net sales of $219.5; and were $673.2 for the first six months of fiscal 2021, an increase of 68.2% from the first six months of fiscal 2020 net sales of $400.3. For the second quarter of fiscal 2021, the increase was driven by the favorable impacts of volume, pricing and foreign exchange rates of 61.3%, 3.6% and 0.9%, respectively. For the six months ended April 3, 2021, the increase was driven by the favorable impacts of volume, pricing and foreign exchange rates of 62.8%, 4.5%, 0.9%, respectively. The increase in sales volume for the three and six months ended April 3, 2021 was driven by lighting, nutrients, growing media, hardware and growing environments products.</w:t>
      </w:r>
    </w:p>
    <w:p>
      <w:pPr>
        <w:spacing w:after="0" w:line="1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Hawthorne Segment Profit was $41.4 in the second quarter of fiscal 2021, an increase of 73.9% from the second quarter of fiscal 2020 Segment Profit of $23.8; and was $81.8 for the first six months of fiscal 2021, an increase of 125.3% from the first six months of fiscal 2020 Segment Profit of $36.3. For the second quarter of fiscal 2021, the increase was driven by higher net sales, partially offset by a lower gross profit rate and higher SG&amp;A. For the six months ended April 3, 2021, the increase was driven by higher net sales, partially offset by higher SG&amp;A.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Other segment net sales were $91.0 in the second quarter of fiscal 2021, an increase of 81.6% from second quarter of fiscal 2020 net sales of $50.1; and were $122.0 for the first six months of fiscal 2021, an increase of 75.0% from the first six months of fiscal 2020 net sales of $69.7. For the second quarter of fiscal 2021, the increase was driven by the favorable impacts of volume, pricing and foreign exchange rates of 64.3%, 4.3% and 13.2%, respectively. For the six months ended April 3, 2021,</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7" w:name="page38"/>
    <w:bookmarkEnd w:id="37"/>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driven by the favorable impacts of volume, pricing and foreign exchange rates of 63.0%, 2.2% and 9.9%, respectively.</w:t>
      </w:r>
    </w:p>
    <w:p>
      <w:pPr>
        <w:spacing w:after="0" w:line="14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Other Segment Profit was $17.6 in the second quarter of fiscal 2021, an increase of 340.0% from the second quarter of fiscal 2020 Segment Profit of $4.0; and was $17.6 for the first six months of fiscal 2021, an increase of 4,300.0% from the first six months of fiscal 2020 Segment Profit of $0.4. For the three and six months ended April 3, 2021, the increase was driven by higher net sales and a higher gross profit rate, partially offset by higher SG&amp;A.</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5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Corporate expenses were $48.1 in the second quarter of fiscal 2021, an increase of 30.4% from second quarter of fiscal 2020 expenses of $36.9; and were $82.7 for the first six months of fiscal 2021, an increase of 31.3% from the first six months of fiscal 2020 expenses of $63.0. For the three and six months ended April 3, 2021, the increase was driven by higher short-term variable cash incentive compensation expense as well as an increase in the expected payout percentage on long-term performance-based awards and a higher annual grant value of share-based awards.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cash activities: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97"/>
              <w:spacing w:after="0"/>
              <w:rPr>
                <w:sz w:val="20"/>
                <w:szCs w:val="20"/>
                <w:color w:val="auto"/>
              </w:rPr>
            </w:pPr>
            <w:r>
              <w:rPr>
                <w:rFonts w:ascii="Arial" w:cs="Arial" w:eastAsia="Arial" w:hAnsi="Arial"/>
                <w:sz w:val="14"/>
                <w:szCs w:val="14"/>
                <w:b w:val="1"/>
                <w:bCs w:val="1"/>
                <w:color w:val="auto"/>
              </w:rPr>
              <w:t>Six Months Ended</w:t>
            </w:r>
          </w:p>
        </w:tc>
      </w:tr>
      <w:tr>
        <w:trPr>
          <w:trHeight w:val="134"/>
        </w:trPr>
        <w:tc>
          <w:tcPr>
            <w:tcW w:w="8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rPr>
              <w:t>April 3,</w:t>
            </w:r>
          </w:p>
        </w:tc>
        <w:tc>
          <w:tcPr>
            <w:tcW w:w="280" w:type="dxa"/>
            <w:vAlign w:val="bottom"/>
          </w:tcPr>
          <w:p>
            <w:pPr>
              <w:spacing w:after="0"/>
              <w:rPr>
                <w:sz w:val="11"/>
                <w:szCs w:val="11"/>
                <w:color w:val="auto"/>
              </w:rPr>
            </w:pPr>
          </w:p>
        </w:tc>
        <w:tc>
          <w:tcPr>
            <w:tcW w:w="1220" w:type="dxa"/>
            <w:vAlign w:val="bottom"/>
          </w:tcPr>
          <w:p>
            <w:pPr>
              <w:jc w:val="right"/>
              <w:ind w:right="357"/>
              <w:spacing w:after="0" w:line="135" w:lineRule="exact"/>
              <w:rPr>
                <w:sz w:val="20"/>
                <w:szCs w:val="20"/>
                <w:color w:val="auto"/>
              </w:rPr>
            </w:pPr>
            <w:r>
              <w:rPr>
                <w:rFonts w:ascii="Arial" w:cs="Arial" w:eastAsia="Arial" w:hAnsi="Arial"/>
                <w:sz w:val="14"/>
                <w:szCs w:val="14"/>
                <w:b w:val="1"/>
                <w:bCs w:val="1"/>
                <w:color w:val="auto"/>
              </w:rPr>
              <w:t>March 28,</w:t>
            </w:r>
          </w:p>
        </w:tc>
      </w:tr>
      <w:tr>
        <w:trPr>
          <w:trHeight w:val="188"/>
        </w:trPr>
        <w:tc>
          <w:tcPr>
            <w:tcW w:w="8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519"/>
              <w:spacing w:after="0"/>
              <w:rPr>
                <w:sz w:val="20"/>
                <w:szCs w:val="20"/>
                <w:color w:val="auto"/>
              </w:rPr>
            </w:pPr>
            <w:r>
              <w:rPr>
                <w:rFonts w:ascii="Arial" w:cs="Arial" w:eastAsia="Arial" w:hAnsi="Arial"/>
                <w:sz w:val="18"/>
                <w:szCs w:val="18"/>
                <w:color w:val="auto"/>
                <w:w w:val="91"/>
              </w:rPr>
              <w:t>(699.9)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spacing w:after="0"/>
              <w:rPr>
                <w:sz w:val="19"/>
                <w:szCs w:val="19"/>
                <w:color w:val="auto"/>
              </w:rPr>
            </w:pPr>
          </w:p>
        </w:tc>
        <w:tc>
          <w:tcPr>
            <w:tcW w:w="1200" w:type="dxa"/>
            <w:vAlign w:val="bottom"/>
          </w:tcPr>
          <w:p>
            <w:pPr>
              <w:jc w:val="center"/>
              <w:ind w:left="519"/>
              <w:spacing w:after="0"/>
              <w:rPr>
                <w:sz w:val="20"/>
                <w:szCs w:val="20"/>
                <w:color w:val="auto"/>
              </w:rPr>
            </w:pPr>
            <w:r>
              <w:rPr>
                <w:rFonts w:ascii="Arial" w:cs="Arial" w:eastAsia="Arial" w:hAnsi="Arial"/>
                <w:sz w:val="18"/>
                <w:szCs w:val="18"/>
                <w:color w:val="auto"/>
                <w:w w:val="91"/>
              </w:rPr>
              <w:t>(173.8)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82.1</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559"/>
              <w:spacing w:after="0"/>
              <w:rPr>
                <w:sz w:val="20"/>
                <w:szCs w:val="20"/>
                <w:color w:val="auto"/>
              </w:rPr>
            </w:pPr>
            <w:r>
              <w:rPr>
                <w:rFonts w:ascii="Arial" w:cs="Arial" w:eastAsia="Arial" w:hAnsi="Arial"/>
                <w:sz w:val="18"/>
                <w:szCs w:val="18"/>
                <w:color w:val="auto"/>
                <w:w w:val="88"/>
              </w:rPr>
              <w:t>871.1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Cash used in operating activities totaled $699.9 for the six months ended April 3, 2021, an increase of $92.8 as compared to cash used in operating activities of $607.1 for the six months ended March 28, 2020. This increase was driven by higher inventory production, higher short-term variable cash incentive compensation payouts and higher SG&amp;A during the six months ended April 3, 2021, partially offset by higher net sales and lower interest payments.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58"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7"/>
          <w:szCs w:val="17"/>
          <w:color w:val="auto"/>
        </w:rPr>
        <w:t>Cash used in investing activities totaled $173.8 for the six months ended April 3, 2021 as compared to cash provided by investing activities of $82.1 for the six months ended March 28, 2020. Cash used for investments in property, plant and equipment during the first six months of fiscal 2021 and 2020 was $53.7 and $29.4, respectively. During the six months ended April 3, 2021, we acquired a 50% equity interest in Bonnie Plants, LLC in exchange for a cash payment of $100.7, as well as non-cash investing activities that included forgiveness of our outstanding loan receivable with AFC and surrender of our options to increase our economic interest in the Bonnie Plants business. In addition, during the six months ended April 3, 2021, we acquired contract rights within our U.S. Consumer segment for a cash payment of $10.0 and we paid cash of $8.9 associated with currency forward contracts. During the six months ended March 28, 2020, we received proceeds of $115.5 from the sale of the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extension assets, made a $2.5 loan investment and paid cash of $1.7 associated with currency forward contracts.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Cash provided by financing activities totaled $871.1 for the six months ended April 3, 2021 as compared to $537.3 for the six months ended March 28, 2020. This increase was driven by the issuance of $500.0 aggregate principal amount of 4.000% Senior Notes, partially offset by net borrowings under our Fifth A&amp;R Credit Facilities (as defined below) of $519.2 during the six months ended April 3, 2021 as compared to $620.2 during the six months ended March 28, 2020, the issuance of $450.0 aggregate principal amount of 4.500% Senior Notes and the redemption of all $400.0 aggregate principal amount of 6.000% Senior Notes during the six months ended March 28, 2020, an increase in repurchases of our Common Shares of $11.8 during the six months ended April 3, 2021 and a payment of $15.5 associated with the acquisition of the remaining outstanding shares of AeroGrow.</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cash and cash equivalents were held in cash depository accounts with major financial institutions around the world or invested in high-quality, short-term liquid investments having original maturities of three months or less. The cash and cash equivalents balances of $14.4, $30.8 and $16.6 as of April 3, 2021, March 28, 2020 and September 30, 2020,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8" w:name="page39"/>
    <w:bookmarkEnd w:id="38"/>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$6.2, $19.9 and $9.4, respectively, held by controlled foreign corporations. As of April 3, 2021, we maintain our assertion of indefinite reinvestment of the earnings of all material foreign subsidiaries.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5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Our primary sources of liquidity are cash generated by operations and borrowings under our credit facilities, which are guaranteed by substantially all of Scotts Miracle-Gro’s domestic subsidiaries. We maintain the Fifth A&amp;R Credit Agreement that provides senior secured loan facilities in the aggregate principal amount of $2,300.0, comprised of a revolving credit facility of $1,500.0 and a term loan in the original principal amount of $800.0 (the “Fifth A&amp;R Credit Facilities”). The Fifth A&amp;R Credit Agreement is available for issuance of letters of credit up to $75.0 and will terminate on July 5, 2023.</w:t>
      </w:r>
    </w:p>
    <w:p>
      <w:pPr>
        <w:spacing w:after="0" w:line="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April 3, 2021, we had letters of credit outstanding in the aggregate principal amount of $19.8 and had $1,020.0 of borrowing availability under the Fifth A&amp;R Credit Agreement. The weighted average interest rates on average borrowings under the Fifth A&amp;R Credit Agreement were 1.9% and 3.7% for the six months ended April 3, 2021 and March 28, 2020, respectively.</w:t>
      </w:r>
    </w:p>
    <w:p>
      <w:pPr>
        <w:spacing w:after="0" w:line="11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Fifth A&amp;R Credit Agreement contains, among other obligations, an affirmative covenant regarding our leverage ratio on the last day of each quarter calculated as average total indebtedness, divided by our earnings before interest, taxes, depreciation and amortization (“EBITDA”), as adjusted pursuant to the terms of the Fifth A&amp;R Credit Agreement (“Adjusted EBITDA”). The maximum leverage ratio is 4.50. Our leverage ratio was 2.11 at April 3, 2021. The Fifth A&amp;R Credit Agreement also contains an affirmative covenant regarding our interest coverage ratio determined as of the end of each of our fiscal quarters. The interest coverage ratio is calculated as Adjusted EBITDA divided by interest expense, as described in the Fifth A&amp;R Credit Agreement, and excludes costs related to refinancings. The minimum interest coverage ratio was 3.00 for the twelve months ended April 3, 2021. Our interest coverage ratio was 13.58 for the twelve months ended April 3, 2021. As of April 3, 2021, we were in compliance with these financial covenants.</w:t>
      </w:r>
    </w:p>
    <w:p>
      <w:pPr>
        <w:spacing w:after="0" w:line="9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Fifth A&amp;R Credit Agreement allows us to make unlimited restricted payments (as defined in the Fifth A&amp;R Credit Agreement), including dividend payments and repurchases of Common Shares, as long as the leverage ratio resulting from the making of such restricted payments is 4.00 or less. Otherwise, we may make further restricted payments in an aggregate amount for each fiscal year not to exceed $225.0. We continue to monitor our compliance with the leverage ratio, interest coverage ratio and other covenants contained in the Fifth A&amp;R Credit Agreement and, based upon our current operating assumptions, we expect to remain in compliance with the permissible leverage ratio and interest coverage ratio throughout fiscal 2021. However, an unanticipated shortfall in earnings, an increase in net indebtedness or other factors could materially affect our ability to remain in compliance with the financial or other covenants of the Fifth A&amp;R Credit Agreement, potentially causing us to have to seek an amendment or waiver from our lending group which could result in repricing of the Fifth A&amp;R Credit Agreement. While we believe we have good relationships with our lending group, we can provide no assurance that such a request would result in a modified or replacement credit agreement on reasonable terms, if at all.</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December 15, 2016, we issued $250.0 aggregate principal amount of 5.250% Senior Notes due 2026 (the “5.250% Senior Notes”). The 5.250% Senior Notes represent general unsecured senior obligations and rank equal in right of payment with our existing and future unsecured senior debt. The 5.250% Senior Notes have interest payment dates of June 15 and December 15 of each year. Substantially all of our directly and indirectly owned domestic subsidiaries serve as guarantors of the 5.250% Senior Notes.</w:t>
      </w:r>
    </w:p>
    <w:p>
      <w:pPr>
        <w:spacing w:after="0" w:line="11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October 22, 2019, we issued $450.0 aggregate principal amount of 4.500% Senior Notes. The net proceeds of the offering were used to redeem all of our outstanding 6.000% Senior Notes and for general corporate purposes. The 4.500% Senior Notes represent general unsecured senior obligations and rank equal in right of payment with our existing and future unsecured senior debt. The 4.500% Senior Notes have interest payment dates of April 15 and October 15 of each year. All of our domestic subsidiaries that serve as guarantors of the 5.250% Senior Notes also serve as guarantors of the 4.500% Senior Notes.</w:t>
      </w:r>
    </w:p>
    <w:p>
      <w:pPr>
        <w:spacing w:after="0" w:line="10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On October 23, 2019, we redeemed all of our outstanding 6.000% Senior Notes for a redemption price of $412.5, comprised of $0.5 of accrued and unpaid interest, $12.0 of redemption premium, and $400.0 for outstanding principal amount. The $12.0 redemption premium was recognized in the “Costs related to refinancing” line on the Condensed Consolidated Statements of Operations during the first quarter of fiscal 2020. Additionally, we had $3.1 in unamortized bond issuance costs associated with the 6.000% Senior Notes, which were written-off during the first quarter of fiscal 2020 and were recognized in the “Costs related to refinancing” line in the Condensed Consolidated Statements of Operations.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9" w:name="page40"/>
    <w:bookmarkEnd w:id="39"/>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March 17, 2021, we issued $500.0 aggregate principal amount of 4.000% Senior Notes. The net proceeds of the offering were used to reduce borrowings under the Fifth A&amp;R Credit Facilities. The 4.000% Senior Notes represent general unsecured senior obligations and rank equal in right of payment with the our existing and future unsecured senior debt. The 4.000% Senior Notes have interest payment dates of April 1 and October 1 of each year, commencing October 1, 2021. Substantially all of our directly and indirectly owned domestic subsidiaries serve as guarantors of the 4.000% Senior Notes.</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5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also maintain a Master Repurchase Agreement (including the annexes thereto, the “Repurchase Agreement”) and a Master Framework Agreement, as amended (the “Framework Agreement” and, together with the Repurchase Agreement, the “Receivables Facility”). Under the Receivables Facility, we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receivables which may be sold under the Receivables Facility is $400.0 and the commitment amount during the seasonal commitment period beginning on February 26, 2021 and ending on June 18, 2021 is $160.0. The Receivables Facility expires on August 20, 2021 but is expected to be renewed prior to its expiration.</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account for the sale of receivables under the Receivables Facility as short-term debt and continue to carry the receivables on our Condensed Consolidated Balance Sheets, primarily as a result of our requirement to repurchase receivables sold. As of April 3, 2021 and March 28, 2020, there were $160.0 in borrowings on receivables pledged as collateral under the Receivables Facility, and the carrying value of the receivables pledged as collateral was $177.8.</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enter into interest rate swap agreements with major financial institutions that effectively convert a portion of our variable rate debt to a fixed rate. Interest payments made between the effective date and expiration date are hedged by the swap agreements. Swap agreements that were hedging interest payments as of April 3, 2021, March 28, 2020 and September 30, 2020 had a maximum total U.S. dollar equivalent notional amount of $900.0, $850.0 and $600.0, respectively. The notional amount, effective date, expiration date and rate of each of the swap agreements outstanding at April 3, 2021 are shown in the table below:</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820" w:type="dxa"/>
            <w:vAlign w:val="bottom"/>
          </w:tcPr>
          <w:p>
            <w:pPr>
              <w:jc w:val="right"/>
              <w:ind w:right="814"/>
              <w:spacing w:after="0"/>
              <w:rPr>
                <w:sz w:val="20"/>
                <w:szCs w:val="20"/>
                <w:color w:val="auto"/>
              </w:rPr>
            </w:pPr>
            <w:r>
              <w:rPr>
                <w:rFonts w:ascii="Arial" w:cs="Arial" w:eastAsia="Arial" w:hAnsi="Arial"/>
                <w:sz w:val="14"/>
                <w:szCs w:val="14"/>
                <w:b w:val="1"/>
                <w:bCs w:val="1"/>
                <w:color w:val="auto"/>
              </w:rPr>
              <w:t>Notional</w:t>
            </w:r>
          </w:p>
        </w:tc>
        <w:tc>
          <w:tcPr>
            <w:tcW w:w="340" w:type="dxa"/>
            <w:vAlign w:val="bottom"/>
          </w:tcPr>
          <w:p>
            <w:pPr>
              <w:spacing w:after="0"/>
              <w:rPr>
                <w:sz w:val="14"/>
                <w:szCs w:val="14"/>
                <w:color w:val="auto"/>
              </w:rPr>
            </w:pPr>
          </w:p>
        </w:tc>
        <w:tc>
          <w:tcPr>
            <w:tcW w:w="2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Effective</w:t>
            </w:r>
          </w:p>
        </w:tc>
        <w:tc>
          <w:tcPr>
            <w:tcW w:w="2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Expiration</w:t>
            </w:r>
          </w:p>
        </w:tc>
        <w:tc>
          <w:tcPr>
            <w:tcW w:w="2840" w:type="dxa"/>
            <w:vAlign w:val="bottom"/>
          </w:tcPr>
          <w:p>
            <w:pPr>
              <w:jc w:val="right"/>
              <w:ind w:right="1174"/>
              <w:spacing w:after="0"/>
              <w:rPr>
                <w:sz w:val="20"/>
                <w:szCs w:val="20"/>
                <w:color w:val="auto"/>
              </w:rPr>
            </w:pPr>
            <w:r>
              <w:rPr>
                <w:rFonts w:ascii="Arial" w:cs="Arial" w:eastAsia="Arial" w:hAnsi="Arial"/>
                <w:sz w:val="14"/>
                <w:szCs w:val="14"/>
                <w:b w:val="1"/>
                <w:bCs w:val="1"/>
                <w:color w:val="auto"/>
              </w:rPr>
              <w:t>Fixed</w:t>
            </w:r>
          </w:p>
        </w:tc>
      </w:tr>
      <w:tr>
        <w:trPr>
          <w:trHeight w:val="188"/>
        </w:trPr>
        <w:tc>
          <w:tcPr>
            <w:tcW w:w="500" w:type="dxa"/>
            <w:vAlign w:val="bottom"/>
          </w:tcPr>
          <w:p>
            <w:pPr>
              <w:spacing w:after="0"/>
              <w:rPr>
                <w:sz w:val="16"/>
                <w:szCs w:val="16"/>
                <w:color w:val="auto"/>
              </w:rPr>
            </w:pPr>
          </w:p>
        </w:tc>
        <w:tc>
          <w:tcPr>
            <w:tcW w:w="1820" w:type="dxa"/>
            <w:vAlign w:val="bottom"/>
          </w:tcPr>
          <w:p>
            <w:pPr>
              <w:jc w:val="right"/>
              <w:ind w:right="834"/>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6"/>
                <w:szCs w:val="16"/>
                <w:color w:val="auto"/>
              </w:rPr>
            </w:pPr>
          </w:p>
        </w:tc>
        <w:tc>
          <w:tcPr>
            <w:tcW w:w="2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Date (a)</w:t>
            </w:r>
          </w:p>
        </w:tc>
        <w:tc>
          <w:tcPr>
            <w:tcW w:w="2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Date</w:t>
            </w:r>
          </w:p>
        </w:tc>
        <w:tc>
          <w:tcPr>
            <w:tcW w:w="2840" w:type="dxa"/>
            <w:vAlign w:val="bottom"/>
          </w:tcPr>
          <w:p>
            <w:pPr>
              <w:jc w:val="right"/>
              <w:ind w:right="1194"/>
              <w:spacing w:after="0"/>
              <w:rPr>
                <w:sz w:val="20"/>
                <w:szCs w:val="20"/>
                <w:color w:val="auto"/>
              </w:rPr>
            </w:pPr>
            <w:r>
              <w:rPr>
                <w:rFonts w:ascii="Arial" w:cs="Arial" w:eastAsia="Arial" w:hAnsi="Arial"/>
                <w:sz w:val="14"/>
                <w:szCs w:val="14"/>
                <w:b w:val="1"/>
                <w:bCs w:val="1"/>
                <w:color w:val="auto"/>
              </w:rPr>
              <w:t>Rate</w:t>
            </w:r>
          </w:p>
        </w:tc>
      </w:tr>
      <w:tr>
        <w:trPr>
          <w:trHeight w:val="224"/>
        </w:trPr>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(b)</w:t>
            </w: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6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6/7/2021</w:t>
            </w:r>
          </w:p>
        </w:tc>
        <w:tc>
          <w:tcPr>
            <w:tcW w:w="36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2.87 %</w:t>
            </w:r>
          </w:p>
        </w:tc>
      </w:tr>
      <w:tr>
        <w:trPr>
          <w:trHeight w:val="230"/>
        </w:trPr>
        <w:tc>
          <w:tcPr>
            <w:tcW w:w="5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11/7/2018</w:t>
            </w:r>
          </w:p>
        </w:tc>
        <w:tc>
          <w:tcPr>
            <w:tcW w:w="36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7/7/2021</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2.96 %</w:t>
            </w:r>
          </w:p>
        </w:tc>
      </w:tr>
      <w:tr>
        <w:trPr>
          <w:trHeight w:val="230"/>
        </w:trPr>
        <w:tc>
          <w:tcPr>
            <w:tcW w:w="5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6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10/7/2021</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2.98 %</w:t>
            </w:r>
          </w:p>
        </w:tc>
      </w:tr>
      <w:tr>
        <w:trPr>
          <w:trHeight w:val="229"/>
        </w:trPr>
        <w:tc>
          <w:tcPr>
            <w:tcW w:w="5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12/21/2020</w:t>
            </w:r>
          </w:p>
        </w:tc>
        <w:tc>
          <w:tcPr>
            <w:tcW w:w="36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6/20/2023</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1.36 %</w:t>
            </w:r>
          </w:p>
        </w:tc>
      </w:tr>
      <w:tr>
        <w:trPr>
          <w:trHeight w:val="230"/>
        </w:trPr>
        <w:tc>
          <w:tcPr>
            <w:tcW w:w="5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40" w:type="dxa"/>
            <w:vAlign w:val="bottom"/>
            <w:shd w:val="clear" w:color="auto" w:fill="CCEEFF"/>
          </w:tcPr>
          <w:p>
            <w:pPr>
              <w:spacing w:after="0"/>
              <w:rPr>
                <w:sz w:val="20"/>
                <w:szCs w:val="20"/>
                <w:color w:val="auto"/>
              </w:rPr>
            </w:pPr>
            <w:r>
              <w:rPr>
                <w:rFonts w:ascii="Arial" w:cs="Arial" w:eastAsia="Arial" w:hAnsi="Arial"/>
                <w:sz w:val="13"/>
                <w:szCs w:val="13"/>
                <w:color w:val="auto"/>
              </w:rPr>
              <w:t>(b)</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1/7/2021</w:t>
            </w:r>
          </w:p>
        </w:tc>
        <w:tc>
          <w:tcPr>
            <w:tcW w:w="36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r>
      <w:tr>
        <w:trPr>
          <w:trHeight w:val="230"/>
        </w:trPr>
        <w:tc>
          <w:tcPr>
            <w:tcW w:w="5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10/7/2021</w:t>
            </w:r>
          </w:p>
        </w:tc>
        <w:tc>
          <w:tcPr>
            <w:tcW w:w="36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1.37 %</w:t>
            </w:r>
          </w:p>
        </w:tc>
      </w:tr>
      <w:tr>
        <w:trPr>
          <w:trHeight w:val="230"/>
        </w:trPr>
        <w:tc>
          <w:tcPr>
            <w:tcW w:w="5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20"/>
                <w:szCs w:val="20"/>
                <w:color w:val="auto"/>
              </w:rPr>
            </w:pPr>
            <w:r>
              <w:rPr>
                <w:rFonts w:ascii="Arial" w:cs="Arial" w:eastAsia="Arial" w:hAnsi="Arial"/>
                <w:sz w:val="13"/>
                <w:szCs w:val="13"/>
                <w:color w:val="auto"/>
              </w:rPr>
              <w:t>(b)</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1/20/2022</w:t>
            </w:r>
          </w:p>
        </w:tc>
        <w:tc>
          <w:tcPr>
            <w:tcW w:w="36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6/20/2024</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0.58 %</w:t>
            </w:r>
          </w:p>
        </w:tc>
      </w:tr>
      <w:tr>
        <w:trPr>
          <w:trHeight w:val="230"/>
        </w:trPr>
        <w:tc>
          <w:tcPr>
            <w:tcW w:w="5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6/8/2026</w:t>
            </w:r>
          </w:p>
        </w:tc>
        <w:tc>
          <w:tcPr>
            <w:tcW w:w="36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0.85 %</w:t>
            </w:r>
          </w:p>
        </w:tc>
      </w:tr>
    </w:tbl>
    <w:p>
      <w:pPr>
        <w:spacing w:after="0" w:line="9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are first hedged by the applicable swap agreement.</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Notional amount adjusts in accordance with a specified seasonal schedule. This represents the maximum notional amount at any point in time.</w:t>
      </w:r>
    </w:p>
    <w:p>
      <w:pPr>
        <w:spacing w:after="0" w:line="153"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Additionally, the extent to which the COVID-19 pandemic will ultimately impact our business, results of operations, financial condition and cash flows depends on future developments that are highly uncertain, rapidly evolving and difficult to predict at this time. Actual results of operations will depend on numerous factors, many of which are beyond our control as further discussed in the 2020 Annual Report, under “ITEM 1A. RISK FACTORS — Our indebtedness could limit our flexibility and adversely affect our financial condition” and “ITEM 1A. RISK FACTORS — The effects of the ongoing coronavirus (COVID-19) pandemic and any possible recurrence of other similar types of pandemics, or any other widespread public health emergencies, could have a material adverse effect on our business, results of operations, financial condition and/or cash flows.”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0" w:name="page41"/>
    <w:bookmarkEnd w:id="40"/>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Financial Disclosures About Guarantors and Issuers of Guaranteed Securities</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5.250% Senior Notes, 4.500% Senior Notes and 4.000% Senior Notes were issued by Scotts Miracle-Gro on December 15, 2016, October 22, 2019 and March 17, 2021, respectively. The 5.250% Senior Notes, 4.500% Senior Notes and 4.000% Senior Notes are guaranteed by certain consolidated domestic subsidiaries of Scotts Miracle-Gro (collectively, the “Guarantors”) and, therefore, we report summarized financial information in accordance with SEC Regulation S-X, Rule 13-01, “Guarantors and Issuers of Guaranteed Securities Registered or Being Registered.”</w:t>
      </w:r>
    </w:p>
    <w:p>
      <w:pPr>
        <w:spacing w:after="0" w:line="10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guarantees are “full and unconditional,” as those terms are used in Regulation S-X, Rule 3-10(b)(3), except that a Guarantor’s guarantee will be released in certain circumstances set forth in the indentures governing the 5.250% Senior Notes, 4.500% Senior Notes and 4.000% Senior Notes, such as (i) upon any sale or other disposition of all or substantially all of the assets of the Guarantor (including by way of merger or consolidation) to any person other than Scotts Miracle-Gro or any “restricted subsidiary” under the applicable indenture; (ii) if the Guarantor merges with and into Scotts Miracle-Gro, with Scotts Miracle-Gro surviving such merger; (iii) if the Guarantor is designated an “unrestricted subsidiary” in accordance with the applicable indenture or otherwise ceases to be a “restricted subsidiary” (including by way of liquidation or dissolution) in a transaction permitted by such indenture; (iv) upon legal or covenant defeasance; (v) at the election of Scotts Miracle-Gro following the Guarantor’s release as a guarantor under the Fifth A&amp;R Credit Agreement, except a release by or as a result of the repayment of the Fifth A&amp;R Credit Agreement; or (vi) if the Guarantor ceases to be a “restricted subsidiary” and the Guarantor is not otherwise required to provide a guarantee of the 5.250% Senior Notes, 4.500% Senior Notes and 4.000% Senior Notes pursuant to the applicable indenture.</w:t>
      </w:r>
    </w:p>
    <w:p>
      <w:pPr>
        <w:spacing w:after="0" w:line="11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Our foreign subsidiaries and certain of our domestic subsidiaries are not guarantors (collectively, the “Non-Guarantors”) on the 5.250% Senior Notes, 4.500% Senior Notes and 4.000% Senior Notes. Payments on the 5.250% Senior Notes, 4.500% Senior Notes and 4.000% Senior Notes are only required to be made by Scotts Miracle-Gro and the Guarantors. As a result, no payments are required to be made from the assets of the Non-Guarantors, unless those assets are transferred by dividend or otherwise to Scotts Miracle-Gro or a Guarantor. In the event of a bankruptcy, insolvency, liquidation or reorganization of any of the Non-Guarantors, holders of their indebtedness, including their trade creditors and other obligations, will be entitled to payment of their claims from the assets of the Non-Guarantors before any assets are made available for distribution to Scotts Miracle-Gro or the Guarantors. As a result, the 5.250% Senior Notes, 4.500% Senior Notes and 4.000% Senior Notes are effectively subordinated to all the liabilities of the Non-Guarantors.</w:t>
      </w:r>
    </w:p>
    <w:p>
      <w:pPr>
        <w:spacing w:after="0" w:line="8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guarantees may be subject to review under federal bankruptcy laws or relevant state fraudulent conveyance or fraudulent transfer laws. In certain circumstances, the court could void the guarantee, subordinate the amounts owing under the guarantee, or take other actions detrimental to the holders of the 5.250% Senior Notes, 4.500% Senior Notes and 4.000% Senior Notes.</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a general matter, value is given for a transfer or an obligation if, in exchange for the transfer or obligation, property is transferred or a valid antecedent debt is satisfied. A court would likely find that a Guarantor did not receive reasonably equivalent value or fair consideration for its guarantee to the extent such Guarantor did not obtain a reasonably equivalent benefit from the issuance of the 5.250% Senior Notes, 4.500% Senior Notes and 4.000% Senior Notes.</w:t>
      </w:r>
    </w:p>
    <w:p>
      <w:pPr>
        <w:spacing w:after="0" w:line="11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measure of insolvency varies depending upon the law of the jurisdiction that is being applied. Regardless of the measure being applied, a court could determine that a Guarantor was insolvent on the date the guarantee was issued, so that payments to the holders of the 5.250% Senior Notes, 4.500% Senior Notes and 4.000% Senior Notes would constitute a preference, fraudulent transfer or conveyances on other grounds. If a guarantee is voided as a fraudulent conveyance or is found to be unenforceable for any other reason, the holders of the 5.250% Senior Notes, 4.500% Senior Notes and 4.000% Senior Notes will not have a claim against the Guarantor.</w:t>
      </w:r>
    </w:p>
    <w:p>
      <w:pPr>
        <w:spacing w:after="0" w:line="10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Each guarantee contains a provision intended to limit the Guarantor’s liability to the maximum amount that it could incur without causing the incurrence of obligations under its guarantee to be a fraudulent conveyance. However, there can be no assurance as to what standard a court will apply in making a determination of the maximum liability of each Guarantor. Moreover, this provision may not be effective to protect the guarantees from being voided under fraudulent conveyance laws. There is a possibility that the entire guarantee may be set aside, in which case the entire liability may be extinguished.</w:t>
      </w:r>
    </w:p>
    <w:p>
      <w:pPr>
        <w:spacing w:after="0" w:line="12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tables present summarized financial information on a combined basis for Scotts Miracle-Gro and the Guarantors. Transactions between Scotts Miracle-Gro and the Guarantors have been eliminated and the summarized financial information does not reflect investments of the Scotts Miracle-Gro and the Guarantors in the Non-Guarantor subsidiaries.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5"/>
        </w:trPr>
        <w:tc>
          <w:tcPr>
            <w:tcW w:w="2720" w:type="dxa"/>
            <w:vAlign w:val="bottom"/>
          </w:tcPr>
          <w:p>
            <w:pPr>
              <w:ind w:left="20"/>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tc>
        <w:tc>
          <w:tcPr>
            <w:tcW w:w="5980" w:type="dxa"/>
            <w:vAlign w:val="bottom"/>
            <w:gridSpan w:val="2"/>
          </w:tcPr>
          <w:p>
            <w:pPr>
              <w:jc w:val="center"/>
              <w:ind w:right="99"/>
              <w:spacing w:after="0"/>
              <w:rPr>
                <w:sz w:val="20"/>
                <w:szCs w:val="20"/>
                <w:color w:val="auto"/>
              </w:rPr>
            </w:pPr>
            <w:r>
              <w:rPr>
                <w:rFonts w:ascii="Arial" w:cs="Arial" w:eastAsia="Arial" w:hAnsi="Arial"/>
                <w:sz w:val="18"/>
                <w:szCs w:val="18"/>
                <w:b w:val="1"/>
                <w:bCs w:val="1"/>
                <w:color w:val="auto"/>
              </w:rPr>
              <w:t>THE SCOTTS MIRACLE-GRO COMPANY</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186"/>
        </w:trPr>
        <w:tc>
          <w:tcPr>
            <w:tcW w:w="2720" w:type="dxa"/>
            <w:vAlign w:val="bottom"/>
          </w:tcPr>
          <w:p>
            <w:pPr>
              <w:spacing w:after="0"/>
              <w:rPr>
                <w:sz w:val="16"/>
                <w:szCs w:val="16"/>
                <w:color w:val="auto"/>
              </w:rPr>
            </w:pPr>
          </w:p>
        </w:tc>
        <w:tc>
          <w:tcPr>
            <w:tcW w:w="5980" w:type="dxa"/>
            <w:vAlign w:val="bottom"/>
            <w:gridSpan w:val="2"/>
          </w:tcPr>
          <w:p>
            <w:pPr>
              <w:jc w:val="center"/>
              <w:ind w:right="99"/>
              <w:spacing w:after="0"/>
              <w:rPr>
                <w:sz w:val="20"/>
                <w:szCs w:val="20"/>
                <w:color w:val="auto"/>
              </w:rPr>
            </w:pPr>
            <w:r>
              <w:rPr>
                <w:rFonts w:ascii="Arial" w:cs="Arial" w:eastAsia="Arial" w:hAnsi="Arial"/>
                <w:sz w:val="14"/>
                <w:szCs w:val="14"/>
                <w:b w:val="1"/>
                <w:bCs w:val="1"/>
                <w:color w:val="auto"/>
                <w:w w:val="92"/>
              </w:rPr>
              <w:t>(Dollars in millions, except per share data)</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809"/>
        </w:trPr>
        <w:tc>
          <w:tcPr>
            <w:tcW w:w="27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160" w:type="dxa"/>
            <w:vAlign w:val="bottom"/>
          </w:tcPr>
          <w:p>
            <w:pPr>
              <w:jc w:val="center"/>
              <w:ind w:left="559"/>
              <w:spacing w:after="0"/>
              <w:rPr>
                <w:sz w:val="20"/>
                <w:szCs w:val="20"/>
                <w:color w:val="auto"/>
              </w:rPr>
            </w:pPr>
            <w:r>
              <w:rPr>
                <w:rFonts w:ascii="Arial" w:cs="Arial" w:eastAsia="Arial" w:hAnsi="Arial"/>
                <w:sz w:val="14"/>
                <w:szCs w:val="14"/>
                <w:b w:val="1"/>
                <w:bCs w:val="1"/>
                <w:color w:val="auto"/>
              </w:rPr>
              <w:t>April 3,</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jc w:val="right"/>
              <w:ind w:right="376"/>
              <w:spacing w:after="0"/>
              <w:rPr>
                <w:sz w:val="20"/>
                <w:szCs w:val="20"/>
                <w:color w:val="auto"/>
              </w:rPr>
            </w:pPr>
            <w:r>
              <w:rPr>
                <w:rFonts w:ascii="Arial" w:cs="Arial" w:eastAsia="Arial" w:hAnsi="Arial"/>
                <w:sz w:val="14"/>
                <w:szCs w:val="14"/>
                <w:b w:val="1"/>
                <w:bCs w:val="1"/>
                <w:color w:val="auto"/>
              </w:rPr>
              <w:t>September 30,</w:t>
            </w:r>
          </w:p>
        </w:tc>
      </w:tr>
      <w:tr>
        <w:trPr>
          <w:trHeight w:val="188"/>
        </w:trPr>
        <w:tc>
          <w:tcPr>
            <w:tcW w:w="2720" w:type="dxa"/>
            <w:vAlign w:val="bottom"/>
          </w:tcPr>
          <w:p>
            <w:pPr>
              <w:spacing w:after="0"/>
              <w:rPr>
                <w:sz w:val="16"/>
                <w:szCs w:val="16"/>
                <w:color w:val="auto"/>
              </w:rPr>
            </w:pPr>
          </w:p>
        </w:tc>
        <w:tc>
          <w:tcPr>
            <w:tcW w:w="598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ind w:right="676"/>
              <w:spacing w:after="0"/>
              <w:rPr>
                <w:sz w:val="20"/>
                <w:szCs w:val="20"/>
                <w:color w:val="auto"/>
              </w:rPr>
            </w:pPr>
            <w:r>
              <w:rPr>
                <w:rFonts w:ascii="Arial" w:cs="Arial" w:eastAsia="Arial" w:hAnsi="Arial"/>
                <w:sz w:val="14"/>
                <w:szCs w:val="14"/>
                <w:b w:val="1"/>
                <w:bCs w:val="1"/>
                <w:color w:val="auto"/>
              </w:rPr>
              <w:t>2020</w:t>
            </w:r>
          </w:p>
        </w:tc>
      </w:tr>
      <w:tr>
        <w:trPr>
          <w:trHeight w:val="224"/>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8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2,326.4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1,087.1</w:t>
            </w:r>
          </w:p>
        </w:tc>
      </w:tr>
      <w:tr>
        <w:trPr>
          <w:trHeight w:val="229"/>
        </w:trPr>
        <w:tc>
          <w:tcPr>
            <w:tcW w:w="27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Noncurrent assets </w:t>
            </w:r>
            <w:r>
              <w:rPr>
                <w:rFonts w:ascii="Arial" w:cs="Arial" w:eastAsia="Arial" w:hAnsi="Arial"/>
                <w:sz w:val="23"/>
                <w:szCs w:val="23"/>
                <w:color w:val="auto"/>
                <w:vertAlign w:val="superscript"/>
              </w:rPr>
              <w:t>(a)</w:t>
            </w:r>
          </w:p>
        </w:tc>
        <w:tc>
          <w:tcPr>
            <w:tcW w:w="4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2,075.0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1,871.5</w:t>
            </w: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881.2</w:t>
            </w: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4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2,559.0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1,697.0</w:t>
            </w:r>
          </w:p>
        </w:tc>
      </w:tr>
    </w:tbl>
    <w:p>
      <w:pPr>
        <w:spacing w:after="0" w:line="228"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amounts due from Non-Guarantor subsidiaries of $47.8 and $24.8, respectively.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Six Months Ended</w:t>
            </w:r>
          </w:p>
        </w:tc>
        <w:tc>
          <w:tcPr>
            <w:tcW w:w="280" w:type="dxa"/>
            <w:vAlign w:val="bottom"/>
          </w:tcPr>
          <w:p>
            <w:pPr>
              <w:spacing w:after="0"/>
              <w:rPr>
                <w:sz w:val="16"/>
                <w:szCs w:val="16"/>
                <w:color w:val="auto"/>
              </w:rPr>
            </w:pPr>
          </w:p>
        </w:tc>
        <w:tc>
          <w:tcPr>
            <w:tcW w:w="1520" w:type="dxa"/>
            <w:vAlign w:val="bottom"/>
          </w:tcPr>
          <w:p>
            <w:pPr>
              <w:jc w:val="center"/>
              <w:ind w:right="197"/>
              <w:spacing w:after="0"/>
              <w:rPr>
                <w:sz w:val="20"/>
                <w:szCs w:val="20"/>
                <w:color w:val="auto"/>
              </w:rPr>
            </w:pPr>
            <w:r>
              <w:rPr>
                <w:rFonts w:ascii="Arial" w:cs="Arial" w:eastAsia="Arial" w:hAnsi="Arial"/>
                <w:sz w:val="14"/>
                <w:szCs w:val="14"/>
                <w:b w:val="1"/>
                <w:bCs w:val="1"/>
                <w:color w:val="auto"/>
                <w:w w:val="93"/>
              </w:rPr>
              <w:t>Year Ended</w:t>
            </w:r>
          </w:p>
        </w:tc>
      </w:tr>
      <w:tr>
        <w:trPr>
          <w:trHeight w:val="134"/>
        </w:trPr>
        <w:tc>
          <w:tcPr>
            <w:tcW w:w="75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jc w:val="center"/>
              <w:ind w:right="137"/>
              <w:spacing w:after="0" w:line="135" w:lineRule="exact"/>
              <w:rPr>
                <w:sz w:val="20"/>
                <w:szCs w:val="20"/>
                <w:color w:val="auto"/>
              </w:rPr>
            </w:pPr>
            <w:r>
              <w:rPr>
                <w:rFonts w:ascii="Arial" w:cs="Arial" w:eastAsia="Arial" w:hAnsi="Arial"/>
                <w:sz w:val="14"/>
                <w:szCs w:val="14"/>
                <w:b w:val="1"/>
                <w:bCs w:val="1"/>
                <w:color w:val="auto"/>
              </w:rPr>
              <w:t>April 3,</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right="197"/>
              <w:spacing w:after="0" w:line="135" w:lineRule="exact"/>
              <w:rPr>
                <w:sz w:val="20"/>
                <w:szCs w:val="20"/>
                <w:color w:val="auto"/>
              </w:rPr>
            </w:pPr>
            <w:r>
              <w:rPr>
                <w:rFonts w:ascii="Arial" w:cs="Arial" w:eastAsia="Arial" w:hAnsi="Arial"/>
                <w:sz w:val="14"/>
                <w:szCs w:val="14"/>
                <w:b w:val="1"/>
                <w:bCs w:val="1"/>
                <w:color w:val="auto"/>
                <w:w w:val="91"/>
              </w:rPr>
              <w:t>September 30,</w:t>
            </w:r>
          </w:p>
        </w:tc>
      </w:tr>
      <w:tr>
        <w:trPr>
          <w:trHeight w:val="188"/>
        </w:trPr>
        <w:tc>
          <w:tcPr>
            <w:tcW w:w="75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3,773.8</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1,281.4</w:t>
            </w:r>
          </w:p>
        </w:tc>
      </w:tr>
      <w:tr>
        <w:trPr>
          <w:trHeight w:val="229"/>
        </w:trPr>
        <w:tc>
          <w:tcPr>
            <w:tcW w:w="7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Income from continuing operations </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w:t>
            </w: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364.1</w:t>
            </w: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w:t>
            </w:r>
          </w:p>
        </w:tc>
      </w:tr>
    </w:tbl>
    <w:p>
      <w:pPr>
        <w:spacing w:after="0" w:line="229"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intercompany (income) expense from Non-Guarantor subsidiaries of $(10.3) and $6.3,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5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than as disclosed in this Quarterly Report on Form 10-Q, there have been no material changes outside of the ordinary course of business in our outstanding contractual obligations since the end of fiscal 2020 and through April 3,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6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2020 Annual Report, under “ITEM 1. BUSINESS — Regulatory Considerations” and “ITEM 3. LEGAL PROCEEDINGS.”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The 2020 Annual Report includes additional information about us, our operations, our financial condition, our critical accounting policies and accounting estimates, and should be read in conjunction with this Quarterly Report on Form 10-Q.</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2" w:name="page43"/>
    <w:bookmarkEnd w:id="42"/>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Market risks have not changed materially from those disclosed in the 2020 Annual Report.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as of April 3,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April 3, 2021 that have materially affected, or are reasonably likely to materially affect, the Registrant’s internal control over financial reporting.</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Reference is made to the legal proceedings that have been previously disclosed in our Annual Report on Form 10-K for the fiscal year ended September 30, 2020. There have been no material changes to the pending legal proceedings set forth therein.</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involved in other lawsuits and claims which arise in the normal course of our business including the initiation and defense of proceedings to protect intellectual property rights, advertising claims and employment disputes. In our opinion, these claims individually and in the aggregate are not expected to have a material adverse effect on our financial condition, results of operations or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risk factors, as of April 3, 2021, have not materially changed from those described in Part I, Item 1A of our Annual Report on Form 10-K for the fiscal year ended September 30, 2020 filed on November 24,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our Common Shares or other uses of cash flows. Forward-looking statements generally can be identified through the use of words such as “guidance,” “outlook,” “projected,” “believe,”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“target,” “predict,” “estimate,” “forecast,” “strategy,” “may,” “goal,” “expect,” “anticipate,” “intend,” “plan,” “foresee,” “likely,” “will,” “should” and other similar words and variations.</w:t>
      </w:r>
    </w:p>
    <w:p>
      <w:pPr>
        <w:spacing w:after="0" w:line="8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Forward-looking statements contained in this Quarterly Report on Form 10-Q are predictions only and actual results could differ materially from management’s expectations due to a variety of factors, including those described in “ITEM 1A. RISK FACTORS” in the 2020 Annual Report. All forward-looking statements attributable to us or persons working on our behalf are expressly qualified in their entirety by such risk factors.</w:t>
      </w:r>
    </w:p>
    <w:p>
      <w:pPr>
        <w:spacing w:after="0" w:line="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Fifth A&amp;R Credit Agreement allows the Company to make unlimited restricted payments (as defined in the Fifth A&amp;R Credit Agreement), including dividend payments and Common Share repurchases, as long as the leverage ratio resulting from the making of such restricted payments is 4.00 or less. Otherwise the Company may make further restricted payments in an aggregate amount for each fiscal year not to exceed $225.0 million. The Company’s leverage ratio was 2.11 at April 3, 2021.</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Issuer Purchases of Equity Securities</w:t>
      </w:r>
    </w:p>
    <w:p>
      <w:pPr>
        <w:spacing w:after="0" w:line="15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April 3, 2021:</w:t>
      </w:r>
    </w:p>
    <w:tbl>
      <w:tblPr>
        <w:tblLayout w:type="fixed"/>
        <w:tblInd w:w="0" w:type="dxa"/>
        <w:tblCellMar>
          <w:top w:w="0" w:type="dxa"/>
          <w:left w:w="0" w:type="dxa"/>
          <w:bottom w:w="0" w:type="dxa"/>
          <w:right w:w="0" w:type="dxa"/>
        </w:tblCellMar>
      </w:tblPr>
      <w:tr>
        <w:trPr>
          <w:trHeight w:val="146"/>
        </w:trPr>
        <w:tc>
          <w:tcPr>
            <w:tcW w:w="40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vMerge w:val="restart"/>
          </w:tcPr>
          <w:p>
            <w:pPr>
              <w:jc w:val="center"/>
              <w:ind w:right="8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Common 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Average Price</w:t>
            </w: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Purchased as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Pr>
          <w:p>
            <w:pPr>
              <w:jc w:val="center"/>
              <w:ind w:right="65"/>
              <w:spacing w:after="0" w:line="135" w:lineRule="exact"/>
              <w:rPr>
                <w:sz w:val="20"/>
                <w:szCs w:val="20"/>
                <w:color w:val="auto"/>
              </w:rPr>
            </w:pPr>
            <w:r>
              <w:rPr>
                <w:rFonts w:ascii="Arial" w:cs="Arial" w:eastAsia="Arial" w:hAnsi="Arial"/>
                <w:sz w:val="14"/>
                <w:szCs w:val="14"/>
                <w:b w:val="1"/>
                <w:bCs w:val="1"/>
                <w:color w:val="auto"/>
                <w:w w:val="93"/>
              </w:rPr>
              <w:t>Value of Common Shares</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Pr>
          <w:p>
            <w:pPr>
              <w:jc w:val="center"/>
              <w:ind w:right="65"/>
              <w:spacing w:after="0" w:line="135"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35"/>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4"/>
              </w:rPr>
              <w:t>Paid per</w:t>
            </w: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Pr>
          <w:p>
            <w:pPr>
              <w:jc w:val="center"/>
              <w:ind w:right="65"/>
              <w:spacing w:after="0" w:line="135"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88"/>
        </w:trPr>
        <w:tc>
          <w:tcPr>
            <w:tcW w:w="400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2"/>
              </w:rPr>
              <w:t>Common Share(2)</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11"/>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3, 2021 through January 30, 2021</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229.73</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711,954,191</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January 31, 2021 through February 27, 2021</w:t>
            </w:r>
          </w:p>
        </w:tc>
        <w:tc>
          <w:tcPr>
            <w:tcW w:w="1520" w:type="dxa"/>
            <w:vAlign w:val="bottom"/>
          </w:tcPr>
          <w:p>
            <w:pPr>
              <w:jc w:val="right"/>
              <w:spacing w:after="0"/>
              <w:rPr>
                <w:sz w:val="20"/>
                <w:szCs w:val="20"/>
                <w:color w:val="auto"/>
              </w:rPr>
            </w:pPr>
            <w:r>
              <w:rPr>
                <w:rFonts w:ascii="Arial" w:cs="Arial" w:eastAsia="Arial" w:hAnsi="Arial"/>
                <w:sz w:val="16"/>
                <w:szCs w:val="16"/>
                <w:color w:val="auto"/>
              </w:rPr>
              <w:t>27,699</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231.34</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27,189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705,655,504</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February 28, 2021 through April 3,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30,756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218.57</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28,552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699,452,657</w:t>
            </w: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Arial" w:cs="Arial" w:eastAsia="Arial" w:hAnsi="Arial"/>
                <w:sz w:val="16"/>
                <w:szCs w:val="16"/>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58,925</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224.66</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left="660" w:hanging="328"/>
        <w:spacing w:after="0" w:line="286" w:lineRule="auto"/>
        <w:tabs>
          <w:tab w:leader="none" w:pos="654"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of the Common Shares purchased during the second fiscal quarter of 2021 were purchased in open market transactions. The total number of Common Shares purchased during this quarter includes 3,183 Common Shares purchased by the trustee of the rabbi trust established by the Company as permitted pursuant to the terms of The Scotts Company LLC Executive Retirement Plan (the “ERP”).</w:t>
      </w:r>
    </w:p>
    <w:p>
      <w:pPr>
        <w:spacing w:after="0" w:line="192" w:lineRule="exact"/>
        <w:rPr>
          <w:rFonts w:ascii="Arial" w:cs="Arial" w:eastAsia="Arial" w:hAnsi="Arial"/>
          <w:sz w:val="17"/>
          <w:szCs w:val="17"/>
          <w:color w:val="auto"/>
        </w:rPr>
      </w:pPr>
    </w:p>
    <w:p>
      <w:pPr>
        <w:ind w:left="640" w:hanging="30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18"/>
        </w:numPr>
        <w:rPr>
          <w:rFonts w:ascii="Arial" w:cs="Arial" w:eastAsia="Arial" w:hAnsi="Arial"/>
          <w:sz w:val="18"/>
          <w:szCs w:val="18"/>
          <w:color w:val="333333"/>
        </w:rPr>
      </w:pPr>
      <w:r>
        <w:rPr>
          <w:rFonts w:ascii="Arial" w:cs="Arial" w:eastAsia="Arial" w:hAnsi="Arial"/>
          <w:sz w:val="18"/>
          <w:szCs w:val="18"/>
          <w:color w:val="auto"/>
        </w:rPr>
        <w:t>On February 6, 2020, Scotts Miracle-Gro announced that its Board of Directors authorized the repurchase of up to $750.0 million of Common Shares from April 30, 2020 through March 25, 2023.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See Index to Exhibits at page 46 for a list of the exhibits included herewith.</w:t>
      </w:r>
    </w:p>
    <w:p>
      <w:pPr>
        <w:spacing w:after="0" w:line="200" w:lineRule="exact"/>
        <w:rPr>
          <w:sz w:val="20"/>
          <w:szCs w:val="20"/>
          <w:color w:val="auto"/>
        </w:rPr>
      </w:pPr>
    </w:p>
    <w:p>
      <w:pPr>
        <w:spacing w:after="0" w:line="3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0"/>
        </w:trPr>
        <w:tc>
          <w:tcPr>
            <w:tcW w:w="1180" w:type="dxa"/>
            <w:vAlign w:val="bottom"/>
            <w:gridSpan w:val="2"/>
          </w:tcPr>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20" w:type="dxa"/>
            <w:vAlign w:val="bottom"/>
            <w:gridSpan w:val="19"/>
          </w:tcPr>
          <w:p>
            <w:pPr>
              <w:jc w:val="center"/>
              <w:ind w:left="1010"/>
              <w:spacing w:after="0"/>
              <w:rPr>
                <w:sz w:val="20"/>
                <w:szCs w:val="20"/>
                <w:color w:val="auto"/>
              </w:rPr>
            </w:pPr>
            <w:r>
              <w:rPr>
                <w:rFonts w:ascii="Arial" w:cs="Arial" w:eastAsia="Arial" w:hAnsi="Arial"/>
                <w:sz w:val="18"/>
                <w:szCs w:val="18"/>
                <w:color w:val="auto"/>
                <w:w w:val="95"/>
              </w:rPr>
              <w:t>THE SCOTTS MIRACLE-GRO COMPANY</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20" w:type="dxa"/>
            <w:vAlign w:val="bottom"/>
            <w:gridSpan w:val="19"/>
          </w:tcPr>
          <w:p>
            <w:pPr>
              <w:jc w:val="center"/>
              <w:ind w:left="1030"/>
              <w:spacing w:after="0"/>
              <w:rPr>
                <w:sz w:val="20"/>
                <w:szCs w:val="20"/>
                <w:color w:val="auto"/>
              </w:rPr>
            </w:pPr>
            <w:r>
              <w:rPr>
                <w:rFonts w:ascii="Arial" w:cs="Arial" w:eastAsia="Arial" w:hAnsi="Arial"/>
                <w:sz w:val="18"/>
                <w:szCs w:val="18"/>
                <w:color w:val="auto"/>
                <w:w w:val="94"/>
              </w:rPr>
              <w:t>QUARTERLY REPORT ON FORM 10-Q</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40" w:type="dxa"/>
            <w:vAlign w:val="bottom"/>
            <w:gridSpan w:val="21"/>
          </w:tcPr>
          <w:p>
            <w:pPr>
              <w:jc w:val="center"/>
              <w:ind w:left="210"/>
              <w:spacing w:after="0"/>
              <w:rPr>
                <w:sz w:val="20"/>
                <w:szCs w:val="20"/>
                <w:color w:val="auto"/>
              </w:rPr>
            </w:pPr>
            <w:r>
              <w:rPr>
                <w:rFonts w:ascii="Arial" w:cs="Arial" w:eastAsia="Arial" w:hAnsi="Arial"/>
                <w:sz w:val="18"/>
                <w:szCs w:val="18"/>
                <w:color w:val="auto"/>
                <w:w w:val="94"/>
              </w:rPr>
              <w:t>FOR THE QUARTERLY PERIOD ENDED APRIL 3, 2021</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20" w:type="dxa"/>
            <w:vAlign w:val="bottom"/>
            <w:gridSpan w:val="19"/>
          </w:tcPr>
          <w:p>
            <w:pPr>
              <w:jc w:val="center"/>
              <w:ind w:left="1030"/>
              <w:spacing w:after="0"/>
              <w:rPr>
                <w:sz w:val="20"/>
                <w:szCs w:val="20"/>
                <w:color w:val="auto"/>
              </w:rPr>
            </w:pPr>
            <w:r>
              <w:rPr>
                <w:rFonts w:ascii="Arial" w:cs="Arial" w:eastAsia="Arial" w:hAnsi="Arial"/>
                <w:sz w:val="18"/>
                <w:szCs w:val="18"/>
                <w:color w:val="auto"/>
                <w:w w:val="98"/>
              </w:rPr>
              <w:t>INDEX TO EXHIBITS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80" w:type="dxa"/>
            <w:vAlign w:val="bottom"/>
            <w:gridSpan w:val="2"/>
            <w:vMerge w:val="restart"/>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2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color w:val="auto"/>
              </w:rPr>
              <w:t>Incorporated by Reference</w:t>
            </w:r>
          </w:p>
        </w:tc>
        <w:tc>
          <w:tcPr>
            <w:tcW w:w="100" w:type="dxa"/>
            <w:vAlign w:val="bottom"/>
          </w:tcPr>
          <w:p>
            <w:pPr>
              <w:spacing w:after="0"/>
              <w:rPr>
                <w:sz w:val="22"/>
                <w:szCs w:val="22"/>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155"/>
        </w:trPr>
        <w:tc>
          <w:tcPr>
            <w:tcW w:w="1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20" w:type="dxa"/>
            <w:vAlign w:val="bottom"/>
            <w:gridSpan w:val="19"/>
            <w:vMerge w:val="restart"/>
          </w:tcPr>
          <w:p>
            <w:pPr>
              <w:ind w:left="900"/>
              <w:spacing w:after="0"/>
              <w:rPr>
                <w:sz w:val="20"/>
                <w:szCs w:val="20"/>
                <w:color w:val="auto"/>
              </w:rPr>
            </w:pPr>
            <w:r>
              <w:rPr>
                <w:rFonts w:ascii="Arial" w:cs="Arial" w:eastAsia="Arial" w:hAnsi="Arial"/>
                <w:sz w:val="18"/>
                <w:szCs w:val="18"/>
                <w:color w:val="auto"/>
              </w:rPr>
              <w:t>Description</w:t>
            </w:r>
          </w:p>
        </w:tc>
        <w:tc>
          <w:tcPr>
            <w:tcW w:w="820" w:type="dxa"/>
            <w:vAlign w:val="bottom"/>
            <w:gridSpan w:val="2"/>
            <w:vMerge w:val="restart"/>
          </w:tcPr>
          <w:p>
            <w:pPr>
              <w:ind w:left="160"/>
              <w:spacing w:after="0"/>
              <w:rPr>
                <w:sz w:val="20"/>
                <w:szCs w:val="20"/>
                <w:color w:val="auto"/>
              </w:rPr>
            </w:pPr>
            <w:r>
              <w:rPr>
                <w:rFonts w:ascii="Arial" w:cs="Arial" w:eastAsia="Arial" w:hAnsi="Arial"/>
                <w:sz w:val="18"/>
                <w:szCs w:val="18"/>
                <w:color w:val="auto"/>
              </w:rPr>
              <w:t>Form</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auto"/>
              </w:rPr>
              <w:t>Exhibit</w:t>
            </w:r>
          </w:p>
        </w:tc>
        <w:tc>
          <w:tcPr>
            <w:tcW w:w="1160" w:type="dxa"/>
            <w:vAlign w:val="bottom"/>
            <w:gridSpan w:val="2"/>
            <w:vMerge w:val="restart"/>
          </w:tcPr>
          <w:p>
            <w:pPr>
              <w:ind w:left="120"/>
              <w:spacing w:after="0"/>
              <w:rPr>
                <w:sz w:val="20"/>
                <w:szCs w:val="20"/>
                <w:color w:val="auto"/>
              </w:rPr>
            </w:pPr>
            <w:r>
              <w:rPr>
                <w:rFonts w:ascii="Arial" w:cs="Arial" w:eastAsia="Arial" w:hAnsi="Arial"/>
                <w:sz w:val="18"/>
                <w:szCs w:val="18"/>
                <w:color w:val="auto"/>
              </w:rPr>
              <w:t>Filing Date</w:t>
            </w: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No.</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20" w:type="dxa"/>
            <w:vAlign w:val="bottom"/>
            <w:gridSpan w:val="19"/>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Herewith</w:t>
            </w:r>
          </w:p>
        </w:tc>
        <w:tc>
          <w:tcPr>
            <w:tcW w:w="0" w:type="dxa"/>
            <w:vAlign w:val="bottom"/>
          </w:tcPr>
          <w:p>
            <w:pPr>
              <w:spacing w:after="0"/>
              <w:rPr>
                <w:sz w:val="1"/>
                <w:szCs w:val="1"/>
                <w:color w:val="auto"/>
              </w:rPr>
            </w:pPr>
          </w:p>
        </w:tc>
      </w:tr>
      <w:tr>
        <w:trPr>
          <w:trHeight w:val="183"/>
        </w:trPr>
        <w:tc>
          <w:tcPr>
            <w:tcW w:w="10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4.1(a)</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980" w:type="dxa"/>
            <w:vAlign w:val="bottom"/>
            <w:tcBorders>
              <w:top w:val="single" w:sz="8" w:color="auto"/>
            </w:tcBorders>
            <w:gridSpan w:val="22"/>
          </w:tcPr>
          <w:p>
            <w:pPr>
              <w:spacing w:after="0" w:line="182" w:lineRule="exact"/>
              <w:rPr>
                <w:rFonts w:ascii="Arial" w:cs="Arial" w:eastAsia="Arial" w:hAnsi="Arial"/>
                <w:sz w:val="18"/>
                <w:szCs w:val="18"/>
                <w:color w:val="0000FF"/>
                <w:w w:val="96"/>
              </w:rPr>
            </w:pPr>
            <w:hyperlink r:id="rId58">
              <w:r>
                <w:rPr>
                  <w:rFonts w:ascii="Arial" w:cs="Arial" w:eastAsia="Arial" w:hAnsi="Arial"/>
                  <w:sz w:val="18"/>
                  <w:szCs w:val="18"/>
                  <w:color w:val="0000FF"/>
                  <w:w w:val="96"/>
                </w:rPr>
                <w:t>Indenture, dated as of March 17, 2021, by and among The Scotts Miracle-Gro</w:t>
              </w:r>
            </w:hyperlink>
          </w:p>
        </w:tc>
        <w:tc>
          <w:tcPr>
            <w:tcW w:w="100" w:type="dxa"/>
            <w:vAlign w:val="bottom"/>
          </w:tcPr>
          <w:p>
            <w:pPr>
              <w:spacing w:after="0"/>
              <w:rPr>
                <w:sz w:val="15"/>
                <w:szCs w:val="15"/>
                <w:color w:val="auto"/>
              </w:rPr>
            </w:pPr>
          </w:p>
        </w:tc>
        <w:tc>
          <w:tcPr>
            <w:tcW w:w="70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8-K</w:t>
            </w:r>
          </w:p>
        </w:tc>
        <w:tc>
          <w:tcPr>
            <w:tcW w:w="120" w:type="dxa"/>
            <w:vAlign w:val="bottom"/>
          </w:tcPr>
          <w:p>
            <w:pPr>
              <w:spacing w:after="0"/>
              <w:rPr>
                <w:sz w:val="15"/>
                <w:szCs w:val="15"/>
                <w:color w:val="auto"/>
              </w:rPr>
            </w:pPr>
          </w:p>
        </w:tc>
        <w:tc>
          <w:tcPr>
            <w:tcW w:w="8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5"/>
                <w:szCs w:val="15"/>
                <w:color w:val="auto"/>
              </w:rPr>
            </w:pPr>
          </w:p>
        </w:tc>
        <w:tc>
          <w:tcPr>
            <w:tcW w:w="10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March 17,</w:t>
            </w:r>
          </w:p>
        </w:tc>
        <w:tc>
          <w:tcPr>
            <w:tcW w:w="1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r:id="rId58">
              <w:r>
                <w:rPr>
                  <w:rFonts w:ascii="Arial" w:cs="Arial" w:eastAsia="Arial" w:hAnsi="Arial"/>
                  <w:sz w:val="18"/>
                  <w:szCs w:val="18"/>
                  <w:color w:val="0000FF"/>
                </w:rPr>
                <w:t>Company, the Guarantors (as defined therein) and U.S. Bank National</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8"/>
              </w:rPr>
            </w:pPr>
            <w:hyperlink r:id="rId58">
              <w:r>
                <w:rPr>
                  <w:rFonts w:ascii="Arial" w:cs="Arial" w:eastAsia="Arial" w:hAnsi="Arial"/>
                  <w:sz w:val="18"/>
                  <w:szCs w:val="18"/>
                  <w:color w:val="0000FF"/>
                  <w:w w:val="88"/>
                </w:rPr>
                <w:t>Association, as trustee</w:t>
              </w:r>
            </w:hyperlink>
          </w:p>
        </w:tc>
        <w:tc>
          <w:tcPr>
            <w:tcW w:w="3420" w:type="dxa"/>
            <w:vAlign w:val="bottom"/>
            <w:tcBorders>
              <w:top w:val="single" w:sz="8" w:color="0000FF"/>
            </w:tcBorders>
            <w:gridSpan w:val="6"/>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4.1(b)</w:t>
            </w:r>
          </w:p>
        </w:tc>
        <w:tc>
          <w:tcPr>
            <w:tcW w:w="20" w:type="dxa"/>
            <w:vAlign w:val="bottom"/>
          </w:tcPr>
          <w:p>
            <w:pPr>
              <w:spacing w:after="0"/>
              <w:rPr>
                <w:sz w:val="19"/>
                <w:szCs w:val="19"/>
                <w:color w:val="auto"/>
              </w:rPr>
            </w:pPr>
          </w:p>
        </w:tc>
        <w:tc>
          <w:tcPr>
            <w:tcW w:w="6080" w:type="dxa"/>
            <w:vAlign w:val="bottom"/>
            <w:gridSpan w:val="23"/>
          </w:tcPr>
          <w:p>
            <w:pPr>
              <w:spacing w:after="0"/>
              <w:rPr>
                <w:rFonts w:ascii="Arial" w:cs="Arial" w:eastAsia="Arial" w:hAnsi="Arial"/>
                <w:sz w:val="18"/>
                <w:szCs w:val="18"/>
                <w:color w:val="0000FF"/>
              </w:rPr>
            </w:pPr>
            <w:hyperlink r:id="rId58">
              <w:r>
                <w:rPr>
                  <w:rFonts w:ascii="Arial" w:cs="Arial" w:eastAsia="Arial" w:hAnsi="Arial"/>
                  <w:sz w:val="18"/>
                  <w:szCs w:val="18"/>
                  <w:color w:val="0000FF"/>
                </w:rPr>
                <w:t>Form of 4.000% Senior Notes due 2031 (included in Exhibit 4.1)</w:t>
              </w:r>
            </w:hyperlink>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March 17,</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Borders>
              <w:top w:val="single" w:sz="8" w:color="0000FF"/>
            </w:tcBorders>
          </w:tcPr>
          <w:p>
            <w:pPr>
              <w:spacing w:after="0"/>
              <w:rPr>
                <w:sz w:val="16"/>
                <w:szCs w:val="16"/>
                <w:color w:val="auto"/>
              </w:rPr>
            </w:pPr>
          </w:p>
        </w:tc>
        <w:tc>
          <w:tcPr>
            <w:tcW w:w="9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920" w:type="dxa"/>
            <w:vAlign w:val="bottom"/>
            <w:tcBorders>
              <w:top w:val="single" w:sz="8" w:color="0000FF"/>
            </w:tcBorders>
          </w:tcPr>
          <w:p>
            <w:pPr>
              <w:spacing w:after="0"/>
              <w:rPr>
                <w:sz w:val="16"/>
                <w:szCs w:val="16"/>
                <w:color w:val="auto"/>
              </w:rPr>
            </w:pPr>
          </w:p>
        </w:tc>
        <w:tc>
          <w:tcPr>
            <w:tcW w:w="1100" w:type="dxa"/>
            <w:vAlign w:val="bottom"/>
            <w:tcBorders>
              <w:top w:val="single" w:sz="8" w:color="0000FF"/>
            </w:tcBorders>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8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4.1(c)</w:t>
            </w:r>
          </w:p>
        </w:tc>
        <w:tc>
          <w:tcPr>
            <w:tcW w:w="20" w:type="dxa"/>
            <w:vAlign w:val="bottom"/>
          </w:tcPr>
          <w:p>
            <w:pPr>
              <w:spacing w:after="0"/>
              <w:rPr>
                <w:sz w:val="16"/>
                <w:szCs w:val="16"/>
                <w:color w:val="auto"/>
              </w:rPr>
            </w:pPr>
          </w:p>
        </w:tc>
        <w:tc>
          <w:tcPr>
            <w:tcW w:w="6080" w:type="dxa"/>
            <w:vAlign w:val="bottom"/>
            <w:gridSpan w:val="23"/>
          </w:tcPr>
          <w:p>
            <w:pPr>
              <w:spacing w:after="0" w:line="190" w:lineRule="exact"/>
              <w:rPr>
                <w:rFonts w:ascii="Arial" w:cs="Arial" w:eastAsia="Arial" w:hAnsi="Arial"/>
                <w:sz w:val="18"/>
                <w:szCs w:val="18"/>
                <w:color w:val="0000FF"/>
                <w:w w:val="95"/>
              </w:rPr>
            </w:pPr>
            <w:hyperlink r:id="rId59">
              <w:r>
                <w:rPr>
                  <w:rFonts w:ascii="Arial" w:cs="Arial" w:eastAsia="Arial" w:hAnsi="Arial"/>
                  <w:sz w:val="18"/>
                  <w:szCs w:val="18"/>
                  <w:color w:val="0000FF"/>
                  <w:w w:val="95"/>
                </w:rPr>
                <w:t>Registration Rights Agreement, dated as of March 17, 2021, by and among The</w:t>
              </w:r>
            </w:hyperlink>
          </w:p>
        </w:tc>
        <w:tc>
          <w:tcPr>
            <w:tcW w:w="82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8-K</w:t>
            </w:r>
          </w:p>
        </w:tc>
        <w:tc>
          <w:tcPr>
            <w:tcW w:w="840" w:type="dxa"/>
            <w:vAlign w:val="bottom"/>
          </w:tcPr>
          <w:p>
            <w:pPr>
              <w:jc w:val="right"/>
              <w:spacing w:after="0" w:line="190"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6"/>
                <w:szCs w:val="16"/>
                <w:color w:val="auto"/>
              </w:rPr>
            </w:pPr>
          </w:p>
        </w:tc>
        <w:tc>
          <w:tcPr>
            <w:tcW w:w="1160" w:type="dxa"/>
            <w:vAlign w:val="bottom"/>
            <w:gridSpan w:val="2"/>
          </w:tcPr>
          <w:p>
            <w:pPr>
              <w:jc w:val="right"/>
              <w:ind w:right="120"/>
              <w:spacing w:after="0" w:line="190" w:lineRule="exact"/>
              <w:rPr>
                <w:sz w:val="20"/>
                <w:szCs w:val="20"/>
                <w:color w:val="auto"/>
              </w:rPr>
            </w:pPr>
            <w:r>
              <w:rPr>
                <w:rFonts w:ascii="Arial" w:cs="Arial" w:eastAsia="Arial" w:hAnsi="Arial"/>
                <w:sz w:val="18"/>
                <w:szCs w:val="18"/>
                <w:color w:val="auto"/>
              </w:rPr>
              <w:t>March 17,</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40" w:type="dxa"/>
            <w:vAlign w:val="bottom"/>
            <w:tcBorders>
              <w:top w:val="single" w:sz="8" w:color="0000FF"/>
            </w:tcBorders>
            <w:gridSpan w:val="17"/>
          </w:tcPr>
          <w:p>
            <w:pPr>
              <w:spacing w:after="0" w:line="169" w:lineRule="exact"/>
              <w:rPr>
                <w:rFonts w:ascii="Arial" w:cs="Arial" w:eastAsia="Arial" w:hAnsi="Arial"/>
                <w:sz w:val="18"/>
                <w:szCs w:val="18"/>
                <w:color w:val="0000FF"/>
                <w:w w:val="93"/>
              </w:rPr>
            </w:pPr>
            <w:hyperlink r:id="rId59">
              <w:r>
                <w:rPr>
                  <w:rFonts w:ascii="Arial" w:cs="Arial" w:eastAsia="Arial" w:hAnsi="Arial"/>
                  <w:sz w:val="18"/>
                  <w:szCs w:val="18"/>
                  <w:color w:val="0000FF"/>
                  <w:w w:val="93"/>
                </w:rPr>
                <w:t>Scotts Miracle-Gro Company, the guarantors named therein and J.P. Morgan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60" w:type="dxa"/>
            <w:vAlign w:val="bottom"/>
            <w:tcBorders>
              <w:bottom w:val="single" w:sz="8" w:color="0000FF"/>
            </w:tcBorders>
            <w:gridSpan w:val="18"/>
          </w:tcPr>
          <w:p>
            <w:pPr>
              <w:spacing w:after="0" w:line="169" w:lineRule="exact"/>
              <w:rPr>
                <w:rFonts w:ascii="Arial" w:cs="Arial" w:eastAsia="Arial" w:hAnsi="Arial"/>
                <w:sz w:val="18"/>
                <w:szCs w:val="18"/>
                <w:color w:val="0000FF"/>
                <w:w w:val="89"/>
              </w:rPr>
            </w:pPr>
            <w:hyperlink r:id="rId59">
              <w:r>
                <w:rPr>
                  <w:rFonts w:ascii="Arial" w:cs="Arial" w:eastAsia="Arial" w:hAnsi="Arial"/>
                  <w:sz w:val="18"/>
                  <w:szCs w:val="18"/>
                  <w:color w:val="0000FF"/>
                  <w:w w:val="89"/>
                </w:rPr>
                <w:t>Securities LLC, as representative of the several initial purchasers named therein</w:t>
              </w:r>
            </w:hyperlink>
          </w:p>
        </w:tc>
        <w:tc>
          <w:tcPr>
            <w:tcW w:w="320" w:type="dxa"/>
            <w:vAlign w:val="bottom"/>
            <w:gridSpan w:val="5"/>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23"/>
          </w:tcPr>
          <w:p>
            <w:pPr>
              <w:spacing w:after="0"/>
              <w:rPr>
                <w:rFonts w:ascii="Arial" w:cs="Arial" w:eastAsia="Arial" w:hAnsi="Arial"/>
                <w:sz w:val="18"/>
                <w:szCs w:val="18"/>
                <w:color w:val="0000FF"/>
                <w:w w:val="95"/>
              </w:rPr>
            </w:pPr>
            <w:hyperlink w:anchor="page48">
              <w:r>
                <w:rPr>
                  <w:rFonts w:ascii="Arial" w:cs="Arial" w:eastAsia="Arial" w:hAnsi="Arial"/>
                  <w:sz w:val="18"/>
                  <w:szCs w:val="18"/>
                  <w:color w:val="0000FF"/>
                  <w:w w:val="95"/>
                </w:rPr>
                <w:t>Third Supplemental Indenture, dated March 29, 2021, by and among The Scotts</w:t>
              </w:r>
            </w:hyperlink>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60" w:type="dxa"/>
            <w:vAlign w:val="bottom"/>
            <w:tcBorders>
              <w:top w:val="single" w:sz="8" w:color="0000FF"/>
            </w:tcBorders>
            <w:gridSpan w:val="18"/>
          </w:tcPr>
          <w:p>
            <w:pPr>
              <w:spacing w:after="0" w:line="169" w:lineRule="exact"/>
              <w:rPr>
                <w:rFonts w:ascii="Arial" w:cs="Arial" w:eastAsia="Arial" w:hAnsi="Arial"/>
                <w:sz w:val="18"/>
                <w:szCs w:val="18"/>
                <w:color w:val="0000FF"/>
                <w:w w:val="97"/>
              </w:rPr>
            </w:pPr>
            <w:hyperlink w:anchor="page48">
              <w:r>
                <w:rPr>
                  <w:rFonts w:ascii="Arial" w:cs="Arial" w:eastAsia="Arial" w:hAnsi="Arial"/>
                  <w:sz w:val="18"/>
                  <w:szCs w:val="18"/>
                  <w:color w:val="0000FF"/>
                  <w:w w:val="97"/>
                </w:rPr>
                <w:t>Miracle-Gro Company, the Guarantors (as defined therein) and U.S. Bank</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0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w w:val="90"/>
              </w:rPr>
            </w:pPr>
            <w:hyperlink w:anchor="page48">
              <w:r>
                <w:rPr>
                  <w:rFonts w:ascii="Arial" w:cs="Arial" w:eastAsia="Arial" w:hAnsi="Arial"/>
                  <w:sz w:val="18"/>
                  <w:szCs w:val="18"/>
                  <w:color w:val="0000FF"/>
                  <w:w w:val="90"/>
                </w:rPr>
                <w:t>National Association, as trustee, with respect to the 5.250% Senior Notes</w:t>
              </w:r>
            </w:hyperlink>
          </w:p>
        </w:tc>
        <w:tc>
          <w:tcPr>
            <w:tcW w:w="2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23"/>
          </w:tcPr>
          <w:p>
            <w:pPr>
              <w:spacing w:after="0"/>
              <w:rPr>
                <w:rFonts w:ascii="Arial" w:cs="Arial" w:eastAsia="Arial" w:hAnsi="Arial"/>
                <w:sz w:val="18"/>
                <w:szCs w:val="18"/>
                <w:color w:val="0000FF"/>
                <w:w w:val="92"/>
              </w:rPr>
            </w:pPr>
            <w:hyperlink w:anchor="page54">
              <w:r>
                <w:rPr>
                  <w:rFonts w:ascii="Arial" w:cs="Arial" w:eastAsia="Arial" w:hAnsi="Arial"/>
                  <w:sz w:val="18"/>
                  <w:szCs w:val="18"/>
                  <w:color w:val="0000FF"/>
                  <w:w w:val="92"/>
                </w:rPr>
                <w:t>Second Supplemental Indenture, dated March 29, 2021, by and among The Scotts</w:t>
              </w:r>
            </w:hyperlink>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tcBorders>
              <w:top w:val="single" w:sz="8" w:color="0000FF"/>
            </w:tcBorders>
            <w:gridSpan w:val="21"/>
          </w:tcPr>
          <w:p>
            <w:pPr>
              <w:spacing w:after="0" w:line="169" w:lineRule="exact"/>
              <w:rPr>
                <w:rFonts w:ascii="Arial" w:cs="Arial" w:eastAsia="Arial" w:hAnsi="Arial"/>
                <w:sz w:val="18"/>
                <w:szCs w:val="18"/>
                <w:color w:val="0000FF"/>
                <w:w w:val="99"/>
              </w:rPr>
            </w:pPr>
            <w:hyperlink w:anchor="page54">
              <w:r>
                <w:rPr>
                  <w:rFonts w:ascii="Arial" w:cs="Arial" w:eastAsia="Arial" w:hAnsi="Arial"/>
                  <w:sz w:val="18"/>
                  <w:szCs w:val="18"/>
                  <w:color w:val="0000FF"/>
                  <w:w w:val="99"/>
                </w:rPr>
                <w:t>Miracle-Gro Company, the Guarantors (as defined therein) and U.S. Bank</w:t>
              </w:r>
            </w:hyperlink>
          </w:p>
        </w:tc>
        <w:tc>
          <w:tcPr>
            <w:tcW w:w="20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8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0"/>
              </w:rPr>
            </w:pPr>
            <w:hyperlink w:anchor="page54">
              <w:r>
                <w:rPr>
                  <w:rFonts w:ascii="Arial" w:cs="Arial" w:eastAsia="Arial" w:hAnsi="Arial"/>
                  <w:sz w:val="18"/>
                  <w:szCs w:val="18"/>
                  <w:color w:val="0000FF"/>
                  <w:w w:val="90"/>
                </w:rPr>
                <w:t>National Association, as trustee, with respect to the 4.500% Senior Notes</w:t>
              </w:r>
            </w:hyperlink>
          </w:p>
        </w:tc>
        <w:tc>
          <w:tcPr>
            <w:tcW w:w="40" w:type="dxa"/>
            <w:vAlign w:val="bottom"/>
            <w:tcBorders>
              <w:top w:val="single" w:sz="8" w:color="0000FF"/>
            </w:tcBorders>
            <w:gridSpan w:val="2"/>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23"/>
          </w:tcPr>
          <w:p>
            <w:pPr>
              <w:spacing w:after="0"/>
              <w:rPr>
                <w:rFonts w:ascii="Arial" w:cs="Arial" w:eastAsia="Arial" w:hAnsi="Arial"/>
                <w:sz w:val="18"/>
                <w:szCs w:val="18"/>
                <w:color w:val="0000FF"/>
                <w:w w:val="99"/>
              </w:rPr>
            </w:pPr>
            <w:hyperlink r:id="rId60">
              <w:r>
                <w:rPr>
                  <w:rFonts w:ascii="Arial" w:cs="Arial" w:eastAsia="Arial" w:hAnsi="Arial"/>
                  <w:sz w:val="18"/>
                  <w:szCs w:val="18"/>
                  <w:color w:val="0000FF"/>
                  <w:w w:val="99"/>
                </w:rPr>
                <w:t>Separation Agreement and Release of All Claims, effective as of January 22,</w:t>
              </w:r>
            </w:hyperlink>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January 28,</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00" w:type="dxa"/>
            <w:vAlign w:val="bottom"/>
            <w:tcBorders>
              <w:bottom w:val="single" w:sz="8" w:color="0000FF"/>
            </w:tcBorders>
            <w:gridSpan w:val="15"/>
          </w:tcPr>
          <w:p>
            <w:pPr>
              <w:spacing w:after="0" w:line="169" w:lineRule="exact"/>
              <w:rPr>
                <w:rFonts w:ascii="Arial" w:cs="Arial" w:eastAsia="Arial" w:hAnsi="Arial"/>
                <w:sz w:val="18"/>
                <w:szCs w:val="18"/>
                <w:color w:val="0000FF"/>
                <w:w w:val="89"/>
              </w:rPr>
            </w:pPr>
            <w:hyperlink r:id="rId60">
              <w:r>
                <w:rPr>
                  <w:rFonts w:ascii="Arial" w:cs="Arial" w:eastAsia="Arial" w:hAnsi="Arial"/>
                  <w:sz w:val="18"/>
                  <w:szCs w:val="18"/>
                  <w:color w:val="0000FF"/>
                  <w:w w:val="89"/>
                </w:rPr>
                <w:t>2021, by and between The Scotts Company LLC and Thomas Randal Coleman</w:t>
              </w:r>
            </w:hyperlink>
          </w:p>
        </w:tc>
        <w:tc>
          <w:tcPr>
            <w:tcW w:w="380" w:type="dxa"/>
            <w:vAlign w:val="bottom"/>
            <w:gridSpan w:val="8"/>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23"/>
          </w:tcPr>
          <w:p>
            <w:pPr>
              <w:spacing w:after="0"/>
              <w:rPr>
                <w:rFonts w:ascii="Arial" w:cs="Arial" w:eastAsia="Arial" w:hAnsi="Arial"/>
                <w:sz w:val="18"/>
                <w:szCs w:val="18"/>
                <w:color w:val="0000FF"/>
                <w:w w:val="98"/>
              </w:rPr>
            </w:pPr>
            <w:hyperlink r:id="rId61">
              <w:r>
                <w:rPr>
                  <w:rFonts w:ascii="Arial" w:cs="Arial" w:eastAsia="Arial" w:hAnsi="Arial"/>
                  <w:sz w:val="18"/>
                  <w:szCs w:val="18"/>
                  <w:color w:val="0000FF"/>
                  <w:w w:val="98"/>
                </w:rPr>
                <w:t>Purchase Agreement, dated as of March 11, 2021, by and among The Scotts</w:t>
              </w:r>
            </w:hyperlink>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March 17,</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80" w:type="dxa"/>
            <w:vAlign w:val="bottom"/>
            <w:gridSpan w:val="23"/>
          </w:tcPr>
          <w:p>
            <w:pPr>
              <w:spacing w:after="0" w:line="169" w:lineRule="exact"/>
              <w:rPr>
                <w:rFonts w:ascii="Arial" w:cs="Arial" w:eastAsia="Arial" w:hAnsi="Arial"/>
                <w:sz w:val="18"/>
                <w:szCs w:val="18"/>
                <w:color w:val="0000FF"/>
                <w:w w:val="94"/>
              </w:rPr>
            </w:pPr>
            <w:hyperlink r:id="rId61">
              <w:r>
                <w:rPr>
                  <w:rFonts w:ascii="Arial" w:cs="Arial" w:eastAsia="Arial" w:hAnsi="Arial"/>
                  <w:sz w:val="18"/>
                  <w:szCs w:val="18"/>
                  <w:color w:val="0000FF"/>
                  <w:w w:val="94"/>
                </w:rPr>
                <w:t>Miracle-Gro Company, the guarantors named therein and J.P. Morgan Securities</w:t>
              </w:r>
            </w:hyperlink>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89"/>
              </w:rPr>
            </w:pPr>
            <w:hyperlink r:id="rId61">
              <w:r>
                <w:rPr>
                  <w:rFonts w:ascii="Arial" w:cs="Arial" w:eastAsia="Arial" w:hAnsi="Arial"/>
                  <w:sz w:val="18"/>
                  <w:szCs w:val="18"/>
                  <w:color w:val="0000FF"/>
                  <w:w w:val="89"/>
                </w:rPr>
                <w:t>LLC, as representative of the several initial purchasers named therein</w:t>
              </w:r>
            </w:hyperlink>
          </w:p>
        </w:tc>
        <w:tc>
          <w:tcPr>
            <w:tcW w:w="800" w:type="dxa"/>
            <w:vAlign w:val="bottom"/>
            <w:tcBorders>
              <w:top w:val="single" w:sz="8" w:color="0000FF"/>
            </w:tcBorders>
            <w:gridSpan w:val="12"/>
          </w:tcPr>
          <w:p>
            <w:pPr>
              <w:spacing w:after="0"/>
              <w:rPr>
                <w:sz w:val="14"/>
                <w:szCs w:val="14"/>
                <w:color w:val="auto"/>
              </w:rPr>
            </w:pPr>
          </w:p>
        </w:tc>
        <w:tc>
          <w:tcPr>
            <w:tcW w:w="28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23"/>
          </w:tcPr>
          <w:p>
            <w:pPr>
              <w:spacing w:after="0"/>
              <w:rPr>
                <w:rFonts w:ascii="Arial" w:cs="Arial" w:eastAsia="Arial" w:hAnsi="Arial"/>
                <w:sz w:val="18"/>
                <w:szCs w:val="18"/>
                <w:color w:val="0000FF"/>
                <w:w w:val="95"/>
              </w:rPr>
            </w:pPr>
            <w:hyperlink w:anchor="page60">
              <w:r>
                <w:rPr>
                  <w:rFonts w:ascii="Arial" w:cs="Arial" w:eastAsia="Arial" w:hAnsi="Arial"/>
                  <w:sz w:val="18"/>
                  <w:szCs w:val="18"/>
                  <w:color w:val="0000FF"/>
                  <w:w w:val="95"/>
                </w:rPr>
                <w:t>Consulting Agreement, dated February 15, 2021, between The Scotts Company</w:t>
              </w:r>
            </w:hyperlink>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2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w:anchor="page60">
              <w:r>
                <w:rPr>
                  <w:rFonts w:ascii="Arial" w:cs="Arial" w:eastAsia="Arial" w:hAnsi="Arial"/>
                  <w:sz w:val="18"/>
                  <w:szCs w:val="18"/>
                  <w:color w:val="0000FF"/>
                </w:rPr>
                <w:t>LLC and Hanft Ideas</w:t>
              </w:r>
            </w:hyperlink>
          </w:p>
        </w:tc>
        <w:tc>
          <w:tcPr>
            <w:tcW w:w="60" w:type="dxa"/>
            <w:vAlign w:val="bottom"/>
            <w:gridSpan w:val="3"/>
          </w:tcPr>
          <w:p>
            <w:pPr>
              <w:spacing w:after="0"/>
              <w:rPr>
                <w:sz w:val="14"/>
                <w:szCs w:val="14"/>
                <w:color w:val="auto"/>
              </w:rPr>
            </w:pPr>
          </w:p>
        </w:tc>
        <w:tc>
          <w:tcPr>
            <w:tcW w:w="300" w:type="dxa"/>
            <w:vAlign w:val="bottom"/>
            <w:gridSpan w:val="4"/>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11"/>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tcPr>
          <w:p>
            <w:pPr>
              <w:ind w:left="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8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66">
              <w:r>
                <w:rPr>
                  <w:rFonts w:ascii="Arial" w:cs="Arial" w:eastAsia="Arial" w:hAnsi="Arial"/>
                  <w:sz w:val="18"/>
                  <w:szCs w:val="18"/>
                  <w:color w:val="0000FF"/>
                  <w:w w:val="91"/>
                </w:rPr>
                <w:t>Subsidiaries of The Scotts Miracle-Gro Company</w:t>
              </w:r>
            </w:hyperlink>
          </w:p>
        </w:tc>
        <w:tc>
          <w:tcPr>
            <w:tcW w:w="2500" w:type="dxa"/>
            <w:vAlign w:val="bottom"/>
            <w:gridSpan w:val="18"/>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0"/>
        </w:trPr>
        <w:tc>
          <w:tcPr>
            <w:tcW w:w="1080" w:type="dxa"/>
            <w:vAlign w:val="bottom"/>
          </w:tcPr>
          <w:p>
            <w:pPr>
              <w:ind w:left="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Guarantor Subsidiaries</w:t>
              </w:r>
            </w:hyperlink>
          </w:p>
        </w:tc>
        <w:tc>
          <w:tcPr>
            <w:tcW w:w="4420" w:type="dxa"/>
            <w:vAlign w:val="bottom"/>
            <w:gridSpan w:val="19"/>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0"/>
        </w:trPr>
        <w:tc>
          <w:tcPr>
            <w:tcW w:w="108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80" w:type="dxa"/>
            <w:vAlign w:val="bottom"/>
            <w:gridSpan w:val="23"/>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Rule 13a-14(a)/15d-14(a) Certifications (Principal Executive Officer)</w:t>
              </w:r>
            </w:hyperlink>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9"/>
        </w:trPr>
        <w:tc>
          <w:tcPr>
            <w:tcW w:w="108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6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2"/>
              </w:rPr>
            </w:pPr>
            <w:hyperlink w:anchor="page70">
              <w:r>
                <w:rPr>
                  <w:rFonts w:ascii="Arial" w:cs="Arial" w:eastAsia="Arial" w:hAnsi="Arial"/>
                  <w:sz w:val="18"/>
                  <w:szCs w:val="18"/>
                  <w:color w:val="0000FF"/>
                  <w:w w:val="92"/>
                </w:rPr>
                <w:t>Rule 13a-14(a)/15d-14(a) Certifications (Principal Financial Officer)</w:t>
              </w:r>
            </w:hyperlink>
          </w:p>
        </w:tc>
        <w:tc>
          <w:tcPr>
            <w:tcW w:w="40" w:type="dxa"/>
            <w:vAlign w:val="bottom"/>
            <w:tcBorders>
              <w:top w:val="single" w:sz="8" w:color="0000FF"/>
            </w:tcBorders>
          </w:tcPr>
          <w:p>
            <w:pPr>
              <w:spacing w:after="0"/>
              <w:rPr>
                <w:sz w:val="18"/>
                <w:szCs w:val="18"/>
                <w:color w:val="auto"/>
              </w:rPr>
            </w:pPr>
          </w:p>
        </w:tc>
        <w:tc>
          <w:tcPr>
            <w:tcW w:w="1080" w:type="dxa"/>
            <w:vAlign w:val="bottom"/>
            <w:gridSpan w:val="15"/>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9"/>
        </w:trPr>
        <w:tc>
          <w:tcPr>
            <w:tcW w:w="108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80" w:type="dxa"/>
            <w:vAlign w:val="bottom"/>
            <w:gridSpan w:val="23"/>
          </w:tcPr>
          <w:p>
            <w:pPr>
              <w:spacing w:after="0"/>
              <w:rPr>
                <w:rFonts w:ascii="Arial" w:cs="Arial" w:eastAsia="Arial" w:hAnsi="Arial"/>
                <w:sz w:val="18"/>
                <w:szCs w:val="18"/>
                <w:color w:val="0000FF"/>
                <w:w w:val="97"/>
              </w:rPr>
            </w:pPr>
            <w:hyperlink w:anchor="page71">
              <w:r>
                <w:rPr>
                  <w:rFonts w:ascii="Arial" w:cs="Arial" w:eastAsia="Arial" w:hAnsi="Arial"/>
                  <w:sz w:val="18"/>
                  <w:szCs w:val="18"/>
                  <w:color w:val="0000FF"/>
                  <w:w w:val="97"/>
                </w:rPr>
                <w:t>Section 1350 Certifications (Principal Executive Officer and Principal Financial</w:t>
              </w:r>
            </w:hyperlink>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w:anchor="page71">
              <w:r>
                <w:rPr>
                  <w:rFonts w:ascii="Arial" w:cs="Arial" w:eastAsia="Arial" w:hAnsi="Arial"/>
                  <w:sz w:val="18"/>
                  <w:szCs w:val="18"/>
                  <w:color w:val="0000FF"/>
                  <w:w w:val="94"/>
                </w:rPr>
                <w:t>Officer)</w:t>
              </w:r>
            </w:hyperlink>
          </w:p>
        </w:tc>
        <w:tc>
          <w:tcPr>
            <w:tcW w:w="5200" w:type="dxa"/>
            <w:vAlign w:val="bottom"/>
            <w:tcBorders>
              <w:top w:val="single" w:sz="8" w:color="0000FF"/>
            </w:tcBorders>
            <w:gridSpan w:val="18"/>
          </w:tcPr>
          <w:p>
            <w:pPr>
              <w:spacing w:after="0"/>
              <w:rPr>
                <w:sz w:val="13"/>
                <w:szCs w:val="13"/>
                <w:color w:val="auto"/>
              </w:rPr>
            </w:pPr>
          </w:p>
        </w:tc>
        <w:tc>
          <w:tcPr>
            <w:tcW w:w="300" w:type="dxa"/>
            <w:vAlign w:val="bottom"/>
            <w:gridSpan w:val="4"/>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1"/>
                <w:szCs w:val="21"/>
                <w:color w:val="auto"/>
              </w:rPr>
            </w:pPr>
          </w:p>
        </w:tc>
        <w:tc>
          <w:tcPr>
            <w:tcW w:w="6080" w:type="dxa"/>
            <w:vAlign w:val="bottom"/>
            <w:gridSpan w:val="23"/>
          </w:tcPr>
          <w:p>
            <w:pPr>
              <w:spacing w:after="0"/>
              <w:rPr>
                <w:sz w:val="20"/>
                <w:szCs w:val="20"/>
                <w:color w:val="auto"/>
              </w:rPr>
            </w:pPr>
            <w:r>
              <w:rPr>
                <w:rFonts w:ascii="Arial" w:cs="Arial" w:eastAsia="Arial" w:hAnsi="Arial"/>
                <w:sz w:val="18"/>
                <w:szCs w:val="18"/>
                <w:color w:val="auto"/>
              </w:rPr>
              <w:t>XBRL Taxonomy Extension Schema</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6080" w:type="dxa"/>
            <w:vAlign w:val="bottom"/>
            <w:gridSpan w:val="23"/>
          </w:tcPr>
          <w:p>
            <w:pPr>
              <w:spacing w:after="0"/>
              <w:rPr>
                <w:sz w:val="20"/>
                <w:szCs w:val="20"/>
                <w:color w:val="auto"/>
              </w:rPr>
            </w:pPr>
            <w:r>
              <w:rPr>
                <w:rFonts w:ascii="Arial" w:cs="Arial" w:eastAsia="Arial" w:hAnsi="Arial"/>
                <w:sz w:val="18"/>
                <w:szCs w:val="18"/>
                <w:color w:val="auto"/>
              </w:rPr>
              <w:t>XBRL Taxonomy Extension Calculation Linkbase</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6080" w:type="dxa"/>
            <w:vAlign w:val="bottom"/>
            <w:gridSpan w:val="23"/>
          </w:tcPr>
          <w:p>
            <w:pPr>
              <w:spacing w:after="0"/>
              <w:rPr>
                <w:sz w:val="20"/>
                <w:szCs w:val="20"/>
                <w:color w:val="auto"/>
              </w:rPr>
            </w:pPr>
            <w:r>
              <w:rPr>
                <w:rFonts w:ascii="Arial" w:cs="Arial" w:eastAsia="Arial" w:hAnsi="Arial"/>
                <w:sz w:val="18"/>
                <w:szCs w:val="18"/>
                <w:color w:val="auto"/>
              </w:rPr>
              <w:t>XBRL Taxonomy Extension Definition Linkbase</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6080" w:type="dxa"/>
            <w:vAlign w:val="bottom"/>
            <w:gridSpan w:val="23"/>
          </w:tcPr>
          <w:p>
            <w:pPr>
              <w:spacing w:after="0"/>
              <w:rPr>
                <w:sz w:val="20"/>
                <w:szCs w:val="20"/>
                <w:color w:val="auto"/>
              </w:rPr>
            </w:pPr>
            <w:r>
              <w:rPr>
                <w:rFonts w:ascii="Arial" w:cs="Arial" w:eastAsia="Arial" w:hAnsi="Arial"/>
                <w:sz w:val="18"/>
                <w:szCs w:val="18"/>
                <w:color w:val="auto"/>
              </w:rPr>
              <w:t>XBRL Taxonomy Extension Label Linkbase</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6080" w:type="dxa"/>
            <w:vAlign w:val="bottom"/>
            <w:gridSpan w:val="23"/>
          </w:tcPr>
          <w:p>
            <w:pPr>
              <w:spacing w:after="0"/>
              <w:rPr>
                <w:sz w:val="20"/>
                <w:szCs w:val="20"/>
                <w:color w:val="auto"/>
              </w:rPr>
            </w:pPr>
            <w:r>
              <w:rPr>
                <w:rFonts w:ascii="Arial" w:cs="Arial" w:eastAsia="Arial" w:hAnsi="Arial"/>
                <w:sz w:val="18"/>
                <w:szCs w:val="18"/>
                <w:color w:val="auto"/>
              </w:rPr>
              <w:t>XBRL Taxonomy Extension Presentation Linkbase</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6"/>
        </w:trPr>
        <w:tc>
          <w:tcPr>
            <w:tcW w:w="1080" w:type="dxa"/>
            <w:vAlign w:val="bottom"/>
          </w:tcPr>
          <w:p>
            <w:pPr>
              <w:ind w:left="20"/>
              <w:spacing w:after="0" w:line="176"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80" w:type="dxa"/>
            <w:vAlign w:val="bottom"/>
            <w:gridSpan w:val="23"/>
          </w:tcPr>
          <w:p>
            <w:pPr>
              <w:spacing w:after="0" w:line="176" w:lineRule="exact"/>
              <w:rPr>
                <w:sz w:val="20"/>
                <w:szCs w:val="20"/>
                <w:color w:val="auto"/>
              </w:rPr>
            </w:pPr>
            <w:r>
              <w:rPr>
                <w:rFonts w:ascii="Arial" w:cs="Arial" w:eastAsia="Arial" w:hAnsi="Arial"/>
                <w:sz w:val="18"/>
                <w:szCs w:val="18"/>
                <w:color w:val="auto"/>
                <w:w w:val="99"/>
              </w:rPr>
              <w:t>Cover Page Interactive Data File (formatted as Inline XBRL and contained in</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80" w:type="dxa"/>
            <w:vAlign w:val="bottom"/>
            <w:gridSpan w:val="23"/>
          </w:tcPr>
          <w:p>
            <w:pPr>
              <w:spacing w:after="0"/>
              <w:rPr>
                <w:sz w:val="20"/>
                <w:szCs w:val="20"/>
                <w:color w:val="auto"/>
              </w:rPr>
            </w:pPr>
            <w:r>
              <w:rPr>
                <w:rFonts w:ascii="Arial" w:cs="Arial" w:eastAsia="Arial" w:hAnsi="Arial"/>
                <w:sz w:val="18"/>
                <w:szCs w:val="18"/>
                <w:color w:val="auto"/>
              </w:rPr>
              <w:t>Exhibit 101)</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THE SCOTTS MIRACLE-GRO COMPANY</w:t>
            </w:r>
          </w:p>
        </w:tc>
      </w:tr>
      <w:tr>
        <w:trPr>
          <w:trHeight w:val="499"/>
        </w:trPr>
        <w:tc>
          <w:tcPr>
            <w:tcW w:w="5720" w:type="dxa"/>
            <w:vAlign w:val="bottom"/>
          </w:tcPr>
          <w:p>
            <w:pPr>
              <w:spacing w:after="0"/>
              <w:rPr>
                <w:sz w:val="20"/>
                <w:szCs w:val="20"/>
                <w:color w:val="auto"/>
              </w:rPr>
            </w:pPr>
            <w:r>
              <w:rPr>
                <w:rFonts w:ascii="Arial" w:cs="Arial" w:eastAsia="Arial" w:hAnsi="Arial"/>
                <w:sz w:val="18"/>
                <w:szCs w:val="18"/>
                <w:color w:val="auto"/>
              </w:rPr>
              <w:t>Date: May 12, 2021</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CORY J. MILLER</w:t>
            </w:r>
          </w:p>
        </w:tc>
      </w:tr>
      <w:tr>
        <w:trPr>
          <w:trHeight w:val="222"/>
        </w:trPr>
        <w:tc>
          <w:tcPr>
            <w:tcW w:w="572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Printed Name: Cory J. Miller</w:t>
            </w:r>
          </w:p>
        </w:tc>
      </w:tr>
      <w:tr>
        <w:trPr>
          <w:trHeight w:val="230"/>
        </w:trPr>
        <w:tc>
          <w:tcPr>
            <w:tcW w:w="572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Title: Senior Vice President and Interim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996950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825500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THE SCOTTS MIRACLE-GRO COMPANY, as Issuer</w:t>
      </w:r>
    </w:p>
    <w:p>
      <w:pPr>
        <w:spacing w:after="0" w:line="220"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THE GUARANTORS PARTY HERETO, as Guarantors</w:t>
      </w:r>
    </w:p>
    <w:p>
      <w:pPr>
        <w:spacing w:after="0" w:line="220"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U.S. BANK NATIONAL ASSOCIATION,</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_________________</w:t>
      </w:r>
    </w:p>
    <w:p>
      <w:pPr>
        <w:spacing w:after="0" w:line="112"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5.250% Senior Notes due 2026</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THIRD SUPPLEMENTAL INDENTURE DATED AS OF</w:t>
      </w:r>
    </w:p>
    <w:p>
      <w:pPr>
        <w:spacing w:after="0" w:line="25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March 29, 2021</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TO THE INDENTURE DATED AS OF</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December 15, 2016</w:t>
      </w:r>
    </w:p>
    <w:p>
      <w:pPr>
        <w:spacing w:after="0" w:line="220"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1207135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1035685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69"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22"/>
          <w:szCs w:val="22"/>
          <w:b w:val="1"/>
          <w:bCs w:val="1"/>
          <w:color w:val="auto"/>
        </w:rPr>
        <w:t>THIRD SUPPLEMENTAL INDENTURE</w:t>
      </w:r>
    </w:p>
    <w:p>
      <w:pPr>
        <w:spacing w:after="0" w:line="22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This THIRD SUPPLEMENTAL INDENTURE, dated as of March 29, 2021 (this “</w:t>
      </w:r>
      <w:r>
        <w:rPr>
          <w:rFonts w:ascii="Arial" w:cs="Arial" w:eastAsia="Arial" w:hAnsi="Arial"/>
          <w:sz w:val="19"/>
          <w:szCs w:val="19"/>
          <w:b w:val="1"/>
          <w:bCs w:val="1"/>
          <w:i w:val="1"/>
          <w:iCs w:val="1"/>
          <w:color w:val="auto"/>
        </w:rPr>
        <w:t>Third Supplemental Indenture</w:t>
      </w:r>
      <w:r>
        <w:rPr>
          <w:rFonts w:ascii="Arial" w:cs="Arial" w:eastAsia="Arial" w:hAnsi="Arial"/>
          <w:sz w:val="19"/>
          <w:szCs w:val="19"/>
          <w:color w:val="auto"/>
        </w:rPr>
        <w:t>”), is by and among The Scotts Miracle-Gro Company, an Ohio corporation (such corporation and any successor,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the existing Guarantors (as defined in the Indenture referred to herein) (the “</w:t>
      </w:r>
      <w:r>
        <w:rPr>
          <w:rFonts w:ascii="Arial" w:cs="Arial" w:eastAsia="Arial" w:hAnsi="Arial"/>
          <w:sz w:val="19"/>
          <w:szCs w:val="19"/>
          <w:b w:val="1"/>
          <w:bCs w:val="1"/>
          <w:i w:val="1"/>
          <w:iCs w:val="1"/>
          <w:color w:val="auto"/>
        </w:rPr>
        <w:t>Existing Guarantors</w:t>
      </w:r>
      <w:r>
        <w:rPr>
          <w:rFonts w:ascii="Arial" w:cs="Arial" w:eastAsia="Arial" w:hAnsi="Arial"/>
          <w:sz w:val="19"/>
          <w:szCs w:val="19"/>
          <w:color w:val="auto"/>
        </w:rPr>
        <w:t>”), AeroGrow International, Inc., a Nevada corporation (“</w:t>
      </w:r>
      <w:r>
        <w:rPr>
          <w:rFonts w:ascii="Arial" w:cs="Arial" w:eastAsia="Arial" w:hAnsi="Arial"/>
          <w:sz w:val="19"/>
          <w:szCs w:val="19"/>
          <w:b w:val="1"/>
          <w:bCs w:val="1"/>
          <w:i w:val="1"/>
          <w:iCs w:val="1"/>
          <w:color w:val="auto"/>
        </w:rPr>
        <w:t>Aero</w:t>
      </w:r>
      <w:r>
        <w:rPr>
          <w:rFonts w:ascii="Arial" w:cs="Arial" w:eastAsia="Arial" w:hAnsi="Arial"/>
          <w:sz w:val="19"/>
          <w:szCs w:val="19"/>
          <w:color w:val="auto"/>
        </w:rPr>
        <w:t>”), Scotts Live Goods Holdings, Inc., an Ohio corporation (“</w:t>
      </w:r>
      <w:r>
        <w:rPr>
          <w:rFonts w:ascii="Arial" w:cs="Arial" w:eastAsia="Arial" w:hAnsi="Arial"/>
          <w:sz w:val="19"/>
          <w:szCs w:val="19"/>
          <w:b w:val="1"/>
          <w:bCs w:val="1"/>
          <w:i w:val="1"/>
          <w:iCs w:val="1"/>
          <w:color w:val="auto"/>
        </w:rPr>
        <w:t>SLG</w:t>
      </w:r>
      <w:r>
        <w:rPr>
          <w:rFonts w:ascii="Arial" w:cs="Arial" w:eastAsia="Arial" w:hAnsi="Arial"/>
          <w:sz w:val="19"/>
          <w:szCs w:val="19"/>
          <w:color w:val="auto"/>
        </w:rPr>
        <w:t>,” and together with Aero, the “</w:t>
      </w:r>
      <w:r>
        <w:rPr>
          <w:rFonts w:ascii="Arial" w:cs="Arial" w:eastAsia="Arial" w:hAnsi="Arial"/>
          <w:sz w:val="19"/>
          <w:szCs w:val="19"/>
          <w:b w:val="1"/>
          <w:bCs w:val="1"/>
          <w:i w:val="1"/>
          <w:iCs w:val="1"/>
          <w:color w:val="auto"/>
        </w:rPr>
        <w:t>New</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Guarantors</w:t>
      </w:r>
      <w:r>
        <w:rPr>
          <w:rFonts w:ascii="Arial" w:cs="Arial" w:eastAsia="Arial" w:hAnsi="Arial"/>
          <w:sz w:val="19"/>
          <w:szCs w:val="19"/>
          <w:color w:val="auto"/>
        </w:rPr>
        <w:t>”), and U.S. Bank National Association, a national banking association, as trustee under the Indenture referred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herein (such corporation and any successor, the “</w:t>
      </w:r>
      <w:r>
        <w:rPr>
          <w:rFonts w:ascii="Arial" w:cs="Arial" w:eastAsia="Arial" w:hAnsi="Arial"/>
          <w:sz w:val="19"/>
          <w:szCs w:val="19"/>
          <w:b w:val="1"/>
          <w:bCs w:val="1"/>
          <w:i w:val="1"/>
          <w:iCs w:val="1"/>
          <w:color w:val="auto"/>
        </w:rPr>
        <w:t>Trustee</w:t>
      </w:r>
      <w:r>
        <w:rPr>
          <w:rFonts w:ascii="Arial" w:cs="Arial" w:eastAsia="Arial" w:hAnsi="Arial"/>
          <w:sz w:val="19"/>
          <w:szCs w:val="19"/>
          <w:color w:val="auto"/>
        </w:rPr>
        <w:t>”). The New Guarantors and the Existing Guarantors are sometimes referred to collectively herein as the “</w:t>
      </w:r>
      <w:r>
        <w:rPr>
          <w:rFonts w:ascii="Arial" w:cs="Arial" w:eastAsia="Arial" w:hAnsi="Arial"/>
          <w:sz w:val="19"/>
          <w:szCs w:val="19"/>
          <w:b w:val="1"/>
          <w:bCs w:val="1"/>
          <w:i w:val="1"/>
          <w:iCs w:val="1"/>
          <w:color w:val="auto"/>
        </w:rPr>
        <w:t>Guarantors</w:t>
      </w:r>
      <w:r>
        <w:rPr>
          <w:rFonts w:ascii="Arial" w:cs="Arial" w:eastAsia="Arial" w:hAnsi="Arial"/>
          <w:sz w:val="19"/>
          <w:szCs w:val="19"/>
          <w:color w:val="auto"/>
        </w:rPr>
        <w:t>,” or individually as a “</w:t>
      </w:r>
      <w:r>
        <w:rPr>
          <w:rFonts w:ascii="Arial" w:cs="Arial" w:eastAsia="Arial" w:hAnsi="Arial"/>
          <w:sz w:val="19"/>
          <w:szCs w:val="19"/>
          <w:b w:val="1"/>
          <w:bCs w:val="1"/>
          <w:i w:val="1"/>
          <w:iCs w:val="1"/>
          <w:color w:val="auto"/>
        </w:rPr>
        <w:t>Guarantor</w:t>
      </w:r>
      <w:r>
        <w:rPr>
          <w:rFonts w:ascii="Arial" w:cs="Arial" w:eastAsia="Arial" w:hAnsi="Arial"/>
          <w:sz w:val="19"/>
          <w:szCs w:val="19"/>
          <w:color w:val="auto"/>
        </w:rPr>
        <w:t>.” Capitalized terms not otherwise defined in this Third Supplemental Indenture will have the meanings given to them in the Indenture (as defined below).</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Company, the Existing Guarantors and the Trustee are parties to an indenture, dated as of December 15, 2016, as supplemented by that First Supplemental Indenture, dated as of July 17, 2018, and as further supplemented by that Second Supplemental Indenture, dated as of March 24, 2020 (the “</w:t>
      </w:r>
      <w:r>
        <w:rPr>
          <w:rFonts w:ascii="Arial" w:cs="Arial" w:eastAsia="Arial" w:hAnsi="Arial"/>
          <w:sz w:val="22"/>
          <w:szCs w:val="22"/>
          <w:b w:val="1"/>
          <w:bCs w:val="1"/>
          <w:i w:val="1"/>
          <w:iCs w:val="1"/>
          <w:color w:val="auto"/>
        </w:rPr>
        <w:t>Indenture</w:t>
      </w:r>
      <w:r>
        <w:rPr>
          <w:rFonts w:ascii="Arial" w:cs="Arial" w:eastAsia="Arial" w:hAnsi="Arial"/>
          <w:sz w:val="22"/>
          <w:szCs w:val="22"/>
          <w:color w:val="auto"/>
        </w:rPr>
        <w:t>”), relating to the Company’s 5.250% Senior Notes due 2026 (the “</w:t>
      </w:r>
      <w:r>
        <w:rPr>
          <w:rFonts w:ascii="Arial" w:cs="Arial" w:eastAsia="Arial" w:hAnsi="Arial"/>
          <w:sz w:val="22"/>
          <w:szCs w:val="22"/>
          <w:b w:val="1"/>
          <w:bCs w:val="1"/>
          <w:i w:val="1"/>
          <w:iCs w:val="1"/>
          <w:color w:val="auto"/>
        </w:rPr>
        <w:t>Securities</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pursuant to Section 9.01(5) of the Indenture, without the consent of any Holders, the Company, when authorized by a Board Resolution, and the Trustee, at any time and from time to time, may enter into one or more supplemental indentures, in form satisfactory to the Trustee, to add any Person as a Guarantor; and</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all conditions precedent provided for in the Indenture relating to this Third Supplemental Indenture have been complied with.</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New Guarantors, the Existing Guarantors, the Company and the Trustee mutually covenant and agree for the equal and ratable benefit of the Holders of the Securities as follows:</w:t>
      </w:r>
    </w:p>
    <w:p>
      <w:pPr>
        <w:spacing w:after="0" w:line="185"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Capitalized terms used herein without definition shall have the meanings assigned to them in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Indenture.</w:t>
      </w:r>
    </w:p>
    <w:p>
      <w:pPr>
        <w:spacing w:after="0" w:line="201" w:lineRule="exact"/>
        <w:rPr>
          <w:rFonts w:ascii="Arial" w:cs="Arial" w:eastAsia="Arial" w:hAnsi="Arial"/>
          <w:sz w:val="19"/>
          <w:szCs w:val="19"/>
          <w:color w:val="auto"/>
        </w:rPr>
      </w:pPr>
    </w:p>
    <w:p>
      <w:pPr>
        <w:jc w:val="both"/>
        <w:ind w:firstLine="656"/>
        <w:spacing w:after="0" w:line="294" w:lineRule="auto"/>
        <w:tabs>
          <w:tab w:leader="none" w:pos="1296"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Joinder of New Guarantors</w:t>
      </w:r>
      <w:r>
        <w:rPr>
          <w:rFonts w:ascii="Arial" w:cs="Arial" w:eastAsia="Arial" w:hAnsi="Arial"/>
          <w:sz w:val="19"/>
          <w:szCs w:val="19"/>
          <w:color w:val="auto"/>
        </w:rPr>
        <w:t>. The New Guarantors hereby join in the Indenture as a “Guarantor” thereunder. The New Guarantors hereby assume the duties and obligations of Guarantors under the Indenture. The New Guarantors agree to keep and perform all of the covenants, obligations and conditions of Guarantors under the Indenture, on the terms and subject to the conditions set forth in Article X of the Indenture, and to be bound by all other applicable provisions of the Indenture. Upon request from time to time by the Trustee, the New Guarantors shall execute and deliver to the Trustee a notation relating to the New Guarantors’ Guarantee, substantially in the form attached as Exhibit E to the Indenture.</w:t>
      </w:r>
    </w:p>
    <w:p>
      <w:pPr>
        <w:sectPr>
          <w:pgSz w:w="11900" w:h="16838" w:orient="portrait"/>
          <w:cols w:equalWidth="0" w:num="1">
            <w:col w:w="11240"/>
          </w:cols>
          <w:pgMar w:left="320" w:top="1422" w:right="339" w:bottom="1440" w:gutter="0" w:footer="0" w:header="0"/>
        </w:sectPr>
      </w:pPr>
    </w:p>
    <w:bookmarkStart w:id="49" w:name="page50"/>
    <w:bookmarkEnd w:id="49"/>
    <w:p>
      <w:pPr>
        <w:ind w:firstLine="656"/>
        <w:spacing w:after="0" w:line="263" w:lineRule="auto"/>
        <w:tabs>
          <w:tab w:leader="none" w:pos="1296"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Effect of Third Supplemental Indenture</w:t>
      </w:r>
      <w:r>
        <w:rPr>
          <w:rFonts w:ascii="Arial" w:cs="Arial" w:eastAsia="Arial" w:hAnsi="Arial"/>
          <w:sz w:val="22"/>
          <w:szCs w:val="22"/>
          <w:color w:val="auto"/>
        </w:rPr>
        <w:t>. Except as amended by this Third Supplemental Indenture, the terms and provisions of the Indenture shall remain in full force and effect.</w:t>
      </w:r>
    </w:p>
    <w:p>
      <w:pPr>
        <w:spacing w:after="0" w:line="174" w:lineRule="exact"/>
        <w:rPr>
          <w:rFonts w:ascii="Arial" w:cs="Arial" w:eastAsia="Arial" w:hAnsi="Arial"/>
          <w:sz w:val="22"/>
          <w:szCs w:val="22"/>
          <w:color w:val="auto"/>
        </w:rPr>
      </w:pPr>
    </w:p>
    <w:p>
      <w:pPr>
        <w:jc w:val="both"/>
        <w:ind w:firstLine="656"/>
        <w:spacing w:after="0" w:line="250" w:lineRule="auto"/>
        <w:tabs>
          <w:tab w:leader="none" w:pos="1296"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INTERNAL LAW OF THE STATE OF NEW YORK SHALL GOVERN AND BE USED TO CONSTRUE THIS THIRD SUPPLEMENTAL INDENTURE WITHOUT GIVING EFFECT TO APPLICABLE PRINCIPLES OF CONFLICTS OF LAW TO THE EXTENT THAT THE APPLICATION OF THE LAWS OF ANOTHER JURISDICTION WOULD BE REQUIRED THEREBY.</w:t>
      </w:r>
    </w:p>
    <w:p>
      <w:pPr>
        <w:spacing w:after="0" w:line="187"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sign any number of copies of this Third Supplemental Indenture. Each signed copy shall be an original, but all of them together represent the same agreement. This Third Supplemental Indenture may be executed in multiple counterparts which, when taken together, shall constitute one instrument.</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affect the construction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01" w:lineRule="exact"/>
        <w:rPr>
          <w:rFonts w:ascii="Arial" w:cs="Arial" w:eastAsia="Arial" w:hAnsi="Arial"/>
          <w:sz w:val="19"/>
          <w:szCs w:val="19"/>
          <w:color w:val="auto"/>
        </w:rPr>
      </w:pPr>
    </w:p>
    <w:p>
      <w:pPr>
        <w:jc w:val="both"/>
        <w:ind w:firstLine="656"/>
        <w:spacing w:after="0" w:line="312" w:lineRule="auto"/>
        <w:tabs>
          <w:tab w:leader="none" w:pos="1296"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Trustee</w:t>
      </w:r>
      <w:r>
        <w:rPr>
          <w:rFonts w:ascii="Arial" w:cs="Arial" w:eastAsia="Arial" w:hAnsi="Arial"/>
          <w:sz w:val="19"/>
          <w:szCs w:val="19"/>
          <w:color w:val="auto"/>
        </w:rPr>
        <w:t>. Except as otherwise expressly provided herein, no duties, responsibilities or liabilities are assumed, or shall be construed to be assumed, by the Trustee by reason of this Third Supplemental Indenture. This Third Supplemental Indenture is executed and accepted by the Trustee subject to all the terms and conditions set forth in the Indenture.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50" w:name="page51"/>
    <w:bookmarkEnd w:id="50"/>
    <w:p>
      <w:pPr>
        <w:ind w:right="20" w:firstLine="648"/>
        <w:spacing w:after="0" w:line="263" w:lineRule="auto"/>
        <w:rPr>
          <w:sz w:val="20"/>
          <w:szCs w:val="20"/>
          <w:color w:val="auto"/>
        </w:rPr>
      </w:pPr>
      <w:r>
        <w:rPr>
          <w:rFonts w:ascii="Arial" w:cs="Arial" w:eastAsia="Arial" w:hAnsi="Arial"/>
          <w:sz w:val="22"/>
          <w:szCs w:val="22"/>
          <w:color w:val="auto"/>
        </w:rPr>
        <w:t>IN WITNESS WHEREOF, the parties hereto have caused this Third Supplemental Indenture to be duly executed and delivered all as of the day and year first above written.</w:t>
      </w:r>
    </w:p>
    <w:p>
      <w:pPr>
        <w:spacing w:after="0" w:line="218"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COMPANY:</w:t>
      </w:r>
    </w:p>
    <w:p>
      <w:pPr>
        <w:spacing w:after="0" w:line="8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THE SCOTTS MIRACLE-GRO COMPANY</w:t>
      </w:r>
    </w:p>
    <w:p>
      <w:pPr>
        <w:spacing w:after="0" w:line="301" w:lineRule="exact"/>
        <w:rPr>
          <w:sz w:val="20"/>
          <w:szCs w:val="20"/>
          <w:color w:val="auto"/>
        </w:rPr>
      </w:pPr>
    </w:p>
    <w:tbl>
      <w:tblPr>
        <w:tblLayout w:type="fixed"/>
        <w:tblInd w:w="468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LEONARD R. ESSEX</w:t>
            </w:r>
          </w:p>
        </w:tc>
      </w:tr>
      <w:tr>
        <w:trPr>
          <w:trHeight w:val="294"/>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Leonard R. Essex</w:t>
            </w:r>
          </w:p>
        </w:tc>
      </w:tr>
      <w:tr>
        <w:trPr>
          <w:trHeight w:val="310"/>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Vice President and Corporate Treasurer</w:t>
            </w: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NEW GUARANTORS:</w:t>
      </w:r>
    </w:p>
    <w:p>
      <w:pPr>
        <w:spacing w:after="0" w:line="8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AEROGROW INTERNATIONAL, INC.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SCOTTS LIVE GOODS HOLDINGS, INC.</w:t>
      </w:r>
    </w:p>
    <w:p>
      <w:pPr>
        <w:spacing w:after="0" w:line="301" w:lineRule="exact"/>
        <w:rPr>
          <w:sz w:val="20"/>
          <w:szCs w:val="20"/>
          <w:color w:val="auto"/>
        </w:rPr>
      </w:pPr>
    </w:p>
    <w:tbl>
      <w:tblPr>
        <w:tblLayout w:type="fixed"/>
        <w:tblInd w:w="468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LEONARD R. ESSEX</w:t>
            </w:r>
          </w:p>
        </w:tc>
      </w:tr>
      <w:tr>
        <w:trPr>
          <w:trHeight w:val="294"/>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Leonard R. Essex</w:t>
            </w:r>
          </w:p>
        </w:tc>
      </w:tr>
      <w:tr>
        <w:trPr>
          <w:trHeight w:val="310"/>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EXISTING GUARANTORS:</w:t>
      </w:r>
    </w:p>
    <w:p>
      <w:pPr>
        <w:spacing w:after="0" w:line="8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HYPONEX CORPORATION</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MIRACLE-GRO LAWN PRODUCTS, INC.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ROD MCLELLAN COMPANY</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SANFORD SCIENTIFIC, INC.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SCOTTS MANUFACTURING COMPANY</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SCOTTS PRODUCTS CO.</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SCOTTS PROFESSIONAL PRODUCTS CO.</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SCOTTS TEMECULA OPERATIONS, LLC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SMG GROWING MEDIA, INC.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SMGM LLC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THE SCOTTS COMPANY LLC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1868 VENTURES LLC</w:t>
      </w:r>
    </w:p>
    <w:p>
      <w:pPr>
        <w:spacing w:after="0" w:line="301" w:lineRule="exact"/>
        <w:rPr>
          <w:sz w:val="20"/>
          <w:szCs w:val="20"/>
          <w:color w:val="auto"/>
        </w:rPr>
      </w:pPr>
    </w:p>
    <w:tbl>
      <w:tblPr>
        <w:tblLayout w:type="fixed"/>
        <w:tblInd w:w="468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GREGORY A. LIENING</w:t>
            </w:r>
          </w:p>
        </w:tc>
      </w:tr>
      <w:tr>
        <w:trPr>
          <w:trHeight w:val="294"/>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Gregory A. Liening</w:t>
            </w:r>
          </w:p>
        </w:tc>
      </w:tr>
      <w:tr>
        <w:trPr>
          <w:trHeight w:val="310"/>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Vice President, Tax &amp; Risk and Assistant Secretary</w:t>
            </w:r>
          </w:p>
        </w:tc>
      </w:tr>
    </w:tbl>
    <w:p>
      <w:pPr>
        <w:spacing w:after="0" w:line="200" w:lineRule="exact"/>
        <w:rPr>
          <w:sz w:val="20"/>
          <w:szCs w:val="20"/>
          <w:color w:val="auto"/>
        </w:rPr>
      </w:pP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S-1</w:t>
      </w:r>
    </w:p>
    <w:p>
      <w:pPr>
        <w:sectPr>
          <w:pgSz w:w="11900" w:h="16838" w:orient="portrait"/>
          <w:cols w:equalWidth="0" w:num="1">
            <w:col w:w="11240"/>
          </w:cols>
          <w:pgMar w:left="320" w:top="1428" w:right="339" w:bottom="1440" w:gutter="0" w:footer="0" w:header="0"/>
          <w:type w:val="continuous"/>
        </w:sectPr>
      </w:pPr>
    </w:p>
    <w:bookmarkStart w:id="51" w:name="page52"/>
    <w:bookmarkEnd w:id="51"/>
    <w:p>
      <w:pPr>
        <w:spacing w:after="0" w:line="57"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HAWTHORNE HYDROPONICS LLC</w:t>
      </w:r>
    </w:p>
    <w:p>
      <w:pPr>
        <w:spacing w:after="0" w:line="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THE HAWTHORNE GARDENING COMPANY</w:t>
      </w:r>
    </w:p>
    <w:p>
      <w:pPr>
        <w:spacing w:after="0" w:line="301" w:lineRule="exact"/>
        <w:rPr>
          <w:sz w:val="20"/>
          <w:szCs w:val="20"/>
          <w:color w:val="auto"/>
        </w:rPr>
      </w:pPr>
    </w:p>
    <w:tbl>
      <w:tblPr>
        <w:tblLayout w:type="fixed"/>
        <w:tblInd w:w="356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ALBERT J. MESSINA</w:t>
            </w:r>
          </w:p>
        </w:tc>
      </w:tr>
      <w:tr>
        <w:trPr>
          <w:trHeight w:val="293"/>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Albert J. Messina</w:t>
            </w:r>
          </w:p>
        </w:tc>
      </w:tr>
      <w:tr>
        <w:trPr>
          <w:trHeight w:val="311"/>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HGCI, INC.</w:t>
      </w:r>
    </w:p>
    <w:p>
      <w:pPr>
        <w:spacing w:after="0" w:line="301" w:lineRule="exact"/>
        <w:rPr>
          <w:sz w:val="20"/>
          <w:szCs w:val="20"/>
          <w:color w:val="auto"/>
        </w:rPr>
      </w:pPr>
    </w:p>
    <w:tbl>
      <w:tblPr>
        <w:tblLayout w:type="fixed"/>
        <w:tblInd w:w="356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ALBERT J. MESSINA</w:t>
            </w:r>
          </w:p>
        </w:tc>
      </w:tr>
      <w:tr>
        <w:trPr>
          <w:trHeight w:val="294"/>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Albert J. Messina</w:t>
            </w:r>
          </w:p>
        </w:tc>
      </w:tr>
      <w:tr>
        <w:trPr>
          <w:trHeight w:val="310"/>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OMS INVESTMENTS, INC.</w:t>
      </w:r>
    </w:p>
    <w:p>
      <w:pPr>
        <w:spacing w:after="0" w:line="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SWISS FARMS PRODUCTS, INC.</w:t>
      </w:r>
    </w:p>
    <w:p>
      <w:pPr>
        <w:spacing w:after="0" w:line="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SCOTTS-SIERRA INVESTMENTS LLC</w:t>
      </w:r>
    </w:p>
    <w:p>
      <w:pPr>
        <w:spacing w:after="0" w:line="200" w:lineRule="exact"/>
        <w:rPr>
          <w:sz w:val="20"/>
          <w:szCs w:val="20"/>
          <w:color w:val="auto"/>
        </w:rPr>
      </w:pPr>
    </w:p>
    <w:p>
      <w:pPr>
        <w:spacing w:after="0" w:line="344" w:lineRule="exact"/>
        <w:rPr>
          <w:sz w:val="20"/>
          <w:szCs w:val="20"/>
          <w:color w:val="auto"/>
        </w:rPr>
      </w:pPr>
    </w:p>
    <w:tbl>
      <w:tblPr>
        <w:tblLayout w:type="fixed"/>
        <w:tblInd w:w="356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GREGORY A. LIENING</w:t>
            </w:r>
          </w:p>
        </w:tc>
      </w:tr>
      <w:tr>
        <w:trPr>
          <w:trHeight w:val="293"/>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Gregory A. Liening</w:t>
            </w:r>
          </w:p>
        </w:tc>
      </w:tr>
      <w:tr>
        <w:trPr>
          <w:trHeight w:val="311"/>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GENSOURCE, INC.</w:t>
      </w:r>
    </w:p>
    <w:p>
      <w:pPr>
        <w:spacing w:after="0" w:line="200" w:lineRule="exact"/>
        <w:rPr>
          <w:sz w:val="20"/>
          <w:szCs w:val="20"/>
          <w:color w:val="auto"/>
        </w:rPr>
      </w:pPr>
    </w:p>
    <w:p>
      <w:pPr>
        <w:spacing w:after="0" w:line="344" w:lineRule="exact"/>
        <w:rPr>
          <w:sz w:val="20"/>
          <w:szCs w:val="20"/>
          <w:color w:val="auto"/>
        </w:rPr>
      </w:pPr>
    </w:p>
    <w:p>
      <w:pPr>
        <w:ind w:left="3560"/>
        <w:spacing w:after="0"/>
        <w:tabs>
          <w:tab w:leader="none" w:pos="4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LEONARD R. ESSEX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15240</wp:posOffset>
            </wp:positionV>
            <wp:extent cx="35229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8" w:lineRule="exact"/>
        <w:rPr>
          <w:sz w:val="20"/>
          <w:szCs w:val="20"/>
          <w:color w:val="auto"/>
        </w:rPr>
      </w:pPr>
    </w:p>
    <w:p>
      <w:pPr>
        <w:ind w:left="3560"/>
        <w:spacing w:after="0"/>
        <w:tabs>
          <w:tab w:leader="none" w:pos="45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Leonard R. Essex</w:t>
      </w:r>
    </w:p>
    <w:p>
      <w:pPr>
        <w:spacing w:after="0" w:line="71" w:lineRule="exact"/>
        <w:rPr>
          <w:sz w:val="20"/>
          <w:szCs w:val="20"/>
          <w:color w:val="auto"/>
        </w:rPr>
      </w:pPr>
    </w:p>
    <w:p>
      <w:pPr>
        <w:ind w:left="3560"/>
        <w:spacing w:after="0"/>
        <w:tabs>
          <w:tab w:leader="none" w:pos="45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S-2</w:t>
      </w:r>
    </w:p>
    <w:p>
      <w:pPr>
        <w:sectPr>
          <w:pgSz w:w="11900" w:h="16838" w:orient="portrait"/>
          <w:cols w:equalWidth="0" w:num="1">
            <w:col w:w="10120"/>
          </w:cols>
          <w:pgMar w:left="1440" w:top="1440" w:right="339" w:bottom="1440" w:gutter="0" w:footer="0" w:header="0"/>
        </w:sectPr>
      </w:pPr>
    </w:p>
    <w:bookmarkStart w:id="52" w:name="page53"/>
    <w:bookmarkEnd w:id="52"/>
    <w:p>
      <w:pPr>
        <w:spacing w:after="0" w:line="31"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TRUSTEE:</w:t>
      </w:r>
    </w:p>
    <w:p>
      <w:pPr>
        <w:spacing w:after="0" w:line="8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U.S. BANK NATIONAL ASSOCIATION</w:t>
      </w:r>
    </w:p>
    <w:p>
      <w:pPr>
        <w:spacing w:after="0" w:line="301" w:lineRule="exact"/>
        <w:rPr>
          <w:sz w:val="20"/>
          <w:szCs w:val="20"/>
          <w:color w:val="auto"/>
        </w:rPr>
      </w:pPr>
    </w:p>
    <w:tbl>
      <w:tblPr>
        <w:tblLayout w:type="fixed"/>
        <w:tblInd w:w="356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KATHERINE ESBER</w:t>
            </w:r>
          </w:p>
        </w:tc>
      </w:tr>
      <w:tr>
        <w:trPr>
          <w:trHeight w:val="293"/>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Katherine Esber</w:t>
            </w:r>
          </w:p>
        </w:tc>
      </w:tr>
      <w:tr>
        <w:trPr>
          <w:trHeight w:val="310"/>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S-3</w:t>
      </w:r>
    </w:p>
    <w:p>
      <w:pPr>
        <w:sectPr>
          <w:pgSz w:w="11900" w:h="16838" w:orient="portrait"/>
          <w:cols w:equalWidth="0" w:num="1">
            <w:col w:w="10120"/>
          </w:cols>
          <w:pgMar w:left="1440" w:top="1440"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996950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825500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THE SCOTTS MIRACLE-GRO COMPANY, as Issuer</w:t>
      </w:r>
    </w:p>
    <w:p>
      <w:pPr>
        <w:spacing w:after="0" w:line="220"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THE GUARANTORS PARTY HERETO, as Guarantors</w:t>
      </w:r>
    </w:p>
    <w:p>
      <w:pPr>
        <w:spacing w:after="0" w:line="220"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U.S. BANK NATIONAL ASSOCIATION,</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_________________</w:t>
      </w:r>
    </w:p>
    <w:p>
      <w:pPr>
        <w:spacing w:after="0" w:line="112"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4.500% Senior Notes due 2029</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SECOND SUPPLEMENTAL INDENTURE DATED AS OF</w:t>
      </w:r>
    </w:p>
    <w:p>
      <w:pPr>
        <w:spacing w:after="0" w:line="25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March 29, 2021</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TO THE INDENTURE DATED AS OF</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October 22, 2019</w:t>
      </w:r>
    </w:p>
    <w:p>
      <w:pPr>
        <w:spacing w:after="0" w:line="220"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1207135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1035685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69"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22"/>
          <w:szCs w:val="22"/>
          <w:b w:val="1"/>
          <w:bCs w:val="1"/>
          <w:color w:val="auto"/>
        </w:rPr>
        <w:t>SECOND SUPPLEMENTAL INDENTURE</w:t>
      </w:r>
    </w:p>
    <w:p>
      <w:pPr>
        <w:spacing w:after="0" w:line="22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This SECOND SUPPLEMENTAL INDENTURE, dated as of March 29, 2021 (this “</w:t>
      </w:r>
      <w:r>
        <w:rPr>
          <w:rFonts w:ascii="Arial" w:cs="Arial" w:eastAsia="Arial" w:hAnsi="Arial"/>
          <w:sz w:val="19"/>
          <w:szCs w:val="19"/>
          <w:b w:val="1"/>
          <w:bCs w:val="1"/>
          <w:i w:val="1"/>
          <w:iCs w:val="1"/>
          <w:color w:val="auto"/>
        </w:rPr>
        <w:t>Second Supplemental Indenture</w:t>
      </w:r>
      <w:r>
        <w:rPr>
          <w:rFonts w:ascii="Arial" w:cs="Arial" w:eastAsia="Arial" w:hAnsi="Arial"/>
          <w:sz w:val="19"/>
          <w:szCs w:val="19"/>
          <w:color w:val="auto"/>
        </w:rPr>
        <w:t>”), is by and among The Scotts Miracle-Gro Company, an Ohio corporation (such corporation and any successor,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the existing Guarantors (as defined in the Indenture referred to herein) (the “</w:t>
      </w:r>
      <w:r>
        <w:rPr>
          <w:rFonts w:ascii="Arial" w:cs="Arial" w:eastAsia="Arial" w:hAnsi="Arial"/>
          <w:sz w:val="19"/>
          <w:szCs w:val="19"/>
          <w:b w:val="1"/>
          <w:bCs w:val="1"/>
          <w:i w:val="1"/>
          <w:iCs w:val="1"/>
          <w:color w:val="auto"/>
        </w:rPr>
        <w:t>Existing Guarantors</w:t>
      </w:r>
      <w:r>
        <w:rPr>
          <w:rFonts w:ascii="Arial" w:cs="Arial" w:eastAsia="Arial" w:hAnsi="Arial"/>
          <w:sz w:val="19"/>
          <w:szCs w:val="19"/>
          <w:color w:val="auto"/>
        </w:rPr>
        <w:t>”), AeroGrow International, Inc., a Nevada corporation (“</w:t>
      </w:r>
      <w:r>
        <w:rPr>
          <w:rFonts w:ascii="Arial" w:cs="Arial" w:eastAsia="Arial" w:hAnsi="Arial"/>
          <w:sz w:val="19"/>
          <w:szCs w:val="19"/>
          <w:b w:val="1"/>
          <w:bCs w:val="1"/>
          <w:i w:val="1"/>
          <w:iCs w:val="1"/>
          <w:color w:val="auto"/>
        </w:rPr>
        <w:t>Aero</w:t>
      </w:r>
      <w:r>
        <w:rPr>
          <w:rFonts w:ascii="Arial" w:cs="Arial" w:eastAsia="Arial" w:hAnsi="Arial"/>
          <w:sz w:val="19"/>
          <w:szCs w:val="19"/>
          <w:color w:val="auto"/>
        </w:rPr>
        <w:t>”), Scotts Live Goods Holdings, Inc., an Ohio corporation (“</w:t>
      </w:r>
      <w:r>
        <w:rPr>
          <w:rFonts w:ascii="Arial" w:cs="Arial" w:eastAsia="Arial" w:hAnsi="Arial"/>
          <w:sz w:val="19"/>
          <w:szCs w:val="19"/>
          <w:b w:val="1"/>
          <w:bCs w:val="1"/>
          <w:i w:val="1"/>
          <w:iCs w:val="1"/>
          <w:color w:val="auto"/>
        </w:rPr>
        <w:t>SLG</w:t>
      </w:r>
      <w:r>
        <w:rPr>
          <w:rFonts w:ascii="Arial" w:cs="Arial" w:eastAsia="Arial" w:hAnsi="Arial"/>
          <w:sz w:val="19"/>
          <w:szCs w:val="19"/>
          <w:color w:val="auto"/>
        </w:rPr>
        <w:t>,” and together with Aero, the “</w:t>
      </w:r>
      <w:r>
        <w:rPr>
          <w:rFonts w:ascii="Arial" w:cs="Arial" w:eastAsia="Arial" w:hAnsi="Arial"/>
          <w:sz w:val="19"/>
          <w:szCs w:val="19"/>
          <w:b w:val="1"/>
          <w:bCs w:val="1"/>
          <w:i w:val="1"/>
          <w:iCs w:val="1"/>
          <w:color w:val="auto"/>
        </w:rPr>
        <w:t>New Guarantors</w:t>
      </w:r>
      <w:r>
        <w:rPr>
          <w:rFonts w:ascii="Arial" w:cs="Arial" w:eastAsia="Arial" w:hAnsi="Arial"/>
          <w:sz w:val="19"/>
          <w:szCs w:val="19"/>
          <w:color w:val="auto"/>
        </w:rPr>
        <w:t>”), and U.S. Bank National Association, a national banking association, as trustee under the Indenture referred to herein (such corporation and any successor, the “</w:t>
      </w:r>
      <w:r>
        <w:rPr>
          <w:rFonts w:ascii="Arial" w:cs="Arial" w:eastAsia="Arial" w:hAnsi="Arial"/>
          <w:sz w:val="19"/>
          <w:szCs w:val="19"/>
          <w:b w:val="1"/>
          <w:bCs w:val="1"/>
          <w:i w:val="1"/>
          <w:iCs w:val="1"/>
          <w:color w:val="auto"/>
        </w:rPr>
        <w:t>Trustee</w:t>
      </w:r>
      <w:r>
        <w:rPr>
          <w:rFonts w:ascii="Arial" w:cs="Arial" w:eastAsia="Arial" w:hAnsi="Arial"/>
          <w:sz w:val="19"/>
          <w:szCs w:val="19"/>
          <w:color w:val="auto"/>
        </w:rPr>
        <w:t>”). The New Guarantors and the Existing Guarantors are sometimes referred to collectively herein as the “</w:t>
      </w:r>
      <w:r>
        <w:rPr>
          <w:rFonts w:ascii="Arial" w:cs="Arial" w:eastAsia="Arial" w:hAnsi="Arial"/>
          <w:sz w:val="19"/>
          <w:szCs w:val="19"/>
          <w:b w:val="1"/>
          <w:bCs w:val="1"/>
          <w:i w:val="1"/>
          <w:iCs w:val="1"/>
          <w:color w:val="auto"/>
        </w:rPr>
        <w:t>Guarantors</w:t>
      </w:r>
      <w:r>
        <w:rPr>
          <w:rFonts w:ascii="Arial" w:cs="Arial" w:eastAsia="Arial" w:hAnsi="Arial"/>
          <w:sz w:val="19"/>
          <w:szCs w:val="19"/>
          <w:color w:val="auto"/>
        </w:rPr>
        <w:t>,” or individually as a “</w:t>
      </w:r>
      <w:r>
        <w:rPr>
          <w:rFonts w:ascii="Arial" w:cs="Arial" w:eastAsia="Arial" w:hAnsi="Arial"/>
          <w:sz w:val="19"/>
          <w:szCs w:val="19"/>
          <w:b w:val="1"/>
          <w:bCs w:val="1"/>
          <w:i w:val="1"/>
          <w:iCs w:val="1"/>
          <w:color w:val="auto"/>
        </w:rPr>
        <w:t>Guarantor</w:t>
      </w:r>
      <w:r>
        <w:rPr>
          <w:rFonts w:ascii="Arial" w:cs="Arial" w:eastAsia="Arial" w:hAnsi="Arial"/>
          <w:sz w:val="19"/>
          <w:szCs w:val="19"/>
          <w:color w:val="auto"/>
        </w:rPr>
        <w:t>.” Capitalized terms not otherwise defined in this Second Supplemental Indenture will have the meanings given to them in the Indenture (as defined below).</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Company, the Existing Guarantors and the Trustee are parties to an indenture, dated as of October 22, 2019, as supplemented by that First Supplemental Indenture, dated as of March 24, 2020 (the “</w:t>
      </w:r>
      <w:r>
        <w:rPr>
          <w:rFonts w:ascii="Arial" w:cs="Arial" w:eastAsia="Arial" w:hAnsi="Arial"/>
          <w:sz w:val="22"/>
          <w:szCs w:val="22"/>
          <w:b w:val="1"/>
          <w:bCs w:val="1"/>
          <w:i w:val="1"/>
          <w:iCs w:val="1"/>
          <w:color w:val="auto"/>
        </w:rPr>
        <w:t>Indenture</w:t>
      </w:r>
      <w:r>
        <w:rPr>
          <w:rFonts w:ascii="Arial" w:cs="Arial" w:eastAsia="Arial" w:hAnsi="Arial"/>
          <w:sz w:val="22"/>
          <w:szCs w:val="22"/>
          <w:color w:val="auto"/>
        </w:rPr>
        <w:t>”), relating to the Company’s 4.500% Senior Notes due 2029 (the “</w:t>
      </w:r>
      <w:r>
        <w:rPr>
          <w:rFonts w:ascii="Arial" w:cs="Arial" w:eastAsia="Arial" w:hAnsi="Arial"/>
          <w:sz w:val="22"/>
          <w:szCs w:val="22"/>
          <w:b w:val="1"/>
          <w:bCs w:val="1"/>
          <w:i w:val="1"/>
          <w:iCs w:val="1"/>
          <w:color w:val="auto"/>
        </w:rPr>
        <w:t>Securities</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pursuant to Section 9.01(5) of the Indenture, without the consent of any Holders, the Company, when authorized by a Board Resolution, and the Trustee, at any time and from time to time, may enter into one or more supplemental indentures, in form satisfactory to the Trustee, to add any Person as a Guarantor; and</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all conditions precedent provided for in the Indenture relating to this Second Supplemental Indenture have been complied with.</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New Guarantors, the Existing Guarantors, the Company and the Trustee mutually covenant and agree for the equal and ratable benefit of the Holders of the Securities as follows:</w:t>
      </w:r>
    </w:p>
    <w:p>
      <w:pPr>
        <w:spacing w:after="0" w:line="185"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Capitalized terms used herein without definition shall have the meanings assigned to them in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Indenture.</w:t>
      </w:r>
    </w:p>
    <w:p>
      <w:pPr>
        <w:spacing w:after="0" w:line="201" w:lineRule="exact"/>
        <w:rPr>
          <w:rFonts w:ascii="Arial" w:cs="Arial" w:eastAsia="Arial" w:hAnsi="Arial"/>
          <w:sz w:val="19"/>
          <w:szCs w:val="19"/>
          <w:color w:val="auto"/>
        </w:rPr>
      </w:pPr>
    </w:p>
    <w:p>
      <w:pPr>
        <w:jc w:val="both"/>
        <w:ind w:firstLine="656"/>
        <w:spacing w:after="0" w:line="294" w:lineRule="auto"/>
        <w:tabs>
          <w:tab w:leader="none" w:pos="1296"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Joinder of New Guarantors</w:t>
      </w:r>
      <w:r>
        <w:rPr>
          <w:rFonts w:ascii="Arial" w:cs="Arial" w:eastAsia="Arial" w:hAnsi="Arial"/>
          <w:sz w:val="19"/>
          <w:szCs w:val="19"/>
          <w:color w:val="auto"/>
        </w:rPr>
        <w:t>. The New Guarantors hereby join in the Indenture as a “Guarantor” thereunder. The New Guarantors hereby assume the duties and obligations of Guarantors under the Indenture. The New Guarantors agree to keep and perform all of the covenants, obligations and conditions of Guarantors under the Indenture, on the terms and subject to the conditions set forth in Article X of the Indenture, and to be bound by all other applicable provisions of the Indenture. Upon request from time to time by the Trustee, the New Guarantors shall execute and deliver to the Trustee a notation relating to the New Guarantors’ Guarantee, substantially in the form attached as Exhibit E to the Indenture.</w:t>
      </w:r>
    </w:p>
    <w:p>
      <w:pPr>
        <w:sectPr>
          <w:pgSz w:w="11900" w:h="16838" w:orient="portrait"/>
          <w:cols w:equalWidth="0" w:num="1">
            <w:col w:w="11240"/>
          </w:cols>
          <w:pgMar w:left="320" w:top="1422" w:right="339" w:bottom="1440" w:gutter="0" w:footer="0" w:header="0"/>
        </w:sectPr>
      </w:pPr>
    </w:p>
    <w:bookmarkStart w:id="55" w:name="page56"/>
    <w:bookmarkEnd w:id="55"/>
    <w:p>
      <w:pPr>
        <w:ind w:firstLine="656"/>
        <w:spacing w:after="0" w:line="263" w:lineRule="auto"/>
        <w:tabs>
          <w:tab w:leader="none" w:pos="1296"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Effect of Second Supplemental Indenture</w:t>
      </w:r>
      <w:r>
        <w:rPr>
          <w:rFonts w:ascii="Arial" w:cs="Arial" w:eastAsia="Arial" w:hAnsi="Arial"/>
          <w:sz w:val="22"/>
          <w:szCs w:val="22"/>
          <w:color w:val="auto"/>
        </w:rPr>
        <w:t>. Except as amended by this Second Supplemental Indenture, the terms and provisions of the Indenture shall remain in full force and effect.</w:t>
      </w:r>
    </w:p>
    <w:p>
      <w:pPr>
        <w:spacing w:after="0" w:line="174" w:lineRule="exact"/>
        <w:rPr>
          <w:rFonts w:ascii="Arial" w:cs="Arial" w:eastAsia="Arial" w:hAnsi="Arial"/>
          <w:sz w:val="22"/>
          <w:szCs w:val="22"/>
          <w:color w:val="auto"/>
        </w:rPr>
      </w:pPr>
    </w:p>
    <w:p>
      <w:pPr>
        <w:jc w:val="both"/>
        <w:ind w:firstLine="656"/>
        <w:spacing w:after="0" w:line="250" w:lineRule="auto"/>
        <w:tabs>
          <w:tab w:leader="none" w:pos="1296"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INTERNAL LAW OF THE STATE OF NEW YORK SHALL GOVERN AND BE USED TO CONSTRUE THIS SECOND SUPPLEMENTAL INDENTURE WITHOUT GIVING EFFECT TO APPLICABLE PRINCIPLES OF CONFLICTS OF LAW TO THE EXTENT THAT THE APPLICATION OF THE LAWS OF ANOTHER JURISDICTION WOULD BE REQUIRED THEREBY.</w:t>
      </w:r>
    </w:p>
    <w:p>
      <w:pPr>
        <w:spacing w:after="0" w:line="187" w:lineRule="exact"/>
        <w:rPr>
          <w:rFonts w:ascii="Arial" w:cs="Arial" w:eastAsia="Arial" w:hAnsi="Arial"/>
          <w:sz w:val="22"/>
          <w:szCs w:val="22"/>
          <w:color w:val="auto"/>
        </w:rPr>
      </w:pPr>
    </w:p>
    <w:p>
      <w:pPr>
        <w:jc w:val="both"/>
        <w:ind w:firstLine="656"/>
        <w:spacing w:after="0" w:line="271" w:lineRule="auto"/>
        <w:tabs>
          <w:tab w:leader="none" w:pos="1296"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The parties may sign any number of copies of this Second Supplemental Indenture. Each signed copy shall be an original, but all of them together represent the same agreement. This Second Supplemental Indenture may be executed in multiple counterparts which, when taken together, shall constitute one instrument.</w:t>
      </w:r>
    </w:p>
    <w:p>
      <w:pPr>
        <w:spacing w:after="0" w:line="167" w:lineRule="exact"/>
        <w:rPr>
          <w:rFonts w:ascii="Arial" w:cs="Arial" w:eastAsia="Arial" w:hAnsi="Arial"/>
          <w:sz w:val="21"/>
          <w:szCs w:val="21"/>
          <w:color w:val="auto"/>
        </w:rPr>
      </w:pPr>
    </w:p>
    <w:p>
      <w:pPr>
        <w:ind w:left="1300" w:hanging="644"/>
        <w:spacing w:after="0"/>
        <w:tabs>
          <w:tab w:leader="none" w:pos="1300"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affect the construction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01" w:lineRule="exact"/>
        <w:rPr>
          <w:rFonts w:ascii="Arial" w:cs="Arial" w:eastAsia="Arial" w:hAnsi="Arial"/>
          <w:sz w:val="19"/>
          <w:szCs w:val="19"/>
          <w:color w:val="auto"/>
        </w:rPr>
      </w:pPr>
    </w:p>
    <w:p>
      <w:pPr>
        <w:jc w:val="both"/>
        <w:ind w:firstLine="656"/>
        <w:spacing w:after="0" w:line="312" w:lineRule="auto"/>
        <w:tabs>
          <w:tab w:leader="none" w:pos="1296"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Trustee</w:t>
      </w:r>
      <w:r>
        <w:rPr>
          <w:rFonts w:ascii="Arial" w:cs="Arial" w:eastAsia="Arial" w:hAnsi="Arial"/>
          <w:sz w:val="19"/>
          <w:szCs w:val="19"/>
          <w:color w:val="auto"/>
        </w:rPr>
        <w:t>. Except as otherwise expressly provided herein, no duties, responsibilities or liabilities are assumed, or shall be construed to be assumed, by the Trustee by reason of this Second Supplemental Indenture. This Second Supplemental Indenture is executed and accepted by the Trustee subject to all the terms and conditions set forth in the Indenture.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56" w:name="page57"/>
    <w:bookmarkEnd w:id="56"/>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Second Supplemental Indenture to be duly executed and delivered all as of the day and year first above written.</w:t>
      </w:r>
    </w:p>
    <w:p>
      <w:pPr>
        <w:spacing w:after="0" w:line="218"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COMPANY:</w:t>
      </w:r>
    </w:p>
    <w:p>
      <w:pPr>
        <w:spacing w:after="0" w:line="8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THE SCOTTS MIRACLE-GRO COMPANY</w:t>
      </w:r>
    </w:p>
    <w:p>
      <w:pPr>
        <w:spacing w:after="0" w:line="301" w:lineRule="exact"/>
        <w:rPr>
          <w:sz w:val="20"/>
          <w:szCs w:val="20"/>
          <w:color w:val="auto"/>
        </w:rPr>
      </w:pPr>
    </w:p>
    <w:tbl>
      <w:tblPr>
        <w:tblLayout w:type="fixed"/>
        <w:tblInd w:w="468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LEONARD R. ESSEX</w:t>
            </w:r>
          </w:p>
        </w:tc>
      </w:tr>
      <w:tr>
        <w:trPr>
          <w:trHeight w:val="294"/>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Leonard R. Essex</w:t>
            </w:r>
          </w:p>
        </w:tc>
      </w:tr>
      <w:tr>
        <w:trPr>
          <w:trHeight w:val="310"/>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Vice President and Corporate Treasurer</w:t>
            </w: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NEW GUARANTORS:</w:t>
      </w:r>
    </w:p>
    <w:p>
      <w:pPr>
        <w:spacing w:after="0" w:line="8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AEROGROW INTERNATIONAL, INC.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SCOTTS LIVE GOODS HOLDINGS, INC.</w:t>
      </w:r>
    </w:p>
    <w:p>
      <w:pPr>
        <w:spacing w:after="0" w:line="301" w:lineRule="exact"/>
        <w:rPr>
          <w:sz w:val="20"/>
          <w:szCs w:val="20"/>
          <w:color w:val="auto"/>
        </w:rPr>
      </w:pPr>
    </w:p>
    <w:tbl>
      <w:tblPr>
        <w:tblLayout w:type="fixed"/>
        <w:tblInd w:w="468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LEONARD R. ESSEX</w:t>
            </w:r>
          </w:p>
        </w:tc>
      </w:tr>
      <w:tr>
        <w:trPr>
          <w:trHeight w:val="294"/>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Leonard R. Essex</w:t>
            </w:r>
          </w:p>
        </w:tc>
      </w:tr>
      <w:tr>
        <w:trPr>
          <w:trHeight w:val="310"/>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EXISTING GUARANTORS:</w:t>
      </w:r>
    </w:p>
    <w:p>
      <w:pPr>
        <w:spacing w:after="0" w:line="8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HYPONEX CORPORATION</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MIRACLE-GRO LAWN PRODUCTS, INC.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ROD MCLELLAN COMPANY</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SANFORD SCIENTIFIC, INC.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SCOTTS MANUFACTURING COMPANY</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SCOTTS PRODUCTS CO.</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SCOTTS PROFESSIONAL PRODUCTS CO.</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SCOTTS TEMECULA OPERATIONS, LLC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SMG GROWING MEDIA, INC.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SMGM LLC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THE SCOTTS COMPANY LLC</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1868 VENTURES LLC</w:t>
      </w:r>
    </w:p>
    <w:p>
      <w:pPr>
        <w:spacing w:after="0" w:line="301" w:lineRule="exact"/>
        <w:rPr>
          <w:sz w:val="20"/>
          <w:szCs w:val="20"/>
          <w:color w:val="auto"/>
        </w:rPr>
      </w:pPr>
    </w:p>
    <w:tbl>
      <w:tblPr>
        <w:tblLayout w:type="fixed"/>
        <w:tblInd w:w="468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GREGORY A. LIENING</w:t>
            </w:r>
          </w:p>
        </w:tc>
      </w:tr>
      <w:tr>
        <w:trPr>
          <w:trHeight w:val="293"/>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Gregory A. Liening</w:t>
            </w:r>
          </w:p>
        </w:tc>
      </w:tr>
      <w:tr>
        <w:trPr>
          <w:trHeight w:val="310"/>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Vice President, Tax &amp; Risk and Assistant Secretary</w:t>
            </w:r>
          </w:p>
        </w:tc>
      </w:tr>
    </w:tbl>
    <w:p>
      <w:pPr>
        <w:spacing w:after="0" w:line="200" w:lineRule="exact"/>
        <w:rPr>
          <w:sz w:val="20"/>
          <w:szCs w:val="20"/>
          <w:color w:val="auto"/>
        </w:rPr>
      </w:pP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S-1</w:t>
      </w:r>
    </w:p>
    <w:p>
      <w:pPr>
        <w:sectPr>
          <w:pgSz w:w="11900" w:h="16838" w:orient="portrait"/>
          <w:cols w:equalWidth="0" w:num="1">
            <w:col w:w="11240"/>
          </w:cols>
          <w:pgMar w:left="320" w:top="1428" w:right="339" w:bottom="1440" w:gutter="0" w:footer="0" w:header="0"/>
          <w:type w:val="continuous"/>
        </w:sectPr>
      </w:pPr>
    </w:p>
    <w:bookmarkStart w:id="57" w:name="page58"/>
    <w:bookmarkEnd w:id="57"/>
    <w:p>
      <w:pPr>
        <w:spacing w:after="0" w:line="57"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HAWTHORNE HYDROPONICS LLC</w:t>
      </w:r>
    </w:p>
    <w:p>
      <w:pPr>
        <w:spacing w:after="0" w:line="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THE HAWTHORNE GARDENING COMPANY</w:t>
      </w:r>
    </w:p>
    <w:p>
      <w:pPr>
        <w:spacing w:after="0" w:line="301" w:lineRule="exact"/>
        <w:rPr>
          <w:sz w:val="20"/>
          <w:szCs w:val="20"/>
          <w:color w:val="auto"/>
        </w:rPr>
      </w:pPr>
    </w:p>
    <w:tbl>
      <w:tblPr>
        <w:tblLayout w:type="fixed"/>
        <w:tblInd w:w="356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ALBERT J. MESSINA</w:t>
            </w:r>
          </w:p>
        </w:tc>
      </w:tr>
      <w:tr>
        <w:trPr>
          <w:trHeight w:val="293"/>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Albert J. Messina</w:t>
            </w:r>
          </w:p>
        </w:tc>
      </w:tr>
      <w:tr>
        <w:trPr>
          <w:trHeight w:val="311"/>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HGCI, INC.</w:t>
      </w:r>
    </w:p>
    <w:p>
      <w:pPr>
        <w:spacing w:after="0" w:line="301" w:lineRule="exact"/>
        <w:rPr>
          <w:sz w:val="20"/>
          <w:szCs w:val="20"/>
          <w:color w:val="auto"/>
        </w:rPr>
      </w:pPr>
    </w:p>
    <w:tbl>
      <w:tblPr>
        <w:tblLayout w:type="fixed"/>
        <w:tblInd w:w="356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ALBERT J. MESSINA</w:t>
            </w:r>
          </w:p>
        </w:tc>
      </w:tr>
      <w:tr>
        <w:trPr>
          <w:trHeight w:val="293"/>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Albert J. Messina</w:t>
            </w:r>
          </w:p>
        </w:tc>
      </w:tr>
      <w:tr>
        <w:trPr>
          <w:trHeight w:val="310"/>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OMS INVESTMENTS, INC.</w:t>
      </w:r>
    </w:p>
    <w:p>
      <w:pPr>
        <w:spacing w:after="0" w:line="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SWISS FARMS PRODUCTS, INC.</w:t>
      </w:r>
    </w:p>
    <w:p>
      <w:pPr>
        <w:spacing w:after="0" w:line="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SCOTTS-SIERRA INVESTMENTS LLC</w:t>
      </w:r>
    </w:p>
    <w:p>
      <w:pPr>
        <w:spacing w:after="0" w:line="200" w:lineRule="exact"/>
        <w:rPr>
          <w:sz w:val="20"/>
          <w:szCs w:val="20"/>
          <w:color w:val="auto"/>
        </w:rPr>
      </w:pPr>
    </w:p>
    <w:p>
      <w:pPr>
        <w:spacing w:after="0" w:line="344" w:lineRule="exact"/>
        <w:rPr>
          <w:sz w:val="20"/>
          <w:szCs w:val="20"/>
          <w:color w:val="auto"/>
        </w:rPr>
      </w:pPr>
    </w:p>
    <w:tbl>
      <w:tblPr>
        <w:tblLayout w:type="fixed"/>
        <w:tblInd w:w="356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GREGORY A. LIENING</w:t>
            </w:r>
          </w:p>
        </w:tc>
      </w:tr>
      <w:tr>
        <w:trPr>
          <w:trHeight w:val="294"/>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Gregory A. Liening</w:t>
            </w:r>
          </w:p>
        </w:tc>
      </w:tr>
      <w:tr>
        <w:trPr>
          <w:trHeight w:val="310"/>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GENSOURCE, INC.</w:t>
      </w:r>
    </w:p>
    <w:p>
      <w:pPr>
        <w:spacing w:after="0" w:line="200" w:lineRule="exact"/>
        <w:rPr>
          <w:sz w:val="20"/>
          <w:szCs w:val="20"/>
          <w:color w:val="auto"/>
        </w:rPr>
      </w:pPr>
    </w:p>
    <w:p>
      <w:pPr>
        <w:spacing w:after="0" w:line="344" w:lineRule="exact"/>
        <w:rPr>
          <w:sz w:val="20"/>
          <w:szCs w:val="20"/>
          <w:color w:val="auto"/>
        </w:rPr>
      </w:pPr>
    </w:p>
    <w:p>
      <w:pPr>
        <w:ind w:left="3560"/>
        <w:spacing w:after="0"/>
        <w:tabs>
          <w:tab w:leader="none" w:pos="4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LEONARD R. ESSEX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15240</wp:posOffset>
            </wp:positionV>
            <wp:extent cx="35229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8" w:lineRule="exact"/>
        <w:rPr>
          <w:sz w:val="20"/>
          <w:szCs w:val="20"/>
          <w:color w:val="auto"/>
        </w:rPr>
      </w:pPr>
    </w:p>
    <w:p>
      <w:pPr>
        <w:ind w:left="3560"/>
        <w:spacing w:after="0"/>
        <w:tabs>
          <w:tab w:leader="none" w:pos="45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Leonard R. Essex</w:t>
      </w:r>
    </w:p>
    <w:p>
      <w:pPr>
        <w:spacing w:after="0" w:line="71" w:lineRule="exact"/>
        <w:rPr>
          <w:sz w:val="20"/>
          <w:szCs w:val="20"/>
          <w:color w:val="auto"/>
        </w:rPr>
      </w:pPr>
    </w:p>
    <w:p>
      <w:pPr>
        <w:ind w:left="3560"/>
        <w:spacing w:after="0"/>
        <w:tabs>
          <w:tab w:leader="none" w:pos="45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S-2</w:t>
      </w:r>
    </w:p>
    <w:p>
      <w:pPr>
        <w:sectPr>
          <w:pgSz w:w="11900" w:h="16838" w:orient="portrait"/>
          <w:cols w:equalWidth="0" w:num="1">
            <w:col w:w="10120"/>
          </w:cols>
          <w:pgMar w:left="1440" w:top="1440" w:right="339" w:bottom="1440" w:gutter="0" w:footer="0" w:header="0"/>
        </w:sectPr>
      </w:pPr>
    </w:p>
    <w:bookmarkStart w:id="58" w:name="page59"/>
    <w:bookmarkEnd w:id="58"/>
    <w:p>
      <w:pPr>
        <w:spacing w:after="0" w:line="31"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TRUSTEE:</w:t>
      </w:r>
    </w:p>
    <w:p>
      <w:pPr>
        <w:spacing w:after="0" w:line="8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U.S. BANK NATIONAL ASSOCIATION</w:t>
      </w:r>
    </w:p>
    <w:p>
      <w:pPr>
        <w:spacing w:after="0" w:line="301" w:lineRule="exact"/>
        <w:rPr>
          <w:sz w:val="20"/>
          <w:szCs w:val="20"/>
          <w:color w:val="auto"/>
        </w:rPr>
      </w:pPr>
    </w:p>
    <w:tbl>
      <w:tblPr>
        <w:tblLayout w:type="fixed"/>
        <w:tblInd w:w="3560" w:type="dxa"/>
        <w:tblCellMar>
          <w:top w:w="0" w:type="dxa"/>
          <w:left w:w="0" w:type="dxa"/>
          <w:bottom w:w="0" w:type="dxa"/>
          <w:right w:w="0" w:type="dxa"/>
        </w:tblCellMar>
      </w:tblPr>
      <w:tr>
        <w:trPr>
          <w:trHeight w:val="270"/>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KATHERINE ESBER</w:t>
            </w:r>
          </w:p>
        </w:tc>
      </w:tr>
      <w:tr>
        <w:trPr>
          <w:trHeight w:val="293"/>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5540" w:type="dxa"/>
            <w:vAlign w:val="bottom"/>
          </w:tcPr>
          <w:p>
            <w:pPr>
              <w:ind w:left="20"/>
              <w:spacing w:after="0"/>
              <w:rPr>
                <w:sz w:val="20"/>
                <w:szCs w:val="20"/>
                <w:color w:val="auto"/>
              </w:rPr>
            </w:pPr>
            <w:r>
              <w:rPr>
                <w:rFonts w:ascii="Arial" w:cs="Arial" w:eastAsia="Arial" w:hAnsi="Arial"/>
                <w:sz w:val="22"/>
                <w:szCs w:val="22"/>
                <w:color w:val="auto"/>
              </w:rPr>
              <w:t>Katherine Esber</w:t>
            </w:r>
          </w:p>
        </w:tc>
      </w:tr>
      <w:tr>
        <w:trPr>
          <w:trHeight w:val="311"/>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554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S-3</w:t>
      </w:r>
    </w:p>
    <w:p>
      <w:pPr>
        <w:sectPr>
          <w:pgSz w:w="11900" w:h="16838" w:orient="portrait"/>
          <w:cols w:equalWidth="0" w:num="1">
            <w:col w:w="10120"/>
          </w:cols>
          <w:pgMar w:left="1440" w:top="1440" w:right="339" w:bottom="1440" w:gutter="0" w:footer="0" w:header="0"/>
        </w:sectPr>
      </w:pPr>
    </w:p>
    <w:bookmarkStart w:id="59" w:name="page60"/>
    <w:bookmarkEnd w:id="59"/>
    <w:p>
      <w:pPr>
        <w:spacing w:after="0"/>
        <w:tabs>
          <w:tab w:leader="none" w:pos="8220" w:val="left"/>
        </w:tabs>
        <w:rPr>
          <w:sz w:val="20"/>
          <w:szCs w:val="20"/>
          <w:color w:val="auto"/>
        </w:rPr>
      </w:pPr>
      <w:r>
        <w:rPr>
          <w:rFonts w:ascii="Arial" w:cs="Arial" w:eastAsia="Arial" w:hAnsi="Arial"/>
          <w:sz w:val="25"/>
          <w:szCs w:val="25"/>
          <w:b w:val="1"/>
          <w:bCs w:val="1"/>
          <w:i w:val="1"/>
          <w:iCs w:val="1"/>
          <w:u w:val="single" w:color="auto"/>
          <w:color w:val="auto"/>
        </w:rPr>
        <w:drawing>
          <wp:anchor simplePos="0" relativeHeight="251657728" behindDoc="1" locked="0" layoutInCell="0" allowOverlap="1">
            <wp:simplePos x="0" y="0"/>
            <wp:positionH relativeFrom="page">
              <wp:posOffset>4305935</wp:posOffset>
            </wp:positionH>
            <wp:positionV relativeFrom="page">
              <wp:posOffset>88900</wp:posOffset>
            </wp:positionV>
            <wp:extent cx="1131570" cy="4972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131570" cy="497205"/>
                    </a:xfrm>
                    <a:prstGeom prst="rect">
                      <a:avLst/>
                    </a:prstGeom>
                    <a:noFill/>
                  </pic:spPr>
                </pic:pic>
              </a:graphicData>
            </a:graphic>
          </wp:anchor>
        </w:drawing>
        <w:t>The Scotts Company LLC</w:t>
      </w:r>
      <w:r>
        <w:rPr>
          <w:rFonts w:ascii="Arial" w:cs="Arial" w:eastAsia="Arial" w:hAnsi="Arial"/>
          <w:sz w:val="25"/>
          <w:szCs w:val="25"/>
          <w:i w:val="1"/>
          <w:iCs w:val="1"/>
          <w:u w:val="single" w:color="auto"/>
          <w:color w:val="auto"/>
        </w:rPr>
        <w:t>______________________________</w:t>
      </w:r>
      <w:r>
        <w:rPr>
          <w:sz w:val="20"/>
          <w:szCs w:val="20"/>
          <w:color w:val="auto"/>
        </w:rPr>
        <w:tab/>
      </w:r>
      <w:r>
        <w:rPr>
          <w:rFonts w:ascii="Arial" w:cs="Arial" w:eastAsia="Arial" w:hAnsi="Arial"/>
          <w:sz w:val="16"/>
          <w:szCs w:val="16"/>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February 15, 2021</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Mr. Adam Hanft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rPr>
          <w:sz w:val="20"/>
          <w:szCs w:val="20"/>
          <w:color w:val="auto"/>
        </w:rPr>
      </w:pPr>
      <w:r>
        <w:rPr>
          <w:rFonts w:ascii="Arial" w:cs="Arial" w:eastAsia="Arial" w:hAnsi="Arial"/>
          <w:sz w:val="20"/>
          <w:szCs w:val="20"/>
          <w:color w:val="auto"/>
        </w:rPr>
        <w:t>Hanft Ideas</w:t>
      </w:r>
    </w:p>
    <w:p>
      <w:pPr>
        <w:spacing w:after="0"/>
        <w:rPr>
          <w:sz w:val="20"/>
          <w:szCs w:val="20"/>
          <w:color w:val="auto"/>
        </w:rPr>
      </w:pPr>
      <w:r>
        <w:rPr>
          <w:rFonts w:ascii="Arial" w:cs="Arial" w:eastAsia="Arial" w:hAnsi="Arial"/>
          <w:sz w:val="20"/>
          <w:szCs w:val="20"/>
          <w:color w:val="auto"/>
        </w:rPr>
        <w:t>50 Astor Lane</w:t>
      </w:r>
    </w:p>
    <w:p>
      <w:pPr>
        <w:spacing w:after="0"/>
        <w:rPr>
          <w:sz w:val="20"/>
          <w:szCs w:val="20"/>
          <w:color w:val="auto"/>
        </w:rPr>
      </w:pPr>
      <w:r>
        <w:rPr>
          <w:rFonts w:ascii="Arial" w:cs="Arial" w:eastAsia="Arial" w:hAnsi="Arial"/>
          <w:sz w:val="20"/>
          <w:szCs w:val="20"/>
          <w:color w:val="auto"/>
        </w:rPr>
        <w:t>Sands Point, New York 11050</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Dear Adam:</w:t>
      </w: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letter sets forth our agreement (the “Agreement”) regarding a consulting engagement between Hanft Ideas and The Scotts Company LLC (“Scotts” or the “Company”). For the purposes of this Agreement, the term “Contractor” means Hanft Ideas, its primary designee/employee Adam Hanft, and any other designee or employee of Hanft Ideas. These consulting services are separate and distinct from the services Mr. Hanft is and will be providing as a member of the Scotts Miracle-Gro Company’s Board of Directors (the “Board”) or any Board Committees or other Committees on which Mr. Hanft may serve.</w:t>
      </w:r>
    </w:p>
    <w:p>
      <w:pPr>
        <w:spacing w:after="0" w:line="21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Scope of Services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Subject to the approval of the Board, Contractor agrees to provide the consulting services to Scotts described below.</w:t>
      </w:r>
    </w:p>
    <w:p>
      <w:pPr>
        <w:spacing w:after="0" w:line="243" w:lineRule="exact"/>
        <w:rPr>
          <w:sz w:val="20"/>
          <w:szCs w:val="20"/>
          <w:color w:val="auto"/>
        </w:rPr>
      </w:pPr>
    </w:p>
    <w:p>
      <w:pPr>
        <w:jc w:val="both"/>
        <w:ind w:left="980" w:hanging="324"/>
        <w:spacing w:after="0" w:line="250" w:lineRule="auto"/>
        <w:tabs>
          <w:tab w:leader="none" w:pos="1054" w:val="left"/>
        </w:tabs>
        <w:numPr>
          <w:ilvl w:val="0"/>
          <w:numId w:val="24"/>
        </w:numPr>
        <w:rPr>
          <w:rFonts w:ascii="Arial" w:cs="Arial" w:eastAsia="Arial" w:hAnsi="Arial"/>
          <w:sz w:val="20"/>
          <w:szCs w:val="20"/>
          <w:color w:val="auto"/>
        </w:rPr>
      </w:pPr>
      <w:r>
        <w:rPr>
          <w:rFonts w:ascii="Arial" w:cs="Arial" w:eastAsia="Arial" w:hAnsi="Arial"/>
          <w:sz w:val="20"/>
          <w:szCs w:val="20"/>
          <w:color w:val="auto"/>
        </w:rPr>
        <w:t>Contractor agrees to provide consulting services to Scotts in the area of Marketing so as to advise the Company on marketing strategies concerning a variety of areas including, but not limited to, brand and creative efforts, partnerships with outside services, work processes and staffing/personnel assessments.</w:t>
      </w:r>
    </w:p>
    <w:p>
      <w:pPr>
        <w:spacing w:after="0" w:line="212" w:lineRule="exact"/>
        <w:rPr>
          <w:rFonts w:ascii="Arial" w:cs="Arial" w:eastAsia="Arial" w:hAnsi="Arial"/>
          <w:sz w:val="20"/>
          <w:szCs w:val="20"/>
          <w:color w:val="auto"/>
        </w:rPr>
      </w:pPr>
    </w:p>
    <w:p>
      <w:pPr>
        <w:ind w:left="980" w:hanging="324"/>
        <w:spacing w:after="0" w:line="260" w:lineRule="auto"/>
        <w:tabs>
          <w:tab w:leader="none" w:pos="101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 providing consulting services in the Areas of Expertise, it is anticipated that Contractor will generally undertake the following work and activities pursuant to this Agreement:</w:t>
      </w:r>
    </w:p>
    <w:p>
      <w:pPr>
        <w:spacing w:after="0" w:line="14" w:lineRule="exact"/>
        <w:rPr>
          <w:rFonts w:ascii="Arial" w:cs="Arial" w:eastAsia="Arial" w:hAnsi="Arial"/>
          <w:sz w:val="20"/>
          <w:szCs w:val="20"/>
          <w:color w:val="auto"/>
        </w:rPr>
      </w:pPr>
    </w:p>
    <w:p>
      <w:pPr>
        <w:jc w:val="both"/>
        <w:ind w:left="1300" w:hanging="320"/>
        <w:spacing w:after="0" w:line="246" w:lineRule="auto"/>
        <w:tabs>
          <w:tab w:leader="none" w:pos="1311" w:val="left"/>
        </w:tabs>
        <w:numPr>
          <w:ilvl w:val="1"/>
          <w:numId w:val="24"/>
        </w:numPr>
        <w:rPr>
          <w:rFonts w:ascii="Arial" w:cs="Arial" w:eastAsia="Arial" w:hAnsi="Arial"/>
          <w:sz w:val="20"/>
          <w:szCs w:val="20"/>
          <w:color w:val="auto"/>
        </w:rPr>
      </w:pPr>
      <w:r>
        <w:rPr>
          <w:rFonts w:ascii="Arial" w:cs="Arial" w:eastAsia="Arial" w:hAnsi="Arial"/>
          <w:sz w:val="20"/>
          <w:szCs w:val="20"/>
          <w:color w:val="auto"/>
        </w:rPr>
        <w:t>Provide insights and expertise to help inspire and develop a culture of creativity, with emphasis on: Shaping and assisting with the development of the overall marketing and creative strategy in conjunction with the CEO, COO and CMO; inspiring innovation; building Scotts’ brands and consumer loyalty; and mentoring and coaching key marketing and business executives as requested.</w:t>
      </w:r>
    </w:p>
    <w:p>
      <w:pPr>
        <w:spacing w:after="0" w:line="29" w:lineRule="exact"/>
        <w:rPr>
          <w:rFonts w:ascii="Arial" w:cs="Arial" w:eastAsia="Arial" w:hAnsi="Arial"/>
          <w:sz w:val="20"/>
          <w:szCs w:val="20"/>
          <w:color w:val="auto"/>
        </w:rPr>
      </w:pPr>
    </w:p>
    <w:p>
      <w:pPr>
        <w:ind w:left="1300" w:hanging="320"/>
        <w:spacing w:after="0" w:line="260" w:lineRule="auto"/>
        <w:tabs>
          <w:tab w:leader="none" w:pos="1358" w:val="left"/>
        </w:tabs>
        <w:numPr>
          <w:ilvl w:val="1"/>
          <w:numId w:val="24"/>
        </w:numPr>
        <w:rPr>
          <w:rFonts w:ascii="Arial" w:cs="Arial" w:eastAsia="Arial" w:hAnsi="Arial"/>
          <w:sz w:val="20"/>
          <w:szCs w:val="20"/>
          <w:color w:val="auto"/>
        </w:rPr>
      </w:pPr>
      <w:r>
        <w:rPr>
          <w:rFonts w:ascii="Arial" w:cs="Arial" w:eastAsia="Arial" w:hAnsi="Arial"/>
          <w:sz w:val="20"/>
          <w:szCs w:val="20"/>
          <w:color w:val="auto"/>
        </w:rPr>
        <w:t>Consult with and provide recommendations to the CEO, COO and CMO on an as-needed basis on issues of marketing strategy.</w:t>
      </w:r>
    </w:p>
    <w:p>
      <w:pPr>
        <w:spacing w:after="0" w:line="14" w:lineRule="exact"/>
        <w:rPr>
          <w:rFonts w:ascii="Arial" w:cs="Arial" w:eastAsia="Arial" w:hAnsi="Arial"/>
          <w:sz w:val="20"/>
          <w:szCs w:val="20"/>
          <w:color w:val="auto"/>
        </w:rPr>
      </w:pPr>
    </w:p>
    <w:p>
      <w:pPr>
        <w:jc w:val="both"/>
        <w:ind w:left="1300" w:hanging="320"/>
        <w:spacing w:after="0" w:line="269" w:lineRule="auto"/>
        <w:tabs>
          <w:tab w:leader="none" w:pos="1251" w:val="left"/>
        </w:tabs>
        <w:numPr>
          <w:ilvl w:val="1"/>
          <w:numId w:val="24"/>
        </w:numPr>
        <w:rPr>
          <w:rFonts w:ascii="Arial" w:cs="Arial" w:eastAsia="Arial" w:hAnsi="Arial"/>
          <w:sz w:val="19"/>
          <w:szCs w:val="19"/>
          <w:color w:val="auto"/>
        </w:rPr>
      </w:pPr>
      <w:r>
        <w:rPr>
          <w:rFonts w:ascii="Arial" w:cs="Arial" w:eastAsia="Arial" w:hAnsi="Arial"/>
          <w:sz w:val="19"/>
          <w:szCs w:val="19"/>
          <w:color w:val="auto"/>
        </w:rPr>
        <w:t>Participate in marketing meetings to support the successful execution of the anticipated marketing initiatives of the Company, including on-going support of core brands, the Company’s direct-to-consumer business, live goods, the efforts of Hawthorne Gardening Company, the Black Ops project, and any other special projects as assigned.</w:t>
      </w:r>
    </w:p>
    <w:p>
      <w:pPr>
        <w:spacing w:after="0" w:line="197" w:lineRule="exact"/>
        <w:rPr>
          <w:sz w:val="20"/>
          <w:szCs w:val="20"/>
          <w:color w:val="auto"/>
        </w:rPr>
      </w:pPr>
    </w:p>
    <w:p>
      <w:pPr>
        <w:jc w:val="both"/>
        <w:ind w:left="980"/>
        <w:spacing w:after="0" w:line="250" w:lineRule="auto"/>
        <w:rPr>
          <w:sz w:val="20"/>
          <w:szCs w:val="20"/>
          <w:color w:val="auto"/>
        </w:rPr>
      </w:pPr>
      <w:r>
        <w:rPr>
          <w:rFonts w:ascii="Arial" w:cs="Arial" w:eastAsia="Arial" w:hAnsi="Arial"/>
          <w:sz w:val="20"/>
          <w:szCs w:val="20"/>
          <w:color w:val="auto"/>
        </w:rPr>
        <w:t>Contractor and the Company may agree to modifications of these work activities from time to time as necessary to achieve the purpose of this Agreement. When such modifications are necessary, Contractor and the Company will execute an amendment to this agreement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14111 Scottslawn Road Marysville, Ohio 43041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937-644-0011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www.scotts.com</w:t>
      </w:r>
    </w:p>
    <w:p>
      <w:pPr>
        <w:sectPr>
          <w:pgSz w:w="11900" w:h="16838" w:orient="portrait"/>
          <w:cols w:equalWidth="0" w:num="1">
            <w:col w:w="11240"/>
          </w:cols>
          <w:pgMar w:left="320" w:top="730"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color w:val="auto"/>
        </w:rPr>
        <w:t>Mr. Adam Hanft</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Arial" w:cs="Arial" w:eastAsia="Arial" w:hAnsi="Arial"/>
          <w:sz w:val="16"/>
          <w:szCs w:val="16"/>
          <w:color w:val="auto"/>
        </w:rPr>
        <w:t>– 2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15, 2021</w:t>
      </w:r>
    </w:p>
    <w:p>
      <w:pPr>
        <w:spacing w:after="0" w:line="46" w:lineRule="exact"/>
        <w:rPr>
          <w:sz w:val="20"/>
          <w:szCs w:val="20"/>
          <w:color w:val="auto"/>
        </w:rPr>
      </w:pPr>
    </w:p>
    <w:p>
      <w:pPr>
        <w:sectPr>
          <w:pgSz w:w="11900" w:h="16838" w:orient="portrait"/>
          <w:cols w:equalWidth="0" w:num="3">
            <w:col w:w="1380" w:space="720"/>
            <w:col w:w="540" w:space="720"/>
            <w:col w:w="7880"/>
          </w:cols>
          <w:pgMar w:left="320" w:top="125" w:right="339" w:bottom="1440" w:gutter="0" w:footer="0" w:header="0"/>
        </w:sectPr>
      </w:pPr>
    </w:p>
    <w:p>
      <w:pPr>
        <w:spacing w:after="0"/>
        <w:rPr>
          <w:sz w:val="20"/>
          <w:szCs w:val="20"/>
          <w:color w:val="auto"/>
        </w:rPr>
      </w:pPr>
      <w:r>
        <w:rPr>
          <w:rFonts w:ascii="Arial" w:cs="Arial" w:eastAsia="Arial" w:hAnsi="Arial"/>
          <w:sz w:val="17"/>
          <w:szCs w:val="17"/>
          <w:color w:val="auto"/>
        </w:rPr>
        <w:t>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Hanft Ideas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jc w:val="both"/>
        <w:ind w:left="980"/>
        <w:spacing w:after="0" w:line="246" w:lineRule="auto"/>
        <w:rPr>
          <w:sz w:val="20"/>
          <w:szCs w:val="20"/>
          <w:color w:val="auto"/>
        </w:rPr>
      </w:pPr>
      <w:r>
        <w:rPr>
          <w:rFonts w:ascii="Arial" w:cs="Arial" w:eastAsia="Arial" w:hAnsi="Arial"/>
          <w:sz w:val="20"/>
          <w:szCs w:val="20"/>
          <w:color w:val="auto"/>
        </w:rPr>
        <w:t>reflecting the agreed upon modifications, which may include, by way of non-limiting examples, modifications regarding the work activities, the hours of consulting services provided, and/or the consulting fees and expenses paid to Contractor. Company expects Contractor to provide a minimum of 1,000 hours (50% of FTE) of consulting services during the term of this Agreement (outside services in his capacity as a member of the Board).</w:t>
      </w:r>
    </w:p>
    <w:p>
      <w:pPr>
        <w:spacing w:after="0" w:line="218"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In providing consulting services to Scotts under this Agreement, Contractor will be an independent contractor and will not be an employee, agent, partner, or joint venturer of Scotts or of any of Scotts’ affiliates, or of any of its or their respective officers, directors or employees. Except as provided as a member of the Board, if applicable, and except as otherwise expressly stated herein, Mr. Hanft and any other designee or employee of Contractor will not participate in or receive benefits under any of Scotts’ employee fringe benefit programs or receive any other fringe benefits from Scotts, including, without limitation, the health, disability, life insurance, retirement, equity awards, pension and profit sharing benefits on account of the consulting services provided to Scotts under this Agreement.</w:t>
      </w:r>
    </w:p>
    <w:p>
      <w:pPr>
        <w:spacing w:after="0" w:line="214" w:lineRule="exact"/>
        <w:rPr>
          <w:sz w:val="20"/>
          <w:szCs w:val="20"/>
          <w:color w:val="auto"/>
        </w:rPr>
      </w:pPr>
    </w:p>
    <w:p>
      <w:pPr>
        <w:ind w:left="400" w:hanging="392"/>
        <w:spacing w:after="0"/>
        <w:tabs>
          <w:tab w:leader="none" w:pos="40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Length of Agreement</w:t>
      </w:r>
    </w:p>
    <w:p>
      <w:pPr>
        <w:spacing w:after="0" w:line="249"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The term of this Agreement will commence on February 1, 2021 and will end on January 31, 2022 (the “Termination Date”), unless terminated earlier under Section V.1. The term of this Agreement may be extended only by written agreement, signed by both parties and setting forth expressly the terms related to the consulting fee.</w:t>
      </w:r>
    </w:p>
    <w:p>
      <w:pPr>
        <w:spacing w:after="0" w:line="213" w:lineRule="exact"/>
        <w:rPr>
          <w:sz w:val="20"/>
          <w:szCs w:val="20"/>
          <w:color w:val="auto"/>
        </w:rPr>
      </w:pPr>
    </w:p>
    <w:p>
      <w:pPr>
        <w:jc w:val="both"/>
        <w:ind w:left="660"/>
        <w:spacing w:after="0" w:line="273" w:lineRule="auto"/>
        <w:rPr>
          <w:sz w:val="20"/>
          <w:szCs w:val="20"/>
          <w:color w:val="auto"/>
        </w:rPr>
      </w:pPr>
      <w:r>
        <w:rPr>
          <w:rFonts w:ascii="Arial" w:cs="Arial" w:eastAsia="Arial" w:hAnsi="Arial"/>
          <w:sz w:val="18"/>
          <w:szCs w:val="18"/>
          <w:color w:val="auto"/>
        </w:rPr>
        <w:t>Provided this Agreement is not terminated prior to the Termination Date under Section V.1, Scotts agrees that it will provide Contractor 60 days’ notice of its intent concerning whether to engage Contractor’s consulting services beyond the Termination Date. Scotts will endeavor to provide such notice to Contractor on or before December 2, 2021 (the “Notice Date”); however, Contractor acknowledges that the approval for such a consulting engagement rests with the Nominating &amp; Governance Committee of the Board of Directors of The Scotts Miracle-Gro Company. As such, in the event that Scotts declines to engage Contractor after January 31, 2022 and Scotts is unable provide notice on or before the Notice Date, Contractor shall receive a cash payment of $150,000, which is equivalent to two months’ cash consulting fees. Regardless of whether notice is provided, Scotts and Contractor agree that this Agreement will terminate not later than January 31, 2022 unless extended as described in this Section.</w:t>
      </w:r>
    </w:p>
    <w:p>
      <w:pPr>
        <w:spacing w:after="0" w:line="189"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b w:val="1"/>
          <w:bCs w:val="1"/>
          <w:color w:val="auto"/>
        </w:rPr>
        <w:t>III.</w:t>
      </w:r>
      <w:r>
        <w:rPr>
          <w:sz w:val="20"/>
          <w:szCs w:val="20"/>
          <w:color w:val="auto"/>
        </w:rPr>
        <w:tab/>
      </w:r>
      <w:r>
        <w:rPr>
          <w:rFonts w:ascii="Arial" w:cs="Arial" w:eastAsia="Arial" w:hAnsi="Arial"/>
          <w:sz w:val="18"/>
          <w:szCs w:val="18"/>
          <w:b w:val="1"/>
          <w:bCs w:val="1"/>
          <w:color w:val="auto"/>
        </w:rPr>
        <w:t>Authority</w:t>
      </w:r>
    </w:p>
    <w:p>
      <w:pPr>
        <w:spacing w:after="0" w:line="249" w:lineRule="exact"/>
        <w:rPr>
          <w:sz w:val="20"/>
          <w:szCs w:val="20"/>
          <w:color w:val="auto"/>
        </w:rPr>
      </w:pPr>
    </w:p>
    <w:p>
      <w:pPr>
        <w:jc w:val="both"/>
        <w:ind w:left="660"/>
        <w:spacing w:after="0" w:line="316" w:lineRule="auto"/>
        <w:rPr>
          <w:sz w:val="20"/>
          <w:szCs w:val="20"/>
          <w:color w:val="auto"/>
        </w:rPr>
      </w:pPr>
      <w:r>
        <w:rPr>
          <w:rFonts w:ascii="Arial" w:cs="Arial" w:eastAsia="Arial" w:hAnsi="Arial"/>
          <w:sz w:val="18"/>
          <w:szCs w:val="18"/>
          <w:color w:val="auto"/>
        </w:rPr>
        <w:t>In providing consulting services to Scotts under this Agreement, Contractor will have no authority at any time to assume or create any obligation or liability, express or implied, on Scotts’ behalf or in Scotts’ name or to bind Scotts in any manner whatsoever.</w:t>
      </w:r>
    </w:p>
    <w:p>
      <w:pPr>
        <w:spacing w:after="0" w:line="151"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IV.</w:t>
      </w:r>
      <w:r>
        <w:rPr>
          <w:sz w:val="20"/>
          <w:szCs w:val="20"/>
          <w:color w:val="auto"/>
        </w:rPr>
        <w:tab/>
      </w:r>
      <w:r>
        <w:rPr>
          <w:rFonts w:ascii="Arial" w:cs="Arial" w:eastAsia="Arial" w:hAnsi="Arial"/>
          <w:sz w:val="16"/>
          <w:szCs w:val="16"/>
          <w:b w:val="1"/>
          <w:bCs w:val="1"/>
          <w:color w:val="auto"/>
        </w:rPr>
        <w:t>Consulting Fees and Expenses</w:t>
      </w:r>
    </w:p>
    <w:p>
      <w:pPr>
        <w:spacing w:after="0" w:line="249" w:lineRule="exact"/>
        <w:rPr>
          <w:sz w:val="20"/>
          <w:szCs w:val="20"/>
          <w:color w:val="auto"/>
        </w:rPr>
      </w:pPr>
    </w:p>
    <w:p>
      <w:pPr>
        <w:ind w:left="980" w:right="320" w:hanging="324"/>
        <w:spacing w:after="0" w:line="260" w:lineRule="auto"/>
        <w:tabs>
          <w:tab w:leader="none" w:pos="1002"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 exchange for providing the consulting services hereunder, during the term of this Agreement, Scotts shall pay Contractor a consulting fee consisting of a combination of cash and restricted stock units, as follows:</w:t>
      </w:r>
    </w:p>
    <w:p>
      <w:pPr>
        <w:spacing w:after="0" w:line="68" w:lineRule="exact"/>
        <w:rPr>
          <w:rFonts w:ascii="Arial" w:cs="Arial" w:eastAsia="Arial" w:hAnsi="Arial"/>
          <w:sz w:val="20"/>
          <w:szCs w:val="20"/>
          <w:color w:val="auto"/>
        </w:rPr>
      </w:pPr>
    </w:p>
    <w:p>
      <w:pPr>
        <w:jc w:val="both"/>
        <w:ind w:left="1620" w:hanging="316"/>
        <w:spacing w:after="0" w:line="246" w:lineRule="auto"/>
        <w:tabs>
          <w:tab w:leader="none" w:pos="1762" w:val="left"/>
        </w:tabs>
        <w:numPr>
          <w:ilvl w:val="1"/>
          <w:numId w:val="26"/>
        </w:numPr>
        <w:rPr>
          <w:rFonts w:ascii="Arial" w:cs="Arial" w:eastAsia="Arial" w:hAnsi="Arial"/>
          <w:sz w:val="20"/>
          <w:szCs w:val="20"/>
          <w:color w:val="auto"/>
        </w:rPr>
      </w:pPr>
      <w:r>
        <w:rPr>
          <w:rFonts w:ascii="Arial" w:cs="Arial" w:eastAsia="Arial" w:hAnsi="Arial"/>
          <w:sz w:val="20"/>
          <w:szCs w:val="20"/>
          <w:color w:val="auto"/>
        </w:rPr>
        <w:t>A monthly cash payment of $75,000 for each month during the term irrespective of whether Scotts requests that Contractor provides consulting services hereunder. Contractor shall be required to submit monthly invoices including days/hours worked with brief descriptions of the services provided. Scotts shall pay Contractor within 30 days of its receipt of Contractor’s invoices.</w:t>
      </w:r>
    </w:p>
    <w:p>
      <w:pPr>
        <w:sectPr>
          <w:pgSz w:w="11900" w:h="16838" w:orient="portrait"/>
          <w:cols w:equalWidth="0" w:num="1">
            <w:col w:w="11240"/>
          </w:cols>
          <w:pgMar w:left="320" w:top="125"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7"/>
          <w:szCs w:val="17"/>
          <w:color w:val="auto"/>
        </w:rPr>
        <w:t>Mr. Adam Hanft</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15, 2021</w:t>
      </w:r>
    </w:p>
    <w:p>
      <w:pPr>
        <w:spacing w:after="0" w:line="46" w:lineRule="exact"/>
        <w:rPr>
          <w:sz w:val="20"/>
          <w:szCs w:val="20"/>
          <w:color w:val="auto"/>
        </w:rPr>
      </w:pPr>
    </w:p>
    <w:p>
      <w:pPr>
        <w:sectPr>
          <w:pgSz w:w="11900" w:h="16838" w:orient="portrait"/>
          <w:cols w:equalWidth="0" w:num="3">
            <w:col w:w="1380" w:space="720"/>
            <w:col w:w="540" w:space="720"/>
            <w:col w:w="7880"/>
          </w:cols>
          <w:pgMar w:left="320" w:top="125" w:right="339" w:bottom="1440" w:gutter="0" w:footer="0" w:header="0"/>
        </w:sectPr>
      </w:pPr>
    </w:p>
    <w:p>
      <w:pPr>
        <w:spacing w:after="0"/>
        <w:rPr>
          <w:sz w:val="20"/>
          <w:szCs w:val="20"/>
          <w:color w:val="auto"/>
        </w:rPr>
      </w:pPr>
      <w:r>
        <w:rPr>
          <w:rFonts w:ascii="Arial" w:cs="Arial" w:eastAsia="Arial" w:hAnsi="Arial"/>
          <w:sz w:val="17"/>
          <w:szCs w:val="17"/>
          <w:color w:val="auto"/>
        </w:rPr>
        <w:t>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Hanft Ideas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jc w:val="both"/>
        <w:ind w:left="1620" w:hanging="316"/>
        <w:spacing w:after="0" w:line="273" w:lineRule="auto"/>
        <w:tabs>
          <w:tab w:leader="none" w:pos="1677" w:val="left"/>
        </w:tabs>
        <w:numPr>
          <w:ilvl w:val="2"/>
          <w:numId w:val="27"/>
        </w:numPr>
        <w:rPr>
          <w:rFonts w:ascii="Arial" w:cs="Arial" w:eastAsia="Arial" w:hAnsi="Arial"/>
          <w:sz w:val="18"/>
          <w:szCs w:val="18"/>
          <w:color w:val="auto"/>
        </w:rPr>
      </w:pPr>
      <w:r>
        <w:rPr>
          <w:rFonts w:ascii="Arial" w:cs="Arial" w:eastAsia="Arial" w:hAnsi="Arial"/>
          <w:sz w:val="18"/>
          <w:szCs w:val="18"/>
          <w:color w:val="auto"/>
        </w:rPr>
        <w:t>A one-time grant of restricted stock units (“RSUs”) with a grant date value of $400,000. The RSUs’ shall be issued in the name of Adam Hanft individually. The number of RSUs will be determined by dividing the intended grant date value by the closing price of a share on the grant date, rounded up to the next whole share. Each dividend equivalent represents the right to receive additional RSUs in respect of the dividends that are declared and paid during the period beginning on the Grant Date and ending on the applicable Settlement Date. The RSUs and any related dividend equivalents will vest on January 31, 2022, provided that this Agreement has not otherwise been terminated or notified for termination on that date for any reason listed in Section V.1(b)-(f) of this Agreement. The vested RSUs and related dividend equivalents, if any, will be settled as soon as administratively practical following vesting.</w:t>
      </w:r>
    </w:p>
    <w:p>
      <w:pPr>
        <w:spacing w:after="0" w:line="195" w:lineRule="exact"/>
        <w:rPr>
          <w:rFonts w:ascii="Arial" w:cs="Arial" w:eastAsia="Arial" w:hAnsi="Arial"/>
          <w:sz w:val="18"/>
          <w:szCs w:val="18"/>
          <w:color w:val="auto"/>
        </w:rPr>
      </w:pPr>
    </w:p>
    <w:p>
      <w:pPr>
        <w:jc w:val="both"/>
        <w:ind w:left="2280" w:hanging="328"/>
        <w:spacing w:after="0" w:line="260" w:lineRule="auto"/>
        <w:tabs>
          <w:tab w:leader="none" w:pos="2442" w:val="left"/>
        </w:tabs>
        <w:numPr>
          <w:ilvl w:val="3"/>
          <w:numId w:val="27"/>
        </w:numPr>
        <w:rPr>
          <w:rFonts w:ascii="Arial" w:cs="Arial" w:eastAsia="Arial" w:hAnsi="Arial"/>
          <w:sz w:val="19"/>
          <w:szCs w:val="19"/>
          <w:color w:val="auto"/>
        </w:rPr>
      </w:pPr>
      <w:r>
        <w:rPr>
          <w:rFonts w:ascii="Arial" w:cs="Arial" w:eastAsia="Arial" w:hAnsi="Arial"/>
          <w:sz w:val="19"/>
          <w:szCs w:val="19"/>
          <w:color w:val="auto"/>
        </w:rPr>
        <w:t>With the exception of the vesting provisions described above, the award of RSUs and related dividend equivalents shall be subject to the terms of The Scotts Miracle-Gro Company Long Term Incentive Plan, effective as of January 27, 2017 (the “Plan”), and the standard terms and conditions of the applicable award agreement. In the event of any conflicts or ambiguity between this Agreement and the terms of the Plan and/or the award agreement, the Plan and/or award agreement will be controlling.</w:t>
      </w:r>
    </w:p>
    <w:p>
      <w:pPr>
        <w:spacing w:after="0" w:line="207" w:lineRule="exact"/>
        <w:rPr>
          <w:rFonts w:ascii="Arial" w:cs="Arial" w:eastAsia="Arial" w:hAnsi="Arial"/>
          <w:sz w:val="19"/>
          <w:szCs w:val="19"/>
          <w:color w:val="auto"/>
        </w:rPr>
      </w:pPr>
    </w:p>
    <w:p>
      <w:pPr>
        <w:jc w:val="both"/>
        <w:ind w:left="980" w:hanging="324"/>
        <w:spacing w:after="0" w:line="274" w:lineRule="auto"/>
        <w:tabs>
          <w:tab w:leader="none" w:pos="1069" w:val="left"/>
        </w:tabs>
        <w:numPr>
          <w:ilvl w:val="1"/>
          <w:numId w:val="28"/>
        </w:numPr>
        <w:rPr>
          <w:rFonts w:ascii="Arial" w:cs="Arial" w:eastAsia="Arial" w:hAnsi="Arial"/>
          <w:sz w:val="18"/>
          <w:szCs w:val="18"/>
          <w:color w:val="auto"/>
        </w:rPr>
      </w:pPr>
      <w:r>
        <w:rPr>
          <w:rFonts w:ascii="Arial" w:cs="Arial" w:eastAsia="Arial" w:hAnsi="Arial"/>
          <w:sz w:val="18"/>
          <w:szCs w:val="18"/>
          <w:color w:val="auto"/>
        </w:rPr>
        <w:t>Scotts also will pay or reimburse Contractor for all reasonable expenses incurred by Contractor in connection with providing consulting services to Scotts as contemplated herein, including, without limitation, all reasonable (a) telephone and fax expenses, and (b) travel expenses, including, without limitation, transportation, food and lodging, incurred in connection with attending Scotts approved meetings pursuant to this consulting agreement. Contractor must incur and account for expenses in accordance with the policies and procedures established by Scotts as a precondition to Scotts’ obligation to pay or reimburse Contractor for such expenses pursuant to the terms of the preceding sentence. This includes describing expenses in reasonable detail on invoices. Scotts will provide private transportation when practical and economically reasonable.</w:t>
      </w:r>
    </w:p>
    <w:p>
      <w:pPr>
        <w:spacing w:after="0" w:line="195" w:lineRule="exact"/>
        <w:rPr>
          <w:rFonts w:ascii="Arial" w:cs="Arial" w:eastAsia="Arial" w:hAnsi="Arial"/>
          <w:sz w:val="18"/>
          <w:szCs w:val="18"/>
          <w:color w:val="auto"/>
        </w:rPr>
      </w:pPr>
    </w:p>
    <w:p>
      <w:pPr>
        <w:jc w:val="both"/>
        <w:ind w:left="980" w:hanging="324"/>
        <w:spacing w:after="0" w:line="250" w:lineRule="auto"/>
        <w:tabs>
          <w:tab w:leader="none" w:pos="1013" w:val="left"/>
        </w:tabs>
        <w:numPr>
          <w:ilvl w:val="1"/>
          <w:numId w:val="28"/>
        </w:numPr>
        <w:rPr>
          <w:rFonts w:ascii="Arial" w:cs="Arial" w:eastAsia="Arial" w:hAnsi="Arial"/>
          <w:sz w:val="20"/>
          <w:szCs w:val="20"/>
          <w:color w:val="auto"/>
        </w:rPr>
      </w:pPr>
      <w:r>
        <w:rPr>
          <w:rFonts w:ascii="Arial" w:cs="Arial" w:eastAsia="Arial" w:hAnsi="Arial"/>
          <w:sz w:val="20"/>
          <w:szCs w:val="20"/>
          <w:color w:val="auto"/>
        </w:rPr>
        <w:t>Contractor agrees to provide, at its own expense, all equipment necessary to provide the consulting services contemplated herein and to be responsible for its own overhead costs and expenses except for those expenses that Scotts has expressly agreed to pay pursuant to the terms of the preceding paragraph.</w:t>
      </w:r>
    </w:p>
    <w:p>
      <w:pPr>
        <w:spacing w:after="0" w:line="206" w:lineRule="exact"/>
        <w:rPr>
          <w:rFonts w:ascii="Arial" w:cs="Arial" w:eastAsia="Arial" w:hAnsi="Arial"/>
          <w:sz w:val="20"/>
          <w:szCs w:val="20"/>
          <w:color w:val="auto"/>
        </w:rPr>
      </w:pPr>
    </w:p>
    <w:p>
      <w:pPr>
        <w:ind w:left="360" w:hanging="352"/>
        <w:spacing w:after="0"/>
        <w:tabs>
          <w:tab w:leader="none" w:pos="36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w:t>
      </w:r>
    </w:p>
    <w:p>
      <w:pPr>
        <w:spacing w:after="0" w:line="248" w:lineRule="exact"/>
        <w:rPr>
          <w:rFonts w:ascii="Arial" w:cs="Arial" w:eastAsia="Arial" w:hAnsi="Arial"/>
          <w:sz w:val="20"/>
          <w:szCs w:val="20"/>
          <w:b w:val="1"/>
          <w:bCs w:val="1"/>
          <w:color w:val="auto"/>
        </w:rPr>
      </w:pPr>
    </w:p>
    <w:p>
      <w:pPr>
        <w:jc w:val="both"/>
        <w:ind w:left="980" w:hanging="324"/>
        <w:spacing w:after="0" w:line="274" w:lineRule="auto"/>
        <w:tabs>
          <w:tab w:leader="none" w:pos="1027" w:val="left"/>
        </w:tabs>
        <w:numPr>
          <w:ilvl w:val="1"/>
          <w:numId w:val="29"/>
        </w:numPr>
        <w:rPr>
          <w:rFonts w:ascii="Arial" w:cs="Arial" w:eastAsia="Arial" w:hAnsi="Arial"/>
          <w:sz w:val="18"/>
          <w:szCs w:val="18"/>
          <w:color w:val="auto"/>
        </w:rPr>
      </w:pPr>
      <w:r>
        <w:rPr>
          <w:rFonts w:ascii="Arial" w:cs="Arial" w:eastAsia="Arial" w:hAnsi="Arial"/>
          <w:sz w:val="18"/>
          <w:szCs w:val="18"/>
          <w:color w:val="auto"/>
        </w:rPr>
        <w:t>Scotts shall be permitted to terminate this Agreement and its consulting relationship with Contractor under any of the following circumstances: (a) upon Scotts’ 60 days advance written notice to Contractor, (b) Mr. Hanft’s death or disability, or Contractor ceasing operations, (c) Contractor’s material breach of its obligations to Scotts if such breach is not cured within 30 days after receiving notice thereof, (d) Contractor’s and/or Mr. Hanft’s indictment for a felony or serious misdemeanor, (e) Contractor’s and/or Mr. Hanft’s commission of an act of fraud or bad faith toward Scotts, or (f) Contractor’s and/or Mr. Hanft’s misappropriation of any funds, property or rights of Scotts. Contractor shall be permitted to terminate this Agreement and its consulting relationship with Scotts upon Contractor’s 30 day advance written notice to Scotts.</w:t>
      </w:r>
    </w:p>
    <w:p>
      <w:pPr>
        <w:sectPr>
          <w:pgSz w:w="11900" w:h="16838" w:orient="portrait"/>
          <w:cols w:equalWidth="0" w:num="1">
            <w:col w:w="11240"/>
          </w:cols>
          <w:pgMar w:left="320" w:top="125"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7"/>
          <w:szCs w:val="17"/>
          <w:color w:val="auto"/>
        </w:rPr>
        <w:t>Mr. Adam Hanft</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Arial" w:cs="Arial" w:eastAsia="Arial" w:hAnsi="Arial"/>
          <w:sz w:val="16"/>
          <w:szCs w:val="16"/>
          <w:color w:val="auto"/>
        </w:rPr>
        <w:t>– 4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15, 2021</w:t>
      </w:r>
    </w:p>
    <w:p>
      <w:pPr>
        <w:spacing w:after="0" w:line="46" w:lineRule="exact"/>
        <w:rPr>
          <w:sz w:val="20"/>
          <w:szCs w:val="20"/>
          <w:color w:val="auto"/>
        </w:rPr>
      </w:pPr>
    </w:p>
    <w:p>
      <w:pPr>
        <w:sectPr>
          <w:pgSz w:w="11900" w:h="16838" w:orient="portrait"/>
          <w:cols w:equalWidth="0" w:num="3">
            <w:col w:w="1380" w:space="720"/>
            <w:col w:w="540" w:space="720"/>
            <w:col w:w="7880"/>
          </w:cols>
          <w:pgMar w:left="320" w:top="125" w:right="339" w:bottom="1440" w:gutter="0" w:footer="0" w:header="0"/>
        </w:sectPr>
      </w:pPr>
    </w:p>
    <w:p>
      <w:pPr>
        <w:spacing w:after="0"/>
        <w:rPr>
          <w:sz w:val="20"/>
          <w:szCs w:val="20"/>
          <w:color w:val="auto"/>
        </w:rPr>
      </w:pPr>
      <w:r>
        <w:rPr>
          <w:rFonts w:ascii="Arial" w:cs="Arial" w:eastAsia="Arial" w:hAnsi="Arial"/>
          <w:sz w:val="17"/>
          <w:szCs w:val="17"/>
          <w:color w:val="auto"/>
        </w:rPr>
        <w:t>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Hanft Ideas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jc w:val="both"/>
        <w:ind w:left="980" w:hanging="324"/>
        <w:spacing w:after="0" w:line="291" w:lineRule="auto"/>
        <w:tabs>
          <w:tab w:leader="none" w:pos="10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event that Scotts terminates this Agreement for any reason other than those listed in Section V.1(b)-(f), Scotts will pay Contractor the total value of this Agreement, including RSUs, less any amounts already paid pursuant to this Agreement, as well as any expenses Contractor has incurred pursuant to the terms of this Agreement prior to the date of such termination.</w:t>
      </w:r>
    </w:p>
    <w:p>
      <w:pPr>
        <w:spacing w:after="0" w:line="178" w:lineRule="exact"/>
        <w:rPr>
          <w:rFonts w:ascii="Arial" w:cs="Arial" w:eastAsia="Arial" w:hAnsi="Arial"/>
          <w:sz w:val="18"/>
          <w:szCs w:val="18"/>
          <w:color w:val="auto"/>
        </w:rPr>
      </w:pPr>
    </w:p>
    <w:p>
      <w:pPr>
        <w:jc w:val="both"/>
        <w:ind w:left="980" w:hanging="324"/>
        <w:spacing w:after="0" w:line="244" w:lineRule="auto"/>
        <w:tabs>
          <w:tab w:leader="none" w:pos="1115" w:val="left"/>
        </w:tabs>
        <w:numPr>
          <w:ilvl w:val="0"/>
          <w:numId w:val="30"/>
        </w:numPr>
        <w:rPr>
          <w:rFonts w:ascii="Arial" w:cs="Arial" w:eastAsia="Arial" w:hAnsi="Arial"/>
          <w:sz w:val="20"/>
          <w:szCs w:val="20"/>
          <w:color w:val="auto"/>
        </w:rPr>
      </w:pPr>
      <w:r>
        <w:rPr>
          <w:rFonts w:ascii="Arial" w:cs="Arial" w:eastAsia="Arial" w:hAnsi="Arial"/>
          <w:sz w:val="20"/>
          <w:szCs w:val="20"/>
          <w:color w:val="auto"/>
        </w:rPr>
        <w:t>In the event that Contractor terminates this Agreement and its consulting relationship with Scotts or Scotts terminates this Agreement and its consulting relationship with Contractor for any reason listed in Section V.1(b)-(f) of this Agreement, such termination shall not affect Scotts’ obligation to pay Contractor for the cash fees Contractor has earned prior to the date of such termination or reimburse Contractor for the expenses Contractor has incurred pursuant to the terms of this Agreement prior to the date of such termination.</w:t>
      </w:r>
    </w:p>
    <w:p>
      <w:pPr>
        <w:spacing w:after="0" w:line="215"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b w:val="1"/>
          <w:bCs w:val="1"/>
          <w:color w:val="auto"/>
        </w:rPr>
        <w:t>VI.</w:t>
      </w:r>
      <w:r>
        <w:rPr>
          <w:sz w:val="20"/>
          <w:szCs w:val="20"/>
          <w:color w:val="auto"/>
        </w:rPr>
        <w:tab/>
      </w:r>
      <w:r>
        <w:rPr>
          <w:rFonts w:ascii="Arial" w:cs="Arial" w:eastAsia="Arial" w:hAnsi="Arial"/>
          <w:sz w:val="18"/>
          <w:szCs w:val="18"/>
          <w:b w:val="1"/>
          <w:bCs w:val="1"/>
          <w:color w:val="auto"/>
        </w:rPr>
        <w:t>Confidential Information and Insider Trading</w:t>
      </w:r>
    </w:p>
    <w:p>
      <w:pPr>
        <w:spacing w:after="0" w:line="249" w:lineRule="exact"/>
        <w:rPr>
          <w:sz w:val="20"/>
          <w:szCs w:val="20"/>
          <w:color w:val="auto"/>
        </w:rPr>
      </w:pPr>
    </w:p>
    <w:p>
      <w:pPr>
        <w:jc w:val="both"/>
        <w:ind w:left="980" w:hanging="405"/>
        <w:spacing w:after="0" w:line="257" w:lineRule="auto"/>
        <w:tabs>
          <w:tab w:leader="none" w:pos="978" w:val="left"/>
        </w:tabs>
        <w:numPr>
          <w:ilvl w:val="0"/>
          <w:numId w:val="31"/>
        </w:numPr>
        <w:rPr>
          <w:rFonts w:ascii="Arial" w:cs="Arial" w:eastAsia="Arial" w:hAnsi="Arial"/>
          <w:sz w:val="19"/>
          <w:szCs w:val="19"/>
          <w:color w:val="auto"/>
        </w:rPr>
      </w:pPr>
      <w:r>
        <w:rPr>
          <w:rFonts w:ascii="Arial" w:cs="Arial" w:eastAsia="Arial" w:hAnsi="Arial"/>
          <w:sz w:val="19"/>
          <w:szCs w:val="19"/>
          <w:color w:val="auto"/>
        </w:rPr>
        <w:t>In providing the consulting services contemplated herein, Contractor will receive Confidential Information about Scotts and its affiliates. Maintaining the confidential nature of this information is very important to Scotts. As used in this Agreement, “Confidential Information” is any information about Scotts, or its affiliates, to which Contractor gains access in connection with its provision of consulting or other services to Scotts, including Mr. Hanft’s service as a member of the Board. Confidential Information does not include information Contractor can show (a) was already in Contractor’s possession prior to the time Contractor received such information as a consultant to Scotts, or (b) is publicly available or otherwise in the public domain by means other than Contractor’s violation of the terms of this Agreement.</w:t>
      </w:r>
    </w:p>
    <w:p>
      <w:pPr>
        <w:spacing w:after="0" w:line="211" w:lineRule="exact"/>
        <w:rPr>
          <w:rFonts w:ascii="Arial" w:cs="Arial" w:eastAsia="Arial" w:hAnsi="Arial"/>
          <w:sz w:val="19"/>
          <w:szCs w:val="19"/>
          <w:color w:val="auto"/>
        </w:rPr>
      </w:pPr>
    </w:p>
    <w:p>
      <w:pPr>
        <w:jc w:val="both"/>
        <w:ind w:left="980" w:hanging="324"/>
        <w:spacing w:after="0" w:line="250" w:lineRule="auto"/>
        <w:tabs>
          <w:tab w:leader="none" w:pos="1068" w:val="left"/>
        </w:tabs>
        <w:numPr>
          <w:ilvl w:val="1"/>
          <w:numId w:val="31"/>
        </w:numPr>
        <w:rPr>
          <w:rFonts w:ascii="Arial" w:cs="Arial" w:eastAsia="Arial" w:hAnsi="Arial"/>
          <w:sz w:val="20"/>
          <w:szCs w:val="20"/>
          <w:color w:val="auto"/>
        </w:rPr>
      </w:pPr>
      <w:r>
        <w:rPr>
          <w:rFonts w:ascii="Arial" w:cs="Arial" w:eastAsia="Arial" w:hAnsi="Arial"/>
          <w:sz w:val="20"/>
          <w:szCs w:val="20"/>
          <w:color w:val="auto"/>
        </w:rPr>
        <w:t>Contractor agrees to not at any time hereafter, without the prior written consent of Scotts, disclose, directly or indirectly, any Confidential Information or use any Confidential Information for any purpose other than providing consulting services to Scotts as contemplated herein.</w:t>
      </w:r>
    </w:p>
    <w:p>
      <w:pPr>
        <w:spacing w:after="0" w:line="212" w:lineRule="exact"/>
        <w:rPr>
          <w:rFonts w:ascii="Arial" w:cs="Arial" w:eastAsia="Arial" w:hAnsi="Arial"/>
          <w:sz w:val="20"/>
          <w:szCs w:val="20"/>
          <w:color w:val="auto"/>
        </w:rPr>
      </w:pPr>
    </w:p>
    <w:p>
      <w:pPr>
        <w:jc w:val="both"/>
        <w:ind w:left="980" w:hanging="324"/>
        <w:spacing w:after="0" w:line="257" w:lineRule="auto"/>
        <w:tabs>
          <w:tab w:leader="none" w:pos="1050" w:val="left"/>
        </w:tabs>
        <w:numPr>
          <w:ilvl w:val="1"/>
          <w:numId w:val="31"/>
        </w:numPr>
        <w:rPr>
          <w:rFonts w:ascii="Arial" w:cs="Arial" w:eastAsia="Arial" w:hAnsi="Arial"/>
          <w:sz w:val="19"/>
          <w:szCs w:val="19"/>
          <w:color w:val="auto"/>
        </w:rPr>
      </w:pPr>
      <w:r>
        <w:rPr>
          <w:rFonts w:ascii="Arial" w:cs="Arial" w:eastAsia="Arial" w:hAnsi="Arial"/>
          <w:sz w:val="19"/>
          <w:szCs w:val="19"/>
          <w:color w:val="auto"/>
        </w:rPr>
        <w:t>In an effort to avoid the appearance of impropriety, you agree to follow all laws and regulations concerning insider trading, as well as the Scotts Insider Trading policy (attached), during the term of this Agreement. Further, you agree that you will not engage in any transaction of Scotts securities during the term of this Agreement except while the Scotts trading window is open and only after having obtained pre-clearance of the transaction per the procedure described in the Scotts Insider Trading policy. Following the termination of this Agreement, you agree that you remain subject to the Scotts Insider Trading policy if you are still serving as a member of the Board; if not, you agree that you remain subject to the Scotts Insider Trading policy until the next scheduled open trading window period and will not engage in any transaction of Scotts securities until then, and then only if you are not in possession of material, non-public information.</w:t>
      </w:r>
    </w:p>
    <w:p>
      <w:pPr>
        <w:spacing w:after="0" w:line="207" w:lineRule="exact"/>
        <w:rPr>
          <w:rFonts w:ascii="Arial" w:cs="Arial" w:eastAsia="Arial" w:hAnsi="Arial"/>
          <w:sz w:val="19"/>
          <w:szCs w:val="19"/>
          <w:color w:val="auto"/>
        </w:rPr>
      </w:pPr>
    </w:p>
    <w:p>
      <w:pPr>
        <w:ind w:left="980" w:hanging="324"/>
        <w:spacing w:after="0" w:line="260" w:lineRule="auto"/>
        <w:tabs>
          <w:tab w:leader="none" w:pos="1123" w:val="left"/>
        </w:tabs>
        <w:numPr>
          <w:ilvl w:val="1"/>
          <w:numId w:val="31"/>
        </w:numPr>
        <w:rPr>
          <w:rFonts w:ascii="Arial" w:cs="Arial" w:eastAsia="Arial" w:hAnsi="Arial"/>
          <w:sz w:val="20"/>
          <w:szCs w:val="20"/>
          <w:color w:val="auto"/>
        </w:rPr>
      </w:pPr>
      <w:r>
        <w:rPr>
          <w:rFonts w:ascii="Arial" w:cs="Arial" w:eastAsia="Arial" w:hAnsi="Arial"/>
          <w:sz w:val="20"/>
          <w:szCs w:val="20"/>
          <w:color w:val="auto"/>
        </w:rPr>
        <w:t>Contractor agrees to promptly return to Scotts, upon Scotts’ request, all electronic or tangible documents that contain any Confidential Information and to retain no copies.</w:t>
      </w:r>
    </w:p>
    <w:p>
      <w:pPr>
        <w:spacing w:after="0" w:line="203" w:lineRule="exact"/>
        <w:rPr>
          <w:rFonts w:ascii="Arial" w:cs="Arial" w:eastAsia="Arial" w:hAnsi="Arial"/>
          <w:sz w:val="20"/>
          <w:szCs w:val="20"/>
          <w:color w:val="auto"/>
        </w:rPr>
      </w:pPr>
    </w:p>
    <w:p>
      <w:pPr>
        <w:ind w:left="980" w:hanging="324"/>
        <w:spacing w:after="0" w:line="260" w:lineRule="auto"/>
        <w:tabs>
          <w:tab w:leader="none" w:pos="1021"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These confidentiality obligations are in addition to, and not in place of, any and all confidentiality obligations arising as a result of Mr. Hanft’s membership on the Board and applicable Board Committees.</w:t>
      </w:r>
    </w:p>
    <w:p>
      <w:pPr>
        <w:sectPr>
          <w:pgSz w:w="11900" w:h="16838" w:orient="portrait"/>
          <w:cols w:equalWidth="0" w:num="1">
            <w:col w:w="11240"/>
          </w:cols>
          <w:pgMar w:left="320" w:top="125"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7"/>
          <w:szCs w:val="17"/>
          <w:color w:val="auto"/>
        </w:rPr>
        <w:t>Mr. Adam Hanft</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Arial" w:cs="Arial" w:eastAsia="Arial" w:hAnsi="Arial"/>
          <w:sz w:val="16"/>
          <w:szCs w:val="16"/>
          <w:color w:val="auto"/>
        </w:rPr>
        <w:t>– 5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15, 2021</w:t>
      </w:r>
    </w:p>
    <w:p>
      <w:pPr>
        <w:spacing w:after="0" w:line="46" w:lineRule="exact"/>
        <w:rPr>
          <w:sz w:val="20"/>
          <w:szCs w:val="20"/>
          <w:color w:val="auto"/>
        </w:rPr>
      </w:pPr>
    </w:p>
    <w:p>
      <w:pPr>
        <w:sectPr>
          <w:pgSz w:w="11900" w:h="16838" w:orient="portrait"/>
          <w:cols w:equalWidth="0" w:num="3">
            <w:col w:w="1380" w:space="720"/>
            <w:col w:w="540" w:space="720"/>
            <w:col w:w="7880"/>
          </w:cols>
          <w:pgMar w:left="320" w:top="125" w:right="339" w:bottom="1440" w:gutter="0" w:footer="0" w:header="0"/>
        </w:sectPr>
      </w:pPr>
    </w:p>
    <w:p>
      <w:pPr>
        <w:spacing w:after="0"/>
        <w:rPr>
          <w:sz w:val="20"/>
          <w:szCs w:val="20"/>
          <w:color w:val="auto"/>
        </w:rPr>
      </w:pPr>
      <w:r>
        <w:rPr>
          <w:rFonts w:ascii="Arial" w:cs="Arial" w:eastAsia="Arial" w:hAnsi="Arial"/>
          <w:sz w:val="17"/>
          <w:szCs w:val="17"/>
          <w:color w:val="auto"/>
        </w:rPr>
        <w:t>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Hanft Ideas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b w:val="1"/>
          <w:bCs w:val="1"/>
          <w:color w:val="auto"/>
        </w:rPr>
        <w:t>VII.</w:t>
        <w:tab/>
        <w:t>Conflicts of Interest</w:t>
      </w:r>
    </w:p>
    <w:p>
      <w:pPr>
        <w:spacing w:after="0" w:line="249" w:lineRule="exact"/>
        <w:rPr>
          <w:sz w:val="20"/>
          <w:szCs w:val="20"/>
          <w:color w:val="auto"/>
        </w:rPr>
      </w:pPr>
    </w:p>
    <w:p>
      <w:pPr>
        <w:jc w:val="both"/>
        <w:ind w:left="740"/>
        <w:spacing w:after="0" w:line="260" w:lineRule="auto"/>
        <w:rPr>
          <w:sz w:val="20"/>
          <w:szCs w:val="20"/>
          <w:color w:val="auto"/>
        </w:rPr>
      </w:pPr>
      <w:r>
        <w:rPr>
          <w:rFonts w:ascii="Arial" w:cs="Arial" w:eastAsia="Arial" w:hAnsi="Arial"/>
          <w:sz w:val="19"/>
          <w:szCs w:val="19"/>
          <w:color w:val="auto"/>
        </w:rPr>
        <w:t>While Contractor is not restricted from having other clients during the term of this Agreement, it is important to the Company that Contractor avoids actual or potential conflicts of interest. As such, Contractor agrees that Contractor has no business, professional, personal or other interest, including but not limited to representation of other clients, that conflicts in any manner or degree with the performance of Contractor’s obligations under this Agreement. If any such actual or potential conflict of interest arises under this Agreement, Contractor shall immediately inform the Company in writing of such conflict.</w:t>
      </w:r>
    </w:p>
    <w:p>
      <w:pPr>
        <w:spacing w:after="0" w:line="207" w:lineRule="exact"/>
        <w:rPr>
          <w:sz w:val="20"/>
          <w:szCs w:val="20"/>
          <w:color w:val="auto"/>
        </w:rPr>
      </w:pPr>
    </w:p>
    <w:p>
      <w:pPr>
        <w:jc w:val="both"/>
        <w:ind w:left="740" w:right="20"/>
        <w:spacing w:after="0" w:line="316" w:lineRule="auto"/>
        <w:rPr>
          <w:sz w:val="20"/>
          <w:szCs w:val="20"/>
          <w:color w:val="auto"/>
        </w:rPr>
      </w:pPr>
      <w:r>
        <w:rPr>
          <w:rFonts w:ascii="Arial" w:cs="Arial" w:eastAsia="Arial" w:hAnsi="Arial"/>
          <w:sz w:val="18"/>
          <w:szCs w:val="18"/>
          <w:color w:val="auto"/>
        </w:rPr>
        <w:t>If, in the reasonable judgment of the Company, such conflict poses a material conflict to and with the performance of Contractor’s obligations under this Agreement, then the Company may terminate this Agreement in accordance with Section V above.</w:t>
      </w:r>
    </w:p>
    <w:p>
      <w:pPr>
        <w:spacing w:after="0" w:line="151"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color w:val="auto"/>
        </w:rPr>
        <w:t>VIII.</w:t>
        <w:tab/>
        <w:t>Cooperation with Litigation</w:t>
      </w:r>
    </w:p>
    <w:p>
      <w:pPr>
        <w:spacing w:after="0" w:line="249" w:lineRule="exact"/>
        <w:rPr>
          <w:sz w:val="20"/>
          <w:szCs w:val="20"/>
          <w:color w:val="auto"/>
        </w:rPr>
      </w:pPr>
    </w:p>
    <w:p>
      <w:pPr>
        <w:ind w:left="340" w:right="60"/>
        <w:spacing w:after="0" w:line="274" w:lineRule="auto"/>
        <w:rPr>
          <w:sz w:val="20"/>
          <w:szCs w:val="20"/>
          <w:color w:val="auto"/>
        </w:rPr>
      </w:pPr>
      <w:r>
        <w:rPr>
          <w:rFonts w:ascii="Arial" w:cs="Arial" w:eastAsia="Arial" w:hAnsi="Arial"/>
          <w:sz w:val="18"/>
          <w:szCs w:val="18"/>
          <w:color w:val="auto"/>
        </w:rPr>
        <w:t>Contractor agrees to cooperate fully with Scotts in its defense of any lawsuit filed over matters that occurred while Contractor was or is a consultant to Scotts. Contractor agrees to provide full and accurate information with respect to the same. Contractor further agrees not to assist any party in maintaining any lawsuit against Scotts or any of its employees, officers or agents, and that Contractor will not provide any information to anyone concerning Scotts or its employees, directors, officers or agents, unless compelled to do so by valid subpoena or other court order, and in such case only after first notifying Scotts sufficiently in advance of such subpoena or court order to reasonably allow Scotts an opportunity to object to same. In the event that Contractor’s cooperation is necessary under this paragraph, Contractor and Scotts shall agree on a reasonable rate for Contractor’s time in providing that cooperation.</w:t>
      </w:r>
    </w:p>
    <w:p>
      <w:pPr>
        <w:sectPr>
          <w:pgSz w:w="11900" w:h="16838" w:orient="portrait"/>
          <w:cols w:equalWidth="0" w:num="1">
            <w:col w:w="11240"/>
          </w:cols>
          <w:pgMar w:left="320" w:top="125"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7"/>
          <w:szCs w:val="17"/>
          <w:color w:val="auto"/>
        </w:rPr>
        <w:t>Mr. Adam Hanft</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Arial" w:cs="Arial" w:eastAsia="Arial" w:hAnsi="Arial"/>
          <w:sz w:val="16"/>
          <w:szCs w:val="16"/>
          <w:color w:val="auto"/>
        </w:rPr>
        <w:t>– 6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15, 2021</w:t>
      </w:r>
    </w:p>
    <w:p>
      <w:pPr>
        <w:spacing w:after="0" w:line="46" w:lineRule="exact"/>
        <w:rPr>
          <w:sz w:val="20"/>
          <w:szCs w:val="20"/>
          <w:color w:val="auto"/>
        </w:rPr>
      </w:pPr>
    </w:p>
    <w:p>
      <w:pPr>
        <w:sectPr>
          <w:pgSz w:w="11900" w:h="16838" w:orient="portrait"/>
          <w:cols w:equalWidth="0" w:num="3">
            <w:col w:w="1380" w:space="720"/>
            <w:col w:w="540" w:space="720"/>
            <w:col w:w="7880"/>
          </w:cols>
          <w:pgMar w:left="320" w:top="125" w:right="339" w:bottom="1440" w:gutter="0" w:footer="0" w:header="0"/>
        </w:sectPr>
      </w:pPr>
    </w:p>
    <w:p>
      <w:pPr>
        <w:spacing w:after="0"/>
        <w:rPr>
          <w:sz w:val="20"/>
          <w:szCs w:val="20"/>
          <w:color w:val="auto"/>
        </w:rPr>
      </w:pPr>
      <w:r>
        <w:rPr>
          <w:rFonts w:ascii="Arial" w:cs="Arial" w:eastAsia="Arial" w:hAnsi="Arial"/>
          <w:sz w:val="17"/>
          <w:szCs w:val="17"/>
          <w:color w:val="auto"/>
        </w:rPr>
        <w:t>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Hanft Ideas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color w:val="auto"/>
        </w:rPr>
        <w:t>IX.</w:t>
      </w:r>
      <w:r>
        <w:rPr>
          <w:sz w:val="20"/>
          <w:szCs w:val="20"/>
          <w:color w:val="auto"/>
        </w:rPr>
        <w:tab/>
      </w:r>
      <w:r>
        <w:rPr>
          <w:rFonts w:ascii="Arial" w:cs="Arial" w:eastAsia="Arial" w:hAnsi="Arial"/>
          <w:sz w:val="20"/>
          <w:szCs w:val="20"/>
          <w:b w:val="1"/>
          <w:bCs w:val="1"/>
          <w:color w:val="auto"/>
        </w:rPr>
        <w:t>Other</w:t>
      </w:r>
    </w:p>
    <w:p>
      <w:pPr>
        <w:spacing w:after="0" w:line="249" w:lineRule="exact"/>
        <w:rPr>
          <w:sz w:val="20"/>
          <w:szCs w:val="20"/>
          <w:color w:val="auto"/>
        </w:rPr>
      </w:pPr>
    </w:p>
    <w:p>
      <w:pPr>
        <w:ind w:left="980" w:hanging="324"/>
        <w:spacing w:after="0" w:line="316"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Contractor understands and agrees that this Agreement does not obligate Scotts to utilize Contractor’s consulting services, but it is intended to set forth the terms pursuant to which Scotts may utilize Contractor’s consulting services in Scotts’ discretion.</w:t>
      </w:r>
    </w:p>
    <w:p>
      <w:pPr>
        <w:spacing w:after="0" w:line="156"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Contractor is not permitted to assign, sell or otherwise transfer any of its rights or obligations hereunder.</w:t>
      </w:r>
    </w:p>
    <w:p>
      <w:pPr>
        <w:spacing w:after="0" w:line="242" w:lineRule="exact"/>
        <w:rPr>
          <w:rFonts w:ascii="Arial" w:cs="Arial" w:eastAsia="Arial" w:hAnsi="Arial"/>
          <w:sz w:val="20"/>
          <w:szCs w:val="20"/>
          <w:color w:val="auto"/>
        </w:rPr>
      </w:pPr>
    </w:p>
    <w:p>
      <w:pPr>
        <w:ind w:left="980" w:hanging="324"/>
        <w:spacing w:after="0" w:line="247" w:lineRule="auto"/>
        <w:tabs>
          <w:tab w:leader="none" w:pos="9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Contractor acknowledges that neither Scotts nor any representatives of Scotts have made any representations or promises about the tax implications of this Agreement. Nothing in this</w:t>
      </w:r>
    </w:p>
    <w:p>
      <w:pPr>
        <w:spacing w:after="0" w:line="1" w:lineRule="exact"/>
        <w:rPr>
          <w:rFonts w:ascii="Arial" w:cs="Arial" w:eastAsia="Arial" w:hAnsi="Arial"/>
          <w:sz w:val="20"/>
          <w:szCs w:val="20"/>
          <w:color w:val="auto"/>
        </w:rPr>
      </w:pPr>
    </w:p>
    <w:p>
      <w:pPr>
        <w:ind w:left="980"/>
        <w:spacing w:after="0" w:line="244" w:lineRule="auto"/>
        <w:rPr>
          <w:rFonts w:ascii="Arial" w:cs="Arial" w:eastAsia="Arial" w:hAnsi="Arial"/>
          <w:sz w:val="20"/>
          <w:szCs w:val="20"/>
          <w:color w:val="auto"/>
        </w:rPr>
      </w:pPr>
      <w:r>
        <w:rPr>
          <w:rFonts w:ascii="Arial" w:cs="Arial" w:eastAsia="Arial" w:hAnsi="Arial"/>
          <w:sz w:val="20"/>
          <w:szCs w:val="20"/>
          <w:color w:val="auto"/>
        </w:rPr>
        <w:t>Agreement may be construed as tax advice from Scotts to Contractor. Contractor has been encouraged to discuss the tax implications of this Agreement with his own tax and financial counsel.</w:t>
      </w:r>
    </w:p>
    <w:p>
      <w:pPr>
        <w:spacing w:after="0" w:line="200" w:lineRule="exact"/>
        <w:rPr>
          <w:sz w:val="20"/>
          <w:szCs w:val="20"/>
          <w:color w:val="auto"/>
        </w:rPr>
      </w:pPr>
    </w:p>
    <w:p>
      <w:pPr>
        <w:spacing w:after="0" w:line="315"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THE SCOTTS COMPANY LLC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20"/>
        <w:spacing w:after="0"/>
        <w:tabs>
          <w:tab w:leader="none" w:pos="5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DENISE STUMP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27305</wp:posOffset>
            </wp:positionV>
            <wp:extent cx="34290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47"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Denise Stump</w:t>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EVP, Global Human Resources &amp; Chief Ethics Officer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20"/>
          <w:szCs w:val="20"/>
          <w:color w:val="auto"/>
        </w:rPr>
        <w:t>ACKNOWLEDGED AND AGREED:</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ADAM HANFT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4201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Adam Hanft, Chief Executive Officer</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Hanft Ideas</w:t>
      </w:r>
    </w:p>
    <w:p>
      <w:pPr>
        <w:sectPr>
          <w:pgSz w:w="11900" w:h="16838" w:orient="portrait"/>
          <w:cols w:equalWidth="0" w:num="1">
            <w:col w:w="11240"/>
          </w:cols>
          <w:pgMar w:left="320" w:top="125" w:right="339" w:bottom="1440" w:gutter="0" w:footer="0" w:header="0"/>
          <w:type w:val="continuous"/>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21</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93" w:lineRule="exact"/>
        <w:rPr>
          <w:sz w:val="20"/>
          <w:szCs w:val="20"/>
          <w:color w:val="auto"/>
        </w:rPr>
      </w:pPr>
    </w:p>
    <w:p>
      <w:pPr>
        <w:ind w:right="100"/>
        <w:spacing w:after="0" w:line="324" w:lineRule="auto"/>
        <w:rPr>
          <w:sz w:val="20"/>
          <w:szCs w:val="20"/>
          <w:color w:val="auto"/>
        </w:rPr>
      </w:pPr>
      <w:r>
        <w:rPr>
          <w:rFonts w:ascii="Arial" w:cs="Arial" w:eastAsia="Arial" w:hAnsi="Arial"/>
          <w:sz w:val="18"/>
          <w:szCs w:val="18"/>
          <w:color w:val="auto"/>
        </w:rPr>
        <w:t>Directly owned subsidiaries, as of April 3, 2021, are located at the left margin, each subsidiary tier thereunder is indented. Subsidiaries are listed under the names of their respective parent entities. Unless otherwise noted, the subsidiaries are wholly-owned.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JURISDICTION OF</w:t>
            </w:r>
          </w:p>
        </w:tc>
        <w:tc>
          <w:tcPr>
            <w:tcW w:w="0" w:type="dxa"/>
            <w:vAlign w:val="bottom"/>
          </w:tcPr>
          <w:p>
            <w:pPr>
              <w:spacing w:after="0"/>
              <w:rPr>
                <w:sz w:val="1"/>
                <w:szCs w:val="1"/>
                <w:color w:val="auto"/>
              </w:rPr>
            </w:pPr>
          </w:p>
        </w:tc>
      </w:tr>
      <w:tr>
        <w:trPr>
          <w:trHeight w:val="230"/>
        </w:trPr>
        <w:tc>
          <w:tcPr>
            <w:tcW w:w="8720" w:type="dxa"/>
            <w:vAlign w:val="bottom"/>
            <w:gridSpan w:val="2"/>
            <w:vMerge w:val="continue"/>
          </w:tcPr>
          <w:p>
            <w:pPr>
              <w:spacing w:after="0"/>
              <w:rPr>
                <w:sz w:val="19"/>
                <w:szCs w:val="19"/>
                <w:color w:val="auto"/>
              </w:rPr>
            </w:pP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FORMATION</w:t>
            </w:r>
          </w:p>
        </w:tc>
        <w:tc>
          <w:tcPr>
            <w:tcW w:w="0" w:type="dxa"/>
            <w:vAlign w:val="bottom"/>
          </w:tcPr>
          <w:p>
            <w:pPr>
              <w:spacing w:after="0"/>
              <w:rPr>
                <w:sz w:val="1"/>
                <w:szCs w:val="1"/>
                <w:color w:val="auto"/>
              </w:rPr>
            </w:pPr>
          </w:p>
        </w:tc>
      </w:tr>
      <w:tr>
        <w:trPr>
          <w:trHeight w:val="222"/>
        </w:trPr>
        <w:tc>
          <w:tcPr>
            <w:tcW w:w="8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1868 Ventures LLC</w:t>
            </w:r>
          </w:p>
        </w:tc>
        <w:tc>
          <w:tcPr>
            <w:tcW w:w="500" w:type="dxa"/>
            <w:vAlign w:val="bottom"/>
          </w:tcPr>
          <w:p>
            <w:pPr>
              <w:spacing w:after="0"/>
              <w:rPr>
                <w:sz w:val="19"/>
                <w:szCs w:val="19"/>
                <w:color w:val="auto"/>
              </w:rPr>
            </w:pPr>
          </w:p>
        </w:tc>
        <w:tc>
          <w:tcPr>
            <w:tcW w:w="2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3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Swiss Farms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1"/>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6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24"/>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Live Goods Holdings,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35"/>
        </w:trPr>
        <w:tc>
          <w:tcPr>
            <w:tcW w:w="8720" w:type="dxa"/>
            <w:vAlign w:val="bottom"/>
            <w:gridSpan w:val="2"/>
          </w:tcPr>
          <w:p>
            <w:pPr>
              <w:ind w:left="160"/>
              <w:spacing w:after="0" w:line="235" w:lineRule="exact"/>
              <w:rPr>
                <w:sz w:val="20"/>
                <w:szCs w:val="20"/>
                <w:color w:val="auto"/>
              </w:rPr>
            </w:pPr>
            <w:r>
              <w:rPr>
                <w:rFonts w:ascii="Arial" w:cs="Arial" w:eastAsia="Arial" w:hAnsi="Arial"/>
                <w:sz w:val="18"/>
                <w:szCs w:val="18"/>
                <w:color w:val="auto"/>
              </w:rPr>
              <w:t>Bonnie Plants LLC</w:t>
            </w:r>
            <w:r>
              <w:rPr>
                <w:rFonts w:ascii="Arial" w:cs="Arial" w:eastAsia="Arial" w:hAnsi="Arial"/>
                <w:sz w:val="23"/>
                <w:szCs w:val="23"/>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Luxembourg SARL</w:t>
            </w:r>
          </w:p>
        </w:tc>
        <w:tc>
          <w:tcPr>
            <w:tcW w:w="250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1"/>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6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311"/>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3"/>
                <w:szCs w:val="23"/>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311"/>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Servicios, S.A. de C.V.2</w:t>
            </w:r>
            <w:r>
              <w:rPr>
                <w:rFonts w:ascii="Arial" w:cs="Arial" w:eastAsia="Arial" w:hAnsi="Arial"/>
                <w:sz w:val="23"/>
                <w:szCs w:val="23"/>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71"/>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11"/>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10"/>
        </w:trPr>
        <w:tc>
          <w:tcPr>
            <w:tcW w:w="87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10"/>
        </w:trPr>
        <w:tc>
          <w:tcPr>
            <w:tcW w:w="8720" w:type="dxa"/>
            <w:vAlign w:val="bottom"/>
            <w:gridSpan w:val="2"/>
          </w:tcPr>
          <w:p>
            <w:pPr>
              <w:ind w:left="300"/>
              <w:spacing w:after="0"/>
              <w:rPr>
                <w:sz w:val="20"/>
                <w:szCs w:val="20"/>
                <w:color w:val="auto"/>
              </w:rPr>
            </w:pPr>
            <w:r>
              <w:rPr>
                <w:rFonts w:ascii="Arial" w:cs="Arial" w:eastAsia="Arial" w:hAnsi="Arial"/>
                <w:sz w:val="18"/>
                <w:szCs w:val="18"/>
                <w:color w:val="auto"/>
              </w:rPr>
              <w:t>Hawthorne Gardening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10"/>
        </w:trPr>
        <w:tc>
          <w:tcPr>
            <w:tcW w:w="8720" w:type="dxa"/>
            <w:vAlign w:val="bottom"/>
            <w:gridSpan w:val="2"/>
          </w:tcPr>
          <w:p>
            <w:pPr>
              <w:ind w:left="440"/>
              <w:spacing w:after="0"/>
              <w:rPr>
                <w:sz w:val="20"/>
                <w:szCs w:val="20"/>
                <w:color w:val="auto"/>
              </w:rPr>
            </w:pPr>
            <w:r>
              <w:rPr>
                <w:rFonts w:ascii="Arial" w:cs="Arial" w:eastAsia="Arial" w:hAnsi="Arial"/>
                <w:sz w:val="18"/>
                <w:szCs w:val="18"/>
                <w:color w:val="auto"/>
              </w:rPr>
              <w:t>Gavita International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10"/>
        </w:trPr>
        <w:tc>
          <w:tcPr>
            <w:tcW w:w="8720" w:type="dxa"/>
            <w:vAlign w:val="bottom"/>
            <w:gridSpan w:val="2"/>
          </w:tcPr>
          <w:p>
            <w:pPr>
              <w:ind w:left="560"/>
              <w:spacing w:after="0"/>
              <w:rPr>
                <w:sz w:val="20"/>
                <w:szCs w:val="20"/>
                <w:color w:val="auto"/>
              </w:rPr>
            </w:pPr>
            <w:r>
              <w:rPr>
                <w:rFonts w:ascii="Arial" w:cs="Arial" w:eastAsia="Arial" w:hAnsi="Arial"/>
                <w:sz w:val="18"/>
                <w:szCs w:val="18"/>
                <w:color w:val="auto"/>
              </w:rPr>
              <w:t>Hawthorne Lighting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69"/>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Agrolux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1"/>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Agrolux Nederland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10"/>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Hawthorne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311"/>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HGCI, Inc.</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w:t>
      </w:r>
    </w:p>
    <w:p>
      <w:pPr>
        <w:ind w:left="120" w:hanging="94"/>
        <w:spacing w:after="0" w:line="183" w:lineRule="auto"/>
        <w:tabs>
          <w:tab w:leader="none" w:pos="12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Scotts Live Goods Holdings, Inc.’s ownership is 50.0%.</w:t>
      </w:r>
    </w:p>
    <w:p>
      <w:pPr>
        <w:ind w:left="120" w:hanging="94"/>
        <w:spacing w:after="0" w:line="205" w:lineRule="auto"/>
        <w:tabs>
          <w:tab w:leader="none" w:pos="1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Scotts Professional Products Co. owns 50% and Scotts Products Co. owns 50.0%.</w:t>
      </w:r>
    </w:p>
    <w:p>
      <w:pPr>
        <w:sectPr>
          <w:pgSz w:w="11900" w:h="16838" w:orient="portrait"/>
          <w:cols w:equalWidth="0" w:num="1">
            <w:col w:w="11240"/>
          </w:cols>
          <w:pgMar w:left="320" w:top="364" w:right="339" w:bottom="1440" w:gutter="0" w:footer="0" w:header="0"/>
        </w:sectPr>
      </w:pPr>
    </w:p>
    <w:bookmarkStart w:id="66" w:name="page67"/>
    <w:bookmarkEnd w:id="66"/>
    <w:tbl>
      <w:tblPr>
        <w:tblLayout w:type="fixed"/>
        <w:tblInd w:w="20" w:type="dxa"/>
        <w:tblCellMar>
          <w:top w:w="0" w:type="dxa"/>
          <w:left w:w="0" w:type="dxa"/>
          <w:bottom w:w="0" w:type="dxa"/>
          <w:right w:w="0" w:type="dxa"/>
        </w:tblCellMar>
      </w:tblP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SMGM LLC</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r>
        <w:trPr>
          <w:trHeight w:val="271"/>
        </w:trPr>
        <w:tc>
          <w:tcPr>
            <w:tcW w:w="5740" w:type="dxa"/>
            <w:vAlign w:val="bottom"/>
          </w:tcPr>
          <w:p>
            <w:pPr>
              <w:ind w:left="140"/>
              <w:spacing w:after="0"/>
              <w:rPr>
                <w:sz w:val="20"/>
                <w:szCs w:val="20"/>
                <w:color w:val="auto"/>
              </w:rPr>
            </w:pPr>
            <w:r>
              <w:rPr>
                <w:rFonts w:ascii="Arial" w:cs="Arial" w:eastAsia="Arial" w:hAnsi="Arial"/>
                <w:sz w:val="18"/>
                <w:szCs w:val="18"/>
                <w:color w:val="auto"/>
              </w:rPr>
              <w:t>Scotts-Sierra Investments LLC</w:t>
            </w:r>
          </w:p>
        </w:tc>
        <w:tc>
          <w:tcPr>
            <w:tcW w:w="4200" w:type="dxa"/>
            <w:vAlign w:val="bottom"/>
          </w:tcPr>
          <w:p>
            <w:pPr>
              <w:ind w:left="2980"/>
              <w:spacing w:after="0"/>
              <w:rPr>
                <w:sz w:val="20"/>
                <w:szCs w:val="20"/>
                <w:color w:val="auto"/>
              </w:rPr>
            </w:pPr>
            <w:r>
              <w:rPr>
                <w:rFonts w:ascii="Arial" w:cs="Arial" w:eastAsia="Arial" w:hAnsi="Arial"/>
                <w:sz w:val="18"/>
                <w:szCs w:val="18"/>
                <w:color w:val="auto"/>
              </w:rPr>
              <w:t>Delaware</w:t>
            </w:r>
          </w:p>
        </w:tc>
      </w:tr>
      <w:tr>
        <w:trPr>
          <w:trHeight w:val="311"/>
        </w:trPr>
        <w:tc>
          <w:tcPr>
            <w:tcW w:w="5740" w:type="dxa"/>
            <w:vAlign w:val="bottom"/>
          </w:tcPr>
          <w:p>
            <w:pPr>
              <w:ind w:left="260"/>
              <w:spacing w:after="0"/>
              <w:rPr>
                <w:sz w:val="20"/>
                <w:szCs w:val="20"/>
                <w:color w:val="auto"/>
              </w:rPr>
            </w:pPr>
            <w:r>
              <w:rPr>
                <w:rFonts w:ascii="Arial" w:cs="Arial" w:eastAsia="Arial" w:hAnsi="Arial"/>
                <w:sz w:val="18"/>
                <w:szCs w:val="18"/>
                <w:color w:val="auto"/>
              </w:rPr>
              <w:t>Scotts Sierra (China) Co., Ltd.</w:t>
            </w:r>
          </w:p>
        </w:tc>
        <w:tc>
          <w:tcPr>
            <w:tcW w:w="4200" w:type="dxa"/>
            <w:vAlign w:val="bottom"/>
          </w:tcPr>
          <w:p>
            <w:pPr>
              <w:ind w:left="2980"/>
              <w:spacing w:after="0"/>
              <w:rPr>
                <w:sz w:val="20"/>
                <w:szCs w:val="20"/>
                <w:color w:val="auto"/>
              </w:rPr>
            </w:pPr>
            <w:r>
              <w:rPr>
                <w:rFonts w:ascii="Arial" w:cs="Arial" w:eastAsia="Arial" w:hAnsi="Arial"/>
                <w:sz w:val="18"/>
                <w:szCs w:val="18"/>
                <w:color w:val="auto"/>
              </w:rPr>
              <w:t>China</w:t>
            </w:r>
          </w:p>
        </w:tc>
      </w:tr>
      <w:tr>
        <w:trPr>
          <w:trHeight w:val="310"/>
        </w:trPr>
        <w:tc>
          <w:tcPr>
            <w:tcW w:w="5740" w:type="dxa"/>
            <w:vAlign w:val="bottom"/>
          </w:tcPr>
          <w:p>
            <w:pPr>
              <w:ind w:left="260"/>
              <w:spacing w:after="0"/>
              <w:rPr>
                <w:sz w:val="20"/>
                <w:szCs w:val="20"/>
                <w:color w:val="auto"/>
              </w:rPr>
            </w:pPr>
            <w:r>
              <w:rPr>
                <w:rFonts w:ascii="Arial" w:cs="Arial" w:eastAsia="Arial" w:hAnsi="Arial"/>
                <w:sz w:val="18"/>
                <w:szCs w:val="18"/>
                <w:color w:val="auto"/>
              </w:rPr>
              <w:t>Scotts Canada Ltd.</w:t>
            </w:r>
          </w:p>
        </w:tc>
        <w:tc>
          <w:tcPr>
            <w:tcW w:w="4200" w:type="dxa"/>
            <w:vAlign w:val="bottom"/>
          </w:tcPr>
          <w:p>
            <w:pPr>
              <w:ind w:left="2980"/>
              <w:spacing w:after="0"/>
              <w:rPr>
                <w:sz w:val="20"/>
                <w:szCs w:val="20"/>
                <w:color w:val="auto"/>
              </w:rPr>
            </w:pPr>
            <w:r>
              <w:rPr>
                <w:rFonts w:ascii="Arial" w:cs="Arial" w:eastAsia="Arial" w:hAnsi="Arial"/>
                <w:sz w:val="18"/>
                <w:szCs w:val="18"/>
                <w:color w:val="auto"/>
              </w:rPr>
              <w:t>Canada</w:t>
            </w:r>
          </w:p>
        </w:tc>
      </w:tr>
      <w:tr>
        <w:trPr>
          <w:trHeight w:val="350"/>
        </w:trPr>
        <w:tc>
          <w:tcPr>
            <w:tcW w:w="5740" w:type="dxa"/>
            <w:vAlign w:val="bottom"/>
          </w:tcPr>
          <w:p>
            <w:pPr>
              <w:ind w:left="400"/>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23"/>
                <w:szCs w:val="23"/>
                <w:color w:val="auto"/>
                <w:vertAlign w:val="superscript"/>
              </w:rPr>
              <w:t>3</w:t>
            </w:r>
          </w:p>
        </w:tc>
        <w:tc>
          <w:tcPr>
            <w:tcW w:w="4200" w:type="dxa"/>
            <w:vAlign w:val="bottom"/>
          </w:tcPr>
          <w:p>
            <w:pPr>
              <w:ind w:left="2980"/>
              <w:spacing w:after="0"/>
              <w:rPr>
                <w:sz w:val="20"/>
                <w:szCs w:val="20"/>
                <w:color w:val="auto"/>
              </w:rPr>
            </w:pPr>
            <w:r>
              <w:rPr>
                <w:rFonts w:ascii="Arial" w:cs="Arial" w:eastAsia="Arial" w:hAnsi="Arial"/>
                <w:sz w:val="18"/>
                <w:szCs w:val="18"/>
                <w:color w:val="auto"/>
              </w:rPr>
              <w:t>Canada</w:t>
            </w:r>
          </w:p>
        </w:tc>
      </w:tr>
      <w:tr>
        <w:trPr>
          <w:trHeight w:val="310"/>
        </w:trPr>
        <w:tc>
          <w:tcPr>
            <w:tcW w:w="5740" w:type="dxa"/>
            <w:vAlign w:val="bottom"/>
          </w:tcPr>
          <w:p>
            <w:pPr>
              <w:ind w:left="260"/>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23"/>
                <w:szCs w:val="23"/>
                <w:color w:val="auto"/>
                <w:vertAlign w:val="superscript"/>
              </w:rPr>
              <w:t>4</w:t>
            </w:r>
          </w:p>
        </w:tc>
        <w:tc>
          <w:tcPr>
            <w:tcW w:w="4200" w:type="dxa"/>
            <w:vAlign w:val="bottom"/>
          </w:tcPr>
          <w:p>
            <w:pPr>
              <w:ind w:left="2980"/>
              <w:spacing w:after="0"/>
              <w:rPr>
                <w:sz w:val="20"/>
                <w:szCs w:val="20"/>
                <w:color w:val="auto"/>
              </w:rPr>
            </w:pPr>
            <w:r>
              <w:rPr>
                <w:rFonts w:ascii="Arial" w:cs="Arial" w:eastAsia="Arial" w:hAnsi="Arial"/>
                <w:sz w:val="18"/>
                <w:szCs w:val="18"/>
                <w:color w:val="auto"/>
              </w:rPr>
              <w:t>Mexico</w:t>
            </w:r>
          </w:p>
        </w:tc>
      </w:tr>
      <w:tr>
        <w:trPr>
          <w:trHeight w:val="271"/>
        </w:trPr>
        <w:tc>
          <w:tcPr>
            <w:tcW w:w="5740" w:type="dxa"/>
            <w:vAlign w:val="bottom"/>
          </w:tcPr>
          <w:p>
            <w:pPr>
              <w:ind w:left="260"/>
              <w:spacing w:after="0"/>
              <w:rPr>
                <w:sz w:val="20"/>
                <w:szCs w:val="20"/>
                <w:color w:val="auto"/>
              </w:rPr>
            </w:pPr>
            <w:r>
              <w:rPr>
                <w:rFonts w:ascii="Arial" w:cs="Arial" w:eastAsia="Arial" w:hAnsi="Arial"/>
                <w:sz w:val="18"/>
                <w:szCs w:val="18"/>
                <w:color w:val="auto"/>
              </w:rPr>
              <w:t>SMG Germany GmbH</w:t>
            </w:r>
          </w:p>
        </w:tc>
        <w:tc>
          <w:tcPr>
            <w:tcW w:w="4200" w:type="dxa"/>
            <w:vAlign w:val="bottom"/>
          </w:tcPr>
          <w:p>
            <w:pPr>
              <w:ind w:left="2980"/>
              <w:spacing w:after="0"/>
              <w:rPr>
                <w:sz w:val="20"/>
                <w:szCs w:val="20"/>
                <w:color w:val="auto"/>
              </w:rPr>
            </w:pPr>
            <w:r>
              <w:rPr>
                <w:rFonts w:ascii="Arial" w:cs="Arial" w:eastAsia="Arial" w:hAnsi="Arial"/>
                <w:sz w:val="18"/>
                <w:szCs w:val="18"/>
                <w:color w:val="auto"/>
              </w:rPr>
              <w:t>Germany</w:t>
            </w:r>
          </w:p>
        </w:tc>
      </w:tr>
      <w:tr>
        <w:trPr>
          <w:trHeight w:val="311"/>
        </w:trPr>
        <w:tc>
          <w:tcPr>
            <w:tcW w:w="5740" w:type="dxa"/>
            <w:vAlign w:val="bottom"/>
          </w:tcPr>
          <w:p>
            <w:pPr>
              <w:ind w:left="260"/>
              <w:spacing w:after="0"/>
              <w:rPr>
                <w:sz w:val="20"/>
                <w:szCs w:val="20"/>
                <w:color w:val="auto"/>
              </w:rPr>
            </w:pPr>
            <w:r>
              <w:rPr>
                <w:rFonts w:ascii="Arial" w:cs="Arial" w:eastAsia="Arial" w:hAnsi="Arial"/>
                <w:sz w:val="18"/>
                <w:szCs w:val="18"/>
                <w:color w:val="auto"/>
              </w:rPr>
              <w:t>SMG Gardening (UK) Limited</w:t>
            </w:r>
          </w:p>
        </w:tc>
        <w:tc>
          <w:tcPr>
            <w:tcW w:w="4200" w:type="dxa"/>
            <w:vAlign w:val="bottom"/>
          </w:tcPr>
          <w:p>
            <w:pPr>
              <w:ind w:left="2980"/>
              <w:spacing w:after="0"/>
              <w:rPr>
                <w:sz w:val="20"/>
                <w:szCs w:val="20"/>
                <w:color w:val="auto"/>
              </w:rPr>
            </w:pPr>
            <w:r>
              <w:rPr>
                <w:rFonts w:ascii="Arial" w:cs="Arial" w:eastAsia="Arial" w:hAnsi="Arial"/>
                <w:sz w:val="18"/>
                <w:szCs w:val="18"/>
                <w:color w:val="auto"/>
                <w:w w:val="93"/>
              </w:rPr>
              <w:t>United Kingdom</w:t>
            </w:r>
          </w:p>
        </w:tc>
      </w:tr>
      <w:tr>
        <w:trPr>
          <w:trHeight w:val="269"/>
        </w:trPr>
        <w:tc>
          <w:tcPr>
            <w:tcW w:w="5740" w:type="dxa"/>
            <w:vAlign w:val="bottom"/>
          </w:tcPr>
          <w:p>
            <w:pPr>
              <w:spacing w:after="0"/>
              <w:rPr>
                <w:sz w:val="20"/>
                <w:szCs w:val="20"/>
                <w:color w:val="auto"/>
              </w:rPr>
            </w:pPr>
            <w:r>
              <w:rPr>
                <w:rFonts w:ascii="Arial" w:cs="Arial" w:eastAsia="Arial" w:hAnsi="Arial"/>
                <w:sz w:val="18"/>
                <w:szCs w:val="18"/>
                <w:color w:val="auto"/>
              </w:rPr>
              <w:t>The Hawthorne Collective, Inc.</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r>
        <w:trPr>
          <w:trHeight w:val="224"/>
        </w:trPr>
        <w:tc>
          <w:tcPr>
            <w:tcW w:w="5740" w:type="dxa"/>
            <w:vAlign w:val="bottom"/>
          </w:tcPr>
          <w:p>
            <w:pPr>
              <w:spacing w:after="0"/>
              <w:rPr>
                <w:sz w:val="20"/>
                <w:szCs w:val="20"/>
                <w:color w:val="auto"/>
              </w:rPr>
            </w:pPr>
            <w:r>
              <w:rPr>
                <w:rFonts w:ascii="Arial" w:cs="Arial" w:eastAsia="Arial" w:hAnsi="Arial"/>
                <w:sz w:val="18"/>
                <w:szCs w:val="18"/>
                <w:color w:val="auto"/>
              </w:rPr>
              <w:t>The Scotts Company LLC</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r>
        <w:trPr>
          <w:trHeight w:val="304"/>
        </w:trPr>
        <w:tc>
          <w:tcPr>
            <w:tcW w:w="5740" w:type="dxa"/>
            <w:vAlign w:val="bottom"/>
          </w:tcPr>
          <w:p>
            <w:pPr>
              <w:ind w:left="140"/>
              <w:spacing w:after="0"/>
              <w:rPr>
                <w:sz w:val="20"/>
                <w:szCs w:val="20"/>
                <w:color w:val="auto"/>
              </w:rPr>
            </w:pPr>
            <w:r>
              <w:rPr>
                <w:rFonts w:ascii="Arial" w:cs="Arial" w:eastAsia="Arial" w:hAnsi="Arial"/>
                <w:sz w:val="18"/>
                <w:szCs w:val="18"/>
                <w:color w:val="auto"/>
              </w:rPr>
              <w:t>The Scotts Miracle-Gro Foundation</w:t>
            </w:r>
            <w:r>
              <w:rPr>
                <w:rFonts w:ascii="Arial" w:cs="Arial" w:eastAsia="Arial" w:hAnsi="Arial"/>
                <w:sz w:val="23"/>
                <w:szCs w:val="23"/>
                <w:color w:val="auto"/>
                <w:vertAlign w:val="superscript"/>
              </w:rPr>
              <w:t>5</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ind w:left="100" w:hanging="94"/>
        <w:spacing w:after="0" w:line="183" w:lineRule="auto"/>
        <w:tabs>
          <w:tab w:leader="none" w:pos="100"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Scotts Canada Ltd.'s ownership is 50.0%.</w:t>
      </w:r>
    </w:p>
    <w:p>
      <w:pPr>
        <w:ind w:left="100" w:hanging="94"/>
        <w:spacing w:after="0" w:line="186" w:lineRule="auto"/>
        <w:tabs>
          <w:tab w:leader="none" w:pos="100"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The Scotts Company LLC owns 0.5% and Scotts-Sierra Investments LLC owns the remaining 99.5%.</w:t>
      </w:r>
    </w:p>
    <w:p>
      <w:pPr>
        <w:spacing w:after="0"/>
        <w:rPr>
          <w:rFonts w:ascii="Arial" w:cs="Arial" w:eastAsia="Arial" w:hAnsi="Arial"/>
          <w:sz w:val="21"/>
          <w:szCs w:val="21"/>
          <w:color w:val="auto"/>
          <w:vertAlign w:val="superscript"/>
        </w:rPr>
      </w:pPr>
      <w:r>
        <w:rPr>
          <w:rFonts w:ascii="Arial" w:cs="Arial" w:eastAsia="Arial" w:hAnsi="Arial"/>
          <w:sz w:val="23"/>
          <w:szCs w:val="23"/>
          <w:color w:val="auto"/>
          <w:vertAlign w:val="superscript"/>
        </w:rPr>
        <w:t>5</w:t>
      </w:r>
      <w:r>
        <w:rPr>
          <w:rFonts w:ascii="Arial" w:cs="Arial" w:eastAsia="Arial" w:hAnsi="Arial"/>
          <w:sz w:val="18"/>
          <w:szCs w:val="18"/>
          <w:color w:val="auto"/>
        </w:rPr>
        <w:t xml:space="preserve"> The Scotts Miracle-Gro Foundation is a 501(c)(3) corporation.</w:t>
      </w:r>
    </w:p>
    <w:p>
      <w:pPr>
        <w:sectPr>
          <w:pgSz w:w="11900" w:h="16838" w:orient="portrait"/>
          <w:cols w:equalWidth="0" w:num="1">
            <w:col w:w="10119"/>
          </w:cols>
          <w:pgMar w:left="340" w:top="935" w:right="1440"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333333"/>
        </w:rPr>
        <w:t>LIST OF GUARANTOR SUBSIDIARIES</w:t>
      </w:r>
    </w:p>
    <w:p>
      <w:pPr>
        <w:spacing w:after="0" w:line="200" w:lineRule="exact"/>
        <w:rPr>
          <w:sz w:val="20"/>
          <w:szCs w:val="20"/>
          <w:color w:val="auto"/>
        </w:rPr>
      </w:pPr>
    </w:p>
    <w:p>
      <w:pPr>
        <w:spacing w:after="0" w:line="228"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333333"/>
        </w:rPr>
        <w:t>The following subsidiaries of The Scotts Miracle-Gro Company (the "Company") were, as of April 3, 2021, guarantors of the Company's 5.250% Senior Notes due 2026, 4.500% Senior Notes due 2029 and 4.000% Senior Notes due 2031:</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GUARANTOR SUBSIDIARY</w:t>
            </w:r>
          </w:p>
        </w:tc>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JURISDICTION OF FORMATION</w:t>
            </w:r>
          </w:p>
        </w:tc>
      </w:tr>
      <w:tr>
        <w:trPr>
          <w:trHeight w:val="222"/>
        </w:trPr>
        <w:tc>
          <w:tcPr>
            <w:tcW w:w="5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AeroGrow International, Inc.</w:t>
            </w:r>
          </w:p>
        </w:tc>
        <w:tc>
          <w:tcPr>
            <w:tcW w:w="560" w:type="dxa"/>
            <w:vAlign w:val="bottom"/>
          </w:tcPr>
          <w:p>
            <w:pPr>
              <w:spacing w:after="0"/>
              <w:rPr>
                <w:sz w:val="19"/>
                <w:szCs w:val="19"/>
                <w:color w:val="auto"/>
              </w:rPr>
            </w:pPr>
          </w:p>
        </w:tc>
        <w:tc>
          <w:tcPr>
            <w:tcW w:w="4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Nevada</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1868 Ventures LLC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GenSource, Inc.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Hawthorne Hydroponics LLC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HGCI, Inc.</w:t>
            </w:r>
          </w:p>
        </w:tc>
        <w:tc>
          <w:tcPr>
            <w:tcW w:w="406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Hyponex Corporation</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Miracle-Gro Lawn Products, Inc.</w:t>
            </w:r>
          </w:p>
        </w:tc>
        <w:tc>
          <w:tcPr>
            <w:tcW w:w="406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OMS Investments, Inc.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Rod McLellan Company</w:t>
            </w:r>
          </w:p>
        </w:tc>
        <w:tc>
          <w:tcPr>
            <w:tcW w:w="406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Sanford Scientific, Inc.</w:t>
            </w:r>
          </w:p>
        </w:tc>
        <w:tc>
          <w:tcPr>
            <w:tcW w:w="406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Live Goods Holdings, Inc.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Manufacturing Company</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Products Co.</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Professional Products Co.</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Scotts-Sierra Investments LLC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Temecula Operations, LLC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SMG Growing Media, Inc.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SMGM LLC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Swiss Farms Products, Inc.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The Hawthorne Gardening Company</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The Scotts Company LLC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bl>
    <w:p>
      <w:pPr>
        <w:sectPr>
          <w:pgSz w:w="11900" w:h="16838" w:orient="portrait"/>
          <w:cols w:equalWidth="0" w:num="1">
            <w:col w:w="11240"/>
          </w:cols>
          <w:pgMar w:left="320" w:top="143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5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fiscal quarter ended April 3, 2021;</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140" w:right="80" w:hanging="484"/>
        <w:spacing w:after="0" w:line="263" w:lineRule="auto"/>
        <w:tabs>
          <w:tab w:leader="none" w:pos="113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484"/>
        <w:spacing w:after="0" w:line="263" w:lineRule="auto"/>
        <w:tabs>
          <w:tab w:leader="none" w:pos="113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484"/>
        <w:spacing w:after="0" w:line="342" w:lineRule="auto"/>
        <w:tabs>
          <w:tab w:leader="none" w:pos="1137"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484"/>
        <w:spacing w:after="0" w:line="263" w:lineRule="auto"/>
        <w:tabs>
          <w:tab w:leader="none" w:pos="113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08" w:lineRule="auto"/>
        <w:tabs>
          <w:tab w:leader="none" w:pos="648"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620" w:hanging="484"/>
        <w:spacing w:after="0" w:line="342" w:lineRule="auto"/>
        <w:tabs>
          <w:tab w:leader="none" w:pos="1137"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320" w:hanging="484"/>
        <w:spacing w:after="0" w:line="277" w:lineRule="auto"/>
        <w:tabs>
          <w:tab w:leader="none" w:pos="113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Date: May 12, 2021</w:t>
            </w:r>
          </w:p>
        </w:tc>
        <w:tc>
          <w:tcPr>
            <w:tcW w:w="2400" w:type="dxa"/>
            <w:vAlign w:val="bottom"/>
          </w:tcPr>
          <w:p>
            <w:pPr>
              <w:ind w:left="1960"/>
              <w:spacing w:after="0"/>
              <w:rPr>
                <w:sz w:val="20"/>
                <w:szCs w:val="20"/>
                <w:color w:val="auto"/>
              </w:rPr>
            </w:pPr>
            <w:r>
              <w:rPr>
                <w:rFonts w:ascii="Arial" w:cs="Arial" w:eastAsia="Arial" w:hAnsi="Arial"/>
                <w:sz w:val="18"/>
                <w:szCs w:val="18"/>
                <w:color w:val="auto"/>
              </w:rPr>
              <w:t>By:</w:t>
            </w:r>
          </w:p>
        </w:tc>
        <w:tc>
          <w:tcPr>
            <w:tcW w:w="5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JAMES HAGEDORN</w:t>
            </w:r>
          </w:p>
        </w:tc>
      </w:tr>
      <w:tr>
        <w:trPr>
          <w:trHeight w:val="222"/>
        </w:trPr>
        <w:tc>
          <w:tcPr>
            <w:tcW w:w="34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rPr>
              <w:t>Printed Name: James Hagedorn</w:t>
            </w:r>
          </w:p>
        </w:tc>
      </w:tr>
      <w:tr>
        <w:trPr>
          <w:trHeight w:val="230"/>
        </w:trPr>
        <w:tc>
          <w:tcPr>
            <w:tcW w:w="34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rPr>
              <w:t>Title: Chief Executive Officer and Chairman of the Board</w:t>
            </w:r>
          </w:p>
        </w:tc>
      </w:tr>
    </w:tbl>
    <w:p>
      <w:pPr>
        <w:sectPr>
          <w:pgSz w:w="11900" w:h="16838" w:orient="portrait"/>
          <w:cols w:equalWidth="0" w:num="1">
            <w:col w:w="11240"/>
          </w:cols>
          <w:pgMar w:left="320" w:top="89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Cory J. Miller, certify that:</w:t>
      </w:r>
    </w:p>
    <w:p>
      <w:pPr>
        <w:spacing w:after="0" w:line="15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fiscal quarter ended April 3, 2021;</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140" w:right="80" w:hanging="484"/>
        <w:spacing w:after="0" w:line="263" w:lineRule="auto"/>
        <w:tabs>
          <w:tab w:leader="none" w:pos="1137"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484"/>
        <w:spacing w:after="0" w:line="263" w:lineRule="auto"/>
        <w:tabs>
          <w:tab w:leader="none" w:pos="113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484"/>
        <w:spacing w:after="0" w:line="342" w:lineRule="auto"/>
        <w:tabs>
          <w:tab w:leader="none" w:pos="1137"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484"/>
        <w:spacing w:after="0" w:line="263" w:lineRule="auto"/>
        <w:tabs>
          <w:tab w:leader="none" w:pos="113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08" w:lineRule="auto"/>
        <w:tabs>
          <w:tab w:leader="none" w:pos="648"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620" w:hanging="484"/>
        <w:spacing w:after="0" w:line="342" w:lineRule="auto"/>
        <w:tabs>
          <w:tab w:leader="none" w:pos="1137"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320" w:hanging="484"/>
        <w:spacing w:after="0" w:line="277" w:lineRule="auto"/>
        <w:tabs>
          <w:tab w:leader="none" w:pos="113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Date: May 12, 2021</w:t>
            </w:r>
          </w:p>
        </w:tc>
        <w:tc>
          <w:tcPr>
            <w:tcW w:w="2360" w:type="dxa"/>
            <w:vAlign w:val="bottom"/>
          </w:tcPr>
          <w:p>
            <w:pPr>
              <w:ind w:left="192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CORY J. MILLER</w:t>
            </w:r>
          </w:p>
        </w:tc>
      </w:tr>
      <w:tr>
        <w:trPr>
          <w:trHeight w:val="222"/>
        </w:trPr>
        <w:tc>
          <w:tcPr>
            <w:tcW w:w="33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Printed Name: Cory J. Miller</w:t>
            </w:r>
          </w:p>
        </w:tc>
      </w:tr>
      <w:tr>
        <w:trPr>
          <w:trHeight w:val="230"/>
        </w:trPr>
        <w:tc>
          <w:tcPr>
            <w:tcW w:w="33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Title: Senior Vice President and Interim Chief Financial Officer</w:t>
            </w:r>
          </w:p>
        </w:tc>
      </w:tr>
    </w:tbl>
    <w:p>
      <w:pPr>
        <w:sectPr>
          <w:pgSz w:w="11900" w:h="16838" w:orient="portrait"/>
          <w:cols w:equalWidth="0" w:num="1">
            <w:col w:w="11240"/>
          </w:cols>
          <w:pgMar w:left="320" w:top="89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fiscal quarter ended April 3, 2021 as filed with the Securities and Exchange Commission on the date hereof (the “Report”), the undersigned James Hagedorn, Chief Executive Officer and Chairman of the Board of the Company, and Cory J. Miller, Senior Vice President and Interim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660" w:right="280" w:hanging="652"/>
        <w:spacing w:after="0" w:line="277" w:lineRule="auto"/>
        <w:tabs>
          <w:tab w:leader="none" w:pos="33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/s/ JAMES HAGEDORN</w:t>
            </w:r>
          </w:p>
        </w:tc>
        <w:tc>
          <w:tcPr>
            <w:tcW w:w="5440" w:type="dxa"/>
            <w:vAlign w:val="bottom"/>
          </w:tcPr>
          <w:p>
            <w:pPr>
              <w:ind w:left="360"/>
              <w:spacing w:after="0"/>
              <w:rPr>
                <w:sz w:val="20"/>
                <w:szCs w:val="20"/>
                <w:color w:val="auto"/>
              </w:rPr>
            </w:pPr>
            <w:r>
              <w:rPr>
                <w:rFonts w:ascii="Arial" w:cs="Arial" w:eastAsia="Arial" w:hAnsi="Arial"/>
                <w:sz w:val="18"/>
                <w:szCs w:val="18"/>
                <w:color w:val="auto"/>
              </w:rPr>
              <w:t>/s/ CORY J. MILLER</w:t>
            </w:r>
          </w:p>
        </w:tc>
      </w:tr>
      <w:tr>
        <w:trPr>
          <w:trHeight w:val="222"/>
        </w:trPr>
        <w:tc>
          <w:tcPr>
            <w:tcW w:w="54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Printed Name: James Hagedorn</w:t>
            </w:r>
          </w:p>
        </w:tc>
        <w:tc>
          <w:tcPr>
            <w:tcW w:w="360" w:type="dxa"/>
            <w:vAlign w:val="bottom"/>
          </w:tcPr>
          <w:p>
            <w:pPr>
              <w:spacing w:after="0"/>
              <w:rPr>
                <w:sz w:val="19"/>
                <w:szCs w:val="19"/>
                <w:color w:val="auto"/>
              </w:rPr>
            </w:pPr>
          </w:p>
        </w:tc>
        <w:tc>
          <w:tcPr>
            <w:tcW w:w="54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Printed Name: Cory J. Miller</w:t>
            </w:r>
          </w:p>
        </w:tc>
      </w:tr>
      <w:tr>
        <w:trPr>
          <w:trHeight w:val="230"/>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Title: Chief Executive Officer and Chairman of the Board</w:t>
            </w:r>
          </w:p>
        </w:tc>
        <w:tc>
          <w:tcPr>
            <w:tcW w:w="5440" w:type="dxa"/>
            <w:vAlign w:val="bottom"/>
          </w:tcPr>
          <w:p>
            <w:pPr>
              <w:ind w:left="360"/>
              <w:spacing w:after="0"/>
              <w:rPr>
                <w:sz w:val="20"/>
                <w:szCs w:val="20"/>
                <w:color w:val="auto"/>
              </w:rPr>
            </w:pPr>
            <w:r>
              <w:rPr>
                <w:rFonts w:ascii="Arial" w:cs="Arial" w:eastAsia="Arial" w:hAnsi="Arial"/>
                <w:sz w:val="18"/>
                <w:szCs w:val="18"/>
                <w:color w:val="auto"/>
              </w:rPr>
              <w:t>Title: Senior Vice President and Interim Chief Financial Officer</w:t>
            </w:r>
          </w:p>
        </w:tc>
      </w:tr>
      <w:tr>
        <w:trPr>
          <w:trHeight w:val="418"/>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May 12, 2021</w:t>
            </w:r>
          </w:p>
        </w:tc>
        <w:tc>
          <w:tcPr>
            <w:tcW w:w="5440" w:type="dxa"/>
            <w:vAlign w:val="bottom"/>
          </w:tcPr>
          <w:p>
            <w:pPr>
              <w:ind w:left="360"/>
              <w:spacing w:after="0"/>
              <w:rPr>
                <w:sz w:val="20"/>
                <w:szCs w:val="20"/>
                <w:color w:val="auto"/>
              </w:rPr>
            </w:pPr>
            <w:r>
              <w:rPr>
                <w:rFonts w:ascii="Arial" w:cs="Arial" w:eastAsia="Arial" w:hAnsi="Arial"/>
                <w:sz w:val="18"/>
                <w:szCs w:val="18"/>
                <w:color w:val="auto"/>
              </w:rPr>
              <w:t>May 12, 2021</w:t>
            </w:r>
          </w:p>
        </w:tc>
      </w:tr>
    </w:tbl>
    <w:p>
      <w:pPr>
        <w:spacing w:after="0" w:line="296" w:lineRule="exact"/>
        <w:rPr>
          <w:sz w:val="20"/>
          <w:szCs w:val="20"/>
          <w:color w:val="auto"/>
        </w:rPr>
      </w:pPr>
    </w:p>
    <w:p>
      <w:pPr>
        <w:ind w:left="680" w:right="40" w:hanging="654"/>
        <w:spacing w:after="0" w:line="226" w:lineRule="auto"/>
        <w:tabs>
          <w:tab w:leader="none" w:pos="6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lowerLetter"/>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lowerLetter"/>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3"/>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3"/>
    </w:lvl>
  </w:abstractNum>
  <w:abstractNum w:abstractNumId="22">
    <w:nsid w:val="737B8DDC"/>
    <w:multiLevelType w:val="hybridMultilevel"/>
    <w:lvl w:ilvl="0">
      <w:lvlJc w:val="left"/>
      <w:lvlText w:val="%1."/>
      <w:numFmt w:val="upperLetter"/>
      <w:start w:val="9"/>
    </w:lvl>
  </w:abstractNum>
  <w:abstractNum w:abstractNumId="23">
    <w:nsid w:val="6CEAF087"/>
    <w:multiLevelType w:val="hybridMultilevel"/>
    <w:lvl w:ilvl="0">
      <w:lvlJc w:val="left"/>
      <w:lvlText w:val="%1."/>
      <w:numFmt w:val="decimal"/>
      <w:start w:val="1"/>
    </w:lvl>
    <w:lvl w:ilvl="1">
      <w:lvlJc w:val="left"/>
      <w:lvlText w:val="•"/>
      <w:numFmt w:val="bullet"/>
      <w:start w:val="1"/>
    </w:lvl>
  </w:abstractNum>
  <w:abstractNum w:abstractNumId="24">
    <w:nsid w:val="22221A70"/>
    <w:multiLevelType w:val="hybridMultilevel"/>
    <w:lvl w:ilvl="0">
      <w:lvlJc w:val="left"/>
      <w:lvlText w:val="%1."/>
      <w:numFmt w:val="upperLetter"/>
      <w:start w:val="35"/>
    </w:lvl>
  </w:abstractNum>
  <w:abstractNum w:abstractNumId="25">
    <w:nsid w:val="4516DDE9"/>
    <w:multiLevelType w:val="hybridMultilevel"/>
    <w:lvl w:ilvl="0">
      <w:lvlJc w:val="left"/>
      <w:lvlText w:val="%1."/>
      <w:numFmt w:val="decimal"/>
      <w:start w:val="1"/>
    </w:lvl>
    <w:lvl w:ilvl="1">
      <w:lvlJc w:val="left"/>
      <w:lvlText w:val="%2."/>
      <w:numFmt w:val="lowerLetter"/>
      <w:start w:val="1"/>
    </w:lvl>
  </w:abstractNum>
  <w:abstractNum w:abstractNumId="26">
    <w:nsid w:val="3006C83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lvl w:ilvl="3">
      <w:lvlJc w:val="left"/>
      <w:lvlText w:val="%4."/>
      <w:numFmt w:val="lowerLetter"/>
      <w:start w:val="9"/>
    </w:lvl>
  </w:abstractNum>
  <w:abstractNum w:abstractNumId="27">
    <w:nsid w:val="614FD4A1"/>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lvl w:ilvl="3">
      <w:lvlJc w:val="left"/>
      <w:lvlText w:val="%4"/>
      <w:numFmt w:val="lowerLetter"/>
      <w:start w:val="1"/>
    </w:lvl>
  </w:abstractNum>
  <w:abstractNum w:abstractNumId="28">
    <w:nsid w:val="419AC241"/>
    <w:multiLevelType w:val="hybridMultilevel"/>
    <w:lvl w:ilvl="0">
      <w:lvlJc w:val="left"/>
      <w:lvlText w:val="%1."/>
      <w:numFmt w:val="upperLetter"/>
      <w:start w:val="22"/>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9">
    <w:nsid w:val="5577F8E1"/>
    <w:multiLevelType w:val="hybridMultilevel"/>
    <w:lvl w:ilvl="0">
      <w:lvlJc w:val="left"/>
      <w:lvlText w:val="%1."/>
      <w:numFmt w:val="decimal"/>
      <w:start w:val="2"/>
    </w:lvl>
  </w:abstractNum>
  <w:abstractNum w:abstractNumId="30">
    <w:nsid w:val="440BADFC"/>
    <w:multiLevelType w:val="hybridMultilevel"/>
    <w:lvl w:ilvl="0">
      <w:lvlJc w:val="left"/>
      <w:lvlText w:val="%1."/>
      <w:numFmt w:val="decimal"/>
      <w:start w:val="1"/>
    </w:lvl>
    <w:lvl w:ilvl="1">
      <w:lvlJc w:val="left"/>
      <w:lvlText w:val="%2."/>
      <w:numFmt w:val="decimal"/>
      <w:start w:val="2"/>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bullet"/>
      <w:start w:val="1"/>
    </w:lvl>
  </w:abstractNum>
  <w:abstractNum w:abstractNumId="33">
    <w:nsid w:val="77465F01"/>
    <w:multiLevelType w:val="hybridMultilevel"/>
    <w:lvl w:ilvl="0">
      <w:lvlJc w:val="left"/>
      <w:lvlText w:val="2"/>
      <w:numFmt w:val="bullet"/>
      <w:start w:val="1"/>
    </w:lvl>
  </w:abstractNum>
  <w:abstractNum w:abstractNumId="34">
    <w:nsid w:val="7724C67E"/>
    <w:multiLevelType w:val="hybridMultilevel"/>
    <w:lvl w:ilvl="0">
      <w:lvlJc w:val="left"/>
      <w:lvlText w:val="3"/>
      <w:numFmt w:val="bullet"/>
      <w:start w:val="1"/>
    </w:lvl>
  </w:abstractNum>
  <w:abstractNum w:abstractNumId="35">
    <w:nsid w:val="5C482A97"/>
    <w:multiLevelType w:val="hybridMultilevel"/>
    <w:lvl w:ilvl="0">
      <w:lvlJc w:val="left"/>
      <w:lvlText w:val="4"/>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jpeg"/><Relationship Id="rId74" Type="http://schemas.openxmlformats.org/officeDocument/2006/relationships/image" Target="media/image63.png"/><Relationship Id="rId75" Type="http://schemas.openxmlformats.org/officeDocument/2006/relationships/image" Target="media/image64.png"/><Relationship Id="rId58" Type="http://schemas.openxmlformats.org/officeDocument/2006/relationships/hyperlink" Target="http://www.sec.gov/Archives/edgar/data/825542/000144398421000157/exhibit41-smg2021x03x178xk.htm" TargetMode="External"/><Relationship Id="rId59" Type="http://schemas.openxmlformats.org/officeDocument/2006/relationships/hyperlink" Target="http://www.sec.gov/Archives/edgar/data/825542/000144398421000157/exhibit43-smg2021x03x178xk.htm" TargetMode="External"/><Relationship Id="rId60" Type="http://schemas.openxmlformats.org/officeDocument/2006/relationships/hyperlink" Target="http://www.sec.gov/Archives/edgar/data/825542/000144398421000032/exhibit101-smg2021x01x288x.htm" TargetMode="External"/><Relationship Id="rId61" Type="http://schemas.openxmlformats.org/officeDocument/2006/relationships/hyperlink" Target="http://www.sec.gov/Archives/edgar/data/825542/000144398421000157/exhibit101-smg2021x03x178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2021-05-12T15:42:20Z</dcterms:created>
  <dcterms:modified xsi:type="dcterms:W3CDTF">2021-05-12T15:42:20Z</dcterms:modified>
</cp:coreProperties>
</file>