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2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ind w:left="2440"/>
        <w:spacing w:after="0" w:line="238" w:lineRule="auto"/>
        <w:rPr>
          <w:sz w:val="20"/>
          <w:szCs w:val="20"/>
          <w:color w:val="auto"/>
        </w:rPr>
      </w:pPr>
      <w:r>
        <w:rPr>
          <w:rFonts w:ascii="Courier New" w:cs="Courier New" w:eastAsia="Courier New" w:hAnsi="Courier New"/>
          <w:sz w:val="18"/>
          <w:szCs w:val="18"/>
          <w:color w:val="auto"/>
        </w:rPr>
        <w:t>(Amendment No. 2 )*</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THE SCOTTS COMPANY</w:t>
      </w:r>
    </w:p>
    <w:p>
      <w:pPr>
        <w:ind w:left="1800"/>
        <w:spacing w:after="0" w:line="238" w:lineRule="auto"/>
        <w:rPr>
          <w:sz w:val="20"/>
          <w:szCs w:val="20"/>
          <w:color w:val="auto"/>
        </w:rPr>
      </w:pPr>
      <w:r>
        <w:rPr>
          <w:rFonts w:ascii="Courier New" w:cs="Courier New" w:eastAsia="Courier New" w:hAnsi="Courier New"/>
          <w:sz w:val="18"/>
          <w:szCs w:val="18"/>
          <w:color w:val="auto"/>
        </w:rPr>
        <w:t>(Name of Issuer)</w:t>
      </w:r>
    </w:p>
    <w:p>
      <w:pPr>
        <w:ind w:left="1700"/>
        <w:spacing w:after="0"/>
        <w:rPr>
          <w:sz w:val="20"/>
          <w:szCs w:val="20"/>
          <w:color w:val="auto"/>
        </w:rPr>
      </w:pPr>
      <w:r>
        <w:rPr>
          <w:rFonts w:ascii="Courier New" w:cs="Courier New" w:eastAsia="Courier New" w:hAnsi="Courier New"/>
          <w:sz w:val="18"/>
          <w:szCs w:val="18"/>
          <w:color w:val="auto"/>
        </w:rPr>
        <w:t>Common Stock, No par value</w:t>
      </w:r>
    </w:p>
    <w:p>
      <w:pPr>
        <w:ind w:left="2000"/>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2000"/>
        <w:spacing w:after="0" w:line="238" w:lineRule="auto"/>
        <w:rPr>
          <w:sz w:val="20"/>
          <w:szCs w:val="20"/>
          <w:color w:val="auto"/>
        </w:rPr>
      </w:pPr>
      <w:r>
        <w:rPr>
          <w:rFonts w:ascii="Courier New" w:cs="Courier New" w:eastAsia="Courier New" w:hAnsi="Courier New"/>
          <w:sz w:val="18"/>
          <w:szCs w:val="18"/>
          <w:color w:val="auto"/>
        </w:rPr>
        <w:t>810186106</w:t>
      </w:r>
    </w:p>
    <w:p>
      <w:pPr>
        <w:ind w:left="1900"/>
        <w:spacing w:after="0"/>
        <w:rPr>
          <w:sz w:val="20"/>
          <w:szCs w:val="20"/>
          <w:color w:val="auto"/>
        </w:rPr>
      </w:pPr>
      <w:r>
        <w:rPr>
          <w:rFonts w:ascii="Courier New" w:cs="Courier New" w:eastAsia="Courier New" w:hAnsi="Courier New"/>
          <w:sz w:val="18"/>
          <w:szCs w:val="18"/>
          <w:color w:val="auto"/>
        </w:rPr>
        <w:t>CUSIP Number)</w:t>
      </w:r>
    </w:p>
    <w:p>
      <w:pPr>
        <w:ind w:left="1800"/>
        <w:spacing w:after="0" w:line="237" w:lineRule="auto"/>
        <w:rPr>
          <w:sz w:val="20"/>
          <w:szCs w:val="20"/>
          <w:color w:val="auto"/>
        </w:rPr>
      </w:pPr>
      <w:r>
        <w:rPr>
          <w:rFonts w:ascii="Courier New" w:cs="Courier New" w:eastAsia="Courier New" w:hAnsi="Courier New"/>
          <w:sz w:val="18"/>
          <w:szCs w:val="18"/>
          <w:color w:val="auto"/>
        </w:rPr>
        <w:t>Alan M. Stark</w:t>
      </w:r>
    </w:p>
    <w:p>
      <w:pPr>
        <w:ind w:left="1800"/>
        <w:spacing w:after="0"/>
        <w:rPr>
          <w:sz w:val="20"/>
          <w:szCs w:val="20"/>
          <w:color w:val="auto"/>
        </w:rPr>
      </w:pPr>
      <w:r>
        <w:rPr>
          <w:rFonts w:ascii="Courier New" w:cs="Courier New" w:eastAsia="Courier New" w:hAnsi="Courier New"/>
          <w:sz w:val="18"/>
          <w:szCs w:val="18"/>
          <w:color w:val="auto"/>
        </w:rPr>
        <w:t>80 Main Street</w:t>
      </w:r>
    </w:p>
    <w:p>
      <w:pPr>
        <w:ind w:left="1900"/>
        <w:spacing w:after="0" w:line="237" w:lineRule="auto"/>
        <w:rPr>
          <w:sz w:val="20"/>
          <w:szCs w:val="20"/>
          <w:color w:val="auto"/>
        </w:rPr>
      </w:pPr>
      <w:r>
        <w:rPr>
          <w:rFonts w:ascii="Courier New" w:cs="Courier New" w:eastAsia="Courier New" w:hAnsi="Courier New"/>
          <w:sz w:val="18"/>
          <w:szCs w:val="18"/>
          <w:color w:val="auto"/>
        </w:rPr>
        <w:t>West Orange, New Jersey 07052</w:t>
      </w:r>
    </w:p>
    <w:p>
      <w:pPr>
        <w:ind w:left="2440"/>
        <w:spacing w:after="0"/>
        <w:rPr>
          <w:sz w:val="20"/>
          <w:szCs w:val="20"/>
          <w:color w:val="auto"/>
        </w:rPr>
      </w:pPr>
      <w:r>
        <w:rPr>
          <w:rFonts w:ascii="Courier New" w:cs="Courier New" w:eastAsia="Courier New" w:hAnsi="Courier New"/>
          <w:sz w:val="18"/>
          <w:szCs w:val="18"/>
          <w:color w:val="auto"/>
        </w:rPr>
        <w:t>(973) 325-8660</w:t>
      </w:r>
    </w:p>
    <w:p>
      <w:pPr>
        <w:spacing w:after="0" w:line="3"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April 24, 1998</w:t>
      </w:r>
    </w:p>
    <w:p>
      <w:pPr>
        <w:ind w:left="42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If this filing person has previously filed a statement on Schedule 13G to report the acquisition which is the subject of this Schedule 13D, and is filing this schedule because of Rule 13d-1(b)(3) or (4) check the following box [ ].</w:t>
      </w:r>
    </w:p>
    <w:p>
      <w:pPr>
        <w:spacing w:after="0" w:line="200" w:lineRule="exact"/>
        <w:rPr>
          <w:sz w:val="24"/>
          <w:szCs w:val="24"/>
          <w:color w:val="auto"/>
        </w:rPr>
      </w:pPr>
    </w:p>
    <w:p>
      <w:pPr>
        <w:spacing w:after="0" w:line="210"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The information required on the remainder of this cover page shall</w:t>
      </w:r>
    </w:p>
    <w:p>
      <w:pPr>
        <w:spacing w:after="0" w:line="6" w:lineRule="exact"/>
        <w:rPr>
          <w:sz w:val="24"/>
          <w:szCs w:val="24"/>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not be deemed to be "filed" for the purpose of Section 18 of the Securities Exchange Act of 1934 ("Act") or otherwise subject to the</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line="5" w:lineRule="exact"/>
        <w:rPr>
          <w:sz w:val="24"/>
          <w:szCs w:val="24"/>
          <w:color w:val="auto"/>
        </w:rPr>
      </w:pPr>
    </w:p>
    <w:p>
      <w:pPr>
        <w:ind w:left="1060" w:right="3899" w:firstLine="528"/>
        <w:spacing w:after="0" w:line="235" w:lineRule="auto"/>
        <w:tabs>
          <w:tab w:leader="none" w:pos="21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 S.S. or I.R.S. Identification No. of Above Person</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LEON G. COOPERMAN</w:t>
      </w:r>
    </w:p>
    <w:p>
      <w:pPr>
        <w:ind w:left="1160"/>
        <w:spacing w:after="0" w:line="238" w:lineRule="auto"/>
        <w:rPr>
          <w:sz w:val="20"/>
          <w:szCs w:val="20"/>
          <w:color w:val="auto"/>
        </w:rPr>
      </w:pPr>
      <w:r>
        <w:rPr>
          <w:rFonts w:ascii="Courier New" w:cs="Courier New" w:eastAsia="Courier New" w:hAnsi="Courier New"/>
          <w:sz w:val="18"/>
          <w:szCs w:val="18"/>
          <w:color w:val="auto"/>
        </w:rPr>
        <w:t>S.S. No.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w:t>
      </w:r>
    </w:p>
    <w:p>
      <w:pPr>
        <w:spacing w:after="0" w:line="238" w:lineRule="auto"/>
        <w:rPr>
          <w:sz w:val="20"/>
          <w:szCs w:val="20"/>
          <w:color w:val="auto"/>
        </w:rPr>
      </w:pPr>
      <w:r>
        <w:rPr>
          <w:rFonts w:ascii="Courier New" w:cs="Courier New" w:eastAsia="Courier New" w:hAnsi="Courier New"/>
          <w:sz w:val="18"/>
          <w:szCs w:val="18"/>
          <w:color w:val="auto"/>
        </w:rPr>
        <w:t>Group</w:t>
      </w:r>
    </w:p>
    <w:p>
      <w:pPr>
        <w:ind w:left="1060"/>
        <w:spacing w:after="0"/>
        <w:rPr>
          <w:sz w:val="20"/>
          <w:szCs w:val="20"/>
          <w:color w:val="auto"/>
        </w:rPr>
      </w:pPr>
      <w:r>
        <w:rPr>
          <w:rFonts w:ascii="Courier New" w:cs="Courier New" w:eastAsia="Courier New" w:hAnsi="Courier New"/>
          <w:sz w:val="18"/>
          <w:szCs w:val="18"/>
          <w:color w:val="auto"/>
        </w:rPr>
        <w:t>(See Instructions)</w:t>
      </w:r>
    </w:p>
    <w:p>
      <w:pPr>
        <w:spacing w:after="0" w:line="200"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(a) [ ]</w:t>
      </w:r>
    </w:p>
    <w:p>
      <w:pPr>
        <w:ind w:left="4740"/>
        <w:spacing w:after="0" w:line="238" w:lineRule="auto"/>
        <w:rPr>
          <w:sz w:val="20"/>
          <w:szCs w:val="20"/>
          <w:color w:val="auto"/>
        </w:rPr>
      </w:pPr>
      <w:r>
        <w:rPr>
          <w:rFonts w:ascii="Courier New" w:cs="Courier New" w:eastAsia="Courier New" w:hAnsi="Courier New"/>
          <w:sz w:val="18"/>
          <w:szCs w:val="18"/>
          <w:color w:val="auto"/>
        </w:rPr>
        <w:t>(b) [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WC</w:t>
      </w:r>
      <w:r>
        <w:rPr>
          <w:sz w:val="20"/>
          <w:szCs w:val="20"/>
          <w:color w:val="auto"/>
        </w:rPr>
        <w:tab/>
      </w:r>
      <w:r>
        <w:rPr>
          <w:rFonts w:ascii="Courier New" w:cs="Courier New" w:eastAsia="Courier New" w:hAnsi="Courier New"/>
          <w:sz w:val="18"/>
          <w:szCs w:val="18"/>
          <w:color w:val="auto"/>
        </w:rPr>
        <w:t>_________________________________________</w:t>
      </w:r>
    </w:p>
    <w:p>
      <w:pPr>
        <w:spacing w:after="0" w:line="3" w:lineRule="exact"/>
        <w:rPr>
          <w:sz w:val="24"/>
          <w:szCs w:val="24"/>
          <w:color w:val="auto"/>
        </w:rPr>
      </w:pPr>
    </w:p>
    <w:p>
      <w:pPr>
        <w:ind w:left="1060" w:right="3579" w:firstLine="528"/>
        <w:spacing w:after="0" w:line="268" w:lineRule="auto"/>
        <w:tabs>
          <w:tab w:leader="none" w:pos="21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 Items 2(d) or 2(e).............</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4"/>
          <w:szCs w:val="24"/>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w:t>
      </w:r>
    </w:p>
    <w:p>
      <w:pPr>
        <w:sectPr>
          <w:pgSz w:w="11900" w:h="16838"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voting Power</w:t>
      </w:r>
    </w:p>
    <w:p>
      <w:pPr>
        <w:spacing w:after="0"/>
        <w:tabs>
          <w:tab w:leader="none" w:pos="23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677,800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Bene- ____________________________________________________</w:t>
      </w:r>
    </w:p>
    <w:p>
      <w:pPr>
        <w:spacing w:after="0" w:line="16" w:lineRule="exact"/>
        <w:rPr>
          <w:sz w:val="20"/>
          <w:szCs w:val="20"/>
          <w:color w:val="auto"/>
        </w:rPr>
      </w:pPr>
    </w:p>
    <w:p>
      <w:pPr>
        <w:ind w:left="2120"/>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ficially</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Voting Power</w:t>
      </w:r>
    </w:p>
    <w:p>
      <w:pPr>
        <w:ind w:left="2120"/>
        <w:spacing w:after="0"/>
        <w:tabs>
          <w:tab w:leader="none" w:pos="44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185,100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Report- ____________________________________________________</w:t>
      </w:r>
    </w:p>
    <w:p>
      <w:pPr>
        <w:spacing w:after="0" w:line="21" w:lineRule="exact"/>
        <w:rPr>
          <w:sz w:val="20"/>
          <w:szCs w:val="20"/>
          <w:color w:val="auto"/>
        </w:rPr>
      </w:pPr>
    </w:p>
    <w:p>
      <w:pPr>
        <w:ind w:right="3679" w:firstLine="2107"/>
        <w:spacing w:after="0" w:line="235" w:lineRule="auto"/>
        <w:rPr>
          <w:sz w:val="20"/>
          <w:szCs w:val="20"/>
          <w:color w:val="auto"/>
        </w:rPr>
      </w:pPr>
      <w:r>
        <w:rPr>
          <w:rFonts w:ascii="Courier New" w:cs="Courier New" w:eastAsia="Courier New" w:hAnsi="Courier New"/>
          <w:sz w:val="18"/>
          <w:szCs w:val="18"/>
          <w:color w:val="auto"/>
        </w:rPr>
        <w:t>ing Person (9) Sole Dispositive Power With 677,800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(10) Shared Dispositive Power</w:t>
      </w:r>
    </w:p>
    <w:p>
      <w:pPr>
        <w:ind w:left="2320"/>
        <w:spacing w:after="0" w:line="238" w:lineRule="auto"/>
        <w:rPr>
          <w:sz w:val="20"/>
          <w:szCs w:val="20"/>
          <w:color w:val="auto"/>
        </w:rPr>
      </w:pPr>
      <w:r>
        <w:rPr>
          <w:rFonts w:ascii="Courier New" w:cs="Courier New" w:eastAsia="Courier New" w:hAnsi="Courier New"/>
          <w:sz w:val="18"/>
          <w:szCs w:val="18"/>
          <w:color w:val="auto"/>
        </w:rPr>
        <w:t>185,100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w:t>
      </w:r>
    </w:p>
    <w:tbl>
      <w:tblPr>
        <w:tblLayout w:type="fixed"/>
        <w:tblInd w:w="1060" w:type="dxa"/>
        <w:tblCellMar>
          <w:top w:w="0" w:type="dxa"/>
          <w:left w:w="0" w:type="dxa"/>
          <w:bottom w:w="0" w:type="dxa"/>
          <w:right w:w="0" w:type="dxa"/>
        </w:tblCellMar>
      </w:tblP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862,900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Check if the Aggregate Amount in Row (11)</w:t>
      </w:r>
    </w:p>
    <w:p>
      <w:pPr>
        <w:spacing w:after="0" w:line="238" w:lineRule="auto"/>
        <w:rPr>
          <w:sz w:val="20"/>
          <w:szCs w:val="20"/>
          <w:color w:val="auto"/>
        </w:rPr>
      </w:pPr>
      <w:r>
        <w:rPr>
          <w:rFonts w:ascii="Courier New" w:cs="Courier New" w:eastAsia="Courier New" w:hAnsi="Courier New"/>
          <w:sz w:val="18"/>
          <w:szCs w:val="18"/>
          <w:color w:val="auto"/>
        </w:rPr>
        <w:t>excludes</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N/A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right"/>
        <w:ind w:right="3359"/>
        <w:spacing w:after="0"/>
        <w:tabs>
          <w:tab w:leader="none" w:pos="47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Percent of Class Represented by Amount in Box</w:t>
      </w:r>
    </w:p>
    <w:p>
      <w:pPr>
        <w:spacing w:after="0" w:line="238" w:lineRule="auto"/>
        <w:rPr>
          <w:sz w:val="20"/>
          <w:szCs w:val="20"/>
          <w:color w:val="auto"/>
        </w:rPr>
      </w:pPr>
      <w:r>
        <w:rPr>
          <w:rFonts w:ascii="Courier New" w:cs="Courier New" w:eastAsia="Courier New" w:hAnsi="Courier New"/>
          <w:sz w:val="18"/>
          <w:szCs w:val="18"/>
          <w:color w:val="auto"/>
        </w:rPr>
        <w:t>(11):</w:t>
      </w:r>
    </w:p>
    <w:p>
      <w:pPr>
        <w:ind w:left="2120"/>
        <w:spacing w:after="0"/>
        <w:rPr>
          <w:sz w:val="20"/>
          <w:szCs w:val="20"/>
          <w:color w:val="auto"/>
        </w:rPr>
      </w:pPr>
      <w:r>
        <w:rPr>
          <w:rFonts w:ascii="Courier New" w:cs="Courier New" w:eastAsia="Courier New" w:hAnsi="Courier New"/>
          <w:sz w:val="18"/>
          <w:szCs w:val="18"/>
          <w:color w:val="auto"/>
        </w:rPr>
        <w:t>4.6%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N</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3679" w:firstLine="527"/>
        <w:spacing w:after="0" w:line="237" w:lineRule="auto"/>
        <w:rPr>
          <w:sz w:val="20"/>
          <w:szCs w:val="20"/>
          <w:color w:val="auto"/>
        </w:rPr>
      </w:pPr>
      <w:r>
        <w:rPr>
          <w:rFonts w:ascii="Courier New" w:cs="Courier New" w:eastAsia="Courier New" w:hAnsi="Courier New"/>
          <w:sz w:val="18"/>
          <w:szCs w:val="18"/>
          <w:color w:val="auto"/>
        </w:rPr>
        <w:t>Associates is also the general partner of Omega Capital Investors, L.P. Omega Capital Investors, L.P. is a private investment firm engaged in the purchase and sale of securities for</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investment for its own accounts. The principal business and office</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of Omega Capital Investors, L.P. is c/o Omega Advisors, inc., 88 Pine Street, Wall Street Plaza, 31st Floor, New York, New York 10005.</w:t>
      </w:r>
    </w:p>
    <w:p>
      <w:pPr>
        <w:spacing w:after="0" w:line="6" w:lineRule="exact"/>
        <w:rPr>
          <w:sz w:val="20"/>
          <w:szCs w:val="20"/>
          <w:color w:val="auto"/>
        </w:rPr>
      </w:pPr>
    </w:p>
    <w:p>
      <w:pPr>
        <w:ind w:left="960" w:right="357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3.</w:t>
        <w:tab/>
        <w:t>Source and Amount of Funds or Other Consideration. Cooperman beneficially owns 862,900 Shares. Of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235,500 Shares were purchased by Omega Capital Partners,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L.P., at a cost of $4,347,779; 21,100 Shares were purchased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Omega Institutional Partners, L.P., at a cost of $445,334; 23,200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were purchased by Omega Capital Investors, L.P., at a cost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$676,067; 398,000 Shares were purchased by Omega Overseas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 Ltd., at a cost of $8,456,845; and 185,100 Shares were</w:t>
      </w:r>
    </w:p>
    <w:p>
      <w:pPr>
        <w:spacing w:after="0" w:line="16"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purchased by the Managed Account at a cost of $3,738,570.</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source of funds for the purchase of all such Shares was</w:t>
      </w:r>
    </w:p>
    <w:p>
      <w:pPr>
        <w:spacing w:after="0"/>
        <w:rPr>
          <w:sz w:val="20"/>
          <w:szCs w:val="20"/>
          <w:color w:val="auto"/>
        </w:rPr>
      </w:pPr>
      <w:r>
        <w:rPr>
          <w:rFonts w:ascii="Courier New" w:cs="Courier New" w:eastAsia="Courier New" w:hAnsi="Courier New"/>
          <w:sz w:val="18"/>
          <w:szCs w:val="18"/>
          <w:color w:val="auto"/>
        </w:rPr>
        <w:t>investment</w:t>
      </w:r>
    </w:p>
    <w:p>
      <w:pPr>
        <w:spacing w:after="0" w:line="237" w:lineRule="auto"/>
        <w:rPr>
          <w:sz w:val="20"/>
          <w:szCs w:val="20"/>
          <w:color w:val="auto"/>
        </w:rPr>
      </w:pPr>
      <w:r>
        <w:rPr>
          <w:rFonts w:ascii="Courier New" w:cs="Courier New" w:eastAsia="Courier New" w:hAnsi="Courier New"/>
          <w:sz w:val="18"/>
          <w:szCs w:val="18"/>
          <w:color w:val="auto"/>
        </w:rPr>
        <w:t>capital.</w:t>
      </w: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5" w:lineRule="exact"/>
        <w:rPr>
          <w:sz w:val="20"/>
          <w:szCs w:val="20"/>
          <w:color w:val="auto"/>
        </w:rPr>
      </w:pPr>
    </w:p>
    <w:p>
      <w:pPr>
        <w:ind w:right="3579" w:firstLine="1053"/>
        <w:spacing w:after="0" w:line="236" w:lineRule="auto"/>
        <w:rPr>
          <w:sz w:val="20"/>
          <w:szCs w:val="20"/>
          <w:color w:val="auto"/>
        </w:rPr>
      </w:pPr>
      <w:r>
        <w:rPr>
          <w:rFonts w:ascii="Courier New" w:cs="Courier New" w:eastAsia="Courier New" w:hAnsi="Courier New"/>
          <w:sz w:val="18"/>
          <w:szCs w:val="18"/>
          <w:color w:val="auto"/>
        </w:rPr>
        <w:t>Based upon the information contained in the Company's Form 10Q for the quarterly period ended January 3, 1998, filed with</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 Securities &amp; Exchange Commission, there were 18,678,146 Shares</w:t>
      </w:r>
    </w:p>
    <w:p>
      <w:pPr>
        <w:spacing w:after="0"/>
        <w:rPr>
          <w:sz w:val="20"/>
          <w:szCs w:val="20"/>
          <w:color w:val="auto"/>
        </w:rPr>
      </w:pPr>
      <w:r>
        <w:rPr>
          <w:rFonts w:ascii="Courier New" w:cs="Courier New" w:eastAsia="Courier New" w:hAnsi="Courier New"/>
          <w:sz w:val="18"/>
          <w:szCs w:val="18"/>
          <w:color w:val="auto"/>
        </w:rPr>
        <w:t>of Common Stock issued and outstanding on February 6, 1998.</w:t>
      </w:r>
    </w:p>
    <w:p>
      <w:pPr>
        <w:spacing w:after="0" w:line="238" w:lineRule="auto"/>
        <w:rPr>
          <w:sz w:val="20"/>
          <w:szCs w:val="20"/>
          <w:color w:val="auto"/>
        </w:rPr>
      </w:pPr>
      <w:r>
        <w:rPr>
          <w:rFonts w:ascii="Courier New" w:cs="Courier New" w:eastAsia="Courier New" w:hAnsi="Courier New"/>
          <w:sz w:val="18"/>
          <w:szCs w:val="18"/>
          <w:color w:val="auto"/>
        </w:rPr>
        <w:t>Omega</w:t>
      </w:r>
    </w:p>
    <w:p>
      <w:pPr>
        <w:spacing w:after="0" w:line="5"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Capital Partners, L.P. owns 235,500 Shares, or 1.3% of those outstanding; Omega Institutional Partners, L.P. owns 21,100 Shares,</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or 0.1% of those outstanding; Omega Capital Investors, L.P. owns 23,200 Shares, or 0.1% of those outstanding; Omega Overseas Partners, Ltd. owns 398,000 Shares, or 2.1% of those outstanding; and the Managed Account owns 185,100 Shares, or 1.0% of those outstanding.</w:t>
      </w:r>
    </w:p>
    <w:p>
      <w:pPr>
        <w:spacing w:after="0" w:line="6"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following table details the transactions by each of Omega Capital Partners, L.P., Omega Institutional Partners, L.P., Omega Capital Investors, L.P., Omega Overseas Partners, Ltd., and the Managed Account in shares of Common Stock within the 60 day period prior to April 24, 1998 and through the date of this filing.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such transactions were open market sale transactions.</w:t>
      </w:r>
    </w:p>
    <w:p>
      <w:pPr>
        <w:ind w:left="2320"/>
        <w:spacing w:after="0" w:line="238" w:lineRule="auto"/>
        <w:rPr>
          <w:sz w:val="20"/>
          <w:szCs w:val="20"/>
          <w:color w:val="auto"/>
        </w:rPr>
      </w:pPr>
      <w:r>
        <w:rPr>
          <w:rFonts w:ascii="Courier New" w:cs="Courier New" w:eastAsia="Courier New" w:hAnsi="Courier New"/>
          <w:sz w:val="18"/>
          <w:szCs w:val="18"/>
          <w:color w:val="auto"/>
        </w:rPr>
        <w:t>Omega Capital Partners, L.P.</w:t>
      </w:r>
    </w:p>
    <w:tbl>
      <w:tblPr>
        <w:tblLayout w:type="fixed"/>
        <w:tblInd w:w="640" w:type="dxa"/>
        <w:tblCellMar>
          <w:top w:w="0" w:type="dxa"/>
          <w:left w:w="0" w:type="dxa"/>
          <w:bottom w:w="0" w:type="dxa"/>
          <w:right w:w="0" w:type="dxa"/>
        </w:tblCellMar>
      </w:tblPr>
      <w:tr>
        <w:trPr>
          <w:trHeight w:val="203"/>
        </w:trPr>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Date of</w:t>
            </w:r>
          </w:p>
        </w:tc>
        <w:tc>
          <w:tcPr>
            <w:tcW w:w="2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Amount of</w:t>
            </w:r>
          </w:p>
        </w:tc>
        <w:tc>
          <w:tcPr>
            <w:tcW w:w="14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37,000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$38.01</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16,400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04/23/98</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38.25</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04/23/98</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38.13</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04/24/98</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30,400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04/29/98</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37.13</w:t>
            </w:r>
          </w:p>
        </w:tc>
      </w:tr>
      <w:tr>
        <w:trPr>
          <w:trHeight w:val="810"/>
        </w:trPr>
        <w:tc>
          <w:tcPr>
            <w:tcW w:w="1260" w:type="dxa"/>
            <w:vAlign w:val="bottom"/>
          </w:tcPr>
          <w:p>
            <w:pPr>
              <w:spacing w:after="0"/>
              <w:rPr>
                <w:sz w:val="24"/>
                <w:szCs w:val="24"/>
                <w:color w:val="auto"/>
              </w:rPr>
            </w:pPr>
          </w:p>
        </w:tc>
        <w:tc>
          <w:tcPr>
            <w:tcW w:w="39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9"/>
              </w:rPr>
              <w:t>Omega Institutional Partner, L.P.</w:t>
            </w:r>
          </w:p>
        </w:tc>
      </w:tr>
      <w:tr>
        <w:trPr>
          <w:trHeight w:val="405"/>
        </w:trPr>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Date of</w:t>
            </w:r>
          </w:p>
        </w:tc>
        <w:tc>
          <w:tcPr>
            <w:tcW w:w="2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Amount of</w:t>
            </w:r>
          </w:p>
        </w:tc>
        <w:tc>
          <w:tcPr>
            <w:tcW w:w="14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2,700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$38.01</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04/24/98</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2,600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04/29/98</w:t>
            </w:r>
          </w:p>
        </w:tc>
        <w:tc>
          <w:tcPr>
            <w:tcW w:w="2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37.13</w:t>
            </w:r>
          </w:p>
        </w:tc>
      </w:tr>
      <w:tr>
        <w:trPr>
          <w:trHeight w:val="608"/>
        </w:trPr>
        <w:tc>
          <w:tcPr>
            <w:tcW w:w="1260" w:type="dxa"/>
            <w:vAlign w:val="bottom"/>
          </w:tcPr>
          <w:p>
            <w:pPr>
              <w:spacing w:after="0"/>
              <w:rPr>
                <w:sz w:val="24"/>
                <w:szCs w:val="24"/>
                <w:color w:val="auto"/>
              </w:rPr>
            </w:pPr>
          </w:p>
        </w:tc>
        <w:tc>
          <w:tcPr>
            <w:tcW w:w="39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Omega Capital Investors, L.P.</w:t>
            </w:r>
          </w:p>
        </w:tc>
      </w:tr>
      <w:tr>
        <w:trPr>
          <w:trHeight w:val="405"/>
        </w:trPr>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Date of</w:t>
            </w:r>
          </w:p>
        </w:tc>
        <w:tc>
          <w:tcPr>
            <w:tcW w:w="2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Amount of</w:t>
            </w:r>
          </w:p>
        </w:tc>
        <w:tc>
          <w:tcPr>
            <w:tcW w:w="14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Price Per</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$38.01</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1,400</w:t>
            </w:r>
          </w:p>
        </w:tc>
        <w:tc>
          <w:tcPr>
            <w:tcW w:w="14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9"/>
              </w:rPr>
              <w:t>38.00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04/24/98</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04/29/98</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Omega Overseas Partners, Ltd.</w:t>
      </w:r>
    </w:p>
    <w:p>
      <w:pPr>
        <w:sectPr>
          <w:pgSz w:w="11900" w:h="16838" w:orient="portrait"/>
          <w:cols w:equalWidth="0" w:num="1">
            <w:col w:w="10219"/>
          </w:cols>
          <w:pgMar w:left="240" w:top="514" w:right="1440" w:bottom="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204"/>
        </w:trPr>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Date of</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Amount of</w:t>
            </w:r>
          </w:p>
        </w:tc>
        <w:tc>
          <w:tcPr>
            <w:tcW w:w="152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6"/>
              </w:rPr>
              <w:t>Price Per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0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5,900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24,200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04/23/98</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38.25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04/23/98</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04/24/98</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44,700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04/29/98</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1,400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37.13</w:t>
            </w:r>
          </w:p>
        </w:tc>
      </w:tr>
      <w:tr>
        <w:trPr>
          <w:trHeight w:val="405"/>
        </w:trPr>
        <w:tc>
          <w:tcPr>
            <w:tcW w:w="36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The Managed Account</w:t>
            </w:r>
          </w:p>
        </w:tc>
        <w:tc>
          <w:tcPr>
            <w:tcW w:w="1520" w:type="dxa"/>
            <w:vAlign w:val="bottom"/>
          </w:tcPr>
          <w:p>
            <w:pPr>
              <w:spacing w:after="0"/>
              <w:rPr>
                <w:sz w:val="24"/>
                <w:szCs w:val="24"/>
                <w:color w:val="auto"/>
              </w:rPr>
            </w:pPr>
          </w:p>
        </w:tc>
      </w:tr>
      <w:tr>
        <w:trPr>
          <w:trHeight w:val="608"/>
        </w:trPr>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Date of</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Amount of</w:t>
            </w:r>
          </w:p>
        </w:tc>
        <w:tc>
          <w:tcPr>
            <w:tcW w:w="152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6"/>
              </w:rPr>
              <w:t>Price Per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20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11,300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04/22/98</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7,300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04/23/98</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04/24/98</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19,600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04/29/98</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37.13</w:t>
            </w:r>
          </w:p>
        </w:tc>
      </w:tr>
    </w:tbl>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Cooperman ceased being the beneficial owner of more than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five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 of the number of Shares outstanding on April 24, 1998.</w:t>
      </w:r>
    </w:p>
    <w:p>
      <w:pPr>
        <w:spacing w:after="0" w:line="200" w:lineRule="exact"/>
        <w:rPr>
          <w:sz w:val="20"/>
          <w:szCs w:val="20"/>
          <w:color w:val="auto"/>
        </w:r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Inasmuch as the reporting persons are no longer the beneficial</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owners of more than five percent of the number of shares outstanding, the</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reporting persons have no further reporting obligation under Section</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13(d) of the Securities and Exchange Commission thereunder, and the</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reporting persons have no obligation to amend this Statement if any</w:t>
      </w:r>
    </w:p>
    <w:p>
      <w:pPr>
        <w:spacing w:after="0"/>
        <w:rPr>
          <w:sz w:val="20"/>
          <w:szCs w:val="20"/>
          <w:color w:val="auto"/>
        </w:rPr>
      </w:pPr>
      <w:r>
        <w:rPr>
          <w:rFonts w:ascii="Courier New" w:cs="Courier New" w:eastAsia="Courier New" w:hAnsi="Courier New"/>
          <w:sz w:val="18"/>
          <w:szCs w:val="18"/>
          <w:color w:val="auto"/>
        </w:rPr>
        <w:t>material change occurs in the facts set forth herein.</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4199" w:firstLine="1053"/>
        <w:spacing w:after="0" w:line="235" w:lineRule="auto"/>
        <w:rPr>
          <w:sz w:val="20"/>
          <w:szCs w:val="20"/>
          <w:color w:val="auto"/>
        </w:rPr>
      </w:pPr>
      <w:r>
        <w:rPr>
          <w:rFonts w:ascii="Courier New" w:cs="Courier New" w:eastAsia="Courier New" w:hAnsi="Courier New"/>
          <w:sz w:val="18"/>
          <w:szCs w:val="18"/>
          <w:color w:val="auto"/>
        </w:rPr>
        <w:t>After reasonable inquiry and to the best of the undersigned's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knowledge and belief, the undersigned hereby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8, 1998</w:t>
      </w:r>
    </w:p>
    <w:p>
      <w:pPr>
        <w:sectPr>
          <w:pgSz w:w="11900" w:h="16838" w:orient="portrait"/>
          <w:cols w:equalWidth="0" w:num="1">
            <w:col w:w="10219"/>
          </w:cols>
          <w:pgMar w:left="240" w:top="33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pursuant to Power of</w:t>
      </w:r>
    </w:p>
    <w:p>
      <w:pPr>
        <w:spacing w:after="0" w:line="237" w:lineRule="auto"/>
        <w:rPr>
          <w:sz w:val="20"/>
          <w:szCs w:val="20"/>
          <w:color w:val="auto"/>
        </w:rPr>
      </w:pPr>
      <w:r>
        <w:rPr>
          <w:rFonts w:ascii="Courier New" w:cs="Courier New" w:eastAsia="Courier New" w:hAnsi="Courier New"/>
          <w:sz w:val="18"/>
          <w:szCs w:val="18"/>
          <w:color w:val="auto"/>
        </w:rPr>
        <w:t>Attorney on file.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Managing Member of</w:t>
      </w:r>
    </w:p>
    <w:p>
      <w:pPr>
        <w:spacing w:after="0" w:line="237" w:lineRule="auto"/>
        <w:rPr>
          <w:sz w:val="20"/>
          <w:szCs w:val="20"/>
          <w:color w:val="auto"/>
        </w:rPr>
      </w:pPr>
      <w:r>
        <w:rPr>
          <w:rFonts w:ascii="Courier New" w:cs="Courier New" w:eastAsia="Courier New" w:hAnsi="Courier New"/>
          <w:sz w:val="18"/>
          <w:szCs w:val="18"/>
          <w:color w:val="auto"/>
        </w:rPr>
        <w:t>Omega Associates, L.L.C. on behalf</w:t>
      </w:r>
    </w:p>
    <w:p>
      <w:pPr>
        <w:spacing w:after="0" w:line="238" w:lineRule="auto"/>
        <w:rPr>
          <w:sz w:val="20"/>
          <w:szCs w:val="20"/>
          <w:color w:val="auto"/>
        </w:rPr>
      </w:pPr>
      <w:r>
        <w:rPr>
          <w:rFonts w:ascii="Courier New" w:cs="Courier New" w:eastAsia="Courier New" w:hAnsi="Courier New"/>
          <w:sz w:val="18"/>
          <w:szCs w:val="18"/>
          <w:color w:val="auto"/>
        </w:rPr>
        <w:t>of Omega Capital Partners, L.P.,</w:t>
      </w:r>
    </w:p>
    <w:p>
      <w:pPr>
        <w:spacing w:after="0"/>
        <w:rPr>
          <w:sz w:val="20"/>
          <w:szCs w:val="20"/>
          <w:color w:val="auto"/>
        </w:rPr>
      </w:pPr>
      <w:r>
        <w:rPr>
          <w:rFonts w:ascii="Courier New" w:cs="Courier New" w:eastAsia="Courier New" w:hAnsi="Courier New"/>
          <w:sz w:val="18"/>
          <w:szCs w:val="18"/>
          <w:color w:val="auto"/>
        </w:rPr>
        <w:t>pursuant to Power of Attorney on file.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Managing Member of</w:t>
      </w:r>
    </w:p>
    <w:p>
      <w:pPr>
        <w:spacing w:after="0" w:line="237" w:lineRule="auto"/>
        <w:rPr>
          <w:sz w:val="20"/>
          <w:szCs w:val="20"/>
          <w:color w:val="auto"/>
        </w:rPr>
      </w:pPr>
      <w:r>
        <w:rPr>
          <w:rFonts w:ascii="Courier New" w:cs="Courier New" w:eastAsia="Courier New" w:hAnsi="Courier New"/>
          <w:sz w:val="18"/>
          <w:szCs w:val="18"/>
          <w:color w:val="auto"/>
        </w:rPr>
        <w:t>Omega Associates, L.L.C. on behalf</w:t>
      </w:r>
    </w:p>
    <w:p>
      <w:pPr>
        <w:spacing w:after="0" w:line="238" w:lineRule="auto"/>
        <w:rPr>
          <w:sz w:val="20"/>
          <w:szCs w:val="20"/>
          <w:color w:val="auto"/>
        </w:rPr>
      </w:pPr>
      <w:r>
        <w:rPr>
          <w:rFonts w:ascii="Courier New" w:cs="Courier New" w:eastAsia="Courier New" w:hAnsi="Courier New"/>
          <w:sz w:val="18"/>
          <w:szCs w:val="18"/>
          <w:color w:val="auto"/>
        </w:rPr>
        <w:t>of Omega Institutional Partners, L.P.,</w:t>
      </w:r>
    </w:p>
    <w:p>
      <w:pPr>
        <w:spacing w:after="0"/>
        <w:rPr>
          <w:sz w:val="20"/>
          <w:szCs w:val="20"/>
          <w:color w:val="auto"/>
        </w:rPr>
      </w:pPr>
      <w:r>
        <w:rPr>
          <w:rFonts w:ascii="Courier New" w:cs="Courier New" w:eastAsia="Courier New" w:hAnsi="Courier New"/>
          <w:sz w:val="18"/>
          <w:szCs w:val="18"/>
          <w:color w:val="auto"/>
        </w:rPr>
        <w:t>pursuant to Power of Attorney on file.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Managing Member of</w:t>
      </w:r>
    </w:p>
    <w:p>
      <w:pPr>
        <w:spacing w:after="0" w:line="237" w:lineRule="auto"/>
        <w:rPr>
          <w:sz w:val="20"/>
          <w:szCs w:val="20"/>
          <w:color w:val="auto"/>
        </w:rPr>
      </w:pPr>
      <w:r>
        <w:rPr>
          <w:rFonts w:ascii="Courier New" w:cs="Courier New" w:eastAsia="Courier New" w:hAnsi="Courier New"/>
          <w:sz w:val="18"/>
          <w:szCs w:val="18"/>
          <w:color w:val="auto"/>
        </w:rPr>
        <w:t>Omega Associates, L.L.C. on behalf of</w:t>
      </w:r>
    </w:p>
    <w:p>
      <w:pPr>
        <w:spacing w:after="0" w:line="238" w:lineRule="auto"/>
        <w:rPr>
          <w:sz w:val="20"/>
          <w:szCs w:val="20"/>
          <w:color w:val="auto"/>
        </w:rPr>
      </w:pPr>
      <w:r>
        <w:rPr>
          <w:rFonts w:ascii="Courier New" w:cs="Courier New" w:eastAsia="Courier New" w:hAnsi="Courier New"/>
          <w:sz w:val="18"/>
          <w:szCs w:val="18"/>
          <w:color w:val="auto"/>
        </w:rPr>
        <w:t>Omega Capital Investors, L.P., pursuant</w:t>
      </w:r>
    </w:p>
    <w:p>
      <w:pPr>
        <w:spacing w:after="0"/>
        <w:rPr>
          <w:sz w:val="20"/>
          <w:szCs w:val="20"/>
          <w:color w:val="auto"/>
        </w:rPr>
      </w:pPr>
      <w:r>
        <w:rPr>
          <w:rFonts w:ascii="Courier New" w:cs="Courier New" w:eastAsia="Courier New" w:hAnsi="Courier New"/>
          <w:sz w:val="18"/>
          <w:szCs w:val="18"/>
          <w:color w:val="auto"/>
        </w:rPr>
        <w:t>to Power of Attorney on file.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M. Stark</w:t>
      </w:r>
    </w:p>
    <w:p>
      <w:pPr>
        <w:spacing w:after="0" w:line="238" w:lineRule="auto"/>
        <w:rPr>
          <w:sz w:val="20"/>
          <w:szCs w:val="20"/>
          <w:color w:val="auto"/>
        </w:rPr>
      </w:pPr>
      <w:r>
        <w:rPr>
          <w:rFonts w:ascii="Courier New" w:cs="Courier New" w:eastAsia="Courier New" w:hAnsi="Courier New"/>
          <w:sz w:val="18"/>
          <w:szCs w:val="18"/>
          <w:color w:val="auto"/>
        </w:rPr>
        <w:t>ALAN M. STARK on behalf of LEON G.</w:t>
      </w:r>
    </w:p>
    <w:p>
      <w:pPr>
        <w:spacing w:after="0"/>
        <w:rPr>
          <w:sz w:val="20"/>
          <w:szCs w:val="20"/>
          <w:color w:val="auto"/>
        </w:rPr>
      </w:pPr>
      <w:r>
        <w:rPr>
          <w:rFonts w:ascii="Courier New" w:cs="Courier New" w:eastAsia="Courier New" w:hAnsi="Courier New"/>
          <w:sz w:val="18"/>
          <w:szCs w:val="18"/>
          <w:color w:val="auto"/>
        </w:rPr>
        <w:t>COOPERMAN, as President of Omega</w:t>
      </w:r>
    </w:p>
    <w:p>
      <w:pPr>
        <w:spacing w:after="0" w:line="237" w:lineRule="auto"/>
        <w:rPr>
          <w:sz w:val="20"/>
          <w:szCs w:val="20"/>
          <w:color w:val="auto"/>
        </w:rPr>
      </w:pPr>
      <w:r>
        <w:rPr>
          <w:rFonts w:ascii="Courier New" w:cs="Courier New" w:eastAsia="Courier New" w:hAnsi="Courier New"/>
          <w:sz w:val="18"/>
          <w:szCs w:val="18"/>
          <w:color w:val="auto"/>
        </w:rPr>
        <w:t>Advisors, Inc., pursuant to Power</w:t>
      </w:r>
    </w:p>
    <w:p>
      <w:pPr>
        <w:spacing w:after="0" w:line="238" w:lineRule="auto"/>
        <w:rPr>
          <w:sz w:val="20"/>
          <w:szCs w:val="20"/>
          <w:color w:val="auto"/>
        </w:rPr>
      </w:pPr>
      <w:r>
        <w:rPr>
          <w:rFonts w:ascii="Courier New" w:cs="Courier New" w:eastAsia="Courier New" w:hAnsi="Courier New"/>
          <w:sz w:val="18"/>
          <w:szCs w:val="18"/>
          <w:color w:val="auto"/>
        </w:rPr>
        <w:t>of Attorney on file.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3"/>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1)"/>
      <w:numFmt w:val="decimal"/>
      <w:start w:val="11"/>
    </w:lvl>
  </w:abstractNum>
  <w:abstractNum w:abstractNumId="5">
    <w:nsid w:val="507ED7A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2019-12-19T23:49:27Z</dcterms:created>
  <dcterms:modified xsi:type="dcterms:W3CDTF">2019-12-19T23:49:27Z</dcterms:modified>
</cp:coreProperties>
</file>