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40" w:hanging="405"/>
        <w:spacing w:after="0" w:line="308" w:lineRule="auto"/>
        <w:tabs>
          <w:tab w:leader="none" w:pos="46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2018</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460" w:hanging="425"/>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3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For the transition period from</w:t>
            </w:r>
          </w:p>
        </w:tc>
        <w:tc>
          <w:tcPr>
            <w:tcW w:w="58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to</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1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Commission file number 1-11593</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65"/>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60" w:type="dxa"/>
            <w:vAlign w:val="bottom"/>
            <w:gridSpan w:val="7"/>
          </w:tcPr>
          <w:p>
            <w:pPr>
              <w:jc w:val="right"/>
              <w:ind w:right="1198"/>
              <w:spacing w:after="0" w:line="165" w:lineRule="exact"/>
              <w:rPr>
                <w:sz w:val="20"/>
                <w:szCs w:val="20"/>
                <w:color w:val="auto"/>
              </w:rPr>
            </w:pPr>
            <w:r>
              <w:rPr>
                <w:rFonts w:ascii="Arial" w:cs="Arial" w:eastAsia="Arial" w:hAnsi="Arial"/>
                <w:sz w:val="16"/>
                <w:szCs w:val="16"/>
                <w:color w:val="auto"/>
                <w:w w:val="99"/>
              </w:rPr>
              <w:t>______________________________________________________________</w:t>
            </w:r>
          </w:p>
        </w:tc>
      </w:tr>
      <w:tr>
        <w:trPr>
          <w:trHeight w:val="493"/>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7"/>
          </w:tcPr>
          <w:p>
            <w:pPr>
              <w:jc w:val="center"/>
              <w:ind w:right="638"/>
              <w:spacing w:after="0"/>
              <w:rPr>
                <w:sz w:val="20"/>
                <w:szCs w:val="20"/>
                <w:color w:val="auto"/>
              </w:rPr>
            </w:pPr>
            <w:r>
              <w:rPr>
                <w:rFonts w:ascii="Arial" w:cs="Arial" w:eastAsia="Arial" w:hAnsi="Arial"/>
                <w:sz w:val="40"/>
                <w:szCs w:val="40"/>
                <w:b w:val="1"/>
                <w:bCs w:val="1"/>
                <w:color w:val="auto"/>
                <w:w w:val="90"/>
              </w:rPr>
              <w:t>The Scotts Miracle-Gro Company</w:t>
            </w:r>
          </w:p>
        </w:tc>
      </w:tr>
      <w:tr>
        <w:trPr>
          <w:trHeight w:val="210"/>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51"/>
        </w:trPr>
        <w:tc>
          <w:tcPr>
            <w:tcW w:w="1760" w:type="dxa"/>
            <w:vAlign w:val="bottom"/>
          </w:tcPr>
          <w:p>
            <w:pPr>
              <w:spacing w:after="0"/>
              <w:rPr>
                <w:sz w:val="24"/>
                <w:szCs w:val="24"/>
                <w:color w:val="auto"/>
              </w:rPr>
            </w:pPr>
          </w:p>
        </w:tc>
        <w:tc>
          <w:tcPr>
            <w:tcW w:w="2160" w:type="dxa"/>
            <w:vAlign w:val="bottom"/>
            <w:gridSpan w:val="3"/>
          </w:tcPr>
          <w:p>
            <w:pPr>
              <w:jc w:val="center"/>
              <w:ind w:right="899"/>
              <w:spacing w:after="0"/>
              <w:rPr>
                <w:sz w:val="20"/>
                <w:szCs w:val="20"/>
                <w:color w:val="auto"/>
              </w:rPr>
            </w:pPr>
            <w:r>
              <w:rPr>
                <w:rFonts w:ascii="Arial" w:cs="Arial" w:eastAsia="Arial" w:hAnsi="Arial"/>
                <w:sz w:val="16"/>
                <w:szCs w:val="16"/>
                <w:b w:val="1"/>
                <w:bCs w:val="1"/>
                <w:color w:val="auto"/>
                <w:w w:val="93"/>
              </w:rPr>
              <w:t>Ohio</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6"/>
                <w:szCs w:val="16"/>
                <w:b w:val="1"/>
                <w:bCs w:val="1"/>
                <w:color w:val="auto"/>
                <w:w w:val="91"/>
              </w:rPr>
              <w:t>31-1414921</w:t>
            </w:r>
          </w:p>
        </w:tc>
      </w:tr>
      <w:tr>
        <w:trPr>
          <w:trHeight w:val="186"/>
        </w:trPr>
        <w:tc>
          <w:tcPr>
            <w:tcW w:w="3920" w:type="dxa"/>
            <w:vAlign w:val="bottom"/>
            <w:gridSpan w:val="4"/>
          </w:tcPr>
          <w:p>
            <w:pPr>
              <w:jc w:val="center"/>
              <w:ind w:left="683"/>
              <w:spacing w:after="0"/>
              <w:rPr>
                <w:sz w:val="20"/>
                <w:szCs w:val="20"/>
                <w:color w:val="auto"/>
              </w:rPr>
            </w:pPr>
            <w:r>
              <w:rPr>
                <w:rFonts w:ascii="Arial" w:cs="Arial" w:eastAsia="Arial" w:hAnsi="Arial"/>
                <w:sz w:val="14"/>
                <w:szCs w:val="14"/>
                <w:b w:val="1"/>
                <w:bCs w:val="1"/>
                <w:color w:val="auto"/>
                <w:w w:val="93"/>
              </w:rPr>
              <w:t>(State or other jurisdiction of</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gridSpan w:val="4"/>
          </w:tcPr>
          <w:p>
            <w:pPr>
              <w:jc w:val="center"/>
              <w:ind w:left="683"/>
              <w:spacing w:after="0"/>
              <w:rPr>
                <w:sz w:val="20"/>
                <w:szCs w:val="20"/>
                <w:color w:val="auto"/>
              </w:rPr>
            </w:pPr>
            <w:r>
              <w:rPr>
                <w:rFonts w:ascii="Arial" w:cs="Arial" w:eastAsia="Arial" w:hAnsi="Arial"/>
                <w:sz w:val="14"/>
                <w:szCs w:val="14"/>
                <w:b w:val="1"/>
                <w:bCs w:val="1"/>
                <w:color w:val="auto"/>
                <w:w w:val="94"/>
              </w:rPr>
              <w:t>incorporation or organization)</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3920" w:type="dxa"/>
            <w:vAlign w:val="bottom"/>
            <w:gridSpan w:val="4"/>
          </w:tcPr>
          <w:p>
            <w:pPr>
              <w:jc w:val="center"/>
              <w:ind w:left="683"/>
              <w:spacing w:after="0"/>
              <w:rPr>
                <w:sz w:val="20"/>
                <w:szCs w:val="20"/>
                <w:color w:val="auto"/>
              </w:rPr>
            </w:pPr>
            <w:r>
              <w:rPr>
                <w:rFonts w:ascii="Arial" w:cs="Arial" w:eastAsia="Arial" w:hAnsi="Arial"/>
                <w:sz w:val="16"/>
                <w:szCs w:val="16"/>
                <w:b w:val="1"/>
                <w:bCs w:val="1"/>
                <w:color w:val="auto"/>
                <w:w w:val="89"/>
              </w:rPr>
              <w:t>14111 Scottslawn Road,</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3920" w:type="dxa"/>
            <w:vAlign w:val="bottom"/>
            <w:gridSpan w:val="4"/>
          </w:tcPr>
          <w:p>
            <w:pPr>
              <w:jc w:val="center"/>
              <w:ind w:left="683"/>
              <w:spacing w:after="0"/>
              <w:rPr>
                <w:sz w:val="20"/>
                <w:szCs w:val="20"/>
                <w:color w:val="auto"/>
              </w:rPr>
            </w:pPr>
            <w:r>
              <w:rPr>
                <w:rFonts w:ascii="Arial" w:cs="Arial" w:eastAsia="Arial" w:hAnsi="Arial"/>
                <w:sz w:val="16"/>
                <w:szCs w:val="16"/>
                <w:b w:val="1"/>
                <w:bCs w:val="1"/>
                <w:color w:val="auto"/>
                <w:w w:val="94"/>
              </w:rPr>
              <w:t>Marysville, Ohio</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1138"/>
              <w:spacing w:after="0"/>
              <w:rPr>
                <w:sz w:val="20"/>
                <w:szCs w:val="20"/>
                <w:color w:val="auto"/>
              </w:rPr>
            </w:pPr>
            <w:r>
              <w:rPr>
                <w:rFonts w:ascii="Arial" w:cs="Arial" w:eastAsia="Arial" w:hAnsi="Arial"/>
                <w:sz w:val="16"/>
                <w:szCs w:val="16"/>
                <w:b w:val="1"/>
                <w:bCs w:val="1"/>
                <w:color w:val="auto"/>
              </w:rPr>
              <w:t>43041</w:t>
            </w:r>
          </w:p>
        </w:tc>
      </w:tr>
      <w:tr>
        <w:trPr>
          <w:trHeight w:val="222"/>
        </w:trPr>
        <w:tc>
          <w:tcPr>
            <w:tcW w:w="3920" w:type="dxa"/>
            <w:vAlign w:val="bottom"/>
            <w:gridSpan w:val="4"/>
          </w:tcPr>
          <w:p>
            <w:pPr>
              <w:jc w:val="center"/>
              <w:ind w:left="7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5"/>
              </w:rPr>
              <w:t>(Zip Code)</w:t>
            </w:r>
          </w:p>
        </w:tc>
      </w:tr>
      <w:tr>
        <w:trPr>
          <w:trHeight w:val="189"/>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6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937-644-0011</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0"/>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90"/>
        </w:trPr>
        <w:tc>
          <w:tcPr>
            <w:tcW w:w="176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4"/>
        </w:trPr>
        <w:tc>
          <w:tcPr>
            <w:tcW w:w="3920" w:type="dxa"/>
            <w:vAlign w:val="bottom"/>
            <w:gridSpan w:val="4"/>
          </w:tcPr>
          <w:p>
            <w:pPr>
              <w:jc w:val="center"/>
              <w:ind w:left="683"/>
              <w:spacing w:after="0"/>
              <w:rPr>
                <w:sz w:val="20"/>
                <w:szCs w:val="20"/>
                <w:color w:val="auto"/>
              </w:rPr>
            </w:pPr>
            <w:r>
              <w:rPr>
                <w:rFonts w:ascii="Arial" w:cs="Arial" w:eastAsia="Arial" w:hAnsi="Arial"/>
                <w:sz w:val="18"/>
                <w:szCs w:val="18"/>
                <w:color w:val="auto"/>
                <w:w w:val="91"/>
              </w:rPr>
              <w:t>Common Shares, without par value</w:t>
            </w:r>
          </w:p>
        </w:tc>
        <w:tc>
          <w:tcPr>
            <w:tcW w:w="2360" w:type="dxa"/>
            <w:vAlign w:val="bottom"/>
          </w:tcPr>
          <w:p>
            <w:pPr>
              <w:spacing w:after="0"/>
              <w:rPr>
                <w:sz w:val="22"/>
                <w:szCs w:val="22"/>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3"/>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None</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6"/>
        </w:trPr>
        <w:tc>
          <w:tcPr>
            <w:tcW w:w="1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7"/>
          </w:tcPr>
          <w:p>
            <w:pPr>
              <w:jc w:val="center"/>
              <w:ind w:right="678"/>
              <w:spacing w:after="0"/>
              <w:rPr>
                <w:sz w:val="20"/>
                <w:szCs w:val="20"/>
                <w:color w:val="auto"/>
              </w:rPr>
            </w:pPr>
            <w:r>
              <w:rPr>
                <w:rFonts w:ascii="Arial" w:cs="Arial" w:eastAsia="Arial" w:hAnsi="Arial"/>
                <w:sz w:val="16"/>
                <w:szCs w:val="16"/>
                <w:color w:val="auto"/>
                <w:w w:val="91"/>
              </w:rPr>
              <w:t>______________________________________________________________</w:t>
            </w:r>
          </w:p>
        </w:tc>
      </w:tr>
      <w:tr>
        <w:trPr>
          <w:trHeight w:val="280"/>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No</w:t>
            </w:r>
          </w:p>
        </w:tc>
        <w:tc>
          <w:tcPr>
            <w:tcW w:w="1400" w:type="dxa"/>
            <w:vAlign w:val="bottom"/>
          </w:tcPr>
          <w:p>
            <w:pPr>
              <w:jc w:val="right"/>
              <w:ind w:right="1278"/>
              <w:spacing w:after="0"/>
              <w:rPr>
                <w:sz w:val="20"/>
                <w:szCs w:val="20"/>
                <w:color w:val="auto"/>
              </w:rPr>
            </w:pPr>
            <w:r>
              <w:rPr>
                <w:rFonts w:ascii="Arial" w:cs="Arial" w:eastAsia="Arial" w:hAnsi="Arial"/>
                <w:sz w:val="10"/>
                <w:szCs w:val="10"/>
                <w:color w:val="auto"/>
                <w:w w:val="71"/>
              </w:rPr>
              <w:t>o</w:t>
            </w:r>
          </w:p>
        </w:tc>
      </w:tr>
      <w:tr>
        <w:trPr>
          <w:trHeight w:val="270"/>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20" w:type="dxa"/>
            <w:vAlign w:val="bottom"/>
          </w:tcPr>
          <w:p>
            <w:pPr>
              <w:ind w:left="140"/>
              <w:spacing w:after="0"/>
              <w:rPr>
                <w:sz w:val="20"/>
                <w:szCs w:val="20"/>
                <w:color w:val="auto"/>
              </w:rPr>
            </w:pPr>
            <w:r>
              <w:rPr>
                <w:rFonts w:ascii="Arial" w:cs="Arial" w:eastAsia="Arial" w:hAnsi="Arial"/>
                <w:sz w:val="14"/>
                <w:szCs w:val="14"/>
                <w:color w:val="auto"/>
              </w:rPr>
              <w:t>Yes o</w:t>
            </w:r>
          </w:p>
        </w:tc>
        <w:tc>
          <w:tcPr>
            <w:tcW w:w="300" w:type="dxa"/>
            <w:vAlign w:val="bottom"/>
          </w:tcPr>
          <w:p>
            <w:pPr>
              <w:ind w:left="120"/>
              <w:spacing w:after="0"/>
              <w:rPr>
                <w:sz w:val="20"/>
                <w:szCs w:val="20"/>
                <w:color w:val="auto"/>
              </w:rPr>
            </w:pPr>
            <w:r>
              <w:rPr>
                <w:rFonts w:ascii="Arial" w:cs="Arial" w:eastAsia="Arial" w:hAnsi="Arial"/>
                <w:sz w:val="14"/>
                <w:szCs w:val="14"/>
                <w:color w:val="auto"/>
                <w:w w:val="89"/>
              </w:rPr>
              <w:t>No</w:t>
            </w:r>
          </w:p>
        </w:tc>
        <w:tc>
          <w:tcPr>
            <w:tcW w:w="1400" w:type="dxa"/>
            <w:vAlign w:val="bottom"/>
          </w:tcPr>
          <w:p>
            <w:pPr>
              <w:jc w:val="right"/>
              <w:ind w:right="1138"/>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66" w:lineRule="exact"/>
        <w:rPr>
          <w:sz w:val="24"/>
          <w:szCs w:val="24"/>
          <w:color w:val="auto"/>
        </w:rPr>
      </w:pPr>
    </w:p>
    <w:p>
      <w:pPr>
        <w:ind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3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200"/>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320" w:type="dxa"/>
            <w:vAlign w:val="bottom"/>
          </w:tcPr>
          <w:p>
            <w:pPr>
              <w:ind w:left="700"/>
              <w:spacing w:after="0"/>
              <w:rPr>
                <w:sz w:val="20"/>
                <w:szCs w:val="20"/>
                <w:color w:val="auto"/>
              </w:rPr>
            </w:pPr>
            <w:r>
              <w:rPr>
                <w:rFonts w:ascii="Arial" w:cs="Arial" w:eastAsia="Arial" w:hAnsi="Arial"/>
                <w:sz w:val="14"/>
                <w:szCs w:val="14"/>
                <w:color w:val="auto"/>
              </w:rPr>
              <w:t>o  (Do not check if a smaller reporting company)</w:t>
            </w:r>
          </w:p>
        </w:tc>
        <w:tc>
          <w:tcPr>
            <w:tcW w:w="3300" w:type="dxa"/>
            <w:vAlign w:val="bottom"/>
          </w:tcPr>
          <w:p>
            <w:pPr>
              <w:ind w:left="76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270"/>
        </w:trPr>
        <w:tc>
          <w:tcPr>
            <w:tcW w:w="19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300" w:type="dxa"/>
            <w:vAlign w:val="bottom"/>
          </w:tcPr>
          <w:p>
            <w:pPr>
              <w:ind w:left="76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bl>
    <w:p>
      <w:pPr>
        <w:spacing w:after="0" w:line="74"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25" w:lineRule="exact"/>
        <w:rPr>
          <w:sz w:val="24"/>
          <w:szCs w:val="24"/>
          <w:color w:val="auto"/>
        </w:rPr>
      </w:pPr>
    </w:p>
    <w:p>
      <w:pPr>
        <w:spacing w:after="0"/>
        <w:tabs>
          <w:tab w:leader="none" w:pos="4140" w:val="left"/>
        </w:tabs>
        <w:rPr>
          <w:sz w:val="20"/>
          <w:szCs w:val="20"/>
          <w:color w:val="auto"/>
        </w:rPr>
      </w:pPr>
      <w:r>
        <w:rPr>
          <w:rFonts w:ascii="Arial" w:cs="Arial" w:eastAsia="Arial" w:hAnsi="Arial"/>
          <w:sz w:val="14"/>
          <w:szCs w:val="14"/>
          <w:color w:val="auto"/>
        </w:rPr>
        <w:t>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16" w:lineRule="exact"/>
        <w:rPr>
          <w:sz w:val="24"/>
          <w:szCs w:val="24"/>
          <w:color w:val="auto"/>
        </w:rPr>
      </w:pPr>
    </w:p>
    <w:p>
      <w:pPr>
        <w:ind w:left="340"/>
        <w:spacing w:after="0" w:line="161" w:lineRule="exact"/>
        <w:tabs>
          <w:tab w:leader="none" w:pos="6380" w:val="left"/>
          <w:tab w:leader="none" w:pos="6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aggregate market value of Common Shares (the only common equity of the registrant) held by non-affiliates (for this purpose, executive officers and directors of the registrant are considered affiliates) as of March 30, 2018 (the last business day of the most recently completed second quarter) was approximately $3,397,758,257.</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55,325,650 Common Shares of the registrant outstanding as of November 23, 2018.</w:t>
      </w:r>
    </w:p>
    <w:p>
      <w:pPr>
        <w:spacing w:after="0" w:line="13"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Portions of the definitive Proxy Statement for the registrant’s 2019 Annual Meeting of Shareholders are incorporated by reference into Part III of this Annual Report on Form 10-K. Such Proxy Statement will be filed with the Securities and Exchange Commission within 120 days of the registrant’s fiscal year ended September 30, 2018.</w:t>
      </w:r>
    </w:p>
    <w:p>
      <w:pPr>
        <w:sectPr>
          <w:pgSz w:w="11900" w:h="16838" w:orient="portrait"/>
          <w:cols w:equalWidth="0" w:num="1">
            <w:col w:w="11420"/>
          </w:cols>
          <w:pgMar w:left="240" w:top="95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describes the business conducted by The Scotts Miracle-Gro Company, an Ohio corporation (“Scotts Miracle-Gro” and, together with its subsidiaries, the “Company,” “we” or “us”), including general developments in the Company’s business during the fiscal year ended September 30, 2018 (“fiscal 2018”).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6"/>
          <w:szCs w:val="16"/>
          <w:color w:val="auto"/>
        </w:rPr>
        <w:t>We are a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LiquaFeed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gardening and landscape products; and Ortho</w:t>
      </w:r>
      <w:r>
        <w:rPr>
          <w:rFonts w:ascii="Arial" w:cs="Arial" w:eastAsia="Arial" w:hAnsi="Arial"/>
          <w:sz w:val="22"/>
          <w:szCs w:val="22"/>
          <w:color w:val="auto"/>
          <w:vertAlign w:val="superscript"/>
        </w:rPr>
        <w:t>®</w:t>
      </w:r>
      <w:r>
        <w:rPr>
          <w:rFonts w:ascii="Arial" w:cs="Arial" w:eastAsia="Arial" w:hAnsi="Arial"/>
          <w:sz w:val="16"/>
          <w:szCs w:val="16"/>
          <w:color w:val="auto"/>
        </w:rPr>
        <w:t>, Roundup</w:t>
      </w:r>
      <w:r>
        <w:rPr>
          <w:rFonts w:ascii="Arial" w:cs="Arial" w:eastAsia="Arial" w:hAnsi="Arial"/>
          <w:sz w:val="22"/>
          <w:szCs w:val="22"/>
          <w:color w:val="auto"/>
          <w:vertAlign w:val="superscript"/>
        </w:rPr>
        <w:t>®2</w:t>
      </w:r>
      <w:r>
        <w:rPr>
          <w:rFonts w:ascii="Arial" w:cs="Arial" w:eastAsia="Arial" w:hAnsi="Arial"/>
          <w:sz w:val="11"/>
          <w:szCs w:val="11"/>
          <w:color w:val="auto"/>
        </w:rPr>
        <w:t>,</w:t>
      </w:r>
      <w:r>
        <w:rPr>
          <w:rFonts w:ascii="Arial" w:cs="Arial" w:eastAsia="Arial" w:hAnsi="Arial"/>
          <w:sz w:val="16"/>
          <w:szCs w:val="16"/>
          <w:color w:val="auto"/>
        </w:rPr>
        <w:t xml:space="preserve"> Home Defense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insect control, weed control and rodent control products. We are the exclusive agent of the Monsanto Company, a subsidiary of Bayer AG since June 2018 (“Monsanto”), for the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within the United States and certain other specified countries. We have a presence in similar branded consumer products in China and Latin America.</w:t>
      </w:r>
    </w:p>
    <w:p>
      <w:pPr>
        <w:spacing w:after="0" w:line="15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7"/>
          <w:szCs w:val="17"/>
          <w:color w:val="auto"/>
        </w:rPr>
        <w:t>Through our Hawthorne segment, we are a leading manufacturer, marketer and distributor of nutrients, growing media, advanced indoor garden, lighting and ventilation systems and accessories for hydroponic gardening. Our key hydroponic gardening brands include General Hydroponics</w:t>
      </w:r>
      <w:r>
        <w:rPr>
          <w:rFonts w:ascii="Arial" w:cs="Arial" w:eastAsia="Arial" w:hAnsi="Arial"/>
          <w:sz w:val="24"/>
          <w:szCs w:val="24"/>
          <w:color w:val="auto"/>
          <w:vertAlign w:val="superscript"/>
        </w:rPr>
        <w:t>®</w:t>
      </w:r>
      <w:r>
        <w:rPr>
          <w:rFonts w:ascii="Arial" w:cs="Arial" w:eastAsia="Arial" w:hAnsi="Arial"/>
          <w:sz w:val="17"/>
          <w:szCs w:val="17"/>
          <w:color w:val="auto"/>
        </w:rPr>
        <w:t>, Gavita</w:t>
      </w:r>
      <w:r>
        <w:rPr>
          <w:rFonts w:ascii="Arial" w:cs="Arial" w:eastAsia="Arial" w:hAnsi="Arial"/>
          <w:sz w:val="24"/>
          <w:szCs w:val="24"/>
          <w:color w:val="auto"/>
          <w:vertAlign w:val="superscript"/>
        </w:rPr>
        <w:t>®</w:t>
      </w:r>
      <w:r>
        <w:rPr>
          <w:rFonts w:ascii="Arial" w:cs="Arial" w:eastAsia="Arial" w:hAnsi="Arial"/>
          <w:sz w:val="17"/>
          <w:szCs w:val="17"/>
          <w:color w:val="auto"/>
        </w:rPr>
        <w:t>, Botanicare</w:t>
      </w:r>
      <w:r>
        <w:rPr>
          <w:rFonts w:ascii="Arial" w:cs="Arial" w:eastAsia="Arial" w:hAnsi="Arial"/>
          <w:sz w:val="24"/>
          <w:szCs w:val="24"/>
          <w:color w:val="auto"/>
          <w:vertAlign w:val="superscript"/>
        </w:rPr>
        <w:t>®</w:t>
      </w:r>
      <w:r>
        <w:rPr>
          <w:rFonts w:ascii="Arial" w:cs="Arial" w:eastAsia="Arial" w:hAnsi="Arial"/>
          <w:sz w:val="17"/>
          <w:szCs w:val="17"/>
          <w:color w:val="auto"/>
        </w:rPr>
        <w:t>, Vermicrop</w:t>
      </w:r>
      <w:r>
        <w:rPr>
          <w:rFonts w:ascii="Arial" w:cs="Arial" w:eastAsia="Arial" w:hAnsi="Arial"/>
          <w:sz w:val="24"/>
          <w:szCs w:val="24"/>
          <w:color w:val="auto"/>
          <w:vertAlign w:val="superscript"/>
        </w:rPr>
        <w:t>®</w:t>
      </w:r>
      <w:r>
        <w:rPr>
          <w:rFonts w:ascii="Arial" w:cs="Arial" w:eastAsia="Arial" w:hAnsi="Arial"/>
          <w:sz w:val="17"/>
          <w:szCs w:val="17"/>
          <w:color w:val="auto"/>
        </w:rPr>
        <w:t>, Agrolux</w:t>
      </w:r>
      <w:r>
        <w:rPr>
          <w:rFonts w:ascii="Arial" w:cs="Arial" w:eastAsia="Arial" w:hAnsi="Arial"/>
          <w:sz w:val="24"/>
          <w:szCs w:val="24"/>
          <w:color w:val="auto"/>
          <w:vertAlign w:val="superscript"/>
        </w:rPr>
        <w:t>®</w:t>
      </w:r>
      <w:r>
        <w:rPr>
          <w:rFonts w:ascii="Arial" w:cs="Arial" w:eastAsia="Arial" w:hAnsi="Arial"/>
          <w:sz w:val="17"/>
          <w:szCs w:val="17"/>
          <w:color w:val="auto"/>
        </w:rPr>
        <w:t>, Can-Filters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AeroGarden</w:t>
      </w:r>
      <w:r>
        <w:rPr>
          <w:rFonts w:ascii="Arial" w:cs="Arial" w:eastAsia="Arial" w:hAnsi="Arial"/>
          <w:sz w:val="24"/>
          <w:szCs w:val="24"/>
          <w:color w:val="auto"/>
          <w:vertAlign w:val="superscript"/>
        </w:rPr>
        <w:t>®</w:t>
      </w:r>
      <w:r>
        <w:rPr>
          <w:rFonts w:ascii="Arial" w:cs="Arial" w:eastAsia="Arial" w:hAnsi="Arial"/>
          <w:sz w:val="17"/>
          <w:szCs w:val="17"/>
          <w:color w:val="auto"/>
        </w:rPr>
        <w:t>. On June 4, 2018, our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is the largest distributor of hydroponic products in the United States, and is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Prior to the transaction, Sunlight Supply served as a non-exclusive distributor of the Company. Sunlight Supply manufactures and markets branded hydroponic gardening products under key brands including Sun System</w:t>
      </w:r>
      <w:r>
        <w:rPr>
          <w:rFonts w:ascii="Arial" w:cs="Arial" w:eastAsia="Arial" w:hAnsi="Arial"/>
          <w:sz w:val="24"/>
          <w:szCs w:val="24"/>
          <w:color w:val="auto"/>
          <w:vertAlign w:val="superscript"/>
        </w:rPr>
        <w:t>®</w:t>
      </w:r>
      <w:r>
        <w:rPr>
          <w:rFonts w:ascii="Arial" w:cs="Arial" w:eastAsia="Arial" w:hAnsi="Arial"/>
          <w:sz w:val="17"/>
          <w:szCs w:val="17"/>
          <w:color w:val="auto"/>
        </w:rPr>
        <w:t>, Gro Pro</w:t>
      </w:r>
      <w:r>
        <w:rPr>
          <w:rFonts w:ascii="Arial" w:cs="Arial" w:eastAsia="Arial" w:hAnsi="Arial"/>
          <w:sz w:val="24"/>
          <w:szCs w:val="24"/>
          <w:color w:val="auto"/>
          <w:vertAlign w:val="superscript"/>
        </w:rPr>
        <w:t>®</w:t>
      </w:r>
      <w:r>
        <w:rPr>
          <w:rFonts w:ascii="Arial" w:cs="Arial" w:eastAsia="Arial" w:hAnsi="Arial"/>
          <w:sz w:val="17"/>
          <w:szCs w:val="17"/>
          <w:color w:val="auto"/>
        </w:rPr>
        <w:t>, Mother Earth</w:t>
      </w:r>
      <w:r>
        <w:rPr>
          <w:rFonts w:ascii="Arial" w:cs="Arial" w:eastAsia="Arial" w:hAnsi="Arial"/>
          <w:sz w:val="24"/>
          <w:szCs w:val="24"/>
          <w:color w:val="auto"/>
          <w:vertAlign w:val="superscript"/>
        </w:rPr>
        <w:t>®</w:t>
      </w:r>
      <w:r>
        <w:rPr>
          <w:rFonts w:ascii="Arial" w:cs="Arial" w:eastAsia="Arial" w:hAnsi="Arial"/>
          <w:sz w:val="17"/>
          <w:szCs w:val="17"/>
          <w:color w:val="auto"/>
        </w:rPr>
        <w:t>, Hurricane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Grower's Edge</w:t>
      </w:r>
      <w:r>
        <w:rPr>
          <w:rFonts w:ascii="Arial" w:cs="Arial" w:eastAsia="Arial" w:hAnsi="Arial"/>
          <w:sz w:val="24"/>
          <w:szCs w:val="24"/>
          <w:color w:val="auto"/>
          <w:vertAlign w:val="superscript"/>
        </w:rPr>
        <w:t>®</w:t>
      </w:r>
      <w:r>
        <w:rPr>
          <w:rFonts w:ascii="Arial" w:cs="Arial" w:eastAsia="Arial" w:hAnsi="Arial"/>
          <w:sz w:val="17"/>
          <w:szCs w:val="17"/>
          <w:color w:val="auto"/>
        </w:rPr>
        <w:t>. See “Acquisitions” for further discussion.</w:t>
      </w:r>
    </w:p>
    <w:p>
      <w:pPr>
        <w:spacing w:after="0" w:line="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Prior to August 31, 2017, we operated consumer lawn and garden businesses located in Australia, Austria, Belgium, Luxembourg, Czech Republic, France, Germany, Poland and the United Kingdom (the “International Business”). On April 29, 2017, we received a binding and irrevocable conditional offer (the “Offer”) from Exponent Private Equity LLP (“Exponent”) to purchase the International Business. On July 5, 2017, we accepted the Offer and entered into the Share and Business Sale Agreement (the “Purchase and Sale Agreement”) contemplated by the Offer. Pursuant to the Purchase and Sale Agreement, Scotts-Sierra Investments LLC, an indirect wholly-owned subsidiary of the Company, and certain of its direct and indirect subsidiaries entered into separate stock or asset sale transactions with respect to the International Business. The sale of the International Business to Exponent closed on August 31, 2017.</w:t>
      </w:r>
    </w:p>
    <w:p>
      <w:pPr>
        <w:spacing w:after="0" w:line="11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Prior to April 13, 2016, we operated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w:t>
      </w:r>
    </w:p>
    <w:p>
      <w:pPr>
        <w:spacing w:after="0" w:line="137"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Scotts Miracle-Gro traces its heritage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powerful leading brands in the U.S. home lawn and garden industry. In fiscal 1995, through a merger with Stern’s Miracle-Gro Products, Inc., which was founded by Horace Hagedorn and Otto Stern in Long Island, New York in 1951, we acquired the Miracle-Gro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industry leader in</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56" w:lineRule="exact"/>
        <w:rPr>
          <w:sz w:val="20"/>
          <w:szCs w:val="20"/>
          <w:color w:val="auto"/>
        </w:rPr>
      </w:pPr>
    </w:p>
    <w:p>
      <w:pPr>
        <w:ind w:left="180" w:hanging="145"/>
        <w:spacing w:after="0"/>
        <w:tabs>
          <w:tab w:leader="none" w:pos="18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ind w:left="5660" w:right="2940" w:hanging="5625"/>
        <w:spacing w:after="0" w:line="224" w:lineRule="auto"/>
        <w:tabs>
          <w:tab w:leader="none" w:pos="179"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2</w:t>
      </w:r>
    </w:p>
    <w:p>
      <w:pPr>
        <w:sectPr>
          <w:pgSz w:w="11900" w:h="16838" w:orient="portrait"/>
          <w:cols w:equalWidth="0" w:num="1">
            <w:col w:w="11420"/>
          </w:cols>
          <w:pgMar w:left="240" w:top="850" w:right="239" w:bottom="1440" w:gutter="0" w:footer="0" w:header="0"/>
        </w:sectPr>
      </w:pPr>
    </w:p>
    <w:bookmarkStart w:id="2" w:name="page3"/>
    <w:bookmarkEnd w:id="2"/>
    <w:p>
      <w:pPr>
        <w:jc w:val="both"/>
        <w:spacing w:after="0" w:line="197" w:lineRule="auto"/>
        <w:rPr>
          <w:sz w:val="20"/>
          <w:szCs w:val="20"/>
          <w:color w:val="auto"/>
        </w:rPr>
      </w:pPr>
      <w:r>
        <w:rPr>
          <w:rFonts w:ascii="Arial" w:cs="Arial" w:eastAsia="Arial" w:hAnsi="Arial"/>
          <w:sz w:val="18"/>
          <w:szCs w:val="18"/>
          <w:color w:val="auto"/>
        </w:rPr>
        <w:t>water-soluble garden plant foods. In 1998, we acquired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in the United States and obtained exclusive rights to market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within the United States and other contractually specified countries, thereby adding industry-leading weed, pest and disease control products to our portfolio. Today, we believe that Scotts</w:t>
      </w:r>
      <w:r>
        <w:rPr>
          <w:rFonts w:ascii="Arial" w:cs="Arial" w:eastAsia="Arial" w:hAnsi="Arial"/>
          <w:sz w:val="25"/>
          <w:szCs w:val="25"/>
          <w:color w:val="auto"/>
          <w:vertAlign w:val="superscript"/>
        </w:rPr>
        <w:t>®</w:t>
      </w:r>
      <w:r>
        <w:rPr>
          <w:rFonts w:ascii="Arial" w:cs="Arial" w:eastAsia="Arial" w:hAnsi="Arial"/>
          <w:sz w:val="18"/>
          <w:szCs w:val="18"/>
          <w:color w:val="auto"/>
        </w:rPr>
        <w:t>, Turf Builder</w:t>
      </w:r>
      <w:r>
        <w:rPr>
          <w:rFonts w:ascii="Arial" w:cs="Arial" w:eastAsia="Arial" w:hAnsi="Arial"/>
          <w:sz w:val="25"/>
          <w:szCs w:val="25"/>
          <w:color w:val="auto"/>
          <w:vertAlign w:val="superscript"/>
        </w:rPr>
        <w:t>®</w:t>
      </w:r>
      <w:r>
        <w:rPr>
          <w:rFonts w:ascii="Arial" w:cs="Arial" w:eastAsia="Arial" w:hAnsi="Arial"/>
          <w:sz w:val="18"/>
          <w:szCs w:val="18"/>
          <w:color w:val="auto"/>
        </w:rPr>
        <w:t>, Miracle-Gro</w:t>
      </w:r>
      <w:r>
        <w:rPr>
          <w:rFonts w:ascii="Arial" w:cs="Arial" w:eastAsia="Arial" w:hAnsi="Arial"/>
          <w:sz w:val="25"/>
          <w:szCs w:val="25"/>
          <w:color w:val="auto"/>
          <w:vertAlign w:val="superscript"/>
        </w:rPr>
        <w:t>®</w:t>
      </w:r>
      <w:r>
        <w:rPr>
          <w:rFonts w:ascii="Arial" w:cs="Arial" w:eastAsia="Arial" w:hAnsi="Arial"/>
          <w:sz w:val="18"/>
          <w:szCs w:val="18"/>
          <w:color w:val="auto"/>
        </w:rPr>
        <w:t>,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among the most widely recognized brands in the consumer lawn and garden industry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Hawthorne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Executive Officer (the chief operating decision maker of the Company). Financial information about these segments for each of the three fiscal years ended September 30, 2018, 2017 and 2016 is presented in “NOTE 22. SEGMENT INFORMATION” of the Notes to Consolidated Financial Statements included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reportable segments, we manufacture, market and sell lawn and garden products in the following categories:</w:t>
      </w:r>
    </w:p>
    <w:p>
      <w:pPr>
        <w:spacing w:after="0" w:line="171"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users obtain and enjoy the lawn they want. Products within this category include lawn</w:t>
      </w:r>
      <w:r>
        <w:rPr>
          <w:rFonts w:ascii="Arial" w:cs="Arial" w:eastAsia="Arial" w:hAnsi="Arial"/>
          <w:sz w:val="16"/>
          <w:szCs w:val="16"/>
          <w:i w:val="1"/>
          <w:iCs w:val="1"/>
          <w:color w:val="auto"/>
        </w:rPr>
        <w:t xml:space="preserve"> </w:t>
      </w:r>
      <w:r>
        <w:rPr>
          <w:rFonts w:ascii="Arial" w:cs="Arial" w:eastAsia="Arial" w:hAnsi="Arial"/>
          <w:sz w:val="16"/>
          <w:szCs w:val="16"/>
          <w:color w:val="auto"/>
        </w:rPr>
        <w:t>fertilizer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PatchMaster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Thick’R Lawn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lawn-related weed, pest and disease control products primarily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sub-brands such as GrubEx</w:t>
      </w:r>
      <w:r>
        <w:rPr>
          <w:rFonts w:ascii="Arial" w:cs="Arial" w:eastAsia="Arial" w:hAnsi="Arial"/>
          <w:sz w:val="22"/>
          <w:szCs w:val="22"/>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EdgeGuard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and Handy 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II handheld spreaders. In addition, we market outdoor cleaners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OxiClean</w:t>
      </w:r>
      <w:r>
        <w:rPr>
          <w:rFonts w:ascii="Arial" w:cs="Arial" w:eastAsia="Arial" w:hAnsi="Arial"/>
          <w:sz w:val="22"/>
          <w:szCs w:val="22"/>
          <w:color w:val="auto"/>
          <w:vertAlign w:val="superscript"/>
        </w:rPr>
        <w:t>TM3</w:t>
      </w:r>
      <w:r>
        <w:rPr>
          <w:rFonts w:ascii="Arial" w:cs="Arial" w:eastAsia="Arial" w:hAnsi="Arial"/>
          <w:sz w:val="16"/>
          <w:szCs w:val="16"/>
          <w:color w:val="auto"/>
        </w:rPr>
        <w:t xml:space="preserve"> brand name.</w:t>
      </w:r>
    </w:p>
    <w:p>
      <w:pPr>
        <w:spacing w:after="0" w:line="52"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w:t>
      </w:r>
      <w:r>
        <w:rPr>
          <w:rFonts w:ascii="Arial" w:cs="Arial" w:eastAsia="Arial" w:hAnsi="Arial"/>
          <w:sz w:val="16"/>
          <w:szCs w:val="16"/>
          <w:i w:val="1"/>
          <w:iCs w:val="1"/>
          <w:color w:val="auto"/>
        </w:rPr>
        <w:t xml:space="preserve"> </w:t>
      </w:r>
      <w:r>
        <w:rPr>
          <w:rFonts w:ascii="Arial" w:cs="Arial" w:eastAsia="Arial" w:hAnsi="Arial"/>
          <w:sz w:val="16"/>
          <w:szCs w:val="16"/>
          <w:color w:val="auto"/>
        </w:rPr>
        <w:t>and beautify landscaped areas. Products within this category include a complete line of water-soluble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sub-brands such as LiquaFeed</w:t>
      </w:r>
      <w:r>
        <w:rPr>
          <w:rFonts w:ascii="Arial" w:cs="Arial" w:eastAsia="Arial" w:hAnsi="Arial"/>
          <w:sz w:val="22"/>
          <w:szCs w:val="22"/>
          <w:color w:val="auto"/>
          <w:vertAlign w:val="superscript"/>
        </w:rPr>
        <w:t>®</w:t>
      </w:r>
      <w:r>
        <w:rPr>
          <w:rFonts w:ascii="Arial" w:cs="Arial" w:eastAsia="Arial" w:hAnsi="Arial"/>
          <w:sz w:val="16"/>
          <w:szCs w:val="16"/>
          <w:color w:val="auto"/>
        </w:rPr>
        <w:t>, continuous-release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and sub-brands of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such as Shake ‘N Feed</w:t>
      </w:r>
      <w:r>
        <w:rPr>
          <w:rFonts w:ascii="Arial" w:cs="Arial" w:eastAsia="Arial" w:hAnsi="Arial"/>
          <w:sz w:val="22"/>
          <w:szCs w:val="22"/>
          <w:color w:val="auto"/>
          <w:vertAlign w:val="superscript"/>
        </w:rPr>
        <w:t>®</w:t>
      </w:r>
      <w:r>
        <w:rPr>
          <w:rFonts w:ascii="Arial" w:cs="Arial" w:eastAsia="Arial" w:hAnsi="Arial"/>
          <w:sz w:val="16"/>
          <w:szCs w:val="16"/>
          <w:color w:val="auto"/>
        </w:rPr>
        <w:t>; potting mixes and garden soils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Hyponex</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SuperSoil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Fafard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mulch and decorative groundcover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including the sub-brands Nature Scapes</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Hyponex</w:t>
      </w:r>
      <w:r>
        <w:rPr>
          <w:rFonts w:ascii="Arial" w:cs="Arial" w:eastAsia="Arial" w:hAnsi="Arial"/>
          <w:sz w:val="22"/>
          <w:szCs w:val="22"/>
          <w:color w:val="auto"/>
          <w:vertAlign w:val="superscript"/>
        </w:rPr>
        <w:t>®</w:t>
      </w:r>
      <w:r>
        <w:rPr>
          <w:rFonts w:ascii="Arial" w:cs="Arial" w:eastAsia="Arial" w:hAnsi="Arial"/>
          <w:sz w:val="16"/>
          <w:szCs w:val="16"/>
          <w:color w:val="auto"/>
        </w:rPr>
        <w:t>; plant-related pest and disease control products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organic garden products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Organic Choice</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Whitney Farms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EcoScraps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live goods and seeding solutions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Gro-ables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In the second quarter of fiscal 2016, we entered into a Marketing, R&amp;D and Ancillary Services Agreement (the “Services Agreement”) and a Term Loan Agreement (the “Term Loan Agreement”) with Bonnie Plants, Inc. (“Bonnie”) and its sole shareholder, Alabama Farmers Cooperative, Inc. (“AFC”), pursuant to which we provide financing and certain services to Bonnie’s business of planting, growing, developing, manufacturing, distributing, marketing, and selling to retail stores throughout the United States live plants, plant food, fertilizer and potting soil (the “Bonnie Business”). See “Acquisitions”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OxiClean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registered trademark of Church &amp; Dwight Co., Inc.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3" w:name="page4"/>
    <w:bookmarkEnd w:id="3"/>
    <w:p>
      <w:pPr>
        <w:jc w:val="both"/>
        <w:ind w:firstLine="878"/>
        <w:spacing w:after="0" w:line="239" w:lineRule="auto"/>
        <w:rPr>
          <w:sz w:val="20"/>
          <w:szCs w:val="20"/>
          <w:color w:val="auto"/>
        </w:rPr>
      </w:pPr>
      <w:r>
        <w:rPr>
          <w:rFonts w:ascii="Arial" w:cs="Arial" w:eastAsia="Arial" w:hAnsi="Arial"/>
          <w:sz w:val="18"/>
          <w:szCs w:val="18"/>
          <w:i w:val="1"/>
          <w:iCs w:val="1"/>
          <w:color w:val="auto"/>
        </w:rPr>
        <w:t xml:space="preserve">Hydroponics: </w:t>
      </w:r>
      <w:r>
        <w:rPr>
          <w:rFonts w:ascii="Arial" w:cs="Arial" w:eastAsia="Arial" w:hAnsi="Arial"/>
          <w:sz w:val="18"/>
          <w:szCs w:val="18"/>
          <w:color w:val="auto"/>
        </w:rPr>
        <w:t>The hydroponic category is designed to help users grow plants, flowers and vegetables in an indoor or urban environment using</w:t>
      </w:r>
      <w:r>
        <w:rPr>
          <w:rFonts w:ascii="Arial" w:cs="Arial" w:eastAsia="Arial" w:hAnsi="Arial"/>
          <w:sz w:val="18"/>
          <w:szCs w:val="18"/>
          <w:i w:val="1"/>
          <w:iCs w:val="1"/>
          <w:color w:val="auto"/>
        </w:rPr>
        <w:t xml:space="preserve"> </w:t>
      </w:r>
      <w:r>
        <w:rPr>
          <w:rFonts w:ascii="Arial" w:cs="Arial" w:eastAsia="Arial" w:hAnsi="Arial"/>
          <w:sz w:val="18"/>
          <w:szCs w:val="18"/>
          <w:color w:val="auto"/>
        </w:rPr>
        <w:t>little or no soil. Products within this category include horticultural, organic, lighting and hydroponics products, including lighting fixtures, nutrients, seeds and growing media, systems, trays, fans, filters, humidifiers and dehumidifiers, timers, instruments, water pumps, irrigation supplies and hand tools, and are marketed under the General Hydroponics</w:t>
      </w:r>
      <w:r>
        <w:rPr>
          <w:rFonts w:ascii="Arial" w:cs="Arial" w:eastAsia="Arial" w:hAnsi="Arial"/>
          <w:sz w:val="25"/>
          <w:szCs w:val="25"/>
          <w:color w:val="auto"/>
          <w:vertAlign w:val="superscript"/>
        </w:rPr>
        <w:t>®</w:t>
      </w:r>
      <w:r>
        <w:rPr>
          <w:rFonts w:ascii="Arial" w:cs="Arial" w:eastAsia="Arial" w:hAnsi="Arial"/>
          <w:sz w:val="18"/>
          <w:szCs w:val="18"/>
          <w:color w:val="auto"/>
        </w:rPr>
        <w:t>, Gavita</w:t>
      </w:r>
      <w:r>
        <w:rPr>
          <w:rFonts w:ascii="Arial" w:cs="Arial" w:eastAsia="Arial" w:hAnsi="Arial"/>
          <w:sz w:val="25"/>
          <w:szCs w:val="25"/>
          <w:color w:val="auto"/>
          <w:vertAlign w:val="superscript"/>
        </w:rPr>
        <w:t>®</w:t>
      </w:r>
      <w:r>
        <w:rPr>
          <w:rFonts w:ascii="Arial" w:cs="Arial" w:eastAsia="Arial" w:hAnsi="Arial"/>
          <w:sz w:val="18"/>
          <w:szCs w:val="18"/>
          <w:color w:val="auto"/>
        </w:rPr>
        <w:t>, Botanicare</w:t>
      </w:r>
      <w:r>
        <w:rPr>
          <w:rFonts w:ascii="Arial" w:cs="Arial" w:eastAsia="Arial" w:hAnsi="Arial"/>
          <w:sz w:val="25"/>
          <w:szCs w:val="25"/>
          <w:color w:val="auto"/>
          <w:vertAlign w:val="superscript"/>
        </w:rPr>
        <w:t>®</w:t>
      </w:r>
      <w:r>
        <w:rPr>
          <w:rFonts w:ascii="Arial" w:cs="Arial" w:eastAsia="Arial" w:hAnsi="Arial"/>
          <w:sz w:val="18"/>
          <w:szCs w:val="18"/>
          <w:color w:val="auto"/>
        </w:rPr>
        <w:t>, Vermicrop</w:t>
      </w:r>
      <w:r>
        <w:rPr>
          <w:rFonts w:ascii="Arial" w:cs="Arial" w:eastAsia="Arial" w:hAnsi="Arial"/>
          <w:sz w:val="25"/>
          <w:szCs w:val="25"/>
          <w:color w:val="auto"/>
          <w:vertAlign w:val="superscript"/>
        </w:rPr>
        <w:t>®</w:t>
      </w:r>
      <w:r>
        <w:rPr>
          <w:rFonts w:ascii="Arial" w:cs="Arial" w:eastAsia="Arial" w:hAnsi="Arial"/>
          <w:sz w:val="18"/>
          <w:szCs w:val="18"/>
          <w:color w:val="auto"/>
        </w:rPr>
        <w:t>, Agrolux</w:t>
      </w:r>
      <w:r>
        <w:rPr>
          <w:rFonts w:ascii="Arial" w:cs="Arial" w:eastAsia="Arial" w:hAnsi="Arial"/>
          <w:sz w:val="25"/>
          <w:szCs w:val="25"/>
          <w:color w:val="auto"/>
          <w:vertAlign w:val="superscript"/>
        </w:rPr>
        <w:t>®</w:t>
      </w:r>
      <w:r>
        <w:rPr>
          <w:rFonts w:ascii="Arial" w:cs="Arial" w:eastAsia="Arial" w:hAnsi="Arial"/>
          <w:sz w:val="18"/>
          <w:szCs w:val="18"/>
          <w:color w:val="auto"/>
        </w:rPr>
        <w:t>, Can-Filters</w:t>
      </w:r>
      <w:r>
        <w:rPr>
          <w:rFonts w:ascii="Arial" w:cs="Arial" w:eastAsia="Arial" w:hAnsi="Arial"/>
          <w:sz w:val="25"/>
          <w:szCs w:val="25"/>
          <w:color w:val="auto"/>
          <w:vertAlign w:val="superscript"/>
        </w:rPr>
        <w:t>®</w:t>
      </w:r>
      <w:r>
        <w:rPr>
          <w:rFonts w:ascii="Arial" w:cs="Arial" w:eastAsia="Arial" w:hAnsi="Arial"/>
          <w:sz w:val="18"/>
          <w:szCs w:val="18"/>
          <w:color w:val="auto"/>
        </w:rPr>
        <w:t>, Sun System</w:t>
      </w:r>
      <w:r>
        <w:rPr>
          <w:rFonts w:ascii="Arial" w:cs="Arial" w:eastAsia="Arial" w:hAnsi="Arial"/>
          <w:sz w:val="25"/>
          <w:szCs w:val="25"/>
          <w:color w:val="auto"/>
          <w:vertAlign w:val="superscript"/>
        </w:rPr>
        <w:t>®</w:t>
      </w:r>
      <w:r>
        <w:rPr>
          <w:rFonts w:ascii="Arial" w:cs="Arial" w:eastAsia="Arial" w:hAnsi="Arial"/>
          <w:sz w:val="18"/>
          <w:szCs w:val="18"/>
          <w:color w:val="auto"/>
        </w:rPr>
        <w:t>, Gro Pro</w:t>
      </w:r>
      <w:r>
        <w:rPr>
          <w:rFonts w:ascii="Arial" w:cs="Arial" w:eastAsia="Arial" w:hAnsi="Arial"/>
          <w:sz w:val="25"/>
          <w:szCs w:val="25"/>
          <w:color w:val="auto"/>
          <w:vertAlign w:val="superscript"/>
        </w:rPr>
        <w:t>®</w:t>
      </w:r>
      <w:r>
        <w:rPr>
          <w:rFonts w:ascii="Arial" w:cs="Arial" w:eastAsia="Arial" w:hAnsi="Arial"/>
          <w:sz w:val="18"/>
          <w:szCs w:val="18"/>
          <w:color w:val="auto"/>
        </w:rPr>
        <w:t>, Mother Earth</w:t>
      </w:r>
      <w:r>
        <w:rPr>
          <w:rFonts w:ascii="Arial" w:cs="Arial" w:eastAsia="Arial" w:hAnsi="Arial"/>
          <w:sz w:val="25"/>
          <w:szCs w:val="25"/>
          <w:color w:val="auto"/>
          <w:vertAlign w:val="superscript"/>
        </w:rPr>
        <w:t>®</w:t>
      </w:r>
      <w:r>
        <w:rPr>
          <w:rFonts w:ascii="Arial" w:cs="Arial" w:eastAsia="Arial" w:hAnsi="Arial"/>
          <w:sz w:val="18"/>
          <w:szCs w:val="18"/>
          <w:color w:val="auto"/>
        </w:rPr>
        <w:t>, Hurricane</w:t>
      </w:r>
      <w:r>
        <w:rPr>
          <w:rFonts w:ascii="Arial" w:cs="Arial" w:eastAsia="Arial" w:hAnsi="Arial"/>
          <w:sz w:val="25"/>
          <w:szCs w:val="25"/>
          <w:color w:val="auto"/>
          <w:vertAlign w:val="superscript"/>
        </w:rPr>
        <w:t>®</w:t>
      </w:r>
      <w:r>
        <w:rPr>
          <w:rFonts w:ascii="Arial" w:cs="Arial" w:eastAsia="Arial" w:hAnsi="Arial"/>
          <w:sz w:val="18"/>
          <w:szCs w:val="18"/>
          <w:color w:val="auto"/>
        </w:rPr>
        <w:t>, Grower's Edge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AeroGarden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w:t>
      </w:r>
    </w:p>
    <w:p>
      <w:pPr>
        <w:spacing w:after="0" w:line="52" w:lineRule="exact"/>
        <w:rPr>
          <w:sz w:val="20"/>
          <w:szCs w:val="20"/>
          <w:color w:val="auto"/>
        </w:rPr>
      </w:pPr>
    </w:p>
    <w:p>
      <w:pPr>
        <w:jc w:val="both"/>
        <w:ind w:firstLine="878"/>
        <w:spacing w:after="0" w:line="211" w:lineRule="auto"/>
        <w:rPr>
          <w:sz w:val="20"/>
          <w:szCs w:val="20"/>
          <w:color w:val="auto"/>
        </w:rPr>
      </w:pPr>
      <w:r>
        <w:rPr>
          <w:rFonts w:ascii="Arial" w:cs="Arial" w:eastAsia="Arial" w:hAnsi="Arial"/>
          <w:sz w:val="18"/>
          <w:szCs w:val="18"/>
          <w:i w:val="1"/>
          <w:iCs w:val="1"/>
          <w:color w:val="auto"/>
        </w:rPr>
        <w:t xml:space="preserve">Controls: </w:t>
      </w:r>
      <w:r>
        <w:rPr>
          <w:rFonts w:ascii="Arial" w:cs="Arial" w:eastAsia="Arial" w:hAnsi="Arial"/>
          <w:sz w:val="18"/>
          <w:szCs w:val="18"/>
          <w:color w:val="auto"/>
        </w:rPr>
        <w:t>The controls category is designed to help consumers protect their homes from pests and maintain external home areas. Insect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marketed under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including Ortho Max</w:t>
      </w:r>
      <w:r>
        <w:rPr>
          <w:rFonts w:ascii="Arial" w:cs="Arial" w:eastAsia="Arial" w:hAnsi="Arial"/>
          <w:sz w:val="25"/>
          <w:szCs w:val="25"/>
          <w:color w:val="auto"/>
          <w:vertAlign w:val="superscript"/>
        </w:rPr>
        <w:t>®</w:t>
      </w:r>
      <w:r>
        <w:rPr>
          <w:rFonts w:ascii="Arial" w:cs="Arial" w:eastAsia="Arial" w:hAnsi="Arial"/>
          <w:sz w:val="18"/>
          <w:szCs w:val="18"/>
          <w:color w:val="auto"/>
        </w:rPr>
        <w:t>, Home Defense Max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Bug B Gon Max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sub-brands, and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through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Bug Destroyer; rodent control products are marketed under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selective weed control products are marketed under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Weed B Gon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sub-brands; and non-selective weed killer products are marketed under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Groundclear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w:t>
      </w:r>
    </w:p>
    <w:p>
      <w:pPr>
        <w:spacing w:after="0" w:line="50"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7"/>
          <w:szCs w:val="17"/>
          <w:i w:val="1"/>
          <w:iCs w:val="1"/>
          <w:color w:val="auto"/>
        </w:rPr>
        <w:t xml:space="preserve">Marketing Agreement: </w:t>
      </w:r>
      <w:r>
        <w:rPr>
          <w:rFonts w:ascii="Arial" w:cs="Arial" w:eastAsia="Arial" w:hAnsi="Arial"/>
          <w:sz w:val="17"/>
          <w:szCs w:val="17"/>
          <w:color w:val="auto"/>
        </w:rPr>
        <w:t>We are Monsanto’s exclusive marketing agent for Monsanto’s consumer Roundup</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non-selective weedkiller products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certain other specified countries. On May 15, 2015, we entered into an amendment (the “Marketing Agreement Amendment”) to the Amended and Restated Exclusive Agency and Marketing Agreement (as amended,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of the Company’s rights and responsibilities under the Original Marketing Agreement, as amended, and the Brand Extension Agreement relating to those countries and territories subject to the sale.</w:t>
      </w:r>
    </w:p>
    <w:p>
      <w:pPr>
        <w:spacing w:after="0" w:line="137" w:lineRule="exact"/>
        <w:rPr>
          <w:sz w:val="20"/>
          <w:szCs w:val="20"/>
          <w:color w:val="auto"/>
        </w:rPr>
      </w:pPr>
    </w:p>
    <w:p>
      <w:pPr>
        <w:jc w:val="both"/>
        <w:ind w:firstLine="878"/>
        <w:spacing w:after="0" w:line="232" w:lineRule="auto"/>
        <w:rPr>
          <w:sz w:val="20"/>
          <w:szCs w:val="20"/>
          <w:color w:val="auto"/>
        </w:rPr>
      </w:pPr>
      <w:r>
        <w:rPr>
          <w:rFonts w:ascii="Arial" w:cs="Arial" w:eastAsia="Arial" w:hAnsi="Arial"/>
          <w:sz w:val="17"/>
          <w:szCs w:val="17"/>
          <w:color w:val="auto"/>
        </w:rPr>
        <w:t>Under the terms of the Restated Marketing Agreement, we are jointly responsible with Monsanto for developing consumer and trade marketing programs for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in the countries where we serve as agent. We also provide sales, merchandising, warehousing and other selling and marketing support for these products. The Company performs other services, including manufacturing conversion services, pursuant to ancillary agreements. The Restated Brand Extension Agreement provides the Company an exclusive license in each country throughout the North American continent, South American continent, Israel and China to use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on additional products offered by the Company outside of the non-selective weedkiller category within the residential lawn and garden market. The application of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to these additional products is subject to a product review and approval process developed between the Company and Monsanto. For additional details regarding the Restated Marketing Agreement, the Restated Brand Extension Agreement and the Commercialization and Technology Agreement, see “ITEM 1A. RISK FACTORS — In the event the Restated Marketing Agreement for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terminates,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2018</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2, 2017, our Hawthorne segment acquired the remaining 25% noncontrolling interest in Gavita Holdings B.V., and its subsidiaries (collectively, “Gavita”), including Agrolux Holding B.V. (now known as Hawthorne Lighting B.V.), and its subsidiaries (collectively, “Agrolux”), for $69.2 million, plus payment of contingent consideration of $3.0 million.</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11, 2017, our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w:t>
      </w:r>
    </w:p>
    <w:p>
      <w:pPr>
        <w:spacing w:after="0" w:line="4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4, 2018, our Hawthorne segment acquired substantially all of the assets and certain liabilities of Sunlight Supply. Sunlight Supply, based in Vancouver, Washington, is a leading developer, manufacturer, marketer and distributer of horticultural, organics, lighting, and hydroponics products, and served as a non-exclusive distributor of our products prior to the transaction. The estimated purchase price of Sunlight Supply was $459.1 million.</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2017</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October 3, 2016, our Hawthorne segment completed the acquisition of American Agritech, L.L.C., d/b/a Botanicare (“Botanicare”), an Arizona-based leading producer of plant nutrients, plant supplements and growing systems used for hydroponic gardening, for $92.6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4" w:name="page5"/>
    <w:bookmarkEnd w:id="4"/>
    <w:p>
      <w:pPr>
        <w:jc w:val="both"/>
        <w:ind w:firstLine="432"/>
        <w:spacing w:after="0" w:line="257" w:lineRule="auto"/>
        <w:rPr>
          <w:sz w:val="20"/>
          <w:szCs w:val="20"/>
          <w:color w:val="auto"/>
        </w:rPr>
      </w:pPr>
      <w:r>
        <w:rPr>
          <w:rFonts w:ascii="Arial" w:cs="Arial" w:eastAsia="Arial" w:hAnsi="Arial"/>
          <w:sz w:val="18"/>
          <w:szCs w:val="18"/>
          <w:color w:val="auto"/>
        </w:rPr>
        <w:t>On November 29, 2016, our wholly-owned subsidiary SMG Growing Media, Inc. fully exercised its outstanding warrants to acquire additional shares of common stock of AeroGrow International, Inc. (“AeroGrow”) for $8.1 million, which increased our percentage ownership of AeroGrow’s outstanding shares of common stock (on a fully diluted basis) from 45% to 80%. AeroGrow is a developer, marketer, direct-seller, and wholesaler of advanced indoor garden systems designed for consumer use in gardening, and home and office décor markets. AeroGrow operates primarily in the United States and Canada, as well as select countries in Europe, Asia and Australia.</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2017, our U.S. Consumer segment also completed two acquisitions of companies whose products support our focus on the emerging areas of water positive landscapes and internet-enabled technology for an aggregate purchase price of $3.2 million.</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May 26, 2017, our majority-owned subsidiary Gavita completed the acquisition of Agrolux for $21.8 million. Agrolux, based in the Netherlands, is a worldwide supplier of horticultural lighting.</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third quarter of fiscal 2017, our Hawthorne segment also completed the acquisition of a company focused on the technology supporting hydroponic growing systems for an aggregate purchase price of $3.5 million.</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11, 2017, our Hawthorne segment completed the acquisition of substantially all of the assets of the exclusive manufacturer and formulator of branded Botanicare products for $32.0 million.</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fourth quarter of fiscal 2017, we also made a $29.4 million investment in an unconsolidated subsidiary whose products support the professional U.S. industrial, turf and ornamental market.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2016</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the second quarter of fiscal 2016, we entered into the Services Agreement and the Term Loan Agreement with Bonnie and AFC providing for our participation in the Bonnie Business. The Term Loan Agreement provides a loan from us to AFC, with Bonnie as guarantor, in the amount of $72.0 million with a fixed coupon rate of 6.95% (the “Term Loan”). Under the Services Agreement, we provide marketing, research and development and certain ancillary services to the Bonnie Business for a commission fee based on the profits of the Bonnie Business and the reimbursement of certain costs.</w:t>
      </w:r>
    </w:p>
    <w:p>
      <w:pPr>
        <w:spacing w:after="0" w:line="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26, 2016, our Hawthorne segment acquired majority control and a 75% economic interest in Gavita for $136.2 million. Gavita’s former ownership group initially retained a 25% noncontrolling interest in Gavita consisting of ownership of 5% of the outstanding shares of Gavita and a loan with interest payable based on distributions by Gavita. Gavita, which is based in the Netherlands, is a leading producer and marketer of indoor lighting used in the greenhouse and hydroponic markets, predominately in the United States and Europe.</w:t>
      </w:r>
    </w:p>
    <w:p>
      <w:pPr>
        <w:spacing w:after="0" w:line="5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the third quarter of fiscal 2016, our Other segment completed an acquisition to expand our Canadian growing media operations for an estimated purchase price of $33.9 million, which was adjusted down by $4.3 million during fiscal 2017 based on resolution of contingent consideration.</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2015</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30, 2015, our Hawthorne segment acquired the assets of General Hydroponics, Inc. (“General Hydroponics”) and Bio-Organic Solutions, Inc. (“Vermicrop”) for $120.0 million and $15.0 million, respectively. The Vermicrop purchase price was paid in common shares of Scotts Miracle-Gro (“Common Shares”) based on the average share price at the time of payment. General Hydroponics and Vermicrop are leading producers of liquid plant food products, growing media and accessories for hydroponic gardening.</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May 15, 2015, we amended our Original Marketing Agreement with Monsanto and entered into a lawn and garden brand extension agreement, and a commercialization and technology agreement with Monsanto gaining certain rights and protections pursuant to the agreements. We paid Monsanto $300.0 million in consideration for these agreements on August 14, 2015.</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2014</w:t>
      </w:r>
    </w:p>
    <w:p>
      <w:pPr>
        <w:spacing w:after="0" w:line="90" w:lineRule="exact"/>
        <w:rPr>
          <w:sz w:val="20"/>
          <w:szCs w:val="20"/>
          <w:color w:val="auto"/>
        </w:rPr>
      </w:pPr>
    </w:p>
    <w:p>
      <w:pPr>
        <w:jc w:val="both"/>
        <w:ind w:firstLine="432"/>
        <w:spacing w:after="0" w:line="197" w:lineRule="auto"/>
        <w:rPr>
          <w:sz w:val="20"/>
          <w:szCs w:val="20"/>
          <w:color w:val="auto"/>
        </w:rPr>
      </w:pPr>
      <w:r>
        <w:rPr>
          <w:rFonts w:ascii="Arial" w:cs="Arial" w:eastAsia="Arial" w:hAnsi="Arial"/>
          <w:sz w:val="18"/>
          <w:szCs w:val="18"/>
          <w:color w:val="auto"/>
        </w:rPr>
        <w:t>On October 14, 2013, our U.S. Consumer segment acquired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$60.0 million. The acquisition included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other intellectual property, as well as a long-term partnership to bring innovative technologies to the consumer rodent control market.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products are sold at home centers, mass retailers, and grocery, drug and general merchandise stores across the United States, Canada, Europe and Australia.</w:t>
      </w:r>
    </w:p>
    <w:p>
      <w:pPr>
        <w:spacing w:after="0" w:line="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30, 2014, our Other segment acquired Fafard &amp; Brothers Ltd. (“Fafard”) for $59.8 million. In continuous operation since 1940 and based in Saint-Bonaventure, Quebec, Canada, Fafard is a producer of peat moss and growing media products for consumer and professional markets including peat-based and bark-based mixes, composts and premium soils. Fafard serves customers primarily across Ontario, Quebec, New Brunswick and the eastern United States.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also completed several smaller acquisitions within our controls and growing media businesses over the past five years.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On April 29, 2017, we received the Offer from Exponent to purchase the International Business for approximately $250.0 million (subject to potential adjustment following closing in respect of the actual financial position at closing) and a deferred payment amount of up to $23.8 million. On July 5, 2017, we accepted the Offer and entered into the Agreement contemplated by the Offer. On August 31, 2017, we completed the sale of the International Business for cash proceeds of $150.6 million at closing, which was net of a closing statement adjustment for expected financial position at closing and net of seller financing provided by us of $29.7 million. This transaction included the sale of our consumer lawn and garden businesses located in Australia, Austria, Belgium, Luxembourg, Czech Republic, France, Germany, Poland and the United Kingdom. On August 31, 2017, in connection with, and as a condition to, the consummation of the sale of the International Business, we entered into the Restated Marketing Agreement and Restated Brand Extension Agreement with Monsanto reflecting our transfer and assignment, to the purchaser of the International Business, of the rights and responsibilities under the Original Marketing Agreement, as amended, and the Brand Extension Agreement relating to those countries and territories subject to the sale.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13, 2016, we contributed the SLS Business to the TruGreen Joint Venture in exchange for a minority equity interest of approximately 30% in the TruGreen Joint Venture, which had an initial fair value of $294.0 million, and received a tax-deferred cash distribution of $196.2 million, partially offset by an investment of $18.0 million in second lien term loan financing provided by us to the TruGreen Joint Venture. During the fourth quarter of fiscal 2017, we received an $87.1 million distribution from the TruGreen Joint Venture.</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second quarter of fiscal 2014, we completed the sale of our wild bird food business in the United States and Canada for $4.1 million in cash and $1.0 million in earn-out payments.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classified our results of operations for all periods presented in this Annual Report on Form 10-K to reflect these businesses as discontinued operations during the applicable periods. See “NOTE 2. DISCONTINUED OPERATIONS” of the Notes to Consolidated Financial Statements included in this Annual Report on Form 10-K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sell our products primarily to home centers, mass merchandisers, warehouse clubs, large hardware chains, independent hardware stores, nurseries, garden centers, e-commerce platforms, food and drug stores, indoor gardening and hydroponic product distributors and retailers through both a direct sales force and our network of brokers and distributors. In addition, during fiscal 2018, we employed approximately 2,500 full-time and seasonal in-store associates within the United States to help our retail partners merchandise their lawn and garden departments directly to consumers of our products.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our shipments to customers are made via common carriers or through distributors in the United States. We primarily utilize third parties to manage the key distribution centers for our consumer business in North America, which are strategically located across the United States and Canada. Growing media products are generally shipped direct-to-store without passing through a distribution center.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purchase raw materials for our products from various sources. We are subject to market risk as a result of the fluctuating prices of raw materials such as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resin and urea, to improve cost predictability and control. Sufficient raw materials were available during fiscal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8"/>
          <w:szCs w:val="18"/>
          <w:color w:val="auto"/>
        </w:rPr>
        <w:t>We consider our trademarks, patents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25"/>
          <w:szCs w:val="25"/>
          <w:color w:val="auto"/>
          <w:vertAlign w:val="superscript"/>
        </w:rPr>
        <w:t>®</w:t>
      </w:r>
      <w:r>
        <w:rPr>
          <w:rFonts w:ascii="Arial" w:cs="Arial" w:eastAsia="Arial" w:hAnsi="Arial"/>
          <w:sz w:val="18"/>
          <w:szCs w:val="18"/>
          <w:color w:val="auto"/>
        </w:rPr>
        <w:t>, Miracle-Gro</w:t>
      </w:r>
      <w:r>
        <w:rPr>
          <w:rFonts w:ascii="Arial" w:cs="Arial" w:eastAsia="Arial" w:hAnsi="Arial"/>
          <w:sz w:val="25"/>
          <w:szCs w:val="25"/>
          <w:color w:val="auto"/>
          <w:vertAlign w:val="superscript"/>
        </w:rPr>
        <w:t>®</w:t>
      </w:r>
      <w:r>
        <w:rPr>
          <w:rFonts w:ascii="Arial" w:cs="Arial" w:eastAsia="Arial" w:hAnsi="Arial"/>
          <w:sz w:val="18"/>
          <w:szCs w:val="18"/>
          <w:color w:val="auto"/>
        </w:rPr>
        <w:t>, Ortho</w:t>
      </w:r>
      <w:r>
        <w:rPr>
          <w:rFonts w:ascii="Arial" w:cs="Arial" w:eastAsia="Arial" w:hAnsi="Arial"/>
          <w:sz w:val="25"/>
          <w:szCs w:val="25"/>
          <w:color w:val="auto"/>
          <w:vertAlign w:val="superscript"/>
        </w:rPr>
        <w:t>®</w:t>
      </w:r>
      <w:r>
        <w:rPr>
          <w:rFonts w:ascii="Arial" w:cs="Arial" w:eastAsia="Arial" w:hAnsi="Arial"/>
          <w:sz w:val="18"/>
          <w:szCs w:val="18"/>
          <w:color w:val="auto"/>
        </w:rPr>
        <w:t>, Tomcat</w:t>
      </w:r>
      <w:r>
        <w:rPr>
          <w:rFonts w:ascii="Arial" w:cs="Arial" w:eastAsia="Arial" w:hAnsi="Arial"/>
          <w:sz w:val="25"/>
          <w:szCs w:val="25"/>
          <w:color w:val="auto"/>
          <w:vertAlign w:val="superscript"/>
        </w:rPr>
        <w:t>®</w:t>
      </w:r>
      <w:r>
        <w:rPr>
          <w:rFonts w:ascii="Arial" w:cs="Arial" w:eastAsia="Arial" w:hAnsi="Arial"/>
          <w:sz w:val="18"/>
          <w:szCs w:val="18"/>
          <w:color w:val="auto"/>
        </w:rPr>
        <w:t>, Hyponex</w:t>
      </w:r>
      <w:r>
        <w:rPr>
          <w:rFonts w:ascii="Arial" w:cs="Arial" w:eastAsia="Arial" w:hAnsi="Arial"/>
          <w:sz w:val="25"/>
          <w:szCs w:val="25"/>
          <w:color w:val="auto"/>
          <w:vertAlign w:val="superscript"/>
        </w:rPr>
        <w:t>®</w:t>
      </w:r>
      <w:r>
        <w:rPr>
          <w:rFonts w:ascii="Arial" w:cs="Arial" w:eastAsia="Arial" w:hAnsi="Arial"/>
          <w:sz w:val="18"/>
          <w:szCs w:val="18"/>
          <w:color w:val="auto"/>
        </w:rPr>
        <w:t>, Earthgro</w:t>
      </w:r>
      <w:r>
        <w:rPr>
          <w:rFonts w:ascii="Arial" w:cs="Arial" w:eastAsia="Arial" w:hAnsi="Arial"/>
          <w:sz w:val="25"/>
          <w:szCs w:val="25"/>
          <w:color w:val="auto"/>
          <w:vertAlign w:val="superscript"/>
        </w:rPr>
        <w:t>®</w:t>
      </w:r>
      <w:r>
        <w:rPr>
          <w:rFonts w:ascii="Arial" w:cs="Arial" w:eastAsia="Arial" w:hAnsi="Arial"/>
          <w:sz w:val="18"/>
          <w:szCs w:val="18"/>
          <w:color w:val="auto"/>
        </w:rPr>
        <w:t>, General Hydroponics</w:t>
      </w:r>
      <w:r>
        <w:rPr>
          <w:rFonts w:ascii="Arial" w:cs="Arial" w:eastAsia="Arial" w:hAnsi="Arial"/>
          <w:sz w:val="25"/>
          <w:szCs w:val="25"/>
          <w:color w:val="auto"/>
          <w:vertAlign w:val="superscript"/>
        </w:rPr>
        <w:t>®</w:t>
      </w:r>
      <w:r>
        <w:rPr>
          <w:rFonts w:ascii="Arial" w:cs="Arial" w:eastAsia="Arial" w:hAnsi="Arial"/>
          <w:sz w:val="18"/>
          <w:szCs w:val="18"/>
          <w:color w:val="auto"/>
        </w:rPr>
        <w:t>, Vermicrop</w:t>
      </w:r>
      <w:r>
        <w:rPr>
          <w:rFonts w:ascii="Arial" w:cs="Arial" w:eastAsia="Arial" w:hAnsi="Arial"/>
          <w:sz w:val="25"/>
          <w:szCs w:val="25"/>
          <w:color w:val="auto"/>
          <w:vertAlign w:val="superscript"/>
        </w:rPr>
        <w:t>®</w:t>
      </w:r>
      <w:r>
        <w:rPr>
          <w:rFonts w:ascii="Arial" w:cs="Arial" w:eastAsia="Arial" w:hAnsi="Arial"/>
          <w:sz w:val="18"/>
          <w:szCs w:val="18"/>
          <w:color w:val="auto"/>
        </w:rPr>
        <w:t>, Gavita</w:t>
      </w:r>
      <w:r>
        <w:rPr>
          <w:rFonts w:ascii="Arial" w:cs="Arial" w:eastAsia="Arial" w:hAnsi="Arial"/>
          <w:sz w:val="25"/>
          <w:szCs w:val="25"/>
          <w:color w:val="auto"/>
          <w:vertAlign w:val="superscript"/>
        </w:rPr>
        <w:t>®</w:t>
      </w:r>
      <w:r>
        <w:rPr>
          <w:rFonts w:ascii="Arial" w:cs="Arial" w:eastAsia="Arial" w:hAnsi="Arial"/>
          <w:sz w:val="18"/>
          <w:szCs w:val="18"/>
          <w:color w:val="auto"/>
        </w:rPr>
        <w:t>, Botanicare</w:t>
      </w:r>
      <w:r>
        <w:rPr>
          <w:rFonts w:ascii="Arial" w:cs="Arial" w:eastAsia="Arial" w:hAnsi="Arial"/>
          <w:sz w:val="25"/>
          <w:szCs w:val="25"/>
          <w:color w:val="auto"/>
          <w:vertAlign w:val="superscript"/>
        </w:rPr>
        <w:t>®</w:t>
      </w:r>
      <w:r>
        <w:rPr>
          <w:rFonts w:ascii="Arial" w:cs="Arial" w:eastAsia="Arial" w:hAnsi="Arial"/>
          <w:sz w:val="18"/>
          <w:szCs w:val="18"/>
          <w:color w:val="auto"/>
        </w:rPr>
        <w:t>, Agrolux</w:t>
      </w:r>
      <w:r>
        <w:rPr>
          <w:rFonts w:ascii="Arial" w:cs="Arial" w:eastAsia="Arial" w:hAnsi="Arial"/>
          <w:sz w:val="25"/>
          <w:szCs w:val="25"/>
          <w:color w:val="auto"/>
          <w:vertAlign w:val="superscript"/>
        </w:rPr>
        <w:t>®</w:t>
      </w:r>
      <w:r>
        <w:rPr>
          <w:rFonts w:ascii="Arial" w:cs="Arial" w:eastAsia="Arial" w:hAnsi="Arial"/>
          <w:sz w:val="18"/>
          <w:szCs w:val="18"/>
          <w:color w:val="auto"/>
        </w:rPr>
        <w:t>, Sun System</w:t>
      </w:r>
      <w:r>
        <w:rPr>
          <w:rFonts w:ascii="Arial" w:cs="Arial" w:eastAsia="Arial" w:hAnsi="Arial"/>
          <w:sz w:val="25"/>
          <w:szCs w:val="25"/>
          <w:color w:val="auto"/>
          <w:vertAlign w:val="superscript"/>
        </w:rPr>
        <w:t>®</w:t>
      </w:r>
      <w:r>
        <w:rPr>
          <w:rFonts w:ascii="Arial" w:cs="Arial" w:eastAsia="Arial" w:hAnsi="Arial"/>
          <w:sz w:val="18"/>
          <w:szCs w:val="18"/>
          <w:color w:val="auto"/>
        </w:rPr>
        <w:t>, Mother Earth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Can-Filters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25"/>
          <w:szCs w:val="25"/>
          <w:color w:val="auto"/>
          <w:vertAlign w:val="superscript"/>
        </w:rPr>
        <w:t>®</w:t>
      </w:r>
      <w:r>
        <w:rPr>
          <w:rFonts w:ascii="Arial" w:cs="Arial" w:eastAsia="Arial" w:hAnsi="Arial"/>
          <w:sz w:val="18"/>
          <w:szCs w:val="18"/>
          <w:color w:val="auto"/>
        </w:rPr>
        <w:t>, EZ Seed</w:t>
      </w:r>
      <w:r>
        <w:rPr>
          <w:rFonts w:ascii="Arial" w:cs="Arial" w:eastAsia="Arial" w:hAnsi="Arial"/>
          <w:sz w:val="25"/>
          <w:szCs w:val="25"/>
          <w:color w:val="auto"/>
          <w:vertAlign w:val="superscript"/>
        </w:rPr>
        <w:t>®</w:t>
      </w:r>
      <w:r>
        <w:rPr>
          <w:rFonts w:ascii="Arial" w:cs="Arial" w:eastAsia="Arial" w:hAnsi="Arial"/>
          <w:sz w:val="18"/>
          <w:szCs w:val="18"/>
          <w:color w:val="auto"/>
        </w:rPr>
        <w:t>, Organic Choice</w:t>
      </w:r>
      <w:r>
        <w:rPr>
          <w:rFonts w:ascii="Arial" w:cs="Arial" w:eastAsia="Arial" w:hAnsi="Arial"/>
          <w:sz w:val="25"/>
          <w:szCs w:val="25"/>
          <w:color w:val="auto"/>
          <w:vertAlign w:val="superscript"/>
        </w:rPr>
        <w:t>®</w:t>
      </w:r>
      <w:r>
        <w:rPr>
          <w:rFonts w:ascii="Arial" w:cs="Arial" w:eastAsia="Arial" w:hAnsi="Arial"/>
          <w:sz w:val="18"/>
          <w:szCs w:val="18"/>
          <w:color w:val="auto"/>
        </w:rPr>
        <w:t>, Nature’s Care</w:t>
      </w:r>
      <w:r>
        <w:rPr>
          <w:rFonts w:ascii="Arial" w:cs="Arial" w:eastAsia="Arial" w:hAnsi="Arial"/>
          <w:sz w:val="25"/>
          <w:szCs w:val="25"/>
          <w:color w:val="auto"/>
          <w:vertAlign w:val="superscript"/>
        </w:rPr>
        <w:t>®</w:t>
      </w:r>
      <w:r>
        <w:rPr>
          <w:rFonts w:ascii="Arial" w:cs="Arial" w:eastAsia="Arial" w:hAnsi="Arial"/>
          <w:sz w:val="18"/>
          <w:szCs w:val="18"/>
          <w:color w:val="auto"/>
        </w:rPr>
        <w:t>, Home Defense Max</w:t>
      </w:r>
      <w:r>
        <w:rPr>
          <w:rFonts w:ascii="Arial" w:cs="Arial" w:eastAsia="Arial" w:hAnsi="Arial"/>
          <w:sz w:val="25"/>
          <w:szCs w:val="25"/>
          <w:color w:val="auto"/>
          <w:vertAlign w:val="superscript"/>
        </w:rPr>
        <w:t>®</w:t>
      </w:r>
      <w:r>
        <w:rPr>
          <w:rFonts w:ascii="Arial" w:cs="Arial" w:eastAsia="Arial" w:hAnsi="Arial"/>
          <w:sz w:val="18"/>
          <w:szCs w:val="18"/>
          <w:color w:val="auto"/>
        </w:rPr>
        <w:t>, Nature Scapes</w:t>
      </w:r>
      <w:r>
        <w:rPr>
          <w:rFonts w:ascii="Arial" w:cs="Arial" w:eastAsia="Arial" w:hAnsi="Arial"/>
          <w:sz w:val="25"/>
          <w:szCs w:val="25"/>
          <w:color w:val="auto"/>
          <w:vertAlign w:val="superscript"/>
        </w:rPr>
        <w:t>®</w:t>
      </w:r>
      <w:r>
        <w:rPr>
          <w:rFonts w:ascii="Arial" w:cs="Arial" w:eastAsia="Arial" w:hAnsi="Arial"/>
          <w:sz w:val="18"/>
          <w:szCs w:val="18"/>
          <w:color w:val="auto"/>
        </w:rPr>
        <w:t>, Weed B Gon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are registered in the United States and/or internationally and are considered material to our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67" w:right="239" w:bottom="1440" w:gutter="0" w:footer="0" w:header="0"/>
        </w:sectPr>
      </w:pPr>
    </w:p>
    <w:bookmarkStart w:id="6" w:name="page7"/>
    <w:bookmarkEnd w:id="6"/>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an extensive portfolio of utility and design patents covering subject matters such as fertilizer, weed killer,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more than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sell our products primarily to home centers, mass merchandisers, warehouse clubs, large hardware chains, independent hardware stores, nurseries, garden centers, e-commerce platforms, food and drug stores, indoor gardening and hydroponic product distributors and retailers through both a direct sales force and our network of brokers and distributors.</w:t>
      </w:r>
    </w:p>
    <w:p>
      <w:pPr>
        <w:spacing w:after="0" w:line="4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three largest customers are Home Depot, Lowe’s and Walmart, which are reported within the U.S. Consumer segment and are the only customers that, during any of the periods in question, individually represent more than 10% of reported consolidated net sales. For additional 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20. CONCENTRATIONS OF CREDIT RISK” of the Notes to Consolidated Financial Statements included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markets in which we sell our products are highly competitive. We compete primarily on the basis of product innovation, product quality, product performance, value, brand strength, supply chain competency, field sales support, in-store sales support, the strength of our relationships with major retailers, distributors and advertising.</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lawn and garden, pest control and indoor gardening and hydroponic markets, our products compete against private-label as well as branded products. Primary competitors include Spectrum Brands Holdings, Inc., Central Garden &amp; Pet Company, Enforcer Products, Inc., Kellogg Garden Products, Oldcastle Retail, Inc., Lebanon Seaboard Corporation, Reckitt Benckiser Group plc, FoxFarm Soil &amp; Fertilizer Company, Nanolux Technology, Inc., Sun Gro Horticulture, Inc., Advanced Nutrients, Ltd. and Hydrofarm, LLC. In addition, we face competition from smaller regional competitors who operate in many of the areas where we compete.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Canada, we face competition in the lawn and garden market from Premier Tech Ltd. and a variety of local companies including private label brands.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$42.5 million, $39.9 million and $36.0 million in fiscal 2018, fiscal 2017 and fiscal 2016, respectively, including product registration costs of $11.4 million, $10.6 million and $10.6 million, respectively. In addition to the benefits of our own research and development, we actively seek ways to leverage the research and development activities of our suppliers and other business partners.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Local, state, federal and foreign laws and regulations affect the manufacture, sale, distribution and application of our products in several ways. For example, in the United States, all products containing pesticides must comply with the Federal Insecticide, Fungicide, and Rodenticide Act of 1947, as amended (“FIFRA”), and most require registration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2018, $4.4 million was accrued for such environmental matters. During fiscal 2018, fiscal 2017 and fiscal 2016, we expensed $1.6 million, $1.1 million and $0.3 million, respectively, for such environmental matters. We had no material capital expenditures during the last three fiscal years related to environmental or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2018, we employed approximately 5,150 employees. During peak sales and production periods, we employed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5,750 employees, including seasonal and temporary labor.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22.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The SEC maintains a website that contains electronic filings by Scotts Miracle-Gro and other issuers at www.sec.gov. In addition, the public may read and copy any materials Scotts Miracle-Gro files with the SEC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94"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2018 Annual Report to Shareholders (our “2018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2018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2018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In the United States, all products containing pesticides must comply with FIFRA and most must be registered with the U.S. EPA and 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the use of certain pesticide and fertilizer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even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05" w:lineRule="exact"/>
        <w:rPr>
          <w:sz w:val="20"/>
          <w:szCs w:val="20"/>
          <w:color w:val="auto"/>
        </w:rPr>
      </w:pPr>
    </w:p>
    <w:p>
      <w:pPr>
        <w:ind w:right="520" w:firstLine="216"/>
        <w:spacing w:after="0" w:line="277" w:lineRule="auto"/>
        <w:rPr>
          <w:sz w:val="20"/>
          <w:szCs w:val="20"/>
          <w:color w:val="auto"/>
        </w:rPr>
      </w:pPr>
      <w:r>
        <w:rPr>
          <w:rFonts w:ascii="Arial" w:cs="Arial" w:eastAsia="Arial" w:hAnsi="Arial"/>
          <w:sz w:val="18"/>
          <w:szCs w:val="18"/>
          <w:b w:val="1"/>
          <w:bCs w:val="1"/>
          <w:i w:val="1"/>
          <w:iCs w:val="1"/>
          <w:color w:val="auto"/>
        </w:rPr>
        <w:t>Damage to our reputation or the reputation of our products or products we market on behalf of third parties could have an adverse effect on our business.</w:t>
      </w:r>
    </w:p>
    <w:p>
      <w:pPr>
        <w:spacing w:after="0" w:line="35"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Maintaining our strong reputation and a strong reputation of our products and products we market on behalf of third parties with both consumers and our retail customers is a key component in our success. Product recalls, our inability to ship, sell or transport affected products, governmental actions, investigations or other legal proceedings, and adverse media commentary may harm our reputation and hinder the acceptance by consumers of our products or products we market on behalf of third parties (including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addition to effects on consumer behavior, retailers could decide to stop carrying those products which may materially and adversely affect our business operations, reduce sales and increase costs.</w:t>
      </w:r>
    </w:p>
    <w:p>
      <w:pPr>
        <w:spacing w:after="0" w:line="72"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7"/>
          <w:szCs w:val="17"/>
          <w:color w:val="auto"/>
        </w:rPr>
        <w:t>In addition, notwithstanding the weight of scientific evidence supporting the safety of these products, claims or allegations that our products or products we market on behalf of third parties are not safe could adversely affect us and contribute to the risk we will be subjected to legal action. We manufacture a variety of products, such as fertilizers, growing media, pesticides, and herbicides, and also serve as marketer for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On occasion, allegations are made that some of these products have failed to perform up to expectations, are inappropriately labeled, contain insufficient instructions or have caused damage or injury to individuals or property. Public commentary by media agencies or non-governmental organizations and/or litigation-related assertions, even when such commentary or assertions may be inaccurate, may lead consumers or our retail customers to believe that certain of our products or products we market on behalf of third parties may be unsafe. For example, notwithstanding the weight of scientific evidence and regulatory determinations supporting the safety of glyphosate, recent litigation involving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glyphosate-containing weedkiller products has led to negative publicity and consumer sentiment with respect to these products and Monsanto’s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may lead to similar effects with respect to certain of our other glyphosate-containing products. As another example, based on reports of contamination at a third-party supplier’s vermiculite mine, the public may perceive that some of our products manufactured in the past using vermiculite are or may be contaminated in a way that makes them unsafe.</w:t>
      </w:r>
    </w:p>
    <w:p>
      <w:pPr>
        <w:spacing w:after="0" w:line="1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Even when inaccurate or not supported by the scientific evidence, claims and allegations that our products or products we market on behalf of third parties are not safe could impair our reputation, the reputation of our products or the reputation of products we market on behalf of third parties, involve us in litigation, damage our brand names and have a material adverse effect on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0" w:name="page11"/>
    <w:bookmarkEnd w:id="10"/>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127"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33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34" w:lineRule="exact"/>
        <w:rPr>
          <w:sz w:val="20"/>
          <w:szCs w:val="20"/>
          <w:color w:val="auto"/>
        </w:rPr>
      </w:pPr>
    </w:p>
    <w:p>
      <w:pPr>
        <w:jc w:val="both"/>
        <w:ind w:firstLine="458"/>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17"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future success depends on creating and successfully competing in markets for our products including our ability to improve our existing product lines and products and to develop, manufacture and market new product lines and products to meet evolving consumer needs, as well as our ability to leverage new media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ongoing investment in new product lines and products and technologies is inherently risky and could disrupt our ongoing businesses.</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sell certain of our products over the Internet through our online store, which represents a small but growing percentage of our overall net sales concentrated mostly in our Hawthorne segment.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8"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21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top three retail customers together accounted for 61% of our fiscal 2018 net sales and 57% of our outstanding accounts receivable as of September 30, 2018. The loss of, or reduction in orders from, our top three retail customers, Home Depot, Lowe’s, and Walmart,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35" w:right="239" w:bottom="1440" w:gutter="0" w:footer="0" w:header="0"/>
        </w:sectPr>
      </w:pPr>
    </w:p>
    <w:bookmarkStart w:id="13" w:name="page14"/>
    <w:bookmarkEnd w:id="13"/>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we had $2.0 billion of debt and $985.5 million was available to be borrowed under our credit agreement. Our inability to meet restrictive financial and non-financial covenants associated with that debt, or to generate sufficient cash flow to repay maturing debt, could adversely affect our financial condition.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example, our debt level could:</w:t>
      </w:r>
    </w:p>
    <w:p>
      <w:pPr>
        <w:spacing w:after="0" w:line="63"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103"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103" w:lineRule="exact"/>
        <w:rPr>
          <w:rFonts w:ascii="Arial" w:cs="Arial" w:eastAsia="Arial" w:hAnsi="Arial"/>
          <w:sz w:val="18"/>
          <w:szCs w:val="18"/>
          <w:color w:val="auto"/>
        </w:rPr>
      </w:pPr>
    </w:p>
    <w:p>
      <w:pPr>
        <w:jc w:val="both"/>
        <w:ind w:left="1140" w:hanging="646"/>
        <w:spacing w:after="0" w:line="36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03" w:lineRule="exact"/>
        <w:rPr>
          <w:rFonts w:ascii="Arial" w:cs="Arial" w:eastAsia="Arial" w:hAnsi="Arial"/>
          <w:sz w:val="18"/>
          <w:szCs w:val="18"/>
          <w:color w:val="auto"/>
        </w:rPr>
      </w:pPr>
    </w:p>
    <w:p>
      <w:pPr>
        <w:ind w:left="1140" w:hanging="646"/>
        <w:spacing w:after="0" w:line="36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addition, our credit facility and the indentures governing our 6.000% Senior Notes due 2023 (the “6.000% Senior Notes”) and our 5.250% Senior Notes due 2026 (the “5.250% Senior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98" w:right="239" w:bottom="1440" w:gutter="0" w:footer="0" w:header="0"/>
        </w:sectPr>
      </w:pPr>
    </w:p>
    <w:bookmarkStart w:id="14" w:name="page15"/>
    <w:bookmarkEnd w:id="14"/>
    <w:p>
      <w:pPr>
        <w:jc w:val="both"/>
        <w:ind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6.000% Senior Notes and the 5.250% Senior Notes, we may incur additional debt in the future. If we incur additional debt, the risks described above could intensify.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and macroeconomic factors beyond our control, such as deteriorating conditions in the world economy or in the industries served by the borrowers.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21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6.000% Senior Notes and 5.250% Senior Notes.</w:t>
      </w:r>
    </w:p>
    <w:p>
      <w:pPr>
        <w:spacing w:after="0" w:line="3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NRSROs rate the 6.000% Senior Notes, the 5.250%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6.000% Senior Notes or the 5.250% Senior Notes or placing us on a watch list for possible future downgrading could increase our cost of financing, limit our access to the capital markets and have an adverse effect on the market price of the 6.000% Senior Notes and the 5.250% Senior Notes.</w:t>
      </w:r>
    </w:p>
    <w:p>
      <w:pPr>
        <w:spacing w:after="0" w:line="18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operate manufacturing, sales and service facilities outside of the United States, particularly in Canada, Mexico, China, Norway and The Netherlands. Accordingly, we are subject to risks associated with operating in foreign countries, including:</w:t>
      </w:r>
    </w:p>
    <w:p>
      <w:pPr>
        <w:spacing w:after="0" w:line="116"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17" w:right="239" w:bottom="1440" w:gutter="0" w:footer="0" w:header="0"/>
        </w:sectPr>
      </w:pPr>
    </w:p>
    <w:bookmarkStart w:id="15" w:name="page16"/>
    <w:bookmarkEnd w:id="15"/>
    <w:p>
      <w:pPr>
        <w:jc w:val="both"/>
        <w:ind w:firstLine="432"/>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9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1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17"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could subject us to damages or prevent us from providing certain products or services, or using certain of our recognized brand names, which could have a material adverse effect on our business, financial condition and results of operations.</w:t>
      </w:r>
    </w:p>
    <w:p>
      <w:pPr>
        <w:spacing w:after="0" w:line="197" w:lineRule="exact"/>
        <w:rPr>
          <w:sz w:val="20"/>
          <w:szCs w:val="20"/>
          <w:color w:val="auto"/>
        </w:rPr>
      </w:pPr>
    </w:p>
    <w:p>
      <w:pPr>
        <w:jc w:val="both"/>
        <w:ind w:firstLine="243"/>
        <w:spacing w:after="0" w:line="194" w:lineRule="auto"/>
        <w:rPr>
          <w:sz w:val="20"/>
          <w:szCs w:val="20"/>
          <w:color w:val="auto"/>
        </w:rPr>
      </w:pPr>
      <w:r>
        <w:rPr>
          <w:rFonts w:ascii="Arial" w:cs="Arial" w:eastAsia="Arial" w:hAnsi="Arial"/>
          <w:sz w:val="17"/>
          <w:szCs w:val="17"/>
          <w:b w:val="1"/>
          <w:bCs w:val="1"/>
          <w:i w:val="1"/>
          <w:iCs w:val="1"/>
          <w:color w:val="auto"/>
        </w:rPr>
        <w:t>In the event the Restated Marketing Agreement for Monsanto’s consumer Roundup</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products terminates or Monsanto’s consumer Roundup</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business materially declines, we would lose a substantial source of future earnings and overhead expense absorption.</w:t>
      </w:r>
    </w:p>
    <w:p>
      <w:pPr>
        <w:spacing w:after="0" w:line="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color w:val="auto"/>
        </w:rPr>
        <w:t>If we (i) become insolvent, (ii) commit a material breach, material fraud or material misconduct under the Restated Marketing Agreement, (iii) experience a change of control of the Company (subject to certain exceptions), or (iv) impermissibly assign our rights or delegate our obligations under the Restated Marketing Agreement, Monsanto may terminate the Restated Marketing Agreement without paying a termination fee to the Company, subject to certain terms and conditions as set forth in the applicable agreements. Monsanto may also terminate the Restated Marketing Agreement in the event of a change of control of Monsanto or a sale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effective at the end of the fifth full year after providing notice of termination, subject to certain terms and conditions as set forth in the applicable agreements, but Monsanto would have to pay a termination fee to the Company.</w:t>
      </w:r>
    </w:p>
    <w:p>
      <w:pPr>
        <w:spacing w:after="0" w:line="3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7"/>
          <w:szCs w:val="17"/>
          <w:color w:val="auto"/>
        </w:rPr>
        <w:t>If circumstances exist or otherwise develop that result in a material decline in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we would seek to mitigate the impact of such decline on us by exercising various rights and remedies under the Restated Marketing Agreement and applicable law; we cannot, however, provide any assurance that our exercise of such rights or remedies would produce the desired outcomes or that a material decline in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would not have a material adverse effect on our business, financial condition or results of operations.</w:t>
      </w:r>
    </w:p>
    <w:p>
      <w:pPr>
        <w:spacing w:after="0" w:line="1"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7"/>
          <w:szCs w:val="17"/>
          <w:color w:val="auto"/>
        </w:rPr>
        <w:t>In the event that the Restated Marketing Agreement terminates or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materially declines, we would lose all, or a substantial portion, of the significant source of earnings and overhead expense absorption the Restated Marketing Agreement provides.</w:t>
      </w:r>
    </w:p>
    <w:p>
      <w:pPr>
        <w:spacing w:after="0" w:line="6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For additional information regarding the Restated Marketing Agreement including certain of our rights and remedies under the Restated Marketing Agreement, see “NOTE 6. MARKETING AGREEMENT” of the Notes to Consolidated Financial Statements included in this Annual Report on Form 10-K.</w:t>
      </w:r>
    </w:p>
    <w:p>
      <w:pPr>
        <w:spacing w:after="0" w:line="15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27%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Hagedorn Partnership, L.P. beneficially owned approximately 27% of our outstanding Common Shares on a fully diluted basis as of November 23, 2018.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2018, we increased the amount of our quarterly cash dividend by 4% to $0.55 per Common Share. The total remaining share repurchase authorization as of September 30, 2018 is $285.4 million.</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17" w:right="239" w:bottom="1440" w:gutter="0" w:footer="0" w:header="0"/>
        </w:sectPr>
      </w:pPr>
    </w:p>
    <w:bookmarkStart w:id="17" w:name="page18"/>
    <w:bookmarkEnd w:id="17"/>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170" w:lineRule="exact"/>
        <w:rPr>
          <w:rFonts w:ascii="Arial" w:cs="Arial" w:eastAsia="Arial" w:hAnsi="Arial"/>
          <w:sz w:val="18"/>
          <w:szCs w:val="18"/>
          <w:color w:val="auto"/>
        </w:rPr>
      </w:pPr>
    </w:p>
    <w:p>
      <w:pPr>
        <w:jc w:val="both"/>
        <w:ind w:left="820" w:right="20" w:hanging="407"/>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81"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70" w:lineRule="exact"/>
        <w:rPr>
          <w:rFonts w:ascii="Arial" w:cs="Arial" w:eastAsia="Arial" w:hAnsi="Arial"/>
          <w:sz w:val="18"/>
          <w:szCs w:val="18"/>
          <w:color w:val="auto"/>
        </w:rPr>
      </w:pPr>
    </w:p>
    <w:p>
      <w:pPr>
        <w:ind w:left="820" w:hanging="407"/>
        <w:spacing w:after="0" w:line="308"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98" w:right="239" w:bottom="1440" w:gutter="0" w:footer="0" w:header="0"/>
        </w:sectPr>
      </w:pPr>
    </w:p>
    <w:bookmarkStart w:id="18" w:name="page19"/>
    <w:bookmarkEnd w:id="18"/>
    <w:p>
      <w:pPr>
        <w:jc w:val="both"/>
        <w:ind w:firstLine="243"/>
        <w:spacing w:after="0" w:line="33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(see the discussion “ITEM 3 LEGAL PROCEEDINGS”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w:t>
      </w:r>
    </w:p>
    <w:p>
      <w:pPr>
        <w:spacing w:after="0" w:line="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corporate headquarters is located in Marysville, Ohio, where we own approximately 706 acres of land and lease approximately 24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45 owned properties and 92 leased properties. These properties are located in the following countries: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Leased</w:t>
            </w:r>
          </w:p>
        </w:tc>
      </w:tr>
      <w:tr>
        <w:trPr>
          <w:trHeight w:val="27"/>
        </w:trPr>
        <w:tc>
          <w:tcPr>
            <w:tcW w:w="8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Mexico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37"/>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92</w:t>
            </w:r>
          </w:p>
        </w:tc>
      </w:tr>
    </w:tbl>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own or lease 73 manufacturing properties, 14 distribution properties and three research and development properties in the United States. We own or lease 19 manufacturing and one distribution property in Canada, one manufacturing and two distribution properties in the Netherlands, one manufacturing property in China and one distribution property in Mexico. Most of the manufacturing properties, which include growing media properties and peat harvesting properties, have production lines, warehouses, offices and field processing areas.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3.  </w:t>
      </w:r>
      <w:r>
        <w:rPr>
          <w:rFonts w:ascii="Arial" w:cs="Arial" w:eastAsia="Arial" w:hAnsi="Arial"/>
          <w:sz w:val="18"/>
          <w:szCs w:val="18"/>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98"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As a result of the parties reaching an agreement in principle to settle this matter, which the parties are in the process of finalizing and which remains subject to Court approval, the Company recognized a pre-tax charge of $85.0 million for a probable loss related to this matter for the year ended September 30, 2018 in the “Income (loss) from discontinued operations, net of tax” line in the Consolidated Statements of Operations.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4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The Company has been named as a defendant in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and disputes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would require the Company to pay certain attorneys’ and administrative fees and provide certain payments to the class members. The preliminary settlement will not be finalized until after the court approves the settlement and a claims process determines the payments to be provided to the class members. The date of the final settlement approval hearing with the court is December 19, 2018. During fiscal 2018, the Company recognized a charge of $11.7 million for a probable loss related to this matter within the “Impairment, restructuring and other” line in the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4. </w:t>
      </w:r>
      <w:r>
        <w:rPr>
          <w:rFonts w:ascii="Arial" w:cs="Arial" w:eastAsia="Arial" w:hAnsi="Arial"/>
          <w:sz w:val="18"/>
          <w:szCs w:val="18"/>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23, 2018,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67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R. Coleman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General Counsel, Corporate Secretary and Chief Compliance</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16"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and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He also served as President of Scotts Miracle-Gro (or its predecessor) from October 2015 until February 2016. Mr. Hagedorn serves on Scotts Miracle-Gro’s Board of Directors, a position he has held with Scotts Miracle-Gro (or its predecessor) since 1995. Mr. Hagedorn is the brother of Katherine Hagedorn Littlefield, a director of Scotts Miracle-Gro. Prior to 2012, Mr. Hagedorn held various managerial roles at the Company.</w:t>
      </w:r>
    </w:p>
    <w:p>
      <w:pPr>
        <w:spacing w:after="0" w:line="134"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i w:val="1"/>
          <w:iCs w:val="1"/>
          <w:color w:val="auto"/>
        </w:rPr>
        <w:t xml:space="preserve">Mr. Lukemire </w:t>
      </w:r>
      <w:r>
        <w:rPr>
          <w:rFonts w:ascii="Arial" w:cs="Arial" w:eastAsia="Arial" w:hAnsi="Arial"/>
          <w:sz w:val="18"/>
          <w:szCs w:val="18"/>
          <w:color w:val="auto"/>
        </w:rPr>
        <w:t>was named President and Chief Operating Officer of Scotts Miracle-Gro in February 2016. He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Operating Officer of Scotts Miracle-Gro from December 2014 until February 2016. Prior to this appointment, Mr. Lukemire had served as Executive Vice President, North American Operations of Scotts Miracle-Gro from April 2014 until December 2014, as Executive Vice President, Business Execution of Scotts Miracle-Gro from May 2013 until April 2014 and as President, U.S. Consumer Regions of Scotts Miracle-Gro from October 2011 until May 2013. Prior to 2012, Mr. Lukemire held various managerial roles at the Company.</w:t>
      </w:r>
    </w:p>
    <w:p>
      <w:pPr>
        <w:spacing w:after="0" w:line="134" w:lineRule="exact"/>
        <w:rPr>
          <w:sz w:val="20"/>
          <w:szCs w:val="20"/>
          <w:color w:val="auto"/>
        </w:rPr>
      </w:pPr>
    </w:p>
    <w:p>
      <w:pPr>
        <w:jc w:val="both"/>
        <w:ind w:firstLine="891"/>
        <w:spacing w:after="0" w:line="279" w:lineRule="auto"/>
        <w:rPr>
          <w:sz w:val="20"/>
          <w:szCs w:val="20"/>
          <w:color w:val="auto"/>
        </w:rPr>
      </w:pPr>
      <w:r>
        <w:rPr>
          <w:rFonts w:ascii="Arial" w:cs="Arial" w:eastAsia="Arial" w:hAnsi="Arial"/>
          <w:sz w:val="17"/>
          <w:szCs w:val="17"/>
          <w:i w:val="1"/>
          <w:iCs w:val="1"/>
          <w:color w:val="auto"/>
        </w:rPr>
        <w:t xml:space="preserve">Mr. Coleman </w:t>
      </w:r>
      <w:r>
        <w:rPr>
          <w:rFonts w:ascii="Arial" w:cs="Arial" w:eastAsia="Arial" w:hAnsi="Arial"/>
          <w:sz w:val="17"/>
          <w:szCs w:val="17"/>
          <w:color w:val="auto"/>
        </w:rPr>
        <w:t>was named Executive Vice President and Chief Financial Officer of Scotts Miracle-Gro in April 2014. Prior to this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Mr. Coleman had served as Senior Vice President, Global Finance Operations and Enterprise Performance Management Analytics for The Scotts Company LLC, a wholly-owned subsidiary of Scotts Miracle-Gro, since January 2011. Previously, Mr. Coleman served as interim principal financial officer of Scotts Miracle-Gro between February 2013 and March 2013. Prior to 2012, Mr. Coleman held various managerial roles at the Company.</w:t>
      </w:r>
    </w:p>
    <w:p>
      <w:pPr>
        <w:spacing w:after="0" w:line="117"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 Prior to July 2013, he had served as Vice President, Global Consumer Legal and Assistant General Counsel of Scotts LLC since October 2011. Prior to 2012, Mr. Smith held various managerial roles at the Company.</w:t>
      </w:r>
    </w:p>
    <w:p>
      <w:pPr>
        <w:spacing w:after="0" w:line="127"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of Scotts Miracle-Gro in October 2013. Prior to 2012, Ms. Stump held various managerial roles at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Common Shares trade on the New York Stock Exchange under the symbol “SMG.”</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3, 2016, Scotts Miracle-Gro announced that its Board of Directors had increased the quarterly cash dividend to $0.50 per Common Share, which was paid in September of fiscal 2016 and December, March and June of fiscal 2017. On August 1, 2017, Scotts Miracle-Gro announced that its Board of Directors had further increased the quarterly cash dividend to $0.53 per Common Share, which was paid in September of fiscal 2017 and December, March and June of fiscal 2018. On August 6, 2018, the Scotts Miracle-Gro Board of Directors approved an increase in the quarterly cash dividend from $0.53 to $0.55 per Common Share, which was paid in September of fiscal 2018.</w:t>
      </w:r>
    </w:p>
    <w:p>
      <w:pPr>
        <w:spacing w:after="0" w:line="18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On July 5, 2018, the Company entered into a fifth amended and restated credit agreement (the “Fifth A&amp;R Credit Agreement”), which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 The Company’s leverage ratio was 4.23 at September 30, 2018 and restricted payments for fiscal 2018 were within the amounts allowed by the Fifth A&amp;R Credit Agreement. See “NOTE 11. DEBT” of the Notes to Consolidated Financial Statements included in this Annual Report on Form 10-K for further discussion regarding the restrictions on dividend payments.</w:t>
      </w:r>
    </w:p>
    <w:p>
      <w:pPr>
        <w:spacing w:after="0" w:line="11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As of November 23, 2018, there were approximately 147,000 shareholders, including holders of record and our estimate of beneficial holders.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0" w:right="239" w:bottom="1440" w:gutter="0" w:footer="0" w:header="0"/>
        </w:sectPr>
      </w:pPr>
    </w:p>
    <w:bookmarkStart w:id="22" w:name="page23"/>
    <w:bookmarkEnd w:id="22"/>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Shares Purchased</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Paid per</w:t>
            </w: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2"/>
                <w:szCs w:val="12"/>
                <w:b w:val="1"/>
                <w:bCs w:val="1"/>
                <w:color w:val="auto"/>
                <w:w w:val="94"/>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through July 28,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39,267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38,038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294,992,929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July 29 through August 25, 2018</w:t>
            </w:r>
          </w:p>
        </w:tc>
        <w:tc>
          <w:tcPr>
            <w:tcW w:w="1740" w:type="dxa"/>
            <w:vAlign w:val="bottom"/>
          </w:tcPr>
          <w:p>
            <w:pPr>
              <w:jc w:val="right"/>
              <w:ind w:right="39"/>
              <w:spacing w:after="0"/>
              <w:rPr>
                <w:sz w:val="20"/>
                <w:szCs w:val="20"/>
                <w:color w:val="auto"/>
              </w:rPr>
            </w:pPr>
            <w:r>
              <w:rPr>
                <w:rFonts w:ascii="Arial" w:cs="Arial" w:eastAsia="Arial" w:hAnsi="Arial"/>
                <w:sz w:val="18"/>
                <w:szCs w:val="18"/>
                <w:color w:val="auto"/>
              </w:rPr>
              <w:t>61,075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21"/>
                <w:szCs w:val="21"/>
                <w:color w:val="auto"/>
              </w:rPr>
            </w:pPr>
          </w:p>
        </w:tc>
        <w:tc>
          <w:tcPr>
            <w:tcW w:w="1720" w:type="dxa"/>
            <w:vAlign w:val="bottom"/>
          </w:tcPr>
          <w:p>
            <w:pPr>
              <w:jc w:val="right"/>
              <w:ind w:right="42"/>
              <w:spacing w:after="0"/>
              <w:rPr>
                <w:sz w:val="20"/>
                <w:szCs w:val="20"/>
                <w:color w:val="auto"/>
              </w:rPr>
            </w:pPr>
            <w:r>
              <w:rPr>
                <w:rFonts w:ascii="Arial" w:cs="Arial" w:eastAsia="Arial" w:hAnsi="Arial"/>
                <w:sz w:val="18"/>
                <w:szCs w:val="18"/>
                <w:color w:val="auto"/>
              </w:rPr>
              <w:t>59,010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
              <w:spacing w:after="0"/>
              <w:rPr>
                <w:sz w:val="20"/>
                <w:szCs w:val="20"/>
                <w:color w:val="auto"/>
              </w:rPr>
            </w:pPr>
            <w:r>
              <w:rPr>
                <w:rFonts w:ascii="Arial" w:cs="Arial" w:eastAsia="Arial" w:hAnsi="Arial"/>
                <w:sz w:val="18"/>
                <w:szCs w:val="18"/>
                <w:color w:val="auto"/>
              </w:rPr>
              <w:t>290,512,386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26 through September 30,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68,391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66,094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285,432,143</w:t>
            </w: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168,733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163,142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60" w:hanging="328"/>
        <w:spacing w:after="0" w:line="28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the Common Shares purchased during the fourth quarter of fiscal 2018 were purchased in open market transactions. The total number of Common Shares purchased during the quarter includes 5,591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an aggregate of $1.0 billion through September 30, 2019. The dollar amounts in the “Approximate Dollar Value of Common Shares That May Yet be Purchased Under the Plans or Programs” column reflect the remaining amounts that were available for repurchase under the authorized repurchase program.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6"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this Annual Report on Form 10-K. The summary consolidated financial data presented below as of and for the fiscal years ended September 30, 2018, 2017, 2016, 2015 and 2014 has been derived from our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0" w:right="239" w:bottom="1440" w:gutter="0" w:footer="0" w:header="0"/>
        </w:sectPr>
      </w:pPr>
    </w:p>
    <w:bookmarkStart w:id="24" w:name="page25"/>
    <w:bookmarkEnd w:id="24"/>
    <w:p>
      <w:pPr>
        <w:jc w:val="center"/>
        <w:ind w:right="60"/>
        <w:spacing w:after="0"/>
        <w:rPr>
          <w:sz w:val="20"/>
          <w:szCs w:val="20"/>
          <w:color w:val="auto"/>
        </w:rPr>
      </w:pPr>
      <w:r>
        <w:rPr>
          <w:rFonts w:ascii="Arial" w:cs="Arial" w:eastAsia="Arial" w:hAnsi="Arial"/>
          <w:sz w:val="16"/>
          <w:szCs w:val="16"/>
          <w:b w:val="1"/>
          <w:bCs w:val="1"/>
          <w:color w:val="auto"/>
        </w:rPr>
        <w:t>Five-Year Summary</w:t>
      </w:r>
      <w:r>
        <w:rPr>
          <w:rFonts w:ascii="Arial" w:cs="Arial" w:eastAsia="Arial" w:hAnsi="Arial"/>
          <w:sz w:val="22"/>
          <w:szCs w:val="22"/>
          <w:b w:val="1"/>
          <w:bCs w:val="1"/>
          <w:color w:val="auto"/>
          <w:vertAlign w:val="superscript"/>
        </w:rPr>
        <w:t>(1)</w:t>
      </w:r>
    </w:p>
    <w:p>
      <w:pPr>
        <w:sectPr>
          <w:pgSz w:w="11900" w:h="16838" w:orient="portrait"/>
          <w:cols w:equalWidth="0" w:num="1">
            <w:col w:w="11360"/>
          </w:cols>
          <w:pgMar w:left="280" w:top="1013"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OPERATING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ind w:left="340"/>
              <w:spacing w:after="0"/>
              <w:rPr>
                <w:sz w:val="20"/>
                <w:szCs w:val="20"/>
                <w:color w:val="auto"/>
              </w:rPr>
            </w:pPr>
            <w:r>
              <w:rPr>
                <w:rFonts w:ascii="Arial" w:cs="Arial" w:eastAsia="Arial" w:hAnsi="Arial"/>
                <w:sz w:val="14"/>
                <w:szCs w:val="14"/>
                <w:color w:val="auto"/>
              </w:rPr>
              <w:t>Net sales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40"/>
              <w:spacing w:after="0"/>
              <w:rPr>
                <w:sz w:val="20"/>
                <w:szCs w:val="20"/>
                <w:color w:val="auto"/>
              </w:rPr>
            </w:pPr>
            <w:r>
              <w:rPr>
                <w:rFonts w:ascii="Arial" w:cs="Arial" w:eastAsia="Arial" w:hAnsi="Arial"/>
                <w:sz w:val="14"/>
                <w:szCs w:val="14"/>
                <w:color w:val="auto"/>
              </w:rPr>
              <w:t>Gross profit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Income from operations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Income from continuing operations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Income (loss) from discontinued operations, net of tax</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Net income attributable to controlling interest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4"/>
                <w:szCs w:val="14"/>
                <w:color w:val="auto"/>
              </w:rPr>
              <w:t>Adjusted income from operations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40"/>
              <w:spacing w:after="0"/>
              <w:rPr>
                <w:sz w:val="20"/>
                <w:szCs w:val="20"/>
                <w:color w:val="auto"/>
              </w:rPr>
            </w:pPr>
            <w:r>
              <w:rPr>
                <w:rFonts w:ascii="Arial" w:cs="Arial" w:eastAsia="Arial" w:hAnsi="Arial"/>
                <w:sz w:val="14"/>
                <w:szCs w:val="14"/>
                <w:color w:val="auto"/>
              </w:rPr>
              <w:t>Adjusted income from continuing operations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Adjusted net income attributable to controlling interest from continuing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SLS Divestiture adjusted income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ind w:left="34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Total debt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Total equity—controlling interest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b w:val="1"/>
                <w:bCs w:val="1"/>
                <w:color w:val="auto"/>
              </w:rPr>
              <w:t>GAAP CASH FLOWS: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Cash flows provided by operating activities</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Investments in property, plant and equipment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Investment in marketing and license agreement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Investments in loans receivable, net of proceeds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Net distributions from unconsolidated affiliates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000" w:type="dxa"/>
            <w:vAlign w:val="bottom"/>
          </w:tcPr>
          <w:p>
            <w:pPr>
              <w:ind w:left="340"/>
              <w:spacing w:after="0"/>
              <w:rPr>
                <w:sz w:val="20"/>
                <w:szCs w:val="20"/>
                <w:color w:val="auto"/>
              </w:rPr>
            </w:pPr>
            <w:r>
              <w:rPr>
                <w:rFonts w:ascii="Arial" w:cs="Arial" w:eastAsia="Arial" w:hAnsi="Arial"/>
                <w:sz w:val="14"/>
                <w:szCs w:val="14"/>
                <w:color w:val="auto"/>
                <w:w w:val="95"/>
              </w:rPr>
              <w:t>Investments in acquired businesses and payments on seller notes, net of cash</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0" w:type="dxa"/>
            <w:vAlign w:val="bottom"/>
          </w:tcPr>
          <w:p>
            <w:pPr>
              <w:ind w:left="340"/>
              <w:spacing w:after="0"/>
              <w:rPr>
                <w:sz w:val="20"/>
                <w:szCs w:val="20"/>
                <w:color w:val="auto"/>
              </w:rPr>
            </w:pPr>
            <w:r>
              <w:rPr>
                <w:rFonts w:ascii="Arial" w:cs="Arial" w:eastAsia="Arial" w:hAnsi="Arial"/>
                <w:sz w:val="14"/>
                <w:szCs w:val="14"/>
                <w:color w:val="auto"/>
              </w:rPr>
              <w:t>acquired</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Dividends paid</w:t>
            </w:r>
            <w:r>
              <w:rPr>
                <w:rFonts w:ascii="Arial" w:cs="Arial" w:eastAsia="Arial" w:hAnsi="Arial"/>
                <w:sz w:val="8"/>
                <w:szCs w:val="8"/>
                <w:color w:val="auto"/>
              </w:rPr>
              <w:t>(5)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Purchases of Common Shares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b w:val="1"/>
                <w:bCs w:val="1"/>
                <w:color w:val="auto"/>
              </w:rPr>
              <w:t>NON-GAAP CASH FLOWS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Free cash flow</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Free cash flow productivity</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GAAP earnings per common share from continuing operations: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Arial" w:cs="Arial" w:eastAsia="Arial" w:hAnsi="Arial"/>
                <w:sz w:val="14"/>
                <w:szCs w:val="14"/>
                <w:color w:val="auto"/>
              </w:rPr>
              <w:t>Basic</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68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w w:val="97"/>
              </w:rPr>
              <w:t>Non-GAAP adjusted earnings per common share from continuing operations: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Arial" w:cs="Arial" w:eastAsia="Arial" w:hAnsi="Arial"/>
                <w:sz w:val="14"/>
                <w:szCs w:val="14"/>
                <w:color w:val="auto"/>
              </w:rPr>
              <w:t>SLS Divestiture adjusted income</w:t>
            </w:r>
            <w:r>
              <w:rPr>
                <w:rFonts w:ascii="Arial" w:cs="Arial" w:eastAsia="Arial" w:hAnsi="Arial"/>
                <w:sz w:val="8"/>
                <w:szCs w:val="8"/>
                <w:color w:val="auto"/>
              </w:rPr>
              <w:t>(2)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Stock price at year-end</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Stock price range—High</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Stock price range—Low</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(6)</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000" w:type="dxa"/>
            <w:vAlign w:val="bottom"/>
          </w:tcPr>
          <w:p>
            <w:pPr>
              <w:ind w:left="340"/>
              <w:spacing w:after="0"/>
              <w:rPr>
                <w:sz w:val="20"/>
                <w:szCs w:val="20"/>
                <w:color w:val="auto"/>
              </w:rPr>
            </w:pPr>
            <w:r>
              <w:rPr>
                <w:rFonts w:ascii="Arial" w:cs="Arial" w:eastAsia="Arial" w:hAnsi="Arial"/>
                <w:sz w:val="14"/>
                <w:szCs w:val="14"/>
                <w:color w:val="auto"/>
              </w:rPr>
              <w:t>Common shares and dilutive potential common</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0" w:type="dxa"/>
            <w:vAlign w:val="bottom"/>
          </w:tcPr>
          <w:p>
            <w:pPr>
              <w:ind w:left="340"/>
              <w:spacing w:after="0"/>
              <w:rPr>
                <w:sz w:val="20"/>
                <w:szCs w:val="20"/>
                <w:color w:val="auto"/>
              </w:rPr>
            </w:pPr>
            <w:r>
              <w:rPr>
                <w:rFonts w:ascii="Arial" w:cs="Arial" w:eastAsia="Arial" w:hAnsi="Arial"/>
                <w:sz w:val="14"/>
                <w:szCs w:val="14"/>
                <w:color w:val="auto"/>
              </w:rPr>
              <w:t>shares used in diluted EPS calculation</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23495</wp:posOffset>
            </wp:positionV>
            <wp:extent cx="3961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w w:val="83"/>
              </w:rPr>
              <w:t>2018</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270"/>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8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2,663.4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2,642.1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2,506.2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2,371.1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2,189.3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864.6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972.6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900.3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810.8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774.2</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198.9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433.4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447.6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253.8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263.3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127.6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198.3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246.1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128.7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131.8</w:t>
            </w:r>
          </w:p>
        </w:tc>
      </w:tr>
      <w:tr>
        <w:trPr>
          <w:trHeight w:val="270"/>
        </w:trPr>
        <w:tc>
          <w:tcPr>
            <w:tcW w:w="780" w:type="dxa"/>
            <w:vAlign w:val="bottom"/>
          </w:tcPr>
          <w:p>
            <w:pPr>
              <w:jc w:val="right"/>
              <w:ind w:right="88"/>
              <w:spacing w:after="0"/>
              <w:rPr>
                <w:sz w:val="20"/>
                <w:szCs w:val="20"/>
                <w:color w:val="auto"/>
              </w:rPr>
            </w:pPr>
            <w:r>
              <w:rPr>
                <w:rFonts w:ascii="Arial" w:cs="Arial" w:eastAsia="Arial" w:hAnsi="Arial"/>
                <w:sz w:val="14"/>
                <w:szCs w:val="14"/>
                <w:color w:val="auto"/>
              </w:rPr>
              <w:t>(63.9)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68.7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34.4</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63.7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218.8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314.8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158.7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166.2</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63.7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218.3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315.3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159.8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166.5</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351.7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438.3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402.1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334.0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310.8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237.4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230.2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180.4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170.0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236.9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230.7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181.5</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170.3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236.9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221.7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203.4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190.9</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273.0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337.2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325.8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382.8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256.3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530.8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467.7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444.9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413.4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393.5</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3,054.5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2,747.0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2,755.8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2,458.3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1,996.0</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2,016.4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1,401.1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1,215.9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1,061.1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774.9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354.6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648.8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715.2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620.7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553.7</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342.5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363.2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244.0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250.1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242.0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68.2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69.6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87.6</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57.4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194.1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51"/>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501.8</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150.4</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161.2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181.7</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120.0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120.3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116.6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111.3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327.7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255.2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137.4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121.1</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274.3</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293.6</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185.7</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188.4</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154.4</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430.6%</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134.2%</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92.9%</w:t>
            </w:r>
          </w:p>
        </w:tc>
      </w:tr>
      <w:tr>
        <w:trPr>
          <w:trHeight w:val="81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4.04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2.14</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2.23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3.71</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3.94</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2.92</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3.71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3.58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3.04</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2.140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1.910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1.820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3.763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78.73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97.34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83.27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60.82</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55.00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110.12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99.91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83.73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68.99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60.30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72.67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81.48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60.25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54.71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50.51</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482.0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560.5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517.4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471.8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412.4</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4.23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5.55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7.54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9.34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9.41</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56.2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59.4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61.6</w:t>
            </w:r>
          </w:p>
        </w:tc>
      </w:tr>
      <w:tr>
        <w:trPr>
          <w:trHeight w:val="351"/>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57.1</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60.2</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62.2</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-8670290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-8327390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-7984490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-7641590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-7298055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-6955155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-6612255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-6269355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-5926455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-5582920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-5240020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-4897120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-4554220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-4211320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-3816350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-3473450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-3130550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-2787650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-2444115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-2101215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-1758315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-1415415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-1072515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-728980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-386080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-8841740</wp:posOffset>
            </wp:positionV>
            <wp:extent cx="3961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340"/>
            <w:col w:w="5780"/>
          </w:cols>
          <w:pgMar w:left="280" w:top="1013" w:right="259" w:bottom="0" w:gutter="0" w:footer="0" w:header="0"/>
          <w:type w:val="continuous"/>
        </w:sect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80" w:top="1013" w:right="259" w:bottom="0" w:gutter="0" w:footer="0" w:header="0"/>
          <w:type w:val="continuous"/>
        </w:sectPr>
      </w:pPr>
    </w:p>
    <w:bookmarkStart w:id="25" w:name="page26"/>
    <w:bookmarkEnd w:id="25"/>
    <w:p>
      <w:pPr>
        <w:ind w:left="660" w:right="3780" w:hanging="652"/>
        <w:spacing w:after="0" w:line="50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Selected Financial Data has been retrospectively updated to recast activity for the following: </w:t>
      </w:r>
      <w:r>
        <w:rPr>
          <w:rFonts w:ascii="Arial" w:cs="Arial" w:eastAsia="Arial" w:hAnsi="Arial"/>
          <w:sz w:val="18"/>
          <w:szCs w:val="18"/>
          <w:u w:val="single" w:color="auto"/>
          <w:color w:val="auto"/>
        </w:rPr>
        <w:t>Discontinued Operations</w:t>
      </w: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11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On April 13, 2016, we completed the contribution of the SLS Business to the TruGreen Joint Venture in exchange for a minority equity interest of approximately 30% in the TruGreen Joint Venture. As a result, effective in our second quarter of fiscal 2016, we classified the SLS Business as a discontinued operation in accordance with GAAP.</w:t>
      </w:r>
    </w:p>
    <w:p>
      <w:pPr>
        <w:spacing w:after="0" w:line="12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On August 31, 2017, we completed the sale of the International Business. As a result, effective in our fourth quarter of fiscal 2017, we classified the International Business as a discontinued operation in accordance with GAAP.</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We adopted this guidance on a retrospective basis effective October 1, 2016. As a result, debt issuance costs have been presented as a component of the carrying amount of long-term debt in the Consolidated Balance Sheets. These amounts were previously reported within other assets.</w:t>
      </w:r>
    </w:p>
    <w:p>
      <w:pPr>
        <w:spacing w:after="0" w:line="118"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We adopted this guidance on a retrospective basis during the fourth quarter of fiscal 2017. As a result, deferred tax assets have been presented net within other liabilities in the Consolidated Balance Sheets. These amounts were previously reported within prepaid and other current assets.</w:t>
      </w:r>
    </w:p>
    <w:p>
      <w:pPr>
        <w:spacing w:after="0" w:line="117"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amended accounting guidance requires cash paid to a tax authority when shares are withheld to satisfy statutory income tax withholding obligations to be classified as a financing activity in the statement of cash flows. These amounts were previously classified as an operating activity in the statement of cash flows.</w:t>
      </w:r>
    </w:p>
    <w:p>
      <w:pPr>
        <w:spacing w:after="0" w:line="188" w:lineRule="exact"/>
        <w:rPr>
          <w:rFonts w:ascii="Arial" w:cs="Arial" w:eastAsia="Arial" w:hAnsi="Arial"/>
          <w:sz w:val="18"/>
          <w:szCs w:val="18"/>
          <w:color w:val="auto"/>
        </w:rPr>
      </w:pPr>
    </w:p>
    <w:p>
      <w:pPr>
        <w:ind w:left="660" w:right="7920" w:hanging="652"/>
        <w:spacing w:after="0" w:line="56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Reconciliation of Non-GAAP Measures </w:t>
      </w:r>
      <w:r>
        <w:rPr>
          <w:rFonts w:ascii="Arial" w:cs="Arial" w:eastAsia="Arial" w:hAnsi="Arial"/>
          <w:sz w:val="16"/>
          <w:szCs w:val="16"/>
          <w:u w:val="single" w:color="auto"/>
          <w:color w:val="auto"/>
        </w:rPr>
        <w:t>Use of Non-GAAP Measures</w:t>
      </w:r>
    </w:p>
    <w:p>
      <w:pPr>
        <w:spacing w:after="0" w:line="1"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189"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spacing w:after="0" w:line="181"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4"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 and discretionary investment. We view free cash flow productivity as a useful measure to help investors understand the Company’s ability to generate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Exclusions from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reflect adjustments based on the following items:</w:t>
      </w:r>
    </w:p>
    <w:p>
      <w:pPr>
        <w:spacing w:after="0" w:line="225" w:lineRule="exact"/>
        <w:rPr>
          <w:sz w:val="20"/>
          <w:szCs w:val="20"/>
          <w:color w:val="auto"/>
        </w:rPr>
      </w:pPr>
    </w:p>
    <w:p>
      <w:pPr>
        <w:ind w:left="640" w:hanging="320"/>
        <w:spacing w:after="0" w:line="274"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jc w:val="both"/>
        <w:ind w:left="64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 w:lineRule="exact"/>
        <w:rPr>
          <w:rFonts w:ascii="Arial" w:cs="Arial" w:eastAsia="Arial" w:hAnsi="Arial"/>
          <w:sz w:val="18"/>
          <w:szCs w:val="18"/>
          <w:color w:val="auto"/>
        </w:rPr>
      </w:pPr>
    </w:p>
    <w:p>
      <w:pPr>
        <w:jc w:val="both"/>
        <w:ind w:left="640" w:hanging="320"/>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Arial" w:cs="Arial" w:eastAsia="Arial" w:hAnsi="Arial"/>
          <w:sz w:val="18"/>
          <w:szCs w:val="18"/>
          <w:color w:val="auto"/>
        </w:rPr>
      </w:pPr>
    </w:p>
    <w:p>
      <w:pPr>
        <w:jc w:val="both"/>
        <w:ind w:left="640" w:hanging="320"/>
        <w:spacing w:after="0" w:line="281"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Charges or credits incurred by the TruGreen Joint Venture that are apart from and not indicative of the results of its ongoing operations, including transaction related costs, refinancing costs, restructurings and other discrete projects or transactions including a non-cash purchase accounting fair value write-down adjustment related to deferred revenue and advertising (“TruGreen Joint Venture non-GAAP adjustments”). We hold a noncontrolling equity interest of approximately 30% in the TruGreen Joint Venture. We do not control, nor do we have any legal claim to, the revenues and expenses of the TruGreen Joint Venture or its other unconsolidated affiliates. The use of non-GAAP measures that are subject to TruGreen Joint Venture non-GAAP adjustments is not intended to imply that we have control over the operations and resulting revenue and expenses of the TruGreen Joint Venture or its other unconsolidated affiliates. Moreover, these non-GAAP financial measures have limitations in that they do not reflect all revenue and expenses of the unconsolidated affiliates.</w:t>
      </w:r>
    </w:p>
    <w:p>
      <w:pPr>
        <w:spacing w:after="0" w:line="5" w:lineRule="exact"/>
        <w:rPr>
          <w:rFonts w:ascii="Arial" w:cs="Arial" w:eastAsia="Arial" w:hAnsi="Arial"/>
          <w:sz w:val="16"/>
          <w:szCs w:val="16"/>
          <w:color w:val="auto"/>
        </w:rPr>
      </w:pPr>
    </w:p>
    <w:p>
      <w:pPr>
        <w:ind w:left="640" w:hanging="320"/>
        <w:spacing w:after="0" w:line="323"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Discontinued operations or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 of Non-GAAP Financial Measures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reconciliations of non-GAAP disclosure items include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177" w:lineRule="exact"/>
        <w:rPr>
          <w:sz w:val="20"/>
          <w:szCs w:val="20"/>
          <w:color w:val="auto"/>
        </w:rPr>
      </w:pPr>
    </w:p>
    <w:p>
      <w:pPr>
        <w:ind w:left="320"/>
        <w:spacing w:after="0" w:line="289" w:lineRule="auto"/>
        <w:rPr>
          <w:sz w:val="20"/>
          <w:szCs w:val="20"/>
          <w:color w:val="auto"/>
        </w:rPr>
      </w:pPr>
      <w:r>
        <w:rPr>
          <w:rFonts w:ascii="Arial" w:cs="Arial" w:eastAsia="Arial" w:hAnsi="Arial"/>
          <w:sz w:val="16"/>
          <w:szCs w:val="16"/>
          <w:b w:val="1"/>
          <w:bCs w:val="1"/>
          <w:color w:val="auto"/>
        </w:rPr>
        <w:t>Adjusted income (loss) from operations</w:t>
      </w:r>
      <w:r>
        <w:rPr>
          <w:rFonts w:ascii="Arial" w:cs="Arial" w:eastAsia="Arial" w:hAnsi="Arial"/>
          <w:sz w:val="16"/>
          <w:szCs w:val="16"/>
          <w:color w:val="auto"/>
        </w:rPr>
        <w:t>: Income (loss) from operations excluding impairment, restructuring and other charges / recoveries.</w:t>
      </w:r>
      <w:r>
        <w:rPr>
          <w:rFonts w:ascii="Arial" w:cs="Arial" w:eastAsia="Arial" w:hAnsi="Arial"/>
          <w:sz w:val="16"/>
          <w:szCs w:val="16"/>
          <w:b w:val="1"/>
          <w:bCs w:val="1"/>
          <w:color w:val="auto"/>
        </w:rPr>
        <w:t xml:space="preserve"> Adjusted income (loss) from continuing operations</w:t>
      </w:r>
      <w:r>
        <w:rPr>
          <w:rFonts w:ascii="Arial" w:cs="Arial" w:eastAsia="Arial" w:hAnsi="Arial"/>
          <w:sz w:val="16"/>
          <w:szCs w:val="16"/>
          <w:color w:val="auto"/>
        </w:rPr>
        <w:t>: Income (loss) from continuing operations excluding impairment, restructuring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 recoveries, costs related to refinancing and TruGreen Joint Venture non-GAAP adjustments, each net of tax.</w:t>
      </w:r>
    </w:p>
    <w:p>
      <w:pPr>
        <w:spacing w:after="0" w:line="2" w:lineRule="exact"/>
        <w:rPr>
          <w:sz w:val="20"/>
          <w:szCs w:val="20"/>
          <w:color w:val="auto"/>
        </w:rPr>
      </w:pPr>
    </w:p>
    <w:p>
      <w:pPr>
        <w:jc w:val="both"/>
        <w:ind w:left="320"/>
        <w:spacing w:after="0" w:line="250" w:lineRule="auto"/>
        <w:rPr>
          <w:sz w:val="20"/>
          <w:szCs w:val="20"/>
          <w:color w:val="auto"/>
        </w:rPr>
      </w:pPr>
      <w:r>
        <w:rPr>
          <w:rFonts w:ascii="Arial" w:cs="Arial" w:eastAsia="Arial" w:hAnsi="Arial"/>
          <w:sz w:val="18"/>
          <w:szCs w:val="18"/>
          <w:b w:val="1"/>
          <w:bCs w:val="1"/>
          <w:color w:val="auto"/>
        </w:rPr>
        <w:t>Adjusted net income (loss) attributable to controlling interest from continuing operations</w:t>
      </w:r>
      <w:r>
        <w:rPr>
          <w:rFonts w:ascii="Arial" w:cs="Arial" w:eastAsia="Arial" w:hAnsi="Arial"/>
          <w:sz w:val="18"/>
          <w:szCs w:val="18"/>
          <w:color w:val="auto"/>
        </w:rPr>
        <w:t>: Net income (loss) attributable to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excluding impairment, restructuring and other charges / recoveries, costs related to refinancing, TruGreen Joint Venture non-GAAP adjustments and discontinued operations,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Arial" w:cs="Arial" w:eastAsia="Arial" w:hAnsi="Arial"/>
          <w:sz w:val="18"/>
          <w:szCs w:val="18"/>
          <w:b w:val="1"/>
          <w:bCs w:val="1"/>
          <w:color w:val="auto"/>
        </w:rPr>
        <w:t>Adjusted diluted income (loss) per common share from continuing operations</w:t>
      </w:r>
      <w:r>
        <w:rPr>
          <w:rFonts w:ascii="Arial" w:cs="Arial" w:eastAsia="Arial" w:hAnsi="Arial"/>
          <w:sz w:val="18"/>
          <w:szCs w:val="18"/>
          <w:color w:val="auto"/>
        </w:rPr>
        <w:t>: Diluted net income (loss) per common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excluding impairment, restructuring and other charges / recoveries, costs related to refinancing and TruGreen Joint Venture non-GAAP adjustments, each net of tax.</w:t>
      </w:r>
    </w:p>
    <w:p>
      <w:pPr>
        <w:spacing w:after="0" w:line="1" w:lineRule="exact"/>
        <w:rPr>
          <w:sz w:val="20"/>
          <w:szCs w:val="20"/>
          <w:color w:val="auto"/>
        </w:rPr>
      </w:pPr>
    </w:p>
    <w:p>
      <w:pPr>
        <w:jc w:val="both"/>
        <w:ind w:left="320"/>
        <w:spacing w:after="0" w:line="261" w:lineRule="auto"/>
        <w:rPr>
          <w:sz w:val="20"/>
          <w:szCs w:val="20"/>
          <w:color w:val="auto"/>
        </w:rPr>
      </w:pPr>
      <w:r>
        <w:rPr>
          <w:rFonts w:ascii="Arial" w:cs="Arial" w:eastAsia="Arial" w:hAnsi="Arial"/>
          <w:sz w:val="18"/>
          <w:szCs w:val="18"/>
          <w:b w:val="1"/>
          <w:bCs w:val="1"/>
          <w:color w:val="auto"/>
        </w:rPr>
        <w:t>SLS Divestiture adjusted income (loss)</w:t>
      </w:r>
      <w:r>
        <w:rPr>
          <w:rFonts w:ascii="Arial" w:cs="Arial" w:eastAsia="Arial" w:hAnsi="Arial"/>
          <w:sz w:val="18"/>
          <w:szCs w:val="18"/>
          <w:color w:val="auto"/>
        </w:rPr>
        <w:t>: Net income (loss) from continuing operations excluding impairment, restructuring and other charges /</w:t>
      </w:r>
      <w:r>
        <w:rPr>
          <w:rFonts w:ascii="Arial" w:cs="Arial" w:eastAsia="Arial" w:hAnsi="Arial"/>
          <w:sz w:val="18"/>
          <w:szCs w:val="18"/>
          <w:b w:val="1"/>
          <w:bCs w:val="1"/>
          <w:color w:val="auto"/>
        </w:rPr>
        <w:t xml:space="preserve"> </w:t>
      </w:r>
      <w:r>
        <w:rPr>
          <w:rFonts w:ascii="Arial" w:cs="Arial" w:eastAsia="Arial" w:hAnsi="Arial"/>
          <w:sz w:val="18"/>
          <w:szCs w:val="18"/>
          <w:color w:val="auto"/>
        </w:rPr>
        <w:t>recoveries, costs related to refinancing and TruGreen Joint Venture non-GAAP</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900" w:top="854" w:right="239" w:bottom="1440" w:gutter="0" w:footer="0" w:header="0"/>
        </w:sectPr>
      </w:pPr>
    </w:p>
    <w:bookmarkStart w:id="27" w:name="page28"/>
    <w:bookmarkEnd w:id="27"/>
    <w:p>
      <w:pPr>
        <w:jc w:val="both"/>
        <w:ind w:left="320"/>
        <w:spacing w:after="0" w:line="258" w:lineRule="auto"/>
        <w:rPr>
          <w:sz w:val="20"/>
          <w:szCs w:val="20"/>
          <w:color w:val="auto"/>
        </w:rPr>
      </w:pPr>
      <w:r>
        <w:rPr>
          <w:rFonts w:ascii="Arial" w:cs="Arial" w:eastAsia="Arial" w:hAnsi="Arial"/>
          <w:sz w:val="18"/>
          <w:szCs w:val="18"/>
          <w:color w:val="auto"/>
        </w:rPr>
        <w:t>adjustments, each net of tax. This measure also includes income (loss) from discontinued operations related to the SLS Business; however, excludes the gain on the contribution of the SLS Business to the TruGreen Joint Venture,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Arial" w:cs="Arial" w:eastAsia="Arial" w:hAnsi="Arial"/>
          <w:sz w:val="18"/>
          <w:szCs w:val="18"/>
          <w:b w:val="1"/>
          <w:bCs w:val="1"/>
          <w:color w:val="auto"/>
        </w:rPr>
        <w:t>SLS Divestiture adjusted income (loss) per common share</w:t>
      </w:r>
      <w:r>
        <w:rPr>
          <w:rFonts w:ascii="Arial" w:cs="Arial" w:eastAsia="Arial" w:hAnsi="Arial"/>
          <w:sz w:val="18"/>
          <w:szCs w:val="18"/>
          <w:color w:val="auto"/>
        </w:rPr>
        <w:t>: Diluted net income (loss) per common share excluding impairment,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charges / 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8"/>
          <w:szCs w:val="18"/>
          <w:color w:val="auto"/>
        </w:rPr>
        <w:t>: Net cash provided by (used in) operating activities reduced by investments in property, plant and equipment.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Free cash flow productivity</w:t>
      </w:r>
      <w:r>
        <w:rPr>
          <w:rFonts w:ascii="Arial" w:cs="Arial" w:eastAsia="Arial" w:hAnsi="Arial"/>
          <w:sz w:val="18"/>
          <w:szCs w:val="18"/>
          <w:color w:val="auto"/>
        </w:rPr>
        <w:t>: Ratio of free cash flow to net income (loss).</w:t>
      </w:r>
    </w:p>
    <w:p>
      <w:pPr>
        <w:spacing w:after="0" w:line="9"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Net income (loss) before interest, taxes, depreciation and amortization as well as certain other items such as the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5.25 at September 30, 2018) and an interest coverage ratio (minimum of 3.00 for the twelve months ended September 30, 2018).</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measures, we use these non-GAAP measures to manage the business because we believe that these measures provide additional perspective on and, in some circumstances are more closely correlated to, the performance of our underlying, ongoing business. We believe that disclosure of these non-GAAP financial measures therefore provides useful supplemental information to investors or other users of the financial statements, such as lenders. Non-GAAP financial measures should be viewed in addition to, and not as an alternative for, the Company’s reported results prepared in accordance with GAAP.</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900" w:top="85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A reconciliation of the non-GAAP measures to the most directly comparable GAAP measures is presented in the following table:</w:t>
      </w:r>
    </w:p>
    <w:p>
      <w:pPr>
        <w:spacing w:after="0" w:line="230"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3" w:lineRule="exact"/>
        <w:rPr>
          <w:sz w:val="20"/>
          <w:szCs w:val="20"/>
          <w:color w:val="auto"/>
        </w:rPr>
      </w:pPr>
    </w:p>
    <w:tbl>
      <w:tblPr>
        <w:tblLayout w:type="fixed"/>
        <w:tblInd w:w="5820" w:type="dxa"/>
        <w:tblCellMar>
          <w:top w:w="0" w:type="dxa"/>
          <w:left w:w="0" w:type="dxa"/>
          <w:bottom w:w="0" w:type="dxa"/>
          <w:right w:w="0" w:type="dxa"/>
        </w:tblCellMar>
      </w:tblPr>
      <w:tr>
        <w:trPr>
          <w:trHeight w:val="192"/>
        </w:trPr>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r>
      <w:tr>
        <w:trPr>
          <w:trHeight w:val="190"/>
        </w:trPr>
        <w:tc>
          <w:tcPr>
            <w:tcW w:w="1120" w:type="dxa"/>
            <w:vAlign w:val="bottom"/>
          </w:tcPr>
          <w:p>
            <w:pPr>
              <w:spacing w:after="0"/>
              <w:rPr>
                <w:sz w:val="16"/>
                <w:szCs w:val="16"/>
                <w:color w:val="auto"/>
              </w:rPr>
            </w:pPr>
          </w:p>
        </w:tc>
        <w:tc>
          <w:tcPr>
            <w:tcW w:w="34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(In millions, except per share data)</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continuing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non-operating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income tax expense (benefit) from continuing operations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continuing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controlling interest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non-operating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income tax expense (benefit) from continuing operations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433.4</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447.6</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253.8</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263.3</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351.7</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131.8</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47.5</w:t>
            </w:r>
          </w:p>
        </w:tc>
      </w:tr>
      <w:tr>
        <w:trPr>
          <w:trHeight w:val="270"/>
        </w:trPr>
        <w:tc>
          <w:tcPr>
            <w:tcW w:w="36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166.5</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47.5</w:t>
            </w:r>
          </w:p>
        </w:tc>
      </w:tr>
      <w:tr>
        <w:trPr>
          <w:trHeight w:val="270"/>
        </w:trPr>
        <w:tc>
          <w:tcPr>
            <w:tcW w:w="36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-2221230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-1878330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-1535430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-1192530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-849630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-506095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-163195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720"/>
            <w:col w:w="5600"/>
          </w:cols>
          <w:pgMar w:left="240" w:top="1017"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5820" w:type="dxa"/>
            <w:vAlign w:val="bottom"/>
          </w:tcPr>
          <w:p>
            <w:pPr>
              <w:ind w:left="40"/>
              <w:spacing w:after="0" w:line="145" w:lineRule="exact"/>
              <w:rPr>
                <w:sz w:val="20"/>
                <w:szCs w:val="20"/>
                <w:color w:val="auto"/>
              </w:rPr>
            </w:pPr>
            <w:r>
              <w:rPr>
                <w:rFonts w:ascii="Arial" w:cs="Arial" w:eastAsia="Arial" w:hAnsi="Arial"/>
                <w:sz w:val="14"/>
                <w:szCs w:val="14"/>
                <w:b w:val="1"/>
                <w:bCs w:val="1"/>
                <w:color w:val="auto"/>
                <w:w w:val="97"/>
              </w:rPr>
              <w:t>Adjusted net income attributable to controlling interest from continuing operations (Non-</w:t>
            </w: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GAAP)</w:t>
            </w: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82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Income from continuing operations (GAAP)</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017"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Net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controlling interest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non-operating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p>
      <w:pPr>
        <w:spacing w:after="0" w:line="21" w:lineRule="exact"/>
        <w:rPr>
          <w:sz w:val="20"/>
          <w:szCs w:val="20"/>
          <w:color w:val="auto"/>
        </w:rPr>
      </w:pPr>
    </w:p>
    <w:p>
      <w:pPr>
        <w:ind w:left="40"/>
        <w:spacing w:after="0" w:line="282" w:lineRule="auto"/>
        <w:rPr>
          <w:sz w:val="20"/>
          <w:szCs w:val="20"/>
          <w:color w:val="auto"/>
        </w:rPr>
      </w:pPr>
      <w:r>
        <w:rPr>
          <w:rFonts w:ascii="Arial" w:cs="Arial" w:eastAsia="Arial" w:hAnsi="Arial"/>
          <w:sz w:val="14"/>
          <w:szCs w:val="14"/>
          <w:b w:val="1"/>
          <w:bCs w:val="1"/>
          <w:color w:val="auto"/>
        </w:rPr>
        <w:t xml:space="preserve">Adjusted income attributable to controlling interest from continuing operations (Non-GAAP) </w:t>
      </w:r>
      <w:r>
        <w:rPr>
          <w:rFonts w:ascii="Arial" w:cs="Arial" w:eastAsia="Arial" w:hAnsi="Arial"/>
          <w:sz w:val="28"/>
          <w:szCs w:val="28"/>
          <w:color w:val="auto"/>
          <w:vertAlign w:val="sub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(loss) from discontinued operations from SLS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ind w:left="40"/>
              <w:spacing w:after="0"/>
              <w:rPr>
                <w:sz w:val="20"/>
                <w:szCs w:val="20"/>
                <w:color w:val="auto"/>
              </w:rPr>
            </w:pPr>
            <w:r>
              <w:rPr>
                <w:rFonts w:ascii="Arial" w:cs="Arial" w:eastAsia="Arial" w:hAnsi="Arial"/>
                <w:sz w:val="14"/>
                <w:szCs w:val="14"/>
                <w:color w:val="auto"/>
              </w:rPr>
              <w:t>Gain on contribution of SLS Business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Adjustment to gain on contribution on SLS Business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w w:val="98"/>
              </w:rPr>
              <w:t>Adjustment to income tax expense (benefit)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Adjusted income (loss) from SLS Business in discontinued operations, net of tax</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rPr>
              <w:t>SLS Divestiture adjusted income (Non-GAAP)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rPr>
              <w:t>Diluted income per share from continuing operations (GAAP)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0"/>
              <w:spacing w:after="0"/>
              <w:rPr>
                <w:sz w:val="20"/>
                <w:szCs w:val="20"/>
                <w:color w:val="auto"/>
              </w:rPr>
            </w:pPr>
            <w:r>
              <w:rPr>
                <w:rFonts w:ascii="Arial" w:cs="Arial" w:eastAsia="Arial" w:hAnsi="Arial"/>
                <w:sz w:val="14"/>
                <w:szCs w:val="14"/>
                <w:color w:val="auto"/>
              </w:rPr>
              <w:t>Impairment, restructuring and other charges (recoveries)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Costs related to refinancing</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Other non-operating expense, net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w w:val="97"/>
              </w:rPr>
              <w:t>Adjusted diluted income per common share from continuing operations (Non-GAAP)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 from SLS Business</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0"/>
              <w:spacing w:after="0"/>
              <w:rPr>
                <w:sz w:val="20"/>
                <w:szCs w:val="20"/>
                <w:color w:val="auto"/>
              </w:rPr>
            </w:pPr>
            <w:r>
              <w:rPr>
                <w:rFonts w:ascii="Arial" w:cs="Arial" w:eastAsia="Arial" w:hAnsi="Arial"/>
                <w:sz w:val="14"/>
                <w:szCs w:val="14"/>
                <w:color w:val="auto"/>
              </w:rPr>
              <w:t>Gain on contribution of SLS Business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Adjustment to gain on contribution of SLS Business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w w:val="98"/>
              </w:rPr>
              <w:t>Adjustment to income tax expense (benefit)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color w:val="auto"/>
              </w:rPr>
              <w:t>Adjusted diluted income (loss) from SLS Business in discontinued operations, net of tax</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Arial" w:cs="Arial" w:eastAsia="Arial" w:hAnsi="Arial"/>
                <w:sz w:val="14"/>
                <w:szCs w:val="14"/>
                <w:b w:val="1"/>
                <w:bCs w:val="1"/>
                <w:color w:val="auto"/>
              </w:rPr>
              <w:t>SLS Divestiture adjusted income per common share (Non-GAAP)</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4"/>
                <w:szCs w:val="14"/>
                <w:color w:val="auto"/>
              </w:rPr>
              <w:t>The sum of the components may not equal the total due to rounding.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-3207385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-2864485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-2178685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-1835785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-2521585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44"/>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127.6</w:t>
            </w:r>
          </w:p>
        </w:tc>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132.1</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152.8</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47.5</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11.7</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Pr>
          <w:p>
            <w:pPr>
              <w:jc w:val="right"/>
              <w:ind w:right="128"/>
              <w:spacing w:after="0"/>
              <w:rPr>
                <w:sz w:val="20"/>
                <w:szCs w:val="20"/>
                <w:color w:val="auto"/>
              </w:rPr>
            </w:pPr>
            <w:r>
              <w:rPr>
                <w:rFonts w:ascii="Arial" w:cs="Arial" w:eastAsia="Arial" w:hAnsi="Arial"/>
                <w:sz w:val="14"/>
                <w:szCs w:val="14"/>
                <w:color w:val="auto"/>
                <w:w w:val="92"/>
              </w:rPr>
              <w:t>(80.5)</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44"/>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211.6</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170.3</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30.9</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5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20.6</w:t>
            </w:r>
          </w:p>
        </w:tc>
      </w:tr>
      <w:tr>
        <w:trPr>
          <w:trHeight w:val="237"/>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211.6</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190.9</w:t>
            </w:r>
          </w:p>
        </w:tc>
      </w:tr>
      <w:tr>
        <w:trPr>
          <w:trHeight w:val="20"/>
        </w:trPr>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8"/>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2.23</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2.11</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2.68</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0.76</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0.17</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0.20</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Pr>
          <w:p>
            <w:pPr>
              <w:jc w:val="right"/>
              <w:ind w:right="128"/>
              <w:spacing w:after="0"/>
              <w:rPr>
                <w:sz w:val="20"/>
                <w:szCs w:val="20"/>
                <w:color w:val="auto"/>
              </w:rPr>
            </w:pPr>
            <w:r>
              <w:rPr>
                <w:rFonts w:ascii="Arial" w:cs="Arial" w:eastAsia="Arial" w:hAnsi="Arial"/>
                <w:sz w:val="14"/>
                <w:szCs w:val="14"/>
                <w:color w:val="auto"/>
                <w:w w:val="92"/>
              </w:rPr>
              <w:t>(1.41)</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r>
      <w:tr>
        <w:trPr>
          <w:trHeight w:val="237"/>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3.71</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r>
      <w:tr>
        <w:trPr>
          <w:trHeight w:val="20"/>
        </w:trPr>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8"/>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0.49</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r>
      <w:tr>
        <w:trPr>
          <w:trHeight w:val="25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0.33</w:t>
            </w:r>
          </w:p>
        </w:tc>
      </w:tr>
      <w:tr>
        <w:trPr>
          <w:trHeight w:val="237"/>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3.71</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3.04</w:t>
            </w:r>
          </w:p>
        </w:tc>
      </w:tr>
      <w:tr>
        <w:trPr>
          <w:trHeight w:val="20"/>
        </w:trPr>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-25400</wp:posOffset>
            </wp:positionV>
            <wp:extent cx="668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-8255</wp:posOffset>
            </wp:positionV>
            <wp:extent cx="668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-187960</wp:posOffset>
            </wp:positionV>
            <wp:extent cx="668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-1208405</wp:posOffset>
            </wp:positionV>
            <wp:extent cx="668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-2237740</wp:posOffset>
            </wp:positionV>
            <wp:extent cx="668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-2589530</wp:posOffset>
            </wp:positionV>
            <wp:extent cx="668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-3618230</wp:posOffset>
            </wp:positionV>
            <wp:extent cx="668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5920" w:space="520"/>
            <w:col w:w="4980"/>
          </w:cols>
          <w:pgMar w:left="240" w:top="1017" w:right="239" w:bottom="1440" w:gutter="0" w:footer="0" w:header="0"/>
          <w:type w:val="continuous"/>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17" w:right="239" w:bottom="1440" w:gutter="0" w:footer="0" w:header="0"/>
          <w:type w:val="continuous"/>
        </w:sectPr>
      </w:pPr>
    </w:p>
    <w:bookmarkStart w:id="29" w:name="page30"/>
    <w:bookmarkEnd w:id="29"/>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6"/>
          </w:tcPr>
          <w:p>
            <w:pPr>
              <w:jc w:val="center"/>
              <w:ind w:left="428"/>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 (GAAP)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342.5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363.2</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Arial" w:cs="Arial" w:eastAsia="Arial" w:hAnsi="Arial"/>
                <w:sz w:val="14"/>
                <w:szCs w:val="14"/>
                <w:color w:val="auto"/>
              </w:rPr>
              <w:t>Investments in property, plant and equipment</w:t>
            </w: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74"/>
        </w:trPr>
        <w:tc>
          <w:tcPr>
            <w:tcW w:w="5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 (Non-GAAP)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293.6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60"/>
        </w:trPr>
        <w:tc>
          <w:tcPr>
            <w:tcW w:w="5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Free cash flow (Non-GAAP)</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vMerge w:val="continue"/>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3"/>
                <w:szCs w:val="13"/>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188.4</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(GAAP)</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Free cash flow productivity (Non-GAAP)</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430.6%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3961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61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1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w:t>
      </w:r>
      <w:r>
        <w:rPr>
          <w:rFonts w:ascii="Arial" w:cs="Arial" w:eastAsia="Arial" w:hAnsi="Arial"/>
          <w:sz w:val="13"/>
          <w:szCs w:val="13"/>
          <w:color w:val="auto"/>
        </w:rPr>
        <w:t>—</w:t>
      </w:r>
      <w:r>
        <w:rPr>
          <w:rFonts w:ascii="Arial" w:cs="Arial" w:eastAsia="Arial" w:hAnsi="Arial"/>
          <w:sz w:val="17"/>
          <w:szCs w:val="17"/>
          <w:color w:val="auto"/>
        </w:rPr>
        <w:t>controlling interest.</w:t>
      </w:r>
    </w:p>
    <w:p>
      <w:pPr>
        <w:spacing w:after="0" w:line="196" w:lineRule="exact"/>
        <w:rPr>
          <w:rFonts w:ascii="Arial" w:cs="Arial" w:eastAsia="Arial" w:hAnsi="Arial"/>
          <w:sz w:val="17"/>
          <w:szCs w:val="17"/>
          <w:color w:val="auto"/>
        </w:rPr>
      </w:pPr>
    </w:p>
    <w:p>
      <w:pPr>
        <w:jc w:val="both"/>
        <w:ind w:left="660" w:hanging="652"/>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Scotts Miracle-Gro pays a quarterly dividend to the holders of its Common Shares. On August 6, 2013, Scotts Miracle-Gro announced that its Board of Directors had increased the quarterly cash dividend to $0.4375 per Common Share, which was first paid in the fourth quarter of fiscal 2013. On August 11, 2014, Scotts Miracle-Gro announced that its Board of Directors had (i) further increased the quarterly cash dividend to $0.45 per Common Share, 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first paid in the fourth quarter of fiscal 2016. On August 1, 2017, Scotts Miracle-Gro announced that its Board of Directors had further increased the quarterly cash dividend to $0.53 per Common Share, which was first paid in September 2017. On August 6, 2018, Scotts Miracle-Gro announced that its Board of Directors had further increased the quarterly cash dividend to $0.55 per Common Share, which was first paid in September 2018.</w:t>
      </w:r>
    </w:p>
    <w:p>
      <w:pPr>
        <w:spacing w:after="0" w:line="115" w:lineRule="exact"/>
        <w:rPr>
          <w:rFonts w:ascii="Arial" w:cs="Arial" w:eastAsia="Arial" w:hAnsi="Arial"/>
          <w:sz w:val="16"/>
          <w:szCs w:val="16"/>
          <w:color w:val="auto"/>
        </w:rPr>
      </w:pPr>
    </w:p>
    <w:p>
      <w:pPr>
        <w:jc w:val="both"/>
        <w:ind w:left="660" w:hanging="652"/>
        <w:spacing w:after="0" w:line="28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5.25 at September 30, 2018) and an interest coverage ratio (minimum of 3.00 for the twelve months ended September 30, 2018). Leverage ratio is calculated as average total indebtedness divided by Adjusted EBITDA. Interest coverage ratio is calculated as Adjusted EBITDA divided by interest expense, as described in the Fifth A&amp;R Credit Agreement, and excludes costs related to refinancings. Our leverage ratio was 4.23 at September 30, 2018 and our interest coverage ratio was 5.55 for the twelve months ended September 30, 2018. Please refer to “ITEM 7. MANAGEMENT’S DISCUSSION AND ANALYSIS OF FINANCIAL CONDITION AND RESULTS OF OPERATIONS — Liquidity and Capital Resources — </w:t>
      </w:r>
      <w:r>
        <w:rPr>
          <w:rFonts w:ascii="Arial" w:cs="Arial" w:eastAsia="Arial" w:hAnsi="Arial"/>
          <w:sz w:val="16"/>
          <w:szCs w:val="16"/>
          <w:i w:val="1"/>
          <w:iCs w:val="1"/>
          <w:color w:val="auto"/>
        </w:rPr>
        <w:t>Borrowing Agreements</w:t>
      </w:r>
      <w:r>
        <w:rPr>
          <w:rFonts w:ascii="Arial" w:cs="Arial" w:eastAsia="Arial" w:hAnsi="Arial"/>
          <w:sz w:val="16"/>
          <w:szCs w:val="16"/>
          <w:color w:val="auto"/>
        </w:rPr>
        <w:t>” of this Annual Report on Form 10-K for a discussion of our credit facility.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38" w:right="239" w:bottom="1440" w:gutter="0" w:footer="0" w:header="0"/>
        </w:sectPr>
      </w:pPr>
    </w:p>
    <w:bookmarkStart w:id="30" w:name="page31"/>
    <w:bookmarkEnd w:id="30"/>
    <w:p>
      <w:pPr>
        <w:jc w:val="both"/>
        <w:ind w:left="660"/>
        <w:spacing w:after="0" w:line="269" w:lineRule="auto"/>
        <w:rPr>
          <w:sz w:val="20"/>
          <w:szCs w:val="20"/>
          <w:color w:val="auto"/>
        </w:rPr>
      </w:pPr>
      <w:r>
        <w:rPr>
          <w:rFonts w:ascii="Arial" w:cs="Arial" w:eastAsia="Arial" w:hAnsi="Arial"/>
          <w:sz w:val="17"/>
          <w:szCs w:val="17"/>
          <w:color w:val="auto"/>
        </w:rPr>
        <w:t>In accordance with the terms of our credit facility,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(loss). For the fourth quarter of fiscal 2015, the Company changed its calculation of Adjusted EBITDA to reflect the measure as defined in our fourth amended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from solely for the purpose of complying with SEC regulations and not as an indication that Adjusted EBITDA is a substitute measure for net income.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2"/>
              </w:rPr>
              <w:t>Year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(Gain) loss on sale / contribution of business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Gain on investment in unconsolidated affiliate</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expense,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on certain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the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6"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within the United States and certain other specified countries. Through our Hawthorne segment, we are a leading manufacturer, marketer and distributor of nutrients, growing media, advanced indoor garden, lighting and ventilation systems and accessories for hydroponic gardening.</w:t>
      </w:r>
    </w:p>
    <w:p>
      <w:pPr>
        <w:spacing w:after="0" w:line="1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August 31, 2017, we completed the divestiture of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SLS Business to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 For additional information, see “NOTE 2. DISCONTINUED OPERATIONS” of the Notes to Consolidated Financial Statements included in this Annual Report on Form 10-K.</w:t>
      </w:r>
    </w:p>
    <w:p>
      <w:pPr>
        <w:spacing w:after="0" w:line="1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Beginning in fiscal 2015, our Hawthorne segment has made a series of key acquisitions, including General Hydroponics, Gavita, Botanicare, Vermicrop, Agrolux, Can-Filters and AeroGrow. On June 4, 2018, we acquired substantially all of the assets of Sunlight Supply. Sunlight Supply is the largest distributor of hydroponic products in the United States, and is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The estimated purchase price of Sunlight Supply was $459.1 million, a portion of which was paid by the issuance of 0.3 million Common Shares with a fair value of $23.4 million. The purchase price included contingent consideration with an estimated fair value of $3.1 million and a maximum payout of $20.0 million, which will be paid by the Company contingent on the achievement of certain performance metrics of the Company through the one year anniversary of the closing date.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recent acquisitions within Hawthorne.</w:t>
      </w:r>
    </w:p>
    <w:p>
      <w:pPr>
        <w:spacing w:after="0" w:line="11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0" w:right="239" w:bottom="1440" w:gutter="0" w:footer="0" w:header="0"/>
        </w:sectPr>
      </w:pPr>
    </w:p>
    <w:bookmarkStart w:id="32" w:name="page33"/>
    <w:bookmarkEnd w:id="32"/>
    <w:p>
      <w:pPr>
        <w:jc w:val="both"/>
        <w:ind w:firstLine="432"/>
        <w:spacing w:after="0" w:line="293"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319"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2018</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2016 is the most recent year impacted by this process and, as a result, the first quarter of fiscal 2016 had six additional days and the fourth quarter of fiscal 2016 had five fewer days compared to the corresponding quarters of fiscal 2015.</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metrics are evaluated with and without impairment, restructuring and other charges that do not occur in or reflect the ordinary course of our ongoing business operations. Metrics that exclude impairment, restructuring and other charges are used by management to evaluate our performance, engage in financial and operational planning and determine incentive compensation because we believe that these measures provide additional perspective on the performance of our underlying, ongoing business. Refer to “ITEM 6. SELECTED FINANCIAL DATA” for further discussion of non-GAAP measures. We also focus on measures to optimize cash flow and return on invested capital, including the management of working capital and capital expenditures.</w:t>
      </w:r>
    </w:p>
    <w:p>
      <w:pPr>
        <w:spacing w:after="0" w:line="18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an aggregate of $1.0 billion through September 30, 2019. During fiscal 2018, Scotts Miracle-Gro repurchased 3.5 million Common Shares for $323.1 million. From the inception of this share repurchase program in the fourth quarter of fiscal 2014 through September 30, 2018, Scotts Miracle-Gro repurchased approximately 8.3 million Common Shares for $714.6 million. Common Shares held in treasury totaling 0.4 million, 0.5 million and 0.6 million were reissued in support of share-based compensation awards and employee purchases under the employee stock purchase plan during fiscal 2018, fiscal 2017 and fiscal 2016, respectively.</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1, 2017, the Scotts Miracle-Gro Board of Directors approved an increase in our quarterly cash dividend from $0.50 to $0.53 per Common Share, which was paid in September of fiscal 2017 and December, March and June of fiscal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6"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On August 6, 2018, the Scotts Miracle-Gro Board of Directors approved an increase in our quarterly cash dividend from $0.53 to $0.55 per Common Share, which was paid in September of fiscal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fourth quarter of fiscal 2017, we classified our results of operations for all periods presented to reflect the International Business as a discontinued operation. Effective in our second quarter of fiscal 2016, we classified our results of operations for all periods presented to reflect the SLS Business as a discontinued operation. As a result, unless otherwise specifically stated, all discussions regarding results for the fiscal years ended September 30, 2018, 2017 and 2016 reflect results from our continuing operations.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10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gridSpan w:val="2"/>
          </w:tcPr>
          <w:p>
            <w:pPr>
              <w:ind w:left="6860"/>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2016</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63.8</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35.9</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20.7</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restructuring and other</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Other income,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(0.6)</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r>
      <w:tr>
        <w:trPr>
          <w:trHeight w:val="24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Equity in (income) loss of unconsolidated affiliates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4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15.3</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9.8</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(loss) from discontinued operations, net of tax</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17145</wp:posOffset>
            </wp:positionV>
            <wp:extent cx="3310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-98425</wp:posOffset>
            </wp:positionV>
            <wp:extent cx="3310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for fiscal 2018 increased 0.8% to $2.66 billion from $2.64 billion in fiscal 2017. Net sales for fiscal 2017 increased 5.4% to $2.64 billion from $2.51 billion in fiscal 2016. These changes in net sales were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123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8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Foreign exchange rates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(0.1)</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Volume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(1.4)</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2018 was primarily driven by:</w:t>
      </w:r>
    </w:p>
    <w:p>
      <w:pPr>
        <w:spacing w:after="0" w:line="117"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addition of net sales from acquisitions of $136.3 million in our Hawthorne segment, primarily from Sunlight Supply, Agrolux and Can-Filters;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favorable impact of foreign exchange rates as a result of the weakening of the U.S. dollar relative to the euro and the Canadian dollar;</w:t>
      </w:r>
    </w:p>
    <w:p>
      <w:pPr>
        <w:sectPr>
          <w:pgSz w:w="11900" w:h="16838" w:orient="portrait"/>
          <w:cols w:equalWidth="0" w:num="1">
            <w:col w:w="11420"/>
          </w:cols>
          <w:pgMar w:left="240" w:top="1016"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016" w:right="239" w:bottom="1440" w:gutter="0" w:footer="0" w:header="0"/>
          <w:type w:val="continuous"/>
        </w:sectPr>
      </w:pPr>
    </w:p>
    <w:bookmarkStart w:id="34" w:name="page35"/>
    <w:bookmarkEnd w:id="34"/>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partially offset by decreased sales volume driven by decreased sales of fertilizer, controls and plant food products in our U.S. Consumer segment and hydroponic gardening products in our Hawthorne segment excluding the impact of acquisitions, partially offset by increased sales of soils and grass seed products in our U.S. Consumer segment and increased sales in our Other segment from our business in Canada;</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net sales for fiscal 2017 was primarily driven by:</w:t>
      </w:r>
    </w:p>
    <w:p>
      <w:pPr>
        <w:spacing w:after="0" w:line="112"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addition of net sales from acquisitions of $136.2 million in our Hawthorne segment, primarily from Gavita, Botanicare and Agrolux, as well as the acquisition of a Canadian growing media operation in our Other segment;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pricing in our U.S. Consumer segment primarily driven by lower volume rebates as a result of sales volume decline; and</w:t>
      </w:r>
    </w:p>
    <w:p>
      <w:pPr>
        <w:spacing w:after="0" w:line="117"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sales of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in our U.S. Consumer segment, and increased sales of hydroponic gardening products in our Hawthorne segment;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decreased sales of mulch products in our U.S. Consumer segment;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the Canadian dollar, partially offset by the weakening of the U.S. dollar relative to the euro.</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323.3</w:t>
            </w: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300.2</w:t>
            </w:r>
          </w:p>
        </w:tc>
      </w:tr>
      <w:tr>
        <w:trPr>
          <w:trHeight w:val="270"/>
        </w:trPr>
        <w:tc>
          <w:tcPr>
            <w:tcW w:w="6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w:t>
            </w:r>
          </w:p>
        </w:tc>
      </w:tr>
      <w:tr>
        <w:trPr>
          <w:trHeight w:val="244"/>
        </w:trPr>
        <w:tc>
          <w:tcPr>
            <w:tcW w:w="6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9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 product mix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-139065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722947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cost of sales for fiscal 2018 was primarily driven 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1045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2017</w:t>
            </w:r>
          </w:p>
        </w:tc>
      </w:tr>
      <w:tr>
        <w:trPr>
          <w:trHeight w:val="244"/>
        </w:trPr>
        <w:tc>
          <w:tcPr>
            <w:tcW w:w="580" w:type="dxa"/>
            <w:vAlign w:val="bottom"/>
          </w:tcPr>
          <w:p>
            <w:pPr>
              <w:spacing w:after="0"/>
              <w:rPr>
                <w:sz w:val="21"/>
                <w:szCs w:val="21"/>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21"/>
                <w:szCs w:val="21"/>
                <w:color w:val="auto"/>
              </w:rPr>
            </w:pPr>
          </w:p>
        </w:tc>
      </w:tr>
      <w:tr>
        <w:trPr>
          <w:trHeight w:val="255"/>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90.6</w:t>
            </w:r>
          </w:p>
        </w:tc>
      </w:tr>
      <w:tr>
        <w:trPr>
          <w:trHeight w:val="270"/>
        </w:trPr>
        <w:tc>
          <w:tcPr>
            <w:tcW w:w="580" w:type="dxa"/>
            <w:vAlign w:val="bottom"/>
          </w:tcPr>
          <w:p>
            <w:pPr>
              <w:spacing w:after="0"/>
              <w:rPr>
                <w:sz w:val="23"/>
                <w:szCs w:val="23"/>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5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5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69.5</w:t>
            </w:r>
          </w:p>
        </w:tc>
      </w:tr>
      <w:tr>
        <w:trPr>
          <w:trHeight w:val="270"/>
        </w:trPr>
        <w:tc>
          <w:tcPr>
            <w:tcW w:w="580" w:type="dxa"/>
            <w:vAlign w:val="bottom"/>
          </w:tcPr>
          <w:p>
            <w:pPr>
              <w:spacing w:after="0"/>
              <w:rPr>
                <w:sz w:val="23"/>
                <w:szCs w:val="23"/>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63.6</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5800" w:space="720"/>
            <w:col w:w="4900"/>
          </w:cols>
          <w:pgMar w:left="240" w:top="963" w:right="239" w:bottom="1440" w:gutter="0" w:footer="0" w:header="0"/>
          <w:type w:val="continuous"/>
        </w:sect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of $125.2 million included within “volume, product mix and other” related to sales from acquisitions in our Hawthorne segment, primarily from Sunlight Supply, Agrolux and Can-Filters, and including $12.2 million related to acquisition date inventory fair value adjustments;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3" w:right="239" w:bottom="1440" w:gutter="0" w:footer="0" w:header="0"/>
          <w:type w:val="continuous"/>
        </w:sectPr>
      </w:pPr>
    </w:p>
    <w:bookmarkStart w:id="35" w:name="page36"/>
    <w:bookmarkEnd w:id="35"/>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higher transportation costs included within “volume, product mix and other” associated with our U.S. Consumer, Hawthorne and Other segments;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 and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$20.5 million related to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partially offset by decreased sales volume in our U.S. Consumer and Hawthorne segments excluding the impact of acquisitions, partially offset by increased sales volume in our Other segment;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net sales attributable to reimbursements under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sales for fiscal 2017 was primarily driven by:</w:t>
      </w:r>
    </w:p>
    <w:p>
      <w:pPr>
        <w:spacing w:after="0" w:line="131" w:lineRule="exact"/>
        <w:rPr>
          <w:sz w:val="20"/>
          <w:szCs w:val="20"/>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$98.2 million included within “volume, product mix and other” related to sales from acquisitions in our Hawthorne segment, primarily from Gavita, Botanicare and Agrolux, as well as $7.5 million in costs related to sales from the acquisition of a Canadian growing media operation in our Other segment;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partially offset by lower material costs in our U.S. Consumer segment driven by lower commodity costs primarily related to fertilizer inputs;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sales volume in our U.S. Consumer segment, partially offset by increased sales volume in our Hawthorne segment excluding the impact of acquisitions;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the Canadian dollar, partially offset by weakening of the U.S. dollar relative to the euro; and</w:t>
      </w:r>
    </w:p>
    <w:p>
      <w:pPr>
        <w:spacing w:after="0" w:line="62"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other charges of $5.9 million related to costs incurred during fiscal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a percentage of net sales, our gross profit rate was 32.5%, 36.8% and 35.9% for fiscal 2018, fiscal 2017 and fiscal 2016, respectively. Factors contributing to the change in gross profit rate are outlined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500" w:type="dxa"/>
            <w:vAlign w:val="bottom"/>
            <w:tcBorders>
              <w:bottom w:val="single" w:sz="8" w:color="auto"/>
            </w:tcBorders>
            <w:gridSpan w:val="3"/>
          </w:tcPr>
          <w:p>
            <w:pPr>
              <w:ind w:left="1700"/>
              <w:spacing w:after="0"/>
              <w:rPr>
                <w:sz w:val="20"/>
                <w:szCs w:val="20"/>
                <w:color w:val="auto"/>
              </w:rPr>
            </w:pPr>
            <w:r>
              <w:rPr>
                <w:rFonts w:ascii="Arial" w:cs="Arial" w:eastAsia="Arial" w:hAnsi="Arial"/>
                <w:sz w:val="14"/>
                <w:szCs w:val="14"/>
                <w:b w:val="1"/>
                <w:bCs w:val="1"/>
                <w:color w:val="auto"/>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2017</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Volume, product mix and other</w:t>
            </w:r>
          </w:p>
        </w:tc>
        <w:tc>
          <w:tcPr>
            <w:tcW w:w="246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jc w:val="right"/>
              <w:ind w:right="172"/>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r>
      <w:tr>
        <w:trPr>
          <w:trHeight w:val="270"/>
        </w:trPr>
        <w:tc>
          <w:tcPr>
            <w:tcW w:w="636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(0.3)</w:t>
            </w: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350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r>
      <w:tr>
        <w:trPr>
          <w:trHeight w:val="237"/>
        </w:trPr>
        <w:tc>
          <w:tcPr>
            <w:tcW w:w="6360" w:type="dxa"/>
            <w:vAlign w:val="bottom"/>
          </w:tcPr>
          <w:p>
            <w:pPr>
              <w:spacing w:after="0"/>
              <w:rPr>
                <w:sz w:val="20"/>
                <w:szCs w:val="20"/>
                <w:color w:val="auto"/>
              </w:rPr>
            </w:pPr>
          </w:p>
        </w:tc>
        <w:tc>
          <w:tcPr>
            <w:tcW w:w="24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0.6</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6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rate for fiscal 2018 was primarily driven by:</w:t>
      </w:r>
    </w:p>
    <w:p>
      <w:pPr>
        <w:spacing w:after="0" w:line="1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primarily from Sunlight Supply, Agrolux and Can-Filters;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transportation costs included within “volume, product mix and other” associated with our U.S. Consumer, Hawthorne and Other segments;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leverage of fixed costs such as warehousing driven by lower sales volumes in our U.S. Consumer and Hawthorne segments excluding the impact of acquisitions;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product mix in our U.S. Consumer segment due to decreased sales of fertilizer and plant food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62" w:right="239" w:bottom="1440" w:gutter="0" w:footer="0" w:header="0"/>
        </w:sectPr>
      </w:pPr>
    </w:p>
    <w:bookmarkStart w:id="36" w:name="page37"/>
    <w:bookmarkEnd w:id="36"/>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related to facility closures, impairment of property, plant and equipment and employee termination benefits associated with Project Catalyst.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rate for fiscal 2017 was primarily driven by:</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pricing in our U.S. Consumer segment primarily driven by lower volume rebates as a result of year-to-date sales volume decline; and</w:t>
      </w:r>
    </w:p>
    <w:p>
      <w:pPr>
        <w:spacing w:after="0" w:line="128"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other charges of $5.9 million related to costs incurred during fiscal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ind w:left="660" w:hanging="328"/>
        <w:spacing w:after="0" w:line="27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an unfavorable net impact from acquisitions in our Hawthorne segment, primarily from Gavita, Botanicare and Agrolux, as well as the acquisition of a Canadian growing media operation in our Other segment; and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 September 30,</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2016</w:t>
            </w:r>
          </w:p>
        </w:tc>
      </w:tr>
      <w:tr>
        <w:trPr>
          <w:trHeight w:val="196"/>
        </w:trPr>
        <w:tc>
          <w:tcPr>
            <w:tcW w:w="5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400" w:type="dxa"/>
            <w:vAlign w:val="bottom"/>
          </w:tcPr>
          <w:p>
            <w:pPr>
              <w:spacing w:after="0"/>
              <w:rPr>
                <w:sz w:val="17"/>
                <w:szCs w:val="17"/>
                <w:color w:val="auto"/>
              </w:rPr>
            </w:pPr>
          </w:p>
        </w:tc>
      </w:tr>
      <w:tr>
        <w:trPr>
          <w:trHeight w:val="256"/>
        </w:trPr>
        <w:tc>
          <w:tcPr>
            <w:tcW w:w="55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Advertising</w:t>
            </w:r>
          </w:p>
        </w:tc>
        <w:tc>
          <w:tcPr>
            <w:tcW w:w="1180" w:type="dxa"/>
            <w:vAlign w:val="bottom"/>
            <w:tcBorders>
              <w:bottom w:val="single" w:sz="8" w:color="BFE4FF"/>
            </w:tcBorders>
            <w:shd w:val="clear" w:color="auto" w:fill="BFE4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104.2</w:t>
            </w:r>
          </w:p>
        </w:tc>
        <w:tc>
          <w:tcPr>
            <w:tcW w:w="4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122.3</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36.0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15.6</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13.6</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330.5</w:t>
            </w:r>
          </w:p>
        </w:tc>
      </w:tr>
      <w:tr>
        <w:trPr>
          <w:trHeight w:val="27"/>
        </w:trPr>
        <w:tc>
          <w:tcPr>
            <w:tcW w:w="554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540.1</w:t>
            </w:r>
          </w:p>
        </w:tc>
        <w:tc>
          <w:tcPr>
            <w:tcW w:w="40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518.0</w:t>
            </w:r>
          </w:p>
        </w:tc>
      </w:tr>
      <w:tr>
        <w:trPr>
          <w:trHeight w:val="20"/>
        </w:trPr>
        <w:tc>
          <w:tcPr>
            <w:tcW w:w="5540" w:type="dxa"/>
            <w:vAlign w:val="bottom"/>
            <w:tcBorders>
              <w:top w:val="single" w:sz="8" w:color="BFE4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SG&amp;A decreased $10.8 million, or 2.0%, during fiscal 2018 compared to fiscal 2017; and increased $32.9 million, or 6.4%, during fiscal 2017 compared to fiscal 2016. Advertising expense decreased $18.8 million, or 15.3%, during fiscal 2018 as our U.S. Consumer segment increased customer promotional spending with certain retailers, which are recorded as a reduction of net sales, and decreased SG&amp;A media spending.</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Share-based compensation expense increased $15.2 million, or 60.3%, in fiscal 2018 due to an increase in the expected payout percentage on long-term performance-based awards as a result of strong cash flow performance over the last two years and expectations for future periods. Share-based compensation expense increased $9.6 million, or 61.5%, in fiscal 2017 due to the issuance of long-term performance based equity awards as part of the Project Focus initiative.</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expense increased $7.0 million, or 32.0%, in fiscal 2018 and increased $8.3 million, or 61.0%, in fiscal 2017 due to the impact of recent acquisitions.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SG&amp;A decreased $16.8 million, or 4.9%, in fiscal 2018 due to lower short-term variable cash incentive compensation expense of $19.3 million as a result of lower current fiscal year operating income performance and lower selling, marketing and fringe benefit expenses of $12.3 million, partially offset by the impact of recent acquisitions of $14.7 million and increased headcount and integration costs for our hydroponic business. Other SG&amp;A increased $10.4 million, or 3.1%, in fiscal 2017 due to the impact of recent acquisitions of $14.7 million and increased headcount and integration costs for our hydroponic businesses of $6.9 million, partially offset by lower deal costs related to transaction activity of $5.3 million and decreased variable incentive compensation of $7.7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62"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in the “Cost of sales—impairment, restructuring and other,” “Impairment, restructuring and other” and “Income (loss) from discontinued operations, net of tax” lines in the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Goodwill and intangible asset impairments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152.8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Restructuring and other charges from discontinued operations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239.6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Project Catalyst is a company-wide restructuring effort to reduce operating costs throughout our U.S. Consumer, Hawthorne and Other segments and drive synergies from recent acquisitions within our Hawthorne segment. We recognized charges of $29.4 million related to Project Catalyst during fiscal 2018. During fiscal 2018, our Hawthorne segment executed facility closures and consolidations, terminated employees in duplicate roles, and recognized employee termination benefits of $0.3 million, impairment of property, plant and equipment of $2.9 million, and facility closure costs of $9.2 million in the “Cost of sales—impairment, restructuring and other” line in the Consolidated Statements of Operations. Our Hawthorne segment also recognized employee termination benefits of $3.5 million and facility closure costs of $1.9 million in the “Impairment, restructuring and other” line in the Consolidated Statement of Operations. Our U.S. Consumer segment, in connection with an announced facility closure, recognized employee termination benefits of $1.6 million, impairment of property, plant and equipment of $5.3 million, and facility closure costs of $1.3 million during fiscal 2018 in the “Cost of sales—impairment, restructuring and other” line in the Consolidated Statements of Operations. Our U.S. Consumer segment also recognized employee termination benefits of $3.4 million in the “Impairment, restructuring and other” line in the Consolidated Statement of Operations. Costs incurred to date since the inception of Project Catalyst are $17.8 million for our Hawthorne segment and $11.6 million for our U.S. Consumer segment.</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the first quarter of fiscal 2016, we announced a series of initiatives called Project Focus designed to maximize the value of our non-core assets and focus on emerging categories of the lawn and garden industry in our core U.S. business. During fiscal 2018, our U.S. Consumer segment recognized adjustments of $0.1 million related to previously recognized termination benefits associated with Project Focus in the “Impairment, restructuring and other” line in the Consolidated Statements of Operations. During fiscal 2017, we recognized restructuring costs related to termination benefits and facility closure costs of $8.3 million in the “Impairment, restructuring and other” line in the Consolidated Statements of Operations, including $6.7 million for our U.S. Consumer segment, $0.9 million for our Hawthorne segment and $0.7 million for our Other segment. During fiscal 2016, we recognized restructuring costs related to termination benefits of $3.9 million related to Project Focus in the “Impairment, restructuring and other” line in the Consolidated Statements of Operations. Costs incurred to date since the inception of the Project Focus initiatives are $10.0 million for our U.S. Consumer segment, $0.9 million for our Hawthorne segment and $1.2 million for our Other segment, related to transaction activity, termination benefits and facility closure costs.</w:t>
      </w:r>
    </w:p>
    <w:p>
      <w:pPr>
        <w:spacing w:after="0" w:line="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13, 2016, as part of Project Focus, we completed the contribution of the SLS Business to the TruGreen Joint Venture. Refer to “NOTE 2. DISCONTINUED OPERATIONS” for more information. During fiscal 2017 and fiscal 2016, we recognized $0.8 million and $4.6 million, respectively, in transaction related costs associated with the divestiture of the SLS Business in the “Income (loss) from discontinued operations, net of tax” line in the Consolidated Statements of Operations. During fiscal 2016, we recognized a pre-tax charge of $9.0 million for the resolution of a prior SLS Business litigation matter in the “Income (loss) from discontinued operations, net of tax” line in the Consolidated Statements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98" w:right="239" w:bottom="1440" w:gutter="0" w:footer="0" w:header="0"/>
        </w:sectPr>
      </w:pPr>
    </w:p>
    <w:bookmarkStart w:id="38" w:name="page39"/>
    <w:bookmarkEnd w:id="38"/>
    <w:p>
      <w:pPr>
        <w:jc w:val="both"/>
        <w:ind w:firstLine="405"/>
        <w:spacing w:after="0" w:line="279" w:lineRule="auto"/>
        <w:rPr>
          <w:sz w:val="20"/>
          <w:szCs w:val="20"/>
          <w:color w:val="auto"/>
        </w:rPr>
      </w:pPr>
      <w:r>
        <w:rPr>
          <w:rFonts w:ascii="Arial" w:cs="Arial" w:eastAsia="Arial" w:hAnsi="Arial"/>
          <w:sz w:val="17"/>
          <w:szCs w:val="17"/>
          <w:color w:val="auto"/>
        </w:rPr>
        <w:t>On August 31, 2017, we completed the sale of the International Business. Refer to “NOTE 2. DISCONTINUED OPERATIONS” for more information. During fiscal 2018, fiscal 2017 and fiscal 2016, we recognized $1.8 million, $15.5 million and $2.5 million, respectively, in transaction related costs associated with the sale of the International Business as well as termination benefits and facility closure costs of zero, $(0.4) million and $3.6 million, respectively, in the “Income (loss) from discontinued operations, net of tax” line in the Consolidated Statements of Operations.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Bonus 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During the third quarter of fiscal 2015, our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In fiscal 2016, we incurred $6.4 million in costs related to resolving these consumer complaints and the recognition of costs we expected to incur for consumer claims in the “Impairment, restructuring and other” and the “Cost of sales—impairment, restructuring and other” lines in the Consolidated Statements of Operations. Additionally, we recorded offsetting insurance reimbursement recoveries of $55.9 million in fiscal 2016 in the “Impairment, restructuring and other” line in the Consolidated Statements of Operations. Costs incurred to date since the inception of this matter were $73.8 million, partially offset by insurance reimbursement recoveries of $60.8 million.</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we recognized a non-cash impairment charge of $94.6 million related to a goodwill impairment in the Hawthorne segment in the “Impairment, restructuring and other” line in the Consolidated Statements of Operations as a result of the Company’s annual fourth quarter quantitative goodwill impairment test. Refer to “NOTE 4. GOODWILL AND INTANGIBLE ASSETS, NET”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we recognized a non-cash impairment charge of $17.5 million related to the settlement of a portion of certain previously acquired customer relationships due to the acquisition of Sunlight Supply in the “Impairment, restructuring and other” line in the Consolidated Statement of Operations. Refer to “NOTE 7. ACQUISITIONS AND INVESTMENTS”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fiscal 2018, we recognized a pre-tax charge of $85.0 million for a probable loss related to the previously disclosed legal matter </w:t>
      </w:r>
      <w:r>
        <w:rPr>
          <w:rFonts w:ascii="Arial" w:cs="Arial" w:eastAsia="Arial" w:hAnsi="Arial"/>
          <w:sz w:val="18"/>
          <w:szCs w:val="18"/>
          <w:i w:val="1"/>
          <w:iCs w:val="1"/>
          <w:color w:val="auto"/>
        </w:rPr>
        <w:t>In re Morning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Song Bird Food Litigation </w:t>
      </w:r>
      <w:r>
        <w:rPr>
          <w:rFonts w:ascii="Arial" w:cs="Arial" w:eastAsia="Arial" w:hAnsi="Arial"/>
          <w:sz w:val="18"/>
          <w:szCs w:val="18"/>
          <w:color w:val="auto"/>
        </w:rPr>
        <w:t>in the “Income (loss) from discontinued operations, net of tax” line in the Consolidated Statements of Operations. Refer to “NOTE</w:t>
      </w:r>
      <w:r>
        <w:rPr>
          <w:rFonts w:ascii="Arial" w:cs="Arial" w:eastAsia="Arial" w:hAnsi="Arial"/>
          <w:sz w:val="18"/>
          <w:szCs w:val="18"/>
          <w:i w:val="1"/>
          <w:iCs w:val="1"/>
          <w:color w:val="auto"/>
        </w:rPr>
        <w:t xml:space="preserve"> </w:t>
      </w:r>
      <w:r>
        <w:rPr>
          <w:rFonts w:ascii="Arial" w:cs="Arial" w:eastAsia="Arial" w:hAnsi="Arial"/>
          <w:sz w:val="18"/>
          <w:szCs w:val="18"/>
          <w:color w:val="auto"/>
        </w:rPr>
        <w:t>19. CONTINGENCIES”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fiscal 2018, we recognized a charge of $11.7 million for a probable loss related to the previously disclosed legal matter </w:t>
      </w:r>
      <w:r>
        <w:rPr>
          <w:rFonts w:ascii="Arial" w:cs="Arial" w:eastAsia="Arial" w:hAnsi="Arial"/>
          <w:sz w:val="18"/>
          <w:szCs w:val="18"/>
          <w:i w:val="1"/>
          <w:iCs w:val="1"/>
          <w:color w:val="auto"/>
        </w:rPr>
        <w:t>In re Scotts EZ Seed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in the “Impairment, restructuring and other” line in the Consolidated Statements of Operations. Refer to “NOTE 19. CONTINGENCIES”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2017, we recognized a recovery of $4.4 million related to the reduction of a contingent consideration liability associated with a historical acquisition and recorded a $1.0 million impairment charge on the write-off of a trademark asset due to recent performance and future growth expectations within the “Impairment, restructuring and other” line in the Consolidated Statements of Operations.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Other income is comprised of activities outside our normal business operations, such as royalty income from the licensing of certain of our brand names, foreign exchange gains/losses and gains/losses from the disposition of non-inventory assets. Other income was $6.7 million, $16.6 million and $13.8 million in fiscal 2018, fiscal 2017 and fiscal 2016, respectively. The decrease for fiscal 2018 was due to interest income of $10.0 million on loans receivable that was classified in the “Other income, net” line in the Consolidated Statements of Operations in fiscal 2017 but was classified in the “Other non-operating expense, net” line in the Consolidated Statements of Operations in fiscal 2018, as well as a decrease in royalty income earned from the TruGreen Joint Venture related to its use of our brand names following the divestiture of the SLS Business, partially offset by an increase in royalty income earned from Exponent related to its use of our brand names following the divestiture of the International Business. The increase in other income for fiscal 2017 was due to an increase in income on loans receivable partially offset by a decrease in royalty income earned from the TruGreen Joint Venture related to its use of our brand names following the divestiture of the SLS Business.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was $198.9 million in fiscal 2018, a decrease of 54.1% from fiscal 2017 income from operations of $433.4 million. The decrease was driven by higher impairment, restructuring and other charges, a decrease in gross profit and a decrease in other income, partially offset by lower SG&amp;A.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89" w:right="239" w:bottom="1440" w:gutter="0" w:footer="0" w:header="0"/>
        </w:sectPr>
      </w:pPr>
    </w:p>
    <w:bookmarkStart w:id="39" w:name="page40"/>
    <w:bookmarkEnd w:id="39"/>
    <w:p>
      <w:pPr>
        <w:jc w:val="both"/>
        <w:ind w:firstLine="432"/>
        <w:spacing w:after="0" w:line="264" w:lineRule="auto"/>
        <w:rPr>
          <w:sz w:val="20"/>
          <w:szCs w:val="20"/>
          <w:color w:val="auto"/>
        </w:rPr>
      </w:pPr>
      <w:r>
        <w:rPr>
          <w:rFonts w:ascii="Arial" w:cs="Arial" w:eastAsia="Arial" w:hAnsi="Arial"/>
          <w:sz w:val="18"/>
          <w:szCs w:val="18"/>
          <w:color w:val="auto"/>
        </w:rPr>
        <w:t>Income from operations was $433.4 million in fiscal 2017, a decrease of 3.2% from fiscal 2016 income from operations of $447.6 million. The decrease was driven by impairment, restructuring and other charges during fiscal 2017 as compared to recoveries during fiscal 2016, and higher SG&amp;A, partially offset by an increase in net sales, gross profit rate and other income.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the first quarter of fiscal 2018, our net investment and advances in the TruGreen Joint Venture were reduced to a liability and we no longer record our proportionate share of the TruGreen Joint Venture earnings in the Consolidated Statements of Operations until our net investment and advances are no longer a liability. We do not have any contractual obligation to fund further losses of the TruGreen Joint Venture. During the fourth quarter of fiscal 2017, we made a $29.4 million investment in an unconsolidated subsidiary whose products support the professional U.S. industrial, turf and ornamental market.</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Equity in (income) loss of unconsolidated affiliates was $(4.9) million, $29.0 million and $(7.8) million in fiscal 2018, fiscal 2017 and fiscal 2016, respectively. Our share of restructuring and other charges incurred by the TruGreen Joint Venture was $25.2 million and $11.7 million in fiscal 2017 and fiscal 2016, respectively. For fiscal 2017, these charges included $1.3 million for transaction costs, $12.1 million for nonrecurring integration and separation costs, $7.2 million of costs associated with the TruGreen Joint Venture’s August 2017 debt refinancing and $4.6 million for a non-cash purchase accounting fair value write-down adjustment related to deferred revenue and advertising. For fiscal 2016, these charges included $6.0 million for transaction costs, $4.4 million for nonrecurring integration and separation costs and $1.3 million for a non-cash purchase accounting fair value write-down adjustment related to deferred revenue and advertising.</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fiscal 2016. The costs incurred were associated with the redemption of all $200.0 million aggregate principal amount of our outstanding 6.625% senior notes due 2020 (the “6.625% Senior Notes”) on December 15, 2015, and are comprised of $6.6 million of call premium and $2.2 million of unamortized bond discount and issuance costs that were written off.</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Interest expense was $86.4 million in fiscal 2018, an increase of 13.5% from fiscal 2017 interest expense of $76.1 million. The increase was driven by an increase in average borrowings of $332.8 million, partially offset by a decrease in our weighted average interest rate of 24 basis points. The increase in average borrowings was driven by recent acquisition activity and an increase in repurchases of our Common Shares.</w:t>
      </w:r>
    </w:p>
    <w:p>
      <w:pPr>
        <w:spacing w:after="0" w:line="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$76.1 million in fiscal 2017, an increase of 21.0% from fiscal 2016 interest expense of $62.9 million. The increase was driven by an increase in average borrowings of $239.4 million, as well as an increase in our weighted average interest rate of 16 basis points. The increase in average borrowings was driven by recent acquisition activity and an increase in repurchases of our Common Shares. The increase in the weighted average interest rate was primarily due to the issuance of our 5.250% Senior Notes on December 15, 2016.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Non-Operating Expense, net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non-operating expense, net was $1.7 million, $13.4 million and zero for the fiscal 2018, fiscal 2017 and fiscal 2016, respectively. As a result of the enactment of H.R.1 (the “Act,” formerly known as the “Tax Cuts and Jobs Act”) on December 22, 2017, we repatriated cash from a foreign subsidiary during the second quarter of fiscal 2018 resulting in the liquidation of substantially all of the assets of the subsidiary and the write-off of accumulated foreign currency translation loss adjustments of $11.7 million during the second quarter of fiscal 2018 within the “Other non-operating expense, net” line in the Consolidated Statements of Operations. This was partially offset by interest income on loans receivable of $10.0 million that was classified in the “Other non-operating expense, net” line in the Consolidated Statements of Operations in fiscal 2018, but was classified in the “Other income, net” line in the Consolidated Statements of Operations in fiscal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17" w:right="239" w:bottom="1440" w:gutter="0" w:footer="0" w:header="0"/>
        </w:sectPr>
      </w:pPr>
    </w:p>
    <w:bookmarkStart w:id="40" w:name="page41"/>
    <w:bookmarkEnd w:id="40"/>
    <w:p>
      <w:pPr>
        <w:jc w:val="both"/>
        <w:ind w:firstLine="432"/>
        <w:spacing w:after="0" w:line="286" w:lineRule="auto"/>
        <w:rPr>
          <w:sz w:val="20"/>
          <w:szCs w:val="20"/>
          <w:color w:val="auto"/>
        </w:rPr>
      </w:pPr>
      <w:r>
        <w:rPr>
          <w:rFonts w:ascii="Arial" w:cs="Arial" w:eastAsia="Arial" w:hAnsi="Arial"/>
          <w:sz w:val="17"/>
          <w:szCs w:val="17"/>
          <w:color w:val="auto"/>
        </w:rPr>
        <w:t>On October 2, 2017, we acquired the remaining 25% noncontrolling interest in Gavita and its subsidiaries, including Agrolux, for $72.2 million. We recorded a charge of $13.4 million during the fourth quarter of fiscal 2017 to write-up the fair value of the loan to the noncontrolling ownership group of Gavita to the agreed upon buyout value in the “Other non-operating expense, net” line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23495</wp:posOffset>
            </wp:positionV>
            <wp:extent cx="37134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80" w:type="dxa"/>
            <w:vAlign w:val="bottom"/>
            <w:gridSpan w:val="2"/>
          </w:tcPr>
          <w:p>
            <w:pPr>
              <w:ind w:left="630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Effect of tax reform</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r>
      <w:tr>
        <w:trPr>
          <w:trHeight w:val="27"/>
        </w:trPr>
        <w:tc>
          <w:tcPr>
            <w:tcW w:w="5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December 22, 2017, the Act was signed into law. The Act provides for significant changes to the U.S. Internal Revenue Code of 1986, as amended (the “Code”). Among other items, the Act implements a territorial tax system, imposes a one-time transition tax on deemed repatriated earnings of foreign subsidiaries, and reduces the federal corporate statutory tax rate to 21% effective January 1, 2018. As our fiscal year end falls on September 30, the federal corporate statutory tax rate for fiscal 2018 was prorated to 24.5%, with the statutory rate for fiscal 2019 and beyond at 21%.</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effective tax rates related to continuing operations in fiscal 2018, fiscal 2017 and fiscal 2016 were (10.3)%, 37.0% and 35.9%, respectively. Included in the effective tax rate for fiscal 2018 are one-time impacts related to the tax law change of $42.8 million. These include a one-time $44.6 million net tax benefit adjustment reflecting the revaluation of our net deferred tax liability at the lower tax rate. In addition, we recognized a one-time tax expense on deemed repatriated earnings and cash of foreign subsidiaries as required by the Act of $21.2 million, partially offset by the recognition and application of foreign tax credits associated with these foreign subsidiaries of $18.2 million. We also reduced the value of deferred tax liabilities associated with the write-off of previously acquired customer relationship intangible assets by $7.3 million, which was recognized in the “Income tax expense (benefit) from continuing operations” line in the Consolidated Statement of Operations in fiscal 2018. During the fourth quarter of fiscal 2018, we recognized a non-cash goodwill impairment charge of $94.6 million, of which $20.0 million was not tax-deductible.</w:t>
      </w:r>
    </w:p>
    <w:p>
      <w:pPr>
        <w:spacing w:after="0" w:line="17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connection with the sale of the International Business during fiscal 2017, we recognized additional tax expense of $7.2 million associated with valuation allowances established in connection with historical foreign tax credits that we do not expect to utilize prior to their expiration. Through our increased ownership of AeroGrow, we established deferred tax assets of $10.9 million related to net operating losses (“NOLs”) of AeroGrow, subject to limitations imposed by Section 382 of the Code as a result of current and prior ownership changes. During fiscal 2017, we determined that $10.5 million of these deferred tax assets will expire unutilized due to the closing of statutes of limitation and a valuation allowance was established on these deferred tax assets. We also incurred a $13.4 million charge, which is not tax-deductible, driven by the October 2017 acquisition of the remaining noncontrolling interest in Gavita and subsidiaries, to write-up the fair value of the loan to the noncontrolling ownership group of Gavita to the agreed upon buyout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36"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Income from continuing operations was $127.6 million, or $2.23 per diluted share, in fiscal 2018 compared to $198.3 million, or $3.29 per diluted share, in fiscal 2017. The decrease was driven by higher impairment, restructuring and other charges, a decrease in gross profit, a decrease in other income, an increase in interest expense and an increase in other non-operating expense, partially offset by the lower effective tax rate, an increase in equity in income of unconsolidated affiliates and a decrease in SG&amp;A.</w:t>
      </w:r>
    </w:p>
    <w:p>
      <w:pPr>
        <w:spacing w:after="0" w:line="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57.1 million for fiscal 2018 compared to 60.2 million for fiscal 2017. The decrease was primarily the result of Common Share repurchase activity, partially offset by the exercise and issuance of share-based compensation awards and the payment of a portion of the purchase price of Sunlight Supply in Common Shares. Dilutive equivalent shares for fiscal 2018 and fiscal 2017 were 0.9 million and 0.8 million, respectively.</w:t>
      </w:r>
    </w:p>
    <w:p>
      <w:pPr>
        <w:spacing w:after="0" w:line="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Income from continuing operations was $198.3 million, or $3.29 per diluted share, in fiscal 2017 compared to $246.1 million, or $3.98 per diluted share, in fiscal 2016. The decrease was driven by impairment, restructuring and other charges during fiscal 2017 as compared to recoveries during fiscal 2016, as well as higher SG&amp;A, equity in loss of unconsolidated affiliates, interest expense and other non-operating expense, partially offset by an increase in net sales, gross profit rate and other income and a decrease in costs related to refinancing.</w:t>
      </w:r>
    </w:p>
    <w:p>
      <w:pPr>
        <w:spacing w:after="0" w:line="5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Diluted average common shares used in the diluted income per common share calculation were 60.2 million for fiscal 2017 compared to 62.0 million for fiscal 2016. The decrease was primarily the result of Common Share repurchase activity, partially offset by the exercise and issuance of share-based compensation awards. Dilutive equivalent shares for fiscal 2017 and fiscal 2016 were 0.8 million and 0.9 million,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Income (loss) from discontinued operations, net of tax, from our previously divested International Business, SLS Business and wild bird food business was $(63.9) million, $20.5 million and $68.7 million for fiscal 2018, fiscal 2017 and fiscal 2016, respectively. During fiscal 2018, we recognized a pre-tax charge of $85.0 million for a probable loss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Consolidated Statements of Operations.</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fiscal 2017, we recorded a gain on the sale of the International Business of $32.7 million, partially offset by the provision for income taxes of $12.0 million. During fiscal 2018, we recorded a reduction to the pre-tax gain of $0.7 million related to the resolution of post-closing working capital adjustments. We recognized $1.8 million, $15.5 million and $2.5 million during fiscal 2018, fiscal 2017 and fiscal 2016, respectively, in transaction related costs associated with the sale of the International Business as well as termination benefits and facility closure costs of zero, $(0.4) million and $3.6 million in fiscal 2018, fiscal 2017 and fiscal 2016, respectively, within the “Income (loss) from discontinued operations, net of tax” line in the Consolidated Statements of Operations.</w:t>
      </w:r>
    </w:p>
    <w:p>
      <w:pPr>
        <w:spacing w:after="0" w:line="5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fiscal 2016, we recorded a gain on the contribution of the SLS Business of $131.2 million, partially offset by the provision for deferred income taxes of $51.9 million. During fiscal 2017, we recorded an adjustment to reduce the pre-tax gain by $1.0 million related to post-closing working capital adjustments. During fiscal 2017 and fiscal 2016, we recognized $0.8 million and $4.6 million, respectively, in transaction related costs associated with the divestiture of the SLS Business. In addition, during fiscal 2016, we recognized a charge of $9.0 million for the resolution of a prior SLS Business litigation matter within the “Income (loss) from discontinued operations, net of tax” line in the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98"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2,109.6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121.2</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2,663.4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2,642.1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2,506.2</w:t>
            </w: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Segment Profit as well as a reconciliation to income from continuing operations before income taxes, the most directly comparable GAAP measure: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8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5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11.8</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r>
      <w:tr>
        <w:trPr>
          <w:trHeight w:val="237"/>
        </w:trPr>
        <w:tc>
          <w:tcPr>
            <w:tcW w:w="5680" w:type="dxa"/>
            <w:vAlign w:val="bottom"/>
          </w:tcPr>
          <w:p>
            <w:pPr>
              <w:ind w:left="260"/>
              <w:spacing w:after="0"/>
              <w:rPr>
                <w:sz w:val="20"/>
                <w:szCs w:val="20"/>
                <w:color w:val="auto"/>
              </w:rPr>
            </w:pPr>
            <w:r>
              <w:rPr>
                <w:rFonts w:ascii="Arial" w:cs="Arial" w:eastAsia="Arial" w:hAnsi="Arial"/>
                <w:sz w:val="18"/>
                <w:szCs w:val="18"/>
                <w:color w:val="auto"/>
              </w:rPr>
              <w:t>Total Segment Profit (Non-GAAP)</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515.9</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r>
      <w:tr>
        <w:trPr>
          <w:trHeight w:val="270"/>
        </w:trPr>
        <w:tc>
          <w:tcPr>
            <w:tcW w:w="5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116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19.5</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ind w:left="260"/>
              <w:spacing w:after="0"/>
              <w:rPr>
                <w:sz w:val="20"/>
                <w:szCs w:val="20"/>
                <w:color w:val="auto"/>
              </w:rPr>
            </w:pPr>
            <w:r>
              <w:rPr>
                <w:rFonts w:ascii="Arial" w:cs="Arial" w:eastAsia="Arial" w:hAnsi="Arial"/>
                <w:sz w:val="18"/>
                <w:szCs w:val="18"/>
                <w:color w:val="auto"/>
              </w:rPr>
              <w:t>Income from continuing operations before income taxes (GAAP)</w:t>
            </w:r>
          </w:p>
        </w:tc>
        <w:tc>
          <w:tcPr>
            <w:tcW w:w="116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383.7</w:t>
            </w:r>
          </w:p>
        </w:tc>
      </w:tr>
      <w:tr>
        <w:trPr>
          <w:trHeight w:val="27"/>
        </w:trPr>
        <w:tc>
          <w:tcPr>
            <w:tcW w:w="56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5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within equity in income (loss) of unconsolidated affiliates for fiscal 2017 are charges of $25.2 million, which represent our share of restructuring and other charges incurred by the TruGreen Joint Venture, including a charge of $7.2 million related to costs associated with TruGreen’s August 2017 refinancing. For fiscal 2016, our share of restructuring and other charges incurred by the TruGreen Joint Venture of $11.7 million was included within impairment, restructuring and other above.</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Consumer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 Consumer segment net sales were $2.11 billion in fiscal 2018, a decrease of 2.4% from fiscal 2017 net sales of $2.16 billion. The decrease was driven by the unfavorable impact of volume and pricing of 1.0% and 1.4%, respectively. Decreased sales volume for fiscal 2018 was driven by decreased sales of fertilizer, controls and plant food products, partially offset by increased sales of soils and grass seed products. Decreased pricing for fiscal 2018 was primarily driven by higher customer rebates and sales mix.</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 Consumer Segment Profit was $496.6 million in fiscal 2018, a decrease of 4.8% from fiscal 2017 Segment Profit of $521.5 million. The decrease for fiscal 2018 was primarily due to a decrease in net sales, gross profit rate and interest income that was classified in the “Other non-operating expense, net” line in the Consolidated Statements of Operations, partially offset by lower SG&amp;A.</w:t>
      </w:r>
    </w:p>
    <w:p>
      <w:pPr>
        <w:spacing w:after="0" w:line="4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U.S. Consumer segment net sales were $2.16 billion in fiscal 2017, a decrease of 2.0% from fiscal 2016 net sales of $2.20 billion. The decrease was driven by the unfavorable impact of volume of 3.3%, partially offset by the favorable impact of pricing of 1.2%. Decreased sales volume for fiscal 2017 was driven by decreased sales of mulch products, partially offset by increased sales of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Increased pricing for fiscal 2017 was primarily driven by lower volume rebates as a result of year-to-date sales volume decline.</w:t>
      </w:r>
    </w:p>
    <w:p>
      <w:pPr>
        <w:spacing w:after="0" w:line="1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U.S. Consumer Segment Profit was $521.5 million in fiscal 2017, an increase of 5.6% from fiscal 2016 Segment Profit of $493.7 million. The increase for fiscal 2017 was primarily due to an increase in gross profit rate, higher other income and lower SG&amp;A, partially offset by decreased net sales.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90" w:right="23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Hawthorne segment net sales were $344.9 million in fiscal 2018, an increase of 20.1% from fiscal 2017 net sales of $287.2 million. The increase was driven by the favorable impacts of acquisitions and changes in foreign exchange rates of 47.5% and 1.6%, respectively, partially offset by the unfavorable impact of volume of 28.8%. Decreased sales volume for fiscal 2018 was driven by declines in the North American hydroponic business partially offset by growth in the European professional greenhouse market and AeroGrow.</w:t>
      </w:r>
    </w:p>
    <w:p>
      <w:pPr>
        <w:spacing w:after="0" w:line="10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Hawthorne Segment Loss was $6.1 million in fiscal 2018 as compared to profit of $35.5 million in fiscal 2017. The decrease for fiscal 2018 was primarily due to a decrease in gross profit rate and higher SG&amp;A, partially offset by increased net sales driven by acquisitions. Segment Loss for fiscal 2018 included increased cost of goods sold related to acquisition date inventory fair value adjustments and increased deal costs related to the acquisition of Sunlight Supply.</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Hawthorne segment net sales were $287.2 million in fiscal 2017, an increase of 137.0% from fiscal 2016 net sales of $121.2 million. The increase was driven by the favorable impacts of acquisitions, volume and changes in foreign exchange rates of 112.4%, 23.2% and 1.5%, respectively.</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Hawthorne Segment Profit was $35.5 million in fiscal 2017 as compared to $11.8 million in fiscal 2016. The increase for fiscal 2017 was primarily due to an increase in net sales and a decrease in transaction costs related to acquisition activity, partially offset by a decrease in gross profit rate and higher SG&amp;A from acquired businesses.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segment net sales were $208.9 million in fiscal 2018, an increase of 7.5% from fiscal 2017 net sales of $194.4 million. The increase was driven by the favorable impacts of volume and changes in foreign exchange rates of 5.0% and 2.3%, respectively.</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Segment Profit was $11.2 million in fiscal 2018, a decrease of 16.4% from fiscal 2017 Segment Profit of $13.4 million. The decrease was due to a decrease in gross profit rate, partially offset by higher net sales and lower SG&amp;A.</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net sales were $194.4 million in fiscal 2017, an increase of 7.6% from fiscal 2016 net sales of $180.6 million. The increase was driven by the favorable impacts of volume and acquisitions of 4.8% and 4.7%, respectively, partially offset by the unfavorable impact of changes in foreign exchange rates of 2.1%.</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Segment Profit was $13.4 million in fiscal 2017, an increase of 28.8% from fiscal 2016 Segment Profit of $10.4 million. The increase was due to an increase in net sales and other income, partially offset by a decrease in gross profit rate and higher SG&amp;A.</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Corporate expenses were $120.8 million in fiscal 2018, an increase of 10.2% from fiscal 2017 expenses of $109.6 million. The change was primarily due to higher share-based compensation expense due to an increase in the expected payout percentage on long-term performance-based awards, a decrease in royalty income earned from the TruGreen Joint Venture related to its use of our brand names following the divestiture of the SLS Business and interest income that was classified in the “Other non-operating expense, net” line in the Consolidated Statements of Operations for fiscal 2018, partially offset by lower variable incentive compensation expense and an increase in royalty income earned from Exponent related to its use of our brand names following our divestiture of the International Business.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Corporate expenses were $109.6 million in fiscal 2017, an increase of 10.8% from fiscal 2016 expenses of $98.9 million. The change was primarily driven by higher share-based compensation expense due to the issuance of equity awards as part of the Project Focus initiative and a decrease in royalty income earned from the TruGreen Joint Venture related to its use of brand names, partially offset by an increase in income on loans receivable and lower variable incentive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Cash provided by operating activities totaled $342.5 million for fiscal 2018, a decrease of $20.7 million as compared to cash provided by operating activities of $363.2 million for fiscal 2017. This decrease in cash provided by operating activities was driven by a decrease in gross profit and an increase in interest paid, partially offset by a decrease in income taxes paid, a decrease in payments related to restructuring activities, lower SG&amp;A, timing of customer rebate payments and cash used in operating activities associated with the International Business during fiscal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90" w:right="239" w:bottom="1440" w:gutter="0" w:footer="0" w:header="0"/>
        </w:sectPr>
      </w:pPr>
    </w:p>
    <w:bookmarkStart w:id="44" w:name="page45"/>
    <w:bookmarkEnd w:id="44"/>
    <w:p>
      <w:pPr>
        <w:jc w:val="both"/>
        <w:ind w:firstLine="432"/>
        <w:spacing w:after="0" w:line="237" w:lineRule="auto"/>
        <w:rPr>
          <w:sz w:val="20"/>
          <w:szCs w:val="20"/>
          <w:color w:val="auto"/>
        </w:rPr>
      </w:pPr>
      <w:r>
        <w:rPr>
          <w:rFonts w:ascii="Arial" w:cs="Arial" w:eastAsia="Arial" w:hAnsi="Arial"/>
          <w:sz w:val="18"/>
          <w:szCs w:val="18"/>
          <w:color w:val="auto"/>
        </w:rPr>
        <w:t>Cash provided by operating activities totaled $363.2 million for fiscal 2017, an increase of $119.2 million as compared to cash provided by operating activities of $244.0 million for fiscal 2016. This increase was driven by a decrease in cash used for working capital resulting from Company-wide efforts to improve inventory management and reduce inventory levels, improved timing of customer receipts and a decrease in accounts receivable from the TruGreen Joint Venture for expenses incurred pursuant to a short-term transition services agreement and an employee leasing agreement, partially offset by insurance reimbursement recoveries during fiscal 2016 related to the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consumer complaint matter and lower customer volume rebates due to lower sales volume.</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Cash used in investing activities totaled $580.7 million for fiscal 2018, a change of $603.1 million as compared to cash provided by investing activities of $22.4 million for fiscal 2017. Cash used for investments in property, plant and equipment during fiscal 2018 was $68.2 million. During fiscal 2018, we completed the acquisitions of Sunlight Supply and Can-Filters which included cash payments of $492.9 million, paid the post-closing working capital adjustment obligation of $35.3 million related to the sale of the International Business and received cash of $13.5 million associated with currency forward contracts. Significant capital projects during fiscal 2018 included investments in our growing media production and packaging facilities, additional capital for supply chain optimization projects, investments in information technology and facility improvement and maintenance.</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Cash provided by investing activities totaled $22.4 million for fiscal 2017, a change of $156.8 million as compared to cash used in investing activities of $134.4 million for fiscal 2016. On August 31, 2017, we completed the divestiture of the International Business for cash proceeds at closing of $150.6 million, which is net of seller financing provided by us in the form of a $29.7 million loan. We received distributions of $87.1 million from the TruGreen Joint Venture, partially offset by a $29.4 million investment in an unconsolidated subsidiary whose products support the professional U.S. industrial, turf and ornamental market. These net cash inflows were partially offset by cash used for investments in property, plant and equipment during fiscal 2017 of $69.6 million. Additionally, we completed the acquisitions of Botanicare, Agrolux, the exclusive manufacturer and formulator of branded Botanicare products and three other acquisitions which included aggregate cash payments of $121.7 million. Significant capital projects during fiscal 2017 included investments in our growing media production and packaging facilities, additional capital for supply chain optimization projects, investments in information technology, facility improvement and maintenance, and the rebuild of a plant and related equipment after a fire.</w:t>
      </w:r>
    </w:p>
    <w:p>
      <w:pPr>
        <w:spacing w:after="0" w:line="12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For the three fiscal years ended September 30, 2018, our capital spending was allocated as follows: 67% for expansion and maintenance of existing productive assets; 13% for new productive assets; 8% to expand our information technology and transformation and integration capabilities; and 12% for non-productive assets. We expect fiscal 2019 capital expenditures to be consistent with our recent capital spending amounts and allocations.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$151.2 million in fiscal 2018, a change of $468.0 million as compared to cash used in financing activities of $316.8 million in fiscal 2017. The change was the result of an increase in net borrowings under our credit facilities of $843.1 million, a decrease in payments on seller notes of $19.8 million and an $8.1 million distribution paid by AeroGrow to its noncontrolling interest holders during fiscal 2017, partially offset by an increase in repurchases of our Common Shares of $72.5 million, the issuance of $250.0 million of 5.250% Senior Notes during fiscal 2017, $70.7 million related to the acquisition of the remaining 25% noncontrolling interest in Gavita and the prospective adoption of a new accounting pronouncement that requires excess tax benefits to be classified as an operating activity.</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used cash of $316.8 million in fiscal 2017, a change of $188.0 million as compared to cash used in financing activities of $128.8 million in fiscal 2016. The increase in fiscal 2017 was the result of an increase in repurchases of our Common Shares of $117.8 million, an increase in net repayments under our credit facilities of $87.7 million, an increase in payments on seller notes of $25.9 million, and an $8.1 million distribution paid by AeroGrow to its noncontrolling interest holders, partially offset by the issuance of $250.0 million aggregate principal amount of 5.250% Senior Notes during fiscal 2017 as compared to a net issuance of $200.0 million aggregate principal amount of Senior Notes during fiscal 2016 and a decrease in financing and issuance fees paid of $6.8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6"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$33.9 million and $120.5 million at September 30, 2018 and 2017, respectively, included $17.7 million and $39.3 million, respectively, held by controlled foreign corporations. As of September 30, 2018, and after consideration of the one time transition tax on deemed repatriation of foreign earnings, we have no unremitted earnings of foreign subsidiaries for which earnings are considered permanently reinvested. We have repatriated all cash and earnings of one subsidiary in the United Kingdom via a loan to a U.S. affiliate in the fiscal year ended September 30, 2018. Following the one-time transition tax, we determined that no deferred tax liability for withholding taxes on the subsidiary’s previously taxed earnings is required as the United Kingdom does not impose withholding taxes on distributions to the U.S. We maintain our assertions of indefinite reinvestment of the earnings of all material foreign subsidiaries with the exception of the earnings of Scotts Luxembourg Sarl, which are generally taxed on a current basis under “Subpart F” of the Code which prevents deferral of recognition of U.S. taxable income through the use of foreign entities.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On October 29, 2015, we entered into the fourth amended and restated credit agreement (the “former credit agreement”), that was subsequently superseded by the Fifth A&amp;R Credit Agreement discussed further below. The former credit agreement provided us with five-year senior secured loan facilities in the aggregate principal amount of $1.9 billion that were comprised of a revolving credit facility of $1.6 billion and a term loan in the original principal amount of $300.0 million (the “former credit facilities”). The former credit agreement also provided us with the right to seek additional committed credit under the agreement in an aggregate amount of up to $500.0 million plus an unlimited additional amount, subject to certain specified financial and other conditions. Under the former credit agreement, we had the ability to obtain letters of credit up to $100.0 million. Borrowings under the former credit facilities could be made in various currencies, including U.S. dollars, euro, British pounds, Australian dollars and Canadian dollars.</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July 5, 2018, we entered into the Fifth A&amp;R Credit Agreement, providing us with five-year senior secured loan facilities in the aggregate principal amount of $2.3 billion, comprised of a revolving credit facility of $1.5 billion and a term loan in the original principal amount of $800.0 million (the “Fifth A&amp;R Credit Facilities”). The Fifth A&amp;R Credit Agreement also provides us with the right to seek additional committed credit under the agreement in an aggregate amount of up to $500.0 million plus an unlimited additional amount, subject to certain specified financial and other conditions. The Fifth A&amp;R Credit Agreement replaces the former credit agreement, and will terminate on July 5, 2023. The revolving credit facility is available for issuance of letters of credit up to $75.0 million. Borrowings under the Fifth A&amp;R Credit Facilities may be made in various currencies, including U.S. dollars, euro, British pounds and Canadian dollars. The former credit agreement would have terminated on October 29, 2020, if it had not been amended and restated pursuant to the Fifth A&amp;R Credit Agreement.</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2018, we had letters of credit outstanding in the aggregate principal amount of $22.3 million, and $985.5 million of availability under the Fifth A&amp;R Credit Agreement, subject to our continued compliance with the covenants discussed below. The weighted average interest rates on average borrowings under the Fifth A&amp;R Credit Agreement and the former credit agreement were 4.0%, 3.9% and 3.5% for fiscal 2018, fiscal 2017 and fiscal 2016, respectively.</w:t>
      </w:r>
    </w:p>
    <w:p>
      <w:pPr>
        <w:spacing w:after="0" w:line="10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September 25, 2015, we entered into an amended and restated master accounts receivable purchase agreement (the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former credit agreement.</w:t>
      </w:r>
    </w:p>
    <w:p>
      <w:pPr>
        <w:spacing w:after="0" w:line="10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consisted of up to $250.0 million in accounts receivable generated by sales to three specified customers. On August 25, 2017, we entered into Amendment No. 1 to Master Framework Agreement, which (i) extended the expiration date of the Receivables Facility from August 25, 2017 to August 24, 2018, (ii) defined the seasonal commitment period of the Receivables Facility as beginning on February 23, 2018 and ending on June 15, 2018, (iii) increased the eligible amount of customer accounts receivable which may be sold from up to $250.0 million to up to $400.0 million and (iv) increased the commitment amount of the Receivables Facility during the seasonal commitment period from up to $100.0 million to up to $160.0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90" w:right="239" w:bottom="1440" w:gutter="0" w:footer="0" w:header="0"/>
        </w:sectPr>
      </w:pPr>
    </w:p>
    <w:bookmarkStart w:id="46" w:name="page47"/>
    <w:bookmarkEnd w:id="46"/>
    <w:p>
      <w:pPr>
        <w:jc w:val="both"/>
        <w:ind w:firstLine="405"/>
        <w:spacing w:after="0" w:line="289" w:lineRule="auto"/>
        <w:rPr>
          <w:sz w:val="20"/>
          <w:szCs w:val="20"/>
          <w:color w:val="auto"/>
        </w:rPr>
      </w:pPr>
      <w:r>
        <w:rPr>
          <w:rFonts w:ascii="Arial" w:cs="Arial" w:eastAsia="Arial" w:hAnsi="Arial"/>
          <w:sz w:val="16"/>
          <w:szCs w:val="16"/>
          <w:color w:val="auto"/>
        </w:rPr>
        <w:t>On August 24, 2018, we entered into Amendment No. 1 to the Master Repurchase Agreement (the “Repurchase Amendment”) and Amendment No. 2 to Master Framework Agreement (the “Framework Amendment, and together with the Repurchase Amendment, the “Amendments”). Under the Amendments, the eligible amount of customer accounts receivables which may be sold is $400.0 million and the commitment amount during the seasonal commitment period is $160.0 million. Among other things, the Amendments (i) extend the expiration date of the Receivables Facility from August 24, 2018 to August 23, 2019 (ii) define the seasonal commitment period of the Receivables Facility as beginning on February 22, 2019 and ending on June 21, 2019 and (iii) revise the repurchase price for customer accounts receivable to LIBOR (with a floor of zero) plus 0.875% from LIBOR (with a floor of zero) plus 0.90%. As of September 30, 2018 and 2017, there were $76.0 million and $80.0 million, respectively, in borrowings on receivables pledged as collateral under the Receivables Facility, and the carrying value of the receivables pledged as collateral was $84.5 million and $88.9 million, respectively. As of September 30, 2018 and 2017, there was $0.4 million and $11.1 million, respectively, of availability under the Receivables Facility.</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December 15, 2016, we issued $250.0 million of 5.250% Senior Notes. The net proceeds of the offering were used to repay outstanding borrowings under our former credit facilities. The 5.250% Senior Notes represent general unsecured senior obligations and rank equal in right of payment with our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13, 2015, we issued $400.0 million of 6.000% Senior Notes. The net proceeds of the offering were used to repay outstanding borrowings under a prior credit agreement. The 6.000% Senior Notes represent general unsecured senior obligations and rank equal in right of payment with our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1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Our leverage ratio was 4.23 at September 30, 2018. The Fifth A&amp;R Credit Agreement also contains an affirmative covenant regarding our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2018. Our interest coverage ratio was 5.55 for the twelve months ended September 30, 2018. 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2019.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11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At September 30, 2018, we had outstanding interest rate swap agreements with major financial institutions that effectively converted the LIBOR index portion of variable-rate debt denominated in U.S. dollars to a fixed rate. The swap agreements had a total U.S. dollar notional amount of $800.0 million at September 30, 2018. Interest payments made between the effective date and expiration date are hedged by the swap agreements, except as noted below. On October 12, 2018, we executed interest rate swap agreements with notional amounts that adjust in accordance with a specified seasonal schedule and have a maximum total notional amount at any point in time of $500.0 million. These swap agreements have a fixed rate of approximately 2.93% beginning in October 2018 through expiration dates in June, July and October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90" w:right="239" w:bottom="1440" w:gutter="0" w:footer="0" w:header="0"/>
        </w:sectPr>
      </w:pPr>
    </w:p>
    <w:bookmarkStart w:id="47" w:name="page48"/>
    <w:bookmarkEnd w:id="47"/>
    <w:p>
      <w:pPr>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2018 are shown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jc w:val="right"/>
              <w:ind w:right="67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2600" w:type="dxa"/>
            <w:vAlign w:val="bottom"/>
          </w:tcPr>
          <w:p>
            <w:pPr>
              <w:jc w:val="right"/>
              <w:ind w:right="83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908"/>
              <w:spacing w:after="0"/>
              <w:rPr>
                <w:sz w:val="20"/>
                <w:szCs w:val="20"/>
                <w:color w:val="auto"/>
              </w:rPr>
            </w:pPr>
            <w:r>
              <w:rPr>
                <w:rFonts w:ascii="Arial" w:cs="Arial" w:eastAsia="Arial" w:hAnsi="Arial"/>
                <w:sz w:val="14"/>
                <w:szCs w:val="14"/>
                <w:b w:val="1"/>
                <w:bCs w:val="1"/>
                <w:color w:val="auto"/>
                <w:w w:val="93"/>
              </w:rPr>
              <w:t>Date (a)</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800" w:type="dxa"/>
            <w:vAlign w:val="bottom"/>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2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26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80" w:type="dxa"/>
            <w:vAlign w:val="bottom"/>
          </w:tcPr>
          <w:p>
            <w:pPr>
              <w:jc w:val="right"/>
              <w:spacing w:after="0"/>
              <w:rPr>
                <w:sz w:val="20"/>
                <w:szCs w:val="20"/>
                <w:color w:val="auto"/>
              </w:rPr>
            </w:pPr>
            <w:r>
              <w:rPr>
                <w:rFonts w:ascii="Arial" w:cs="Arial" w:eastAsia="Arial" w:hAnsi="Arial"/>
                <w:sz w:val="18"/>
                <w:szCs w:val="18"/>
                <w:color w:val="auto"/>
              </w:rPr>
              <w:t>2/7/2017</w:t>
            </w:r>
          </w:p>
        </w:tc>
        <w:tc>
          <w:tcPr>
            <w:tcW w:w="100" w:type="dxa"/>
            <w:vAlign w:val="bottom"/>
          </w:tcPr>
          <w:p>
            <w:pPr>
              <w:spacing w:after="0"/>
              <w:rPr>
                <w:sz w:val="22"/>
                <w:szCs w:val="22"/>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260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80" w:type="dxa"/>
            <w:vAlign w:val="bottom"/>
          </w:tcPr>
          <w:p>
            <w:pPr>
              <w:jc w:val="right"/>
              <w:spacing w:after="0"/>
              <w:rPr>
                <w:sz w:val="20"/>
                <w:szCs w:val="20"/>
                <w:color w:val="auto"/>
              </w:rPr>
            </w:pPr>
            <w:r>
              <w:rPr>
                <w:rFonts w:ascii="Arial" w:cs="Arial" w:eastAsia="Arial" w:hAnsi="Arial"/>
                <w:sz w:val="18"/>
                <w:szCs w:val="18"/>
                <w:color w:val="auto"/>
              </w:rPr>
              <w:t>12/20/2016</w:t>
            </w:r>
          </w:p>
        </w:tc>
        <w:tc>
          <w:tcPr>
            <w:tcW w:w="100" w:type="dxa"/>
            <w:vAlign w:val="bottom"/>
          </w:tcPr>
          <w:p>
            <w:pPr>
              <w:spacing w:after="0"/>
              <w:rPr>
                <w:sz w:val="22"/>
                <w:szCs w:val="22"/>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2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26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6/20/2018</w:t>
            </w:r>
          </w:p>
        </w:tc>
        <w:tc>
          <w:tcPr>
            <w:tcW w:w="1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10/20/2020</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2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2,025.7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3,077.9</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long-term debt obligations and interest payments due primarily under the 5.250% Senior Notes and 6.000% Senior Notes and our credit facilities. Amounts in the table represent scheduled future maturities of long-term debt principal for the periods indicated.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interest payments for our credit facilities are based on outstanding borrowings as of September 30, 2018. Actual interest expense will likely be higher due to the seasonality of our business and associated higher average borrowings.</w:t>
      </w:r>
    </w:p>
    <w:p>
      <w:pPr>
        <w:sectPr>
          <w:pgSz w:w="11900" w:h="16838" w:orient="portrait"/>
          <w:cols w:equalWidth="0" w:num="1">
            <w:col w:w="11420"/>
          </w:cols>
          <w:pgMar w:left="240" w:top="101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017" w:right="239" w:bottom="1440" w:gutter="0" w:footer="0" w:header="0"/>
          <w:type w:val="continuous"/>
        </w:sectPr>
      </w:pPr>
    </w:p>
    <w:bookmarkStart w:id="48" w:name="page49"/>
    <w:bookmarkEnd w:id="48"/>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grass seed and outsourced information services which comprise the unconditional purchase obligations disclosed in “NOTE 18.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2018 are based on preliminary estimates using actuarial assumptions determined as of September 30, 2018. The above table excludes liabilities for unrecognized tax benefits and insurance accruals as we are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2018, we have letters of credit in the aggregate face amount of $22.3 million outstanding. Further, we have a residual value guarantee on our corporate aircraft as disclosed in “NOTE 17. OPERATING LEASES” of the Notes to Consolidated Financial Statements included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accruals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7" w:right="23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Inventories are stated at the lower of cost or net realizable value, principally determined by the first in, first out method of accounting. Inventories acquired through the recent acquisition of Sunlight Supply, which represent approximately 19% of our consolidated inventories, were initially recorded at fair value and subsequently were measured using the average costing method of inventory valuation. Inventories include the cost of raw materials, labor, manufacturing overhead and freight and in-bound handling costs incurred to pre-position goods in our warehouse network. We make provisions for obsolete or slow-moving inventories as necessary to properly reflect inventory at the lower of cost or net realizable value.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 During fiscal 2018, we determined it was preferable to use the first in, first out inventory valuation method and adopted this method for the remaining U.S. Consumer segment inventories not subject to the first in, first out method. The impact on inventory value and cost of goods sold was immaterial.</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non-competition agreements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based on a combination of income-based and market-based approaches. If it is determined that an impairment has occurred, an impairment loss is recognized for the amount by which the carrying value of the reporting unit or intangible asset exceeds its estimated fair value.</w:t>
      </w:r>
    </w:p>
    <w:p>
      <w:pPr>
        <w:spacing w:after="0" w:line="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income-based approach, we determine fair value using a discounted cash flow approach that requires significant judgment with respect to revenue and expense growth rates, changes in working capital, and future capital expenditure requirements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Fair value estimates employed in our annual impairment review of indefinite-lived intangible assets and goodwill were determined using models involving several assumptions. Changes in our assumptions could materially impact our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98" w:right="2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7"/>
          <w:szCs w:val="17"/>
          <w:color w:val="auto"/>
        </w:rPr>
        <w:t>estimates. Assumptions critical to our fair value estimates were: (i) discount rates used in determining the fair value of the reporting units and intangible assets; (ii) royalty rates used in our intangible asset valuations; (iii) projected future revenues, expenses, working capital and capital expenditures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could, therefore, change impairment determinations.</w:t>
      </w:r>
    </w:p>
    <w:p>
      <w:pPr>
        <w:spacing w:after="0" w:line="1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At September 30, 2018, goodwill totaled $543.0 million, with $228.1 million, $304.1 million and $10.8 million of goodwill for our U.S. Consumer, Hawthorne and Other segments, respectively. We performed annual impairment testing as of the first day of our fourth fiscal quarter in fiscal 2018, 2017 and 2016 and, with the exception of our Hawthorne reporting unit in fiscal 2018, concluded that there were no impairments of goodwill as the estimated fair value of each reporting unit exceeded its carrying value. Based on the results of the annual quantitative evaluation for fiscal 2018, the fair values of our U.S. Consumer and Other segment reporting units exceeded their respective carrying values by 247% and 12%, respectively. A 100 basis point change in the discount rate would not have resulted in an impairment for our U.S. Consumer and Other segment reporting units. As discussed further in “NOTE 4. GOODWILL AND INTANGIBLE ASSETS, NET,” during the fourth quarter of fiscal 2018 we recognized a non-cash goodwill impairment charge of $94.6 million related to our Hawthorne reporting unit in the “Impairment, restructuring and other” line in the Consolidated Statements of Operations. The impairment was primarily driven by the downturn in the U.S. retail hydroponic market, which has continued longer than anticipated in our earlier forecasts, as well as the completion of our annual budget process.</w:t>
      </w:r>
    </w:p>
    <w:p>
      <w:pPr>
        <w:spacing w:after="0" w:line="12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At September 30, 2018, indefinite-lived intangible assets consisted of tradenames of $168.2 million, as well as the Marketing Agreement Amendment of $155.7 million and the Brand Extension Agreement of $111.7 million. Based on the results of the annual evaluation for fiscal 2018, the fair values of our indefinite-lived intangible assets exceeded their respective carrying values in a range of 6% to over 900%. The fair value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and the Marketing Agreement Amendment exceeded their carrying values by 6% and 9%, respectively. A 100 basis point change in the discount rate would have resulted in an impairment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tradename of $5.3 million and an impairment of the Marketing Agreement Amendment of $5.0 million. All other indefinite-lived intangible assets had an estimated fair value substantially in excess of carrying value as of the annual test date.</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2019 pension expense. A 100 basis point change in the discount rate would have a $43.3 million change in our projected benefit obligations as of September 30,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17" w:right="23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accruals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19.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accruals, if any, provided for their resolution. There can be no assurance that the ultimate outcomes of these proceedings will not differ materially from our current assessment of them, nor that all proceedings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2018 and 2017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At September 30, 2018 and 2017, we had outstanding interest rate swap agreements with a total U.S. dollar equivalent notional value of $800.0 million and $1,100.0 million, respectively. The weighted average fixed rate of swap agreements outstanding at September 30, 2018 was 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98" w:right="239" w:bottom="1440" w:gutter="0" w:footer="0" w:header="0"/>
        </w:sectPr>
      </w:pPr>
    </w:p>
    <w:bookmarkStart w:id="52" w:name="page53"/>
    <w:bookmarkEnd w:id="52"/>
    <w:p>
      <w:pPr>
        <w:jc w:val="both"/>
        <w:ind w:firstLine="432"/>
        <w:spacing w:after="0" w:line="293" w:lineRule="auto"/>
        <w:rPr>
          <w:sz w:val="20"/>
          <w:szCs w:val="20"/>
          <w:color w:val="auto"/>
        </w:rPr>
      </w:pPr>
      <w:r>
        <w:rPr>
          <w:rFonts w:ascii="Arial" w:cs="Arial" w:eastAsia="Arial" w:hAnsi="Arial"/>
          <w:sz w:val="16"/>
          <w:szCs w:val="16"/>
          <w:color w:val="auto"/>
        </w:rPr>
        <w:t>The following table summarizes information about our derivative financial instruments and debt instruments that are sensitive to changes in interest rates as of September 30, 2018 and 2017.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2018 and 2017. A change in our variable interest rate of 100 basis points for a full twelve-month period would have a $2.5 million impact on interest expense assuming approximately $250 million of our average fiscal 2018 variable-rate debt had not been hedged via an interest rate swap agreement. The information is presented in U.S. dollars (in millions):</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21"/>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1"/>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650.0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116.0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0"/>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1"/>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1,122.2</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Expected Maturity Date</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1"/>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273.8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650.0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923.8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965.2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380.5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Excluded from the information provided above are miscellaneous debt instruments of $17.5 million and $105.4 million at September 30,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Through fiscal 2018, we had transactions that were denominated in currencies other than the currency of the country of origin. We use currency forward contracts to manage the exchange rate risk associated with intercompany loans and certain other balances denominated in foreign currencies. At September 30, 2018, the notional amount of outstanding currency forward contracts was $117.2 million with a fair value of $(0.6) million. At September 30, 2017, the notional amount of outstanding currency forward contracts was $268.3 million with a fair value of $1.8 million. The outstanding contracts will mature over the next fiscal quarter.</w:t>
      </w:r>
    </w:p>
    <w:p>
      <w:pPr>
        <w:spacing w:after="0" w:line="13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market risk from fluctuating prices of certain raw materials, including urea and other fertilizer inputs, resins, diesel, gasoline, natural gas, sphagnum peat, bark and grass seed. Our objectives surrounding the procurement of these materials are to ensure continuous supply and to control costs. We seek to achieve these objectives through negotiation of contracts with favorable terms directly with vendors. In addition, we use derivatives to partially mitigate the effect of fluctuating diesel and gasoline costs on our businesses. We had outstanding derivative contracts for 6,678,000 and 6,972,000 gallons of fuel at September 30, 2018 and 2017, respectively. The outstanding derivative contracts had a fair value of $1.7 million at September 30, 2018, compared to a fair value of $0.6 million at September 30, 2017. We also enter into hedging arrangements designed to fix the price of a portion of our projected future urea requirements of our business. We had outstanding derivative contracts for 88,000 and 76,500 aggregate tons of urea at September 30, 2018 and 2017, respectively. The outstanding derivative contracts had a fair value of $6.1 million at September 30, 2018, compared to a fair value of $3.2 million at September 30, 2017.</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017" w:right="239" w:bottom="1440" w:gutter="0" w:footer="0" w:header="0"/>
          <w:type w:val="continuous"/>
        </w:sectPr>
      </w:pPr>
    </w:p>
    <w:bookmarkStart w:id="53" w:name="page54"/>
    <w:bookmarkEnd w:id="53"/>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60 of this Annual Report on Form 10-K.</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61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62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Securities Exchange Act of 1934) occurred during the Registrant’s fiscal quarter ended September 30, 2018,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5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25, 2019 (the “2019 Annual Meeting”) is incorporated herein by reference from the disclosure which will be included under the caption “PROPOSAL NUMBER 1 — ELECTION OF DIRECTORS” in Scotts Miracle-Gro’s definitive Proxy Statement relating to the 2019 Annual Meeting (“Scotts Miracle-Gro’s Definitive Proxy Statement”), which will be filed pursuant to SEC Regulation 14A not later than 120 days after the end of Scotts Miracle-Gro’s fiscal year ended September 30, 2018.</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2018 Annual Meeting of Shareholders held on January 26,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50"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1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60 of this Annual Report on Form 10-K.</w:t>
      </w:r>
    </w:p>
    <w:p>
      <w:pPr>
        <w:spacing w:after="0" w:line="116" w:lineRule="exact"/>
        <w:rPr>
          <w:sz w:val="20"/>
          <w:szCs w:val="20"/>
          <w:color w:val="auto"/>
        </w:rPr>
      </w:pPr>
    </w:p>
    <w:p>
      <w:pPr>
        <w:ind w:left="700" w:hanging="26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137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60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5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James Hagedorn, Chief Executive Officer and Chairman</w:t>
      </w:r>
    </w:p>
    <w:p>
      <w:pPr>
        <w:spacing w:after="0" w:line="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29, 2018</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2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DAVID C. EVANS*</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David C. Evans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BRIAN D. FINN*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Brian D. Finn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CRAIG R. HARGREAVES*</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Craig R. Hargreaves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29, 2018</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51"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980" w:type="dxa"/>
            <w:vAlign w:val="bottom"/>
            <w:gridSpan w:val="3"/>
          </w:tcPr>
          <w:p>
            <w:pPr>
              <w:jc w:val="center"/>
              <w:ind w:left="14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JAMES F. MCCANN*</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F. McCann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NANCY G. MISTRETTA*</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Nancy G. Mistretta</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PETER E. SHUMLIN*</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Peter E. Shumlin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JOHN R. VINES*</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29, 2018</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John R. Vines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072" w:right="2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Annual Report of Management on Internal Control Over Financial Reporting</w:t>
              </w:r>
            </w:hyperlink>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1260" w:type="dxa"/>
            <w:vAlign w:val="bottom"/>
            <w:gridSpan w:val="2"/>
          </w:tcPr>
          <w:p>
            <w:pPr>
              <w:spacing w:after="0"/>
              <w:rPr>
                <w:sz w:val="21"/>
                <w:szCs w:val="21"/>
                <w:color w:val="auto"/>
              </w:rPr>
            </w:pPr>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2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fiscal years ended September 30, 2018, 2017 and 2016</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760" w:type="dxa"/>
            <w:vAlign w:val="bottom"/>
            <w:gridSpan w:val="8"/>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Comprehensive Income (Loss) for the fiscal years ended September 30, 2018, 2017 and 2016</w:t>
              </w:r>
            </w:hyperlink>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fiscal years ended September 30, 2018, 2017 and 2016</w:t>
              </w:r>
            </w:hyperlink>
          </w:p>
        </w:tc>
        <w:tc>
          <w:tcPr>
            <w:tcW w:w="13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Sheets at September 30, 2018 and 2017</w:t>
              </w:r>
            </w:hyperlink>
          </w:p>
        </w:tc>
        <w:tc>
          <w:tcPr>
            <w:tcW w:w="2900" w:type="dxa"/>
            <w:vAlign w:val="bottom"/>
            <w:gridSpan w:val="3"/>
          </w:tcPr>
          <w:p>
            <w:pPr>
              <w:spacing w:after="0"/>
              <w:rPr>
                <w:sz w:val="21"/>
                <w:szCs w:val="21"/>
                <w:color w:val="auto"/>
              </w:rPr>
            </w:pPr>
          </w:p>
        </w:tc>
        <w:tc>
          <w:tcPr>
            <w:tcW w:w="28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Shareholders’ Equity for the fiscal years ended September 30, 2018, 2017 and 2016</w:t>
              </w:r>
            </w:hyperlink>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4900" w:type="dxa"/>
            <w:vAlign w:val="bottom"/>
            <w:gridSpan w:val="6"/>
          </w:tcPr>
          <w:p>
            <w:pPr>
              <w:spacing w:after="0"/>
              <w:rPr>
                <w:sz w:val="21"/>
                <w:szCs w:val="21"/>
                <w:color w:val="auto"/>
              </w:rPr>
            </w:pPr>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58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Schedule II—Valuation and Qualifying Accounts for the fiscal years ended September 30, 2018, 2017 and 2016</w:t>
              </w:r>
            </w:hyperlink>
          </w:p>
        </w:tc>
        <w:tc>
          <w:tcPr>
            <w:tcW w:w="21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136</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5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2018,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Sunlight Supply, Inc. and Can-Filters Group Inc., and their subsidiaries, which were acquired in fiscal 2018. These acquisitions constituted 17.6% of total assets, 4.1% and (19.6)% of revenues and net income, respectively, included in our consolidated financial statements as of and for the fiscal year ended September 30, 2018.</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2018,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2018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Thomas Randal Coleman</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w:t>
            </w:r>
          </w:p>
        </w:tc>
        <w:tc>
          <w:tcPr>
            <w:tcW w:w="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Arial" w:cs="Arial" w:eastAsia="Arial" w:hAnsi="Arial"/>
                <w:sz w:val="18"/>
                <w:szCs w:val="18"/>
                <w:color w:val="auto"/>
              </w:rPr>
              <w:t>Dated:   November 29, 2018</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Dated:    November 29, 2018</w:t>
            </w:r>
          </w:p>
        </w:tc>
      </w:tr>
      <w:tr>
        <w:trPr>
          <w:trHeight w:val="486"/>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61</w:t>
            </w:r>
          </w:p>
        </w:tc>
      </w:tr>
    </w:tbl>
    <w:p>
      <w:pPr>
        <w:sectPr>
          <w:pgSz w:w="11900" w:h="16838" w:orient="portrait"/>
          <w:cols w:equalWidth="0" w:num="1">
            <w:col w:w="11420"/>
          </w:cols>
          <w:pgMar w:left="240" w:top="850" w:right="239" w:bottom="1440" w:gutter="0" w:footer="0" w:header="0"/>
        </w:sectPr>
      </w:pPr>
    </w:p>
    <w:bookmarkStart w:id="61" w:name="page62"/>
    <w:bookmarkEnd w:id="6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2018 and 2017, the related consolidated statements of operations, comprehensive income, shareholders’ equity, and cash flows, for each of the three years in the period ended September 30, 2018, and the related notes and schedules (collectively referred to as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 to the financial statements, on October 1, 2017, the Company prospectively adopted the new accounting guidance in ASU 2016-09 Compensation-Stock Compensation (Topic 718): Improvements to Employee Share-Based Payment Accounting. On June 30, 2018, the Company prospectively adopted the new accounting guidance in ASU 2017-04 Intangibles-Goodwill and Other (Topic 350): Simplifying the Test for Goodwill Impairment. On July 1, 2018, the Company changed its accounting for a portion of its inventories to the first-in, first-out method which was determined to be a preferable accounting principle for such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29,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5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Scotts Miracle-Gro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Marysville, Ohio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have audited the internal control over financial reporting of The Scotts Miracle-Gro Company and subsidiaries (the “Company”) as of September 30,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September 30, 2018, based on criteria established in Internal Control - Integrated Framework (2013) issued by COSO.</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described in Annual Report of Management on Internal Control Over Financial Reporting, management excluded from its assessment the internal control over financial reporting at Sunlight Supply, Inc. and Can-Filters Group Inc., and their subsidiaries which were acquired in fiscal 2018. These acquisitions constituted 17.6% of total assets, 4.1% and (19.6)% of revenues and net income, respectively, included in the consolidated financial statements as of and for the fiscal year ended September 30, 2018. Accordingly, our audit did not include the internal control over financial reporting at Sunlight Supply, Inc. and Can-Filters Group Inc., and their subsidiaries.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66"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September 30, 2018, of the Company and our report dated November 29, 2018, expressed an unqualified opinion on those financial statements and included an explanatory paragraph regarding the Company’s change in accounting for employee share-based payments, goodwill impairment testing and inventory valuation.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Columbus, Ohio</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29, 2018</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50" w:right="239" w:bottom="1440" w:gutter="0" w:footer="0" w:header="0"/>
        </w:sectPr>
      </w:pPr>
    </w:p>
    <w:bookmarkStart w:id="63" w:name="page64"/>
    <w:bookmarkEnd w:id="63"/>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(loss)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51" w:right="239" w:bottom="1440" w:gutter="0" w:footer="0" w:header="0"/>
        </w:sectPr>
      </w:pPr>
    </w:p>
    <w:bookmarkStart w:id="64" w:name="page65"/>
    <w:bookmarkEnd w:id="64"/>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Net foreign currency translation adjustment, including reclassifications to net income of</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$11.7, $18.5 and $0.0 for fiscal 2018, fiscal 2017 and fiscal 2016, respectively</w:t>
            </w: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2"/>
              </w:rPr>
              <w:t>Net unrealized gain (loss) on derivative instruments, net of tax of $3.3, $3.1 and $(0.9) for</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fiscal 2018, fiscal 2017 and fiscal 2016, respectively</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Reclassification of net unrealized (gains) losses on derivative instruments to net income,</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of tax of $(1.1), $1.1 and $3.6 for fiscal 2018, fiscal 2017 and fiscal 2016, respectively</w:t>
            </w: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gain (loss) in pension and other post-retirement benefits, net of tax of $2.4,</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$6.0 and $(6.2) for fiscal 2018, fiscal 2017 and fiscal 2016, respectively</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pension and other post-retirement benefit losses to net income, net</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8"/>
              </w:rPr>
              <w:t>of tax of $0.4, $2.3 and $1.1 for fiscal 2018, fiscal 2017 and fiscal 2016, respectively</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50" w:right="239" w:bottom="1440" w:gutter="0" w:footer="0" w:header="0"/>
        </w:sectPr>
      </w:pPr>
    </w:p>
    <w:bookmarkStart w:id="65" w:name="page66"/>
    <w:bookmarkEnd w:id="65"/>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SCOTTS MIRACLE-GRO COMPANY</w:t>
      </w:r>
    </w:p>
    <w:p>
      <w:pPr>
        <w:spacing w:after="0" w:line="8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ectPr>
          <w:pgSz w:w="11900" w:h="16884" w:orient="portrait"/>
          <w:cols w:equalWidth="0" w:num="1">
            <w:col w:w="11380"/>
          </w:cols>
          <w:pgMar w:left="280" w:top="36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-99695</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Costs related to refinancing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Depreciation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Gain on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(Gain) loss on sale / contribution of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Equity in (income) loss and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Recognition of accumulated foreign currency translation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Changes in assets and liabilities, net of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Accounts receivable</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Prepaid and other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Other current liabilities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Other non-current items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Net cash provided by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Proceeds from sale of long-lived assets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Post-closing working capital payment related to sale of 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Proceeds from sale of business, net of cash disposed 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Investments in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Investments in loans receivable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Proceeds from loans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contributed to TruGreen Joint Venture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Investments in acquired businesses, net of cash acquired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Other investing,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Net cash (used in) provided by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Borrowings under revolving and bank lines of credit and term loans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Repayments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Proceeds from issuance of 5.250% Senior Notes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Proceeds from issuance of 6.000%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Repayment of 6.625% Senior Notes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Financing and issuance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Distribution paid by AeroGrow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Purchase of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Payments on sellers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Excess tax benefits from share-based payment arrangements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received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Acquisition of noncontrolling interests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Effect of exchange rate changes on cash</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Cash and cash equivalents at beginning of year excluding cash classified within assets held for sale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 at beginning of year classified within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 at beginning of year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012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2016</w:t>
            </w:r>
          </w:p>
        </w:tc>
      </w:tr>
      <w:tr>
        <w:trPr>
          <w:trHeight w:val="524"/>
        </w:trPr>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24"/>
                <w:szCs w:val="2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218.8</w:t>
            </w:r>
          </w:p>
        </w:tc>
        <w:tc>
          <w:tcPr>
            <w:tcW w:w="100" w:type="dxa"/>
            <w:vAlign w:val="bottom"/>
          </w:tcPr>
          <w:p>
            <w:pPr>
              <w:spacing w:after="0"/>
              <w:rPr>
                <w:sz w:val="24"/>
                <w:szCs w:val="2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314.8</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0.2</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280"/>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363.2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244.0</w:t>
            </w:r>
          </w:p>
        </w:tc>
      </w:tr>
      <w:tr>
        <w:trPr>
          <w:trHeight w:val="524"/>
        </w:trPr>
        <w:tc>
          <w:tcPr>
            <w:tcW w:w="2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194.1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(158.4)</w:t>
            </w:r>
          </w:p>
        </w:tc>
      </w:tr>
      <w:tr>
        <w:trPr>
          <w:trHeight w:val="280"/>
        </w:trPr>
        <w:tc>
          <w:tcPr>
            <w:tcW w:w="2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(580.7)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(134.4)</w:t>
            </w:r>
          </w:p>
        </w:tc>
      </w:tr>
      <w:tr>
        <w:trPr>
          <w:trHeight w:val="524"/>
        </w:trPr>
        <w:tc>
          <w:tcPr>
            <w:tcW w:w="2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2,987.0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1,449.3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2,069.1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(2,312.9)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(2,150.4)</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400.0</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(116.6)</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(327.7)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(137.4)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14.7</w:t>
            </w:r>
          </w:p>
        </w:tc>
      </w:tr>
      <w:tr>
        <w:trPr>
          <w:trHeight w:val="280"/>
        </w:trPr>
        <w:tc>
          <w:tcPr>
            <w:tcW w:w="2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(128.8)</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241"/>
        </w:trPr>
        <w:tc>
          <w:tcPr>
            <w:tcW w:w="2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50.8</w:t>
            </w:r>
          </w:p>
        </w:tc>
      </w:tr>
      <w:tr>
        <w:trPr>
          <w:trHeight w:val="280"/>
        </w:trPr>
        <w:tc>
          <w:tcPr>
            <w:tcW w:w="2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20.6</w:t>
            </w:r>
          </w:p>
        </w:tc>
      </w:tr>
      <w:tr>
        <w:trPr>
          <w:trHeight w:val="250"/>
        </w:trPr>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71.4</w:t>
            </w:r>
          </w:p>
        </w:tc>
      </w:tr>
    </w:tbl>
    <w:p>
      <w:pPr>
        <w:sectPr>
          <w:pgSz w:w="11900" w:h="16884" w:orient="portrait"/>
          <w:cols w:equalWidth="0" w:num="2">
            <w:col w:w="7360" w:space="720"/>
            <w:col w:w="3300"/>
          </w:cols>
          <w:pgMar w:left="280" w:top="369" w:right="239" w:bottom="0" w:gutter="0" w:footer="0" w:header="0"/>
          <w:type w:val="continuous"/>
        </w:sectPr>
      </w:pPr>
    </w:p>
    <w:bookmarkStart w:id="66" w:name="page67"/>
    <w:bookmarkEnd w:id="66"/>
    <w:p>
      <w:pPr>
        <w:spacing w:after="0"/>
        <w:tabs>
          <w:tab w:leader="none" w:pos="8080" w:val="left"/>
          <w:tab w:leader="none" w:pos="8760" w:val="left"/>
          <w:tab w:leader="none" w:pos="9260" w:val="left"/>
          <w:tab w:leader="none" w:pos="9840" w:val="left"/>
          <w:tab w:leader="none" w:pos="10380" w:val="left"/>
          <w:tab w:leader="none" w:pos="11040" w:val="left"/>
        </w:tabs>
        <w:rPr>
          <w:sz w:val="20"/>
          <w:szCs w:val="20"/>
          <w:color w:val="auto"/>
        </w:rPr>
      </w:pPr>
      <w:r>
        <w:rPr>
          <w:rFonts w:ascii="Arial" w:cs="Arial" w:eastAsia="Arial" w:hAnsi="Arial"/>
          <w:sz w:val="13"/>
          <w:szCs w:val="13"/>
          <w:color w:val="auto"/>
        </w:rPr>
        <w:t>Cash and cash equivalents at end of year</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33.9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120.5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59690</wp:posOffset>
            </wp:positionV>
            <wp:extent cx="2101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-98425</wp:posOffset>
            </wp:positionV>
            <wp:extent cx="21012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80"/>
          </w:cols>
          <w:pgMar w:left="280" w:top="126" w:right="339" w:bottom="1440" w:gutter="0" w:footer="0" w:header="0"/>
        </w:sectPr>
      </w:pPr>
    </w:p>
    <w:bookmarkStart w:id="67" w:name="page68"/>
    <w:bookmarkEnd w:id="67"/>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$3.6 in 2018 and $3.1 in 2017</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4"/>
        </w:trPr>
        <w:tc>
          <w:tcPr>
            <w:tcW w:w="8340" w:type="dxa"/>
            <w:vAlign w:val="bottom"/>
            <w:tcBorders>
              <w:bottom w:val="single" w:sz="8" w:color="CCEEFF"/>
            </w:tcBorders>
            <w:shd w:val="clear" w:color="auto" w:fill="CCEEFF"/>
          </w:tcPr>
          <w:p>
            <w:pPr>
              <w:ind w:left="456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17, 18 and 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55.3 in 2018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58.1 in 2017</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 12.8 shares in 2018 and 10.0 shares in 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50" w:right="239" w:bottom="1440" w:gutter="0" w:footer="0" w:header="0"/>
        </w:sectPr>
      </w:pPr>
    </w:p>
    <w:bookmarkStart w:id="68" w:name="page69"/>
    <w:bookmarkEnd w:id="68"/>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 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Treasury Shares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520" w:type="dxa"/>
            <w:vAlign w:val="bottom"/>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2015</w:t>
            </w: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400.1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684.2</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620.7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($1.910 per share)</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(117.7)</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(137.4)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(137.4)</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Investment in noncontrolling interest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881.8</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218.3</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($2.030 per share)</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(121.9)</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(255.0)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(255.0)</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640" w:type="dxa"/>
            <w:vAlign w:val="bottom"/>
          </w:tcPr>
          <w:p>
            <w:pPr>
              <w:ind w:left="40"/>
              <w:spacing w:after="0" w:line="157" w:lineRule="exact"/>
              <w:rPr>
                <w:sz w:val="20"/>
                <w:szCs w:val="20"/>
                <w:color w:val="auto"/>
              </w:rPr>
            </w:pPr>
            <w:r>
              <w:rPr>
                <w:rFonts w:ascii="Arial" w:cs="Arial" w:eastAsia="Arial" w:hAnsi="Arial"/>
                <w:sz w:val="14"/>
                <w:szCs w:val="14"/>
                <w:color w:val="auto"/>
                <w:w w:val="95"/>
              </w:rPr>
              <w:t>Adjustment to noncontrolling interest due to</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 at September 30, 2017</w:t>
            </w: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407.3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14"/>
                <w:szCs w:val="14"/>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(667.8)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648.8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661.7</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 ($2.140 per share)</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(122.0)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(122.0)</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(326.1)</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remaining noncontrolling</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 Gavita</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 at September 30, 2018</w:t>
            </w: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420.0</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919.9</w:t>
            </w:r>
          </w:p>
        </w:tc>
        <w:tc>
          <w:tcPr>
            <w:tcW w:w="120" w:type="dxa"/>
            <w:vAlign w:val="bottom"/>
          </w:tcPr>
          <w:p>
            <w:pPr>
              <w:spacing w:after="0"/>
              <w:rPr>
                <w:sz w:val="14"/>
                <w:szCs w:val="14"/>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(939.6)</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354.6</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65"/>
        </w:trPr>
        <w:tc>
          <w:tcPr>
            <w:tcW w:w="264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5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branded products for lawn and garden care and indoor and hydroponic gardening. The Company’s primary customers include home centers, mass merchandisers, warehouse clubs, large hardware chains, independent hardware stores, nurseries, garden centers, food and drug stores, indoor gardening and hydroponic product distributors and retailers. The Company’s products are sold in North America, Europe and Asia.</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Consolidated Balance Sheets, and the other shareholders’ portion of net earnings and other comprehensive income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Under the terms of the Amended and Restated Exclusive Agency and Marketing Agreement (the “Original Marketing Agreement”) and the Second Amended and Restated Agency and Marketing Agreement (the “Restated Marketing Agreement”), pursuant to which the Company has served, since its 1998 fiscal year, as the exclusive agent of Monsanto Company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United States and certain other specified countries, the Company performs certain functions, primarily sales, merchandising, warehousing and other selling and marketing services, on behalf of Monsanto in the conduct of its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Company performs other services, including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5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Under the terms of the Marketing, R&amp;D and Ancillary Services Agreement (the “Services Agreement”) with Bonnie Plants, Inc. (“Bonnie”) and its sole shareholder, Alabama Farmers Cooperative, Inc. (“AFC”), entered into in the second quarter of fiscal 2016, the Company provides marketing, research and development and certain ancillary services to Bonnie for reimbursement of certain costs and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5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“Net sales” line in the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with no effect on gross profit dollars or net income.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The costs deferred at September 30, 2018 and 2017 were zero and $0.4 million, respectively. Advertising expenses were $104.2 million in fiscal 2018, $123.0 million in fiscal 2017 and $122.3 million in fiscal 2016.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2018, fiscal 2017 and fiscal 2016 were $42.5 million, $39.9 million and $36.0 million, respectively, including product registration costs of $11.4 million, $10.6 million and $10.6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to five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Non-Operating Expense, net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2017, the “Other non-operating expense, net” line in the Consolidated Statements of Operations included a $13.4 million non tax-deductible charge, related to the October 2017 acquisition of the remaining noncontrolling interest in Gavita Holdings B.V., and its subsidiaries (collectively, “Gavita”), to write-up the fair value of the loan to the noncontrolling ownership group to the agreed upon buyout value.</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result of the enactment of the H.R.1 (the “Act,” formerly known as the “Tax Cuts and Jobs Act”) on December 22, 2017, the Company repatriated cash from a foreign subsidiary during the second quarter of fiscal 2018 resulting in the liquidation of substantially all of the assets of the subsidiary and the write-off of accumulated foreign currency translation loss adjustments of $11.7 million in the “Other non-operating expense, net” line in the Consolidated Statements of Operations.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2018, the Company has classified interest income on loans receivable of $10.0 million in the “Other non-operating expense, net” line in the Consolidated Statements of Operations. For fiscal 2017 and fiscal 2016, interest income on loans receivable of $10.0 million and $3.9 million, respectively, is classified in the “Other income, net” line in the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Basic income per common share of Scotts Miracle-Gro (“Common Share”) is computed by dividing income attributable to controlling interest from continuing operations, income (loss) from discontinued operations or net income attributable to controlling interest by the weighted average number of Common Shares outstanding each period. Diluted income per Common Share is computed by dividing income attributable to controlling interest from continuing operations, income (loss) from discontinued operations or net income attributable to controlling interest by the weighted average number of Common Shares outstanding plus all dilutive potential Common Shares (stock options, performance shares and restricted stock unit awards) outstanding each period.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Inventories are stated at the lower of cost or net realizable value, principally determined by the first in, first out method of accounting. Inventories acquired through the recent acquisition of Sunlight Supply (as defined in “NOTE 7. ACQUISITIONS AND INVESTMENTS”), which represent approximately 19% of the Company’s consolidated inventories, were initially recorded at fair value and subsequently were measured using the average costing method of inventory valuation.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Adjustments to reflect inventories at net realizable values were $8.1 million and $10.5 million at September 30, 2018 and 2017, respectively. During fiscal 2018, the Company determined it was preferable to use the first in, first out inventory valuation method and adopted this method for the remaining U.S. Consumer segment inventories not subject to the first in, first out method. The impact of this change in accounting principle on inventory value and cost of goods sold was immaterial.</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9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Consolidated Statements of Operations. Interest income was $10.0 million for fiscal 2018, $10.0 million for fiscal 2017 and $3.9 million for fiscal 2016. Interest income is recorded on an accrual basis. The Company classified interest income in the “Other non-operating expense, net” line in the Consolidated Statements of Operations in fiscal 2018 and in the “Other income, net” line in the Consolidated Statements of Operations in fiscal 2017 and fiscal 2016.</w:t>
      </w:r>
    </w:p>
    <w:p>
      <w:pPr>
        <w:spacing w:after="0" w:line="3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At September 30, 2018, the carrying value and estimated fair value of loans receivable was $112.6 million and $128.2 million, respectively. At September 30, 2017, the carrying value and estimated fair value of loans receivable was $110.4 million and $125.6 million, respectively. The estimated fair value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credit risk and discount rates. The fair value measurement is based on significant inputs unobservable in the market and thus represents a Level 3 measurement.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$0.3 million, $0.1 million and $0.3 million during fiscal 2018, fiscal 2017 and fiscal 2016,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2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 – 8 years</w:t>
            </w:r>
          </w:p>
        </w:tc>
      </w:tr>
      <w:tr>
        <w:trPr>
          <w:trHeight w:val="27"/>
        </w:trPr>
        <w:tc>
          <w:tcPr>
            <w:tcW w:w="61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$9.8 million, $16.1 million and $12.4 million during fiscal 2018, fiscal 2017 and fiscal 2016, respectively, representing unpaid liabilities incurred during each fiscal year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 for fiscal 2018, fiscal 2017 and fiscal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(69.8)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Call premium on 6.625% Senior Notes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acquired under capital leases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36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(111.9)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r>
    </w:tbl>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fiscal 2018, the Company paid contingent consideration of $3.0 million and $5.8 million, respectively, related to the fiscal 2016 acquisition of Gavita and the fiscal 2017 acquisition of Agrolux Holding B.V., and its subsidiaries (collectively, “Agrolux”). During fiscal 2017, the Company paid contingent consideration of $6.7 million, $6.5 million and $15.5 million, respectively, related to the fiscal 2014 acquisition of Fafard &amp; Brothers Ltd. (“Fafard”), the fiscal 2016 acquisition of a Canadian growing media operation and the fiscal 2017 acquisition of American Agritech, L.L.C., d/b/a Botanicare (“Botanicare”).</w:t>
      </w:r>
    </w:p>
    <w:p>
      <w:pPr>
        <w:spacing w:after="0" w:line="5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2018 and 2017, the Company had $11.2 million and $10.6 million, respectively, in unamortized capitalized internal use computer software costs. Amortization of these costs was $3.9 million, $5.1 million and $6.1 million during fiscal 2018, fiscal 2017 and fiscal 2016,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has identified seven reporting units.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are dependent upon internally-developed forecasts that are based upon annual budgets and longer-range strategic plans. The Company uses discount rates that are commensurate with the risks and uncertainty inherent in the respective reporting units and in the internally-developed forecasts. To further confirm fair value, the Company compares the aggregate fair value of the reporting units to the Company’s total market capitalization.</w:t>
      </w:r>
    </w:p>
    <w:p>
      <w:pPr>
        <w:spacing w:after="0" w:line="4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intangible assets is determined under the income-based approach utilizing discounted cash flows and incorporating assumptions the Company believes market participants would utilize. For tradenames, value was determined using a royalty savings methodology similar to that employed when the associated businesses were acquired but using updated estimates of sales, cash flow and profitability.</w:t>
      </w:r>
    </w:p>
    <w:p>
      <w:pPr>
        <w:spacing w:after="0" w:line="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litigation processes, based on the technical merits of the position. The amount recognized is measured as the largest amount of tax benefit that is greater than 50% likely of being realized upon settlement.</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net” in the Consolidated Statements of Operations.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 and swap contracts, are used to manage these exposures. These financial instruments are recognized at fair value in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certain commodity hedges as cash flow hedges of forecasted purchases of commodities and interest rate swap agreements as cash flow hedges of interest payments on variable rate borrowings.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22, 2017, the Act was signed into law. The Act provides for significant changes to the U.S. Internal Revenue Code of 1986, as amended (the “Code”). Among other items, the Act implements a territorial tax system, imposes a one-time transition tax on deemed repatriated earnings of foreign subsidiaries, and reduces the federal corporate statutory tax rate to 21% effective January 1, 2018.</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Additionally, the Securities and Exchange Commission (the “SEC”) released Staff Accounting Bulletin No. 118 (“SAB 118”) which provides guidance on accounting for the Act’s impact under Accounting Standards Codification (“ASC”) Topic 740, Income Taxes (“ASC 740”). The guidance in SAB 118 addresses certain fact patterns where the accounting for changes in tax laws or tax rates under ASC 740 is incomplete upon issuance of an entity's financial statements for the reporting period in which the Act is enacted. Under the SEC staff guidance in SAB 118, in the financial reporting period in which the Act is enacted, the income tax effects of the Act for which the accounting under ASC 740 is incomplete would be reported as a provisional amount based on a reasonable estimate (to the extent a reasonable estimate can be determined), which would be subject to adjustment during a “measurement period” until the accounting under ASC 740 is complete. The measurement period is limited to no more than one year beyond the enactment date under the SEC staff’s guidance. SAB 118 also describes supplemental disclosures that should accompany the provisional amounts, including the reasons for the incomplete accounting, the additional information or analysis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that is needed, and other information relevant to why the registrant was not able to complete the accounting required under ASC 740 in a timely manner.</w:t>
      </w:r>
    </w:p>
    <w:p>
      <w:pPr>
        <w:spacing w:after="0" w:line="1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14. INCOME TAXES.”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March 2016, the Financial Accounting Standards Board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Company adopted this guidance effective October 1, 2017. The impact resulting from the adoption of this amended guidance is summarized below.</w:t>
      </w:r>
    </w:p>
    <w:p>
      <w:pPr>
        <w:spacing w:after="0" w:line="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amended accounting guidance requires all excess tax benefits and tax deficiencies to be recognized as income tax benefit or expense on a prospective basis in the period of adoption. The adoption of this provision of the amended accounting guidance resulted in the recognition of excess tax benefits of $4.5 million in the “Income tax expense (benefit) from continuing operations” line in the Consolidated Statement of Operations for fiscal 2018. As the Company adopted the guidance on a prospective basis, prior year activity has not been adjusted to conform with the current presentation and excess tax benefits of $7.9 million and $5.8 million have been recognized in the “Common shares and capital in excess of $0.01 stated value per share” line within “Total equity—controlling interest” in the Consolidated Balance Sheets for fiscal 2017 and fiscal 2016, respectively.</w:t>
      </w:r>
    </w:p>
    <w:p>
      <w:pPr>
        <w:spacing w:after="0" w:line="4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amended accounting guidance requires excess tax benefits to be classified as an operating activity in the statement of cash flows. Previously, excess tax benefits were presented as a cash inflow from financing activities and cash outflow from operating activities. The Company has elected to present these changes on a prospective basis and therefore fiscal 2017 and fiscal 2016 have not been adjusted to conform with the current presentation.</w:t>
      </w:r>
    </w:p>
    <w:p>
      <w:pPr>
        <w:spacing w:after="0" w:line="1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amended accounting guidance requires cash paid to a tax authority when shares are withheld to satisfy statutory income tax withholding obligations to be classified as a financing activity in the statement of cash flows. The Company’s retrospective adoption of this provision of the amended accounting guidance resulted in the classification of payments of $3.0 million, $9.2 million and $6.6 million as cash outflows from financing activities in the “Purchase of Common Shares” line in the Consolidated Statements of Cash Flows for fiscal 2018, fiscal 2017 and fiscal 2016, respectively.</w:t>
      </w:r>
    </w:p>
    <w:p>
      <w:pPr>
        <w:spacing w:after="0" w:line="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elected to continue to estimate the number of awards expected to vest, as permitted by the amended accounting guidance, rather than electing to account for forfeitures as they occur.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2017, the FASB issued an accounting standard update that modifies hedge accounting by making more hedge strategies eligible for hedge accounting, amending presentation and disclosure requirements, and changing how companies assess effectiveness. The intent is to simplify application of hedge accounting and increase transparency of information about an entity’s risk management activities. The Company early adopted this guidance effective October 1, 2017 using a modified retrospective transition approach for cash flow hedges existing at the date of adoption and a prospective approach for presentation and disclosure requirements. The adoption of this guidance did not have a significant impact on the Company’s consolidated financial position, results of operations or cash flows.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Company adopted this guidance on a prospective basis effective October 1, 2017. The adoption of this guidance did not have a significant impact on the Company’s consolidated financial position,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Company adopted this guidance on a prospective basis during the third quarter of fiscal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Company is substantially complete with its evaluation of the amended guidance, including identification of revenue streams and customer contract reviews. The Company applied the five-step model to those contracts and revenue streams to evaluate the quantitative and qualitative impacts the new standard will have on its business and reported revenues. The provisions are effective for the Company in the first quarter of fiscal 2019 and the Company will adopt the guidance under the modified retrospective approach, which recognizes the cumulative effect of adoption as an adjustment to retained earnings at the date of initial application. The Company’s revenue is primarily product sales, which are recognized at a point in time when title transfers to customers and the Company has no further obligation to provide services related to such products. The Company’s timing of recognition of revenue will be substantially unchanged under the amended guidance. The new accounting guidance will require the Company to recognize earlier certain deferred revenue associated with a license agreement related to the sale of the International Business (as defined in “NOTE 2. DISCONTINUED OPERATIONS”), resulting in a cumulative adjustment to its September 30, 2018 retained earnings of $9.2 million in its fiscal 2019 first quarter Form 10-Q. With the exception of this item, the adoption of the amended accounting guidance will not have a material impact on the Company’s consolidated financial statements.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 The Company is currently evaluating available transition methods and the impact of this standard on its consolidated results of operations, financial position and cash flows. The Company has made progress on its evaluation of the amended guidance, including identification of the population of leases affected including the $136.0 million of future minimum lease payments related to various operating lease agreements with third parties for property and equipment (see “NOTE 17. OPERATING LEASES” for further discussion), determining the information required to calculate the lease liability and right-of-use asset and evaluating models to assist in future reporting.</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March 2017, the FASB issued an accounting standard update which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Reporting Comprehensive Income</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February 2018, the FASB issued an accounting standard update that would allow a reclassification from accumulated other comprehensive income to retained earnings for stranded tax effects resulting from the Act. The provisions are effective for the Company’s financial statements no later than the fiscal year beginning October 1, 2018. The update may be applied either in the period of adoption or retrospectively to each period in which the effect of the change in the U.S. federal corporate income tax rate in the Act is recognized. The Company is continuing to assess the impact of the amended guidance.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20, 2018, the FASB issued an accounting standard update which simplifies the accounting for share-based payments granted to nonemployees for goods and services. Under the amended accounting guidance, most of the guidance on such payments to nonemployees would be aligned with the requirements for share-based payments granted to employees. The provisions are effective for the Company’s financial statements no later than the fiscal year beginning October 1, 2019 and are not expected to have a significant impact on the Company’s consolidated financial position, results of operations or cash flows.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Defined Benefit Plans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28, 2018, the FASB issued an accounting standard update to add, remove, and clarify disclosure requirements related to defined benefit pension and other postretirement plans. The amended accounting guidance adds requirements for an entity to disclose a narrative description of the reasons for significant gains and losses affecting the benefit obligation for the period, and an explanation of any other significant changes in the benefit obligation or plan assets that are not otherwise apparent in other required disclosures. In addition, the amended accounting guidance removes certain disclosure requirements, including: (1) the amounts in accumulated other comprehensive income expected to be recognized as part of net periodic benefit cost over the next year; (2) information about plan assets to be returned to the entity, including amounts and expected timing; and (3) the effects of a one-percentage-point change on the assumed health care costs and the effect of this change in rates on service cost, interest cost, and the benefit obligation for postretirement health care benefits. The provisions are effective for the Company’s financial statements no later than the fiscal year beginning October 1, 2020. The Company is continuing to assess the impact of the amended guidance.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for approximately $250.0 million (subject to potential adjustment following closing in respect of the actual financial position at closing) and a deferred payment amount of up to $23.8 million.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w:t>
      </w:r>
    </w:p>
    <w:p>
      <w:pPr>
        <w:spacing w:after="0" w:line="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31, 2017, the Company completed the sale of the International Business for cash proceeds of $150.6 million at closing, which was net of a closing statement adjustment for expected financial position at closing and net of seller financing provided by the Company in the form of a $29.7 million loan for seven years bearing interest at 5% for the first three years,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annual 2.5% increases thereafter. The transaction also included contingent consideration, a non-cash investing activity, with a maximum payout of $23.8 million and an initial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Consolidated Balance Sheets. The cash proceeds from the sale were subject to post-closing adjustments and the Company originally accrued $27.8 million at September 30, 2017 in the “Other current liabilities” line in the Consolidated Balance Sheets related to the expected working capital adjustment obligation in respect of the actual closing date financial position of the International Business. The Company recorded a pre-tax gain on the sale of the International Business of $32.7 million, partially offset by the provision for income taxes of $12.0 million, during fiscal 2017. The fiscal 2017 pre-tax gain included a write-off of accumulated foreign currency translation loss adjustments of $18.5 million. During fiscal 2018, the Company recorded a decrease to the pre-tax gain of $0.7 million related to the resolution of post-closing working capital adjustments.</w:t>
      </w:r>
    </w:p>
    <w:p>
      <w:pPr>
        <w:spacing w:after="0" w:line="3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an initial fair value of $14.1 million. Deferred licensing revenues of $12.1 million and $14.0 million were recorded on the Consolidated Balance Sheets as of September 30, 2018 and 2017, respectively. Refer to “NOTE 1. SUMMARY OF SIGNIFICANT ACCOUNTING POLICIES” for further discussion of the expected future impact of the amended revenue recognition accounting guidance that is effective for the Company in the first quarter of fiscal 2019.</w:t>
      </w:r>
    </w:p>
    <w:p>
      <w:pPr>
        <w:spacing w:after="0" w:line="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2018, fiscal 2017 and fiscal 2016, the Company recognized $1.8 million, $15.5 million and $2.5 million, respectively, in transaction related costs associated with the sale of the International Business as well as termination benefits and facility closure costs of zero, $(0.4) million and $3.6 million, respectively, in the “Income (loss) from discontinued operations, net of tax” line in the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2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Prior to April 13, 2016, the Company operated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approximately 30% in the TruGreen Joint Venture which had an initial fair value of $294.0 million. As a result, effective in its second quarter of fiscal 2016, the Company classified its results of operations for all periods presented to reflect the SLS Business as a discontinued operation and classified the assets and liabilities of the SLS Business as held for sale. In connection with the closing of the transactions on April 13, 2016, the TruGreen Joint Venture obtained debt financing and made a distribution of $196.2 million to the Company and the Company invested $18.0 million in second lien term loan financing to the TruGreen Joint Venture. During the fourth quarter of fiscal 2017, the Company received an $87.1 million distribution from the TruGreen Joint Venture in connection with its August 2017 debt refinancing.</w:t>
      </w:r>
    </w:p>
    <w:p>
      <w:pPr>
        <w:spacing w:after="0" w:line="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a gain on the contribution of $131.2 million, partially offset by the provision for deferred income taxes of $51.9 million, during fiscal 2016. During fiscal 2017, the Company recorded an adjustment to reduce the pre-tax gain by $1.0 million related to post-closing working capital adjustments.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2017 and fiscal 2016, the Company recognized $0.8 million and $4.6 million, respectively, in transaction related costs associated with the divestiture of the SLS Business in the “Income (loss) from discontinued operations, net of tax” line in the Consolidated Statements of Operations. During fiscal 2016, the Company recognized a charge of $9.0 million for the resolution of a prior SLS Business litigation matter within the “Income (loss) from discontinued operations, net of tax” line in the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 Bird Food</w:t>
      </w:r>
    </w:p>
    <w:p>
      <w:pPr>
        <w:spacing w:after="0" w:line="14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fiscal 2018, the Company recognized a pre-tax charge of $85.0 million for a probable loss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This accrual is recorded in the “Other current liabilities” line in the Consolidated Balance Sheets and the related deferred tax asset of $22.0 million is recorded in the “Other liabilities” line in the Consolidated Balance Sheets. This matter relates to a pending class-action lawsuit filed in 2012 in connection with the sale of wild bird food products that were the subject of a voluntary recall in 2008 by the Company’s previously sold wild bird food business. Refer to “NOTE 19. CONTINGENCIES” for more information.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consolidated financial statements for each of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and exit costs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429.5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 contribution of business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43.2</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Consolidated Statements of Cash Flows do not present the cash flows from discontinued operations separately from cash flows from continuing operations. Cash provided by (used in) operating activities related to discontinued operations totaled$(1.6) million, $(11.6) million and $18.8 million for fiscal 2018, fiscal 2017 and fiscal 2016, respectively. Cash provided by (used in) investing activities related to discontinued operations totaled $(35.3) million, $148.1 million and $(5.3) million for fiscal 2018, fiscal 2017 and fiscal 2016,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impairment, restructuring and other charges (recoveries) during fiscal 2018, fiscal 2017 and fiscal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Goodwill and intangible asset impairments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152.8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239.6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79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fiscal 2018, fiscal 2017 and fiscal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112.2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restructuring accruals, as of September 30, 2018, is $0.8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connection with the acquisition of Sunlight Supply during the third quarter of fiscal 2018, the Company announced the launch of an initiative called Project Catalyst. Project Catalyst is a company-wide restructuring effort to reduce operating costs throughout the U.S. Consumer, Hawthorne and Other segments and drive synergies from recent acquisitions within Hawthorne. The Company recognized charges of $29.4 million related to Project Catalyst during fiscal 2018. During fiscal 2018, the Company’s Hawthorne segment executed facility closures and consolidations, terminated employees in duplicate roles, and recognized employee termination benefits of $0.3 million, impairment of property, plant and equipment of $2.9 million, and facility closure costs of $9.2 million in the “Cost of sales—impairment, restructuring and other” line in the Consolidated Statements of Operations. The Company’s Hawthorne segment also recognized employee termination benefits of $3.5 million and facility closure costs of $1.9 million in the “Impairment, restructuring and other” line in the Consolidated Statement of Operations. The Company’s U.S. Consumer segment, in connection with an announced facility closure, recognized employee termination benefits of $1.6 million, impairment of property, plant and equipment of $5.3 million, and facility closure costs of $1.3 million during fiscal 2018 in the “Cost of sales—impairment, restructuring and other” line in the Consolidated Statements of Operations. The Company’s U.S. Consumer segment also recognized employee termination benefits of $3.4 million in the “Impairment, restructuring and other” line in the Consolidated Statement of Operations. Costs incurred to date since the inception of Project Catalyst are $17.8 million for the Hawthorne segment and $11.6 million for the U.S. Consumer segment.</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During fiscal 2018, the Company’s U.S. Consumer segment recognized adjustments of $0.1 million related to previously recognized termination benefits associated with Project Focus in the “Impairment, restructuring and other” line in the Consolidated Statements of Operations. During fiscal 2017, the Company recognized restructuring costs related to termination benefits and facility closure costs of $8.3 million in the “Impairment, restructuring and other” line in the Consolidated Statements of Operations, including $6.7 million for the U.S. Consumer segment, $0.9 million for the Hawthorne segment and $0.7 million for the Other segment. During fiscal 2016, the Company recognized restructuring costs related to termination benefits of $3.9 million related to Project Focus in the “Impairment, restructuring and other” line in the Consolidated Statements of Operations. Costs incurred to date since the inception of the current Project Focus initiatives are $10.0 million for the U.S. Consumer segment, $0.9 million for the Hawthorne segment and $1.2 million for the Other segment, related to transaction activity, termination benefits and facility closure costs.</w:t>
      </w:r>
    </w:p>
    <w:p>
      <w:pPr>
        <w:spacing w:after="0" w:line="9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April 13, 2016, as part of Project Focus, the Company completed the contribution of the SLS Business to the TruGreen Joint Venture. Refer to “NOTE 2. DISCONTINUED OPERATIONS” for more information. During fiscal 2017 and fiscal 2016, the Company recognized $0.8 million and $4.6 million, respectively, in transaction related costs associated with the divestiture of the SLS Business in the “Income (loss) from discontinued operations, net of tax” line in the Consolidated Statements of Operations. During fiscal 2016, the Company recognized a pre-tax charge of $9.0 million for the resolution of a prior SLS Business litigation matter in the “Income (loss) from discontinued operations, net of tax” line in the Consolidated Statements of Operations.</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31, 2017, the Company completed the sale of the International Business. Refer to “NOTE 2. DISCONTINUED OPERATIONS” for more information. During fiscal 2018, fiscal 2017 and fiscal 2016, the Company recognized $1.8 million, $15.5 million and $2.5 million, respectively, in transaction related costs associated with the sale of the International Business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well as termination benefits and facility closure costs of zero, $(0.4) million and $3.6 million, respectively, in the “Income (loss) from discontinued operations, net of tax” line in the Consolidated Statements of Operations.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Bonus 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During the third quarter of fiscal 2015, the Company’s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In fiscal 2016, the Company incurred $6.4 million in costs related to resolving these consumer complaints and the recognition of costs the Company expected to incur for consumer claims in the “Impairment, restructuring and other” and the “Cost of sales—impairment, restructuring and other” lines in the Consolidated Statements of Operations. Additionally, the Company recorded offsetting insurance reimbursement recoveries of $55.9 million in fiscal 2016 in the “Impairment, restructuring and other” line in the Consolidated Statements of Operations. Costs incurred to date since the inception of this matter were $73.8 million, partially offset by insurance reimbursement recoveries of $60.8 million.</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2018, the Company recognized a non-cash impairment charge of $94.6 million related to a goodwill impairment in the Hawthorne segment in the “Impairment, restructuring and other” line in the Consolidated Statements of Operations as a result of the Company’s annual fourth quarter quantitative goodwill impairment test. Refer to “NOTE 4. GOODWILL AND INTANGIBLE ASSETS, NET” for more information.</w:t>
      </w:r>
    </w:p>
    <w:p>
      <w:pPr>
        <w:spacing w:after="0" w:line="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the Company recognized a non-cash impairment charge of $17.5 million related to the settlement of a portion of certain previously acquired customer relationships due to the acquisition of Sunlight Supply in the “Impairment, restructuring and other” line in the Consolidated Statement of Operations. Refer to “NOTE 7. ACQUISITIONS AND INVESTMENTS”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fiscal 2018, the Company recognized a pre-tax charge of $85.0 million for a probable loss related to the previously disclosed legal matter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Morning Song Bird Food Litigation </w:t>
      </w:r>
      <w:r>
        <w:rPr>
          <w:rFonts w:ascii="Arial" w:cs="Arial" w:eastAsia="Arial" w:hAnsi="Arial"/>
          <w:sz w:val="18"/>
          <w:szCs w:val="18"/>
          <w:color w:val="auto"/>
        </w:rPr>
        <w:t>in the “Income (loss) from discontinued operations, net of tax” line in the Consolidated Statements of Operations.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“NOTE 19. CONTINGENCIES”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fiscal 2018, the Company recognized a charge of $11.7 million for a probable loss related to the previously disclosed legal matter </w:t>
      </w:r>
      <w:r>
        <w:rPr>
          <w:rFonts w:ascii="Arial" w:cs="Arial" w:eastAsia="Arial" w:hAnsi="Arial"/>
          <w:sz w:val="18"/>
          <w:szCs w:val="18"/>
          <w:i w:val="1"/>
          <w:iCs w:val="1"/>
          <w:color w:val="auto"/>
        </w:rPr>
        <w:t>In re Scotts EZ</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Seed Litigation </w:t>
      </w:r>
      <w:r>
        <w:rPr>
          <w:rFonts w:ascii="Arial" w:cs="Arial" w:eastAsia="Arial" w:hAnsi="Arial"/>
          <w:sz w:val="18"/>
          <w:szCs w:val="18"/>
          <w:color w:val="auto"/>
        </w:rPr>
        <w:t>in the “Impairment, restructuring and other” line in the Consolidated Statements of Operations. Refer to “NOTE 19. CONTINGENCIES”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2017, the Company recognized a recovery of $4.4 million related to the reduction of a contingent consideration liability associated with a historical acquisition and recorded a $1.0 million impairment charge on the write-off of a trademark asset due to recent performance and future growth expectations within the “Impairment, restructuring and other” line in the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Consumer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Hawthorne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373.7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371.9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Acquisitions, net of purchase price adjustments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64.4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Reallocation</w:t>
            </w:r>
          </w:p>
        </w:tc>
        <w:tc>
          <w:tcPr>
            <w:tcW w:w="2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443.4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441.6</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purchase price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198.0</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(94.6)</w:t>
            </w:r>
          </w:p>
        </w:tc>
      </w:tr>
      <w:tr>
        <w:trPr>
          <w:trHeight w:val="297"/>
        </w:trPr>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639.4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(96.4)</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543.0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performed annual impairment testing as of the first day of its fourth fiscal quarter in fiscal 2018, 2017 and 2016 and, with the exception of the Hawthorne reporting unit in fiscal 2018, concluded that there were no impairments of goodwill as the estimated fair value of each reporting unit exceeded its carrying value. During the fourth quarter of fiscal 2018, the Company recognized a non-cash goodwill impairment charge of $94.6 million related to the Hawthorne reporting unit in the “Impairment, restructuring and other” line in the Consolidated Statements of Operations. The impairment was primarily driven by the downturn in the U.S. retail hydroponic market, which has continued longer than anticipated in the Company’s earlier forecasts, as well as the completion of the Company’s annual budget process. This impairment charge does not impact the Company’s liquidity, cash flows from operations or compliance with debt covenants. The fair value estimates utilize significant unobservable inputs and thus represent Level 3 nonrecurring fair value measurements.</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2017 there was a change in the Company’s internal organizational structure resulting from the Company’s divestiture of the International Business. This change in organizational structure resulted in a change in the Company’s operating segments and reporting units. The Company allocated goodwill to the new reporting units using a relative fair value approach, resulting in $17.3 million of goodwill reallocated from the Hawthorne segment to the U.S. Consumer segment during fiscal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258.1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(37.8)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220.3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176.7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212.5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24.4</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59.5</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Indefinite-lived tradenames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Agreement Amendment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Brand Extension Agreement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third quarter of fiscal 2018, the Company’s Hawthorne segment recognized a non-cash impairment charge of $17.5 million related to the settlement of a portion of certain previously acquired customer relationships due to the acquisition of Sunlight Supply.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fourth quarter of fiscal 2017, the Company completed its annual impairment review and recognized an impairment charge for a non-recurring fair value adjustment of $1.0 million within the U.S. Consumer segment related to a trademark asset. The fair value was calculated based upon the evaluation of the historical performance and future growth expectations of the trademark. The impact of the fair value adjustment was to reduce the carrying value of the definite-lived brand from $1.0 million to zero. No impairment of goodwill or other intangible assets were required.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2018, 2017, and 2016 was $30.0 million, $23.3 million and $15.7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30.9</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r>
      <w:tr>
        <w:trPr>
          <w:trHeight w:val="567"/>
        </w:trPr>
        <w:tc>
          <w:tcPr>
            <w:tcW w:w="7320" w:type="dxa"/>
            <w:vAlign w:val="bottom"/>
          </w:tcPr>
          <w:p>
            <w:pPr>
              <w:spacing w:after="0"/>
              <w:rPr>
                <w:sz w:val="20"/>
                <w:szCs w:val="20"/>
                <w:color w:val="auto"/>
              </w:rPr>
            </w:pPr>
            <w:r>
              <w:rPr>
                <w:rFonts w:ascii="Arial" w:cs="Arial" w:eastAsia="Arial" w:hAnsi="Arial"/>
                <w:sz w:val="18"/>
                <w:szCs w:val="18"/>
                <w:b w:val="1"/>
                <w:bCs w:val="1"/>
                <w:color w:val="auto"/>
              </w:rPr>
              <w:t>NOTE 5. DETAIL OF CERTAIN FINANCIAL STATEMENT ACCOUNTS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7320" w:type="dxa"/>
            <w:vAlign w:val="bottom"/>
          </w:tcPr>
          <w:p>
            <w:pPr>
              <w:ind w:left="420"/>
              <w:spacing w:after="0"/>
              <w:rPr>
                <w:sz w:val="20"/>
                <w:szCs w:val="20"/>
                <w:color w:val="auto"/>
              </w:rPr>
            </w:pPr>
            <w:r>
              <w:rPr>
                <w:rFonts w:ascii="Arial" w:cs="Arial" w:eastAsia="Arial" w:hAnsi="Arial"/>
                <w:sz w:val="18"/>
                <w:szCs w:val="18"/>
                <w:color w:val="auto"/>
              </w:rPr>
              <w:t>The following is detail of certain financial statement accounts: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2"/>
        </w:trPr>
        <w:tc>
          <w:tcPr>
            <w:tcW w:w="73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Borders>
              <w:bottom w:val="single" w:sz="8" w:color="auto"/>
            </w:tcBorders>
          </w:tcPr>
          <w:p>
            <w:pPr>
              <w:spacing w:after="0"/>
              <w:rPr>
                <w:sz w:val="24"/>
                <w:szCs w:val="24"/>
                <w:color w:val="auto"/>
              </w:rPr>
            </w:pPr>
          </w:p>
        </w:tc>
      </w:tr>
      <w:tr>
        <w:trPr>
          <w:trHeight w:val="264"/>
        </w:trPr>
        <w:tc>
          <w:tcPr>
            <w:tcW w:w="7320" w:type="dxa"/>
            <w:vAlign w:val="bottom"/>
          </w:tcPr>
          <w:p>
            <w:pPr>
              <w:spacing w:after="0"/>
              <w:rPr>
                <w:sz w:val="22"/>
                <w:szCs w:val="22"/>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2017</w:t>
            </w:r>
          </w:p>
        </w:tc>
      </w:tr>
      <w:tr>
        <w:trPr>
          <w:trHeight w:val="196"/>
        </w:trPr>
        <w:tc>
          <w:tcPr>
            <w:tcW w:w="7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210.6</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36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139.3</w:t>
            </w:r>
          </w:p>
        </w:tc>
      </w:tr>
      <w:tr>
        <w:trPr>
          <w:trHeight w:val="27"/>
        </w:trPr>
        <w:tc>
          <w:tcPr>
            <w:tcW w:w="7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853"/>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receivable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pension, postretirement and executive retirement assets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receivable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Bonnie Option</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left="853"/>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00" w:type="dxa"/>
            <w:vAlign w:val="bottom"/>
            <w:gridSpan w:val="3"/>
          </w:tcPr>
          <w:p>
            <w:pPr>
              <w:jc w:val="center"/>
              <w:ind w:left="853"/>
              <w:spacing w:after="0"/>
              <w:rPr>
                <w:sz w:val="20"/>
                <w:szCs w:val="20"/>
                <w:color w:val="auto"/>
              </w:rPr>
            </w:pPr>
            <w:r>
              <w:rPr>
                <w:rFonts w:ascii="Arial" w:cs="Arial" w:eastAsia="Arial" w:hAnsi="Arial"/>
                <w:sz w:val="14"/>
                <w:szCs w:val="14"/>
                <w:b w:val="1"/>
                <w:bCs w:val="1"/>
                <w:color w:val="auto"/>
                <w:w w:val="96"/>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restructuring and other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insurance and claims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taxes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International Business divestiture accrual</w:t>
            </w: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NON-CURRENT LIABILITIES: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pension, postretirement and executive retirement liabilities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licensing revenue</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gridSpan w:val="2"/>
          </w:tcPr>
          <w:p>
            <w:pPr>
              <w:ind w:left="7640"/>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56"/>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960" w:type="dxa"/>
            <w:vAlign w:val="bottom"/>
            <w:gridSpan w:val="2"/>
          </w:tcPr>
          <w:p>
            <w:pPr>
              <w:ind w:left="380"/>
              <w:spacing w:after="0"/>
              <w:rPr>
                <w:sz w:val="20"/>
                <w:szCs w:val="20"/>
                <w:color w:val="auto"/>
              </w:rPr>
            </w:pPr>
            <w:r>
              <w:rPr>
                <w:rFonts w:ascii="Arial" w:cs="Arial" w:eastAsia="Arial" w:hAnsi="Arial"/>
                <w:sz w:val="18"/>
                <w:szCs w:val="18"/>
                <w:color w:val="auto"/>
              </w:rPr>
              <w:t>Unrecognized gain (loss) on derivatives, net of tax of ($2.9), ($1.3) and $2.8, respectively   $</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$31.4, $33.4 and $41.2,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43"/>
        </w:trPr>
        <w:tc>
          <w:tcPr>
            <w:tcW w:w="796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gridSpan w:val="2"/>
            <w:shd w:val="clear" w:color="auto" w:fill="CCEEFF"/>
          </w:tcPr>
          <w:p>
            <w:pPr>
              <w:ind w:left="7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The Scotts Company LLC (“Scotts LLC”) is the exclusive agent of Monsanto for the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consumer lawn and garden market in certain countries pursuant to an Amended and Restated Exclusive Agency and Marketing Agreement (the “Original Marketing Agreement”). In consideration for the rights granted to the Company under the Original Marketing Agreement in 1998, the Company paid a marketing fee of $32.0 million to Monsanto. The Company deferred this amount on the basis that the payment will provide a future benefit through commissions that will be earned under the Original Marketing Agreement. The marketing fee was amortized over a period of 20 years and was fully amortized as of September 30, 2018. On May 15, 2015, the Company and Monsanto entered into an Amendment to the Original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2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as amended,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1998 until May 15, 2015, the Original Marketing Agreement covered the United States and other specified countries, including Australia, Austria, Belgium, Canada, France, Germany, the Netherlands and the United Kingdom. The Marketing Agreement Amendment expanded the covered territories and countries to include all countries other than Japan and countries subject to a comprehensive U.S. trade embargo or certain other embargoes and trade restrictions. The Restated Marketing Agreement further revised the covered territories and countries to only include Israel, China and every country throughout the Caribbean and the continents of North America and South America that is not subject to a comprehensive U.S. trade embargo or certain other embargoes and trade restrictions.</w:t>
      </w:r>
    </w:p>
    <w:p>
      <w:pPr>
        <w:spacing w:after="0" w:line="139"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Under the terms of the Restated Marketing Agreement,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Restated Marketing Agreement for program years 2017 and 2018 and (2) 50% of the actual earnings before interest and income taxes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Restated Marketing Agreement in excess of $40.0 million for program years 2019 and thereafter. The Restated Marketing Agreement also requires the Company to make annual payments of $18.0 million to Monsanto as a contribution against the overall expenses of its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1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Unless Monsanto terminates the Restated Marketing Agreement due to an event of default by the Company, upon a termination of the Restated Marketing Agreement by Monsanto, in addition to other remedies that may be available to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“Termination Fee”). The Company may terminate the Restated Marketing Agreement upon a material breach of the Restated Marketing Agreement by Monsanto or upon a material fraud or material willful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misconduct committed by Monsanto, among other potential remedies, and in the event of such a termination by the Company, Monsanto is required to pay to the Company an amount equal to the Termination Fee. Upon a significant decline in either (i)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of more than 25% compared to program year 2014; or (ii)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subject to certain terms and conditions, the Company may either terminate the Restated Marketing Agreement or continue the Restated Marketing Agreement and be entitled to receive an additional commission amount. The Restated Marketing Agreement also provides the Company with additional rights and remedies, including the right to terminate the Restated Marketing Agreement in certain circumstances and the right to indemnification for product liability claims relating to its marketing and distribution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its capacity as Monsanto’s agent. The term of the Restated Marketing Agreement will continue indefinitely for all included markets unless and until otherwise terminated in accordance therewith.</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Restated Brand Extension Agreement provides the Company an exclusive license in every country throughout the North American continent, South American continent, Central America, the Caribbean, Israel and China (in each case that is not subject to a comprehensive U.S. trade embargo or certain other embargoes and trade restrictions)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weedkiller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Restated Brand Extension Agreement has a term of twenty years, which will automatically renew for additional successive twenty year terms, at the Company’s sole option, for no additional monetary consideration.</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Restated Marketing Agreement or the Restated Brand Extension Agreement).</w:t>
      </w:r>
    </w:p>
    <w:p>
      <w:pPr>
        <w:spacing w:after="0" w:line="9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Under the terms of the Restated Marketing Agreement, the Company performs sales, merchandising, warehousing and other selling and marketing services, on behalf of Monsanto in the conduct of its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Company performs other services, including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9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gross commission earned under the Restated Marketing Agreement, the contribution payments to Monsanto and the amortization of the initial marketing fee paid to Monsanto in 1998 are included in the calculation of net sales in the Company’s Consolidated Statements of Operations. The elements of the net commission and reimbursements earned under the Restated Marketing Agreement and included in “Net sales”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Restated Marketing Agreement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net sales associated with Restated Marketing Agreement</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134.9</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based in Vancouver, Washington, is a leading developer, manufacturer, marketer and distributer of horticultural, organics, lighting,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hydroponics products. Prior to the transaction, Sunlight Supply served as a non-exclusive distributor of the Company. The estimated purchase price of Sunlight Supply was $459.1 million, a portion of which was paid by the issuance of 0.3 million Common Shares, a non-cash investing and financing activity, with a fair value of $23.4 million based on the average share price at the time of payment. The purchase price included contingent consideration, a non-cash investing activity, with an initial fair value of $3.1 million and a maximum payout of $20.0 million, which will be paid by the Company contingent on the achievement of certain performance metrics of the Company through the one year anniversary of the closing date. The purchase price is also subject to a post-closing net working capital adjustment for which the Company has accrued $7.4 million as of September 30, 2018 in the “Other current liabilities” line in the Consolidated Balance Sheets related to the expected obligation for this net working capital adjustment.</w:t>
      </w:r>
    </w:p>
    <w:p>
      <w:pPr>
        <w:spacing w:after="0" w:line="4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preliminary valuation of the acquired assets included (i) $7.6 million of cash, prepaid and other current assets, (ii) $20.3 million of accounts receivable, (iii) $84.3 million of inventory, (iv) $64.4 million of fixed assets, (v) $13.7 million of accounts payable and other current liabilities, (vi) $151.1 million of finite-lived identifiable intangible assets, and (vii) $145.1 million of tax-deductible goodwill. Identifiable intangible assets included tradenames of $65.1 million, customer relationships of $84.1 million and non-competes of $1.9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Certain estimated values for the acquisition, including goodwill, intangible assets, and property, plant and equipment, are not yet finalized and are subject to revision as additional information becomes available and more detailed analysis is completed. The contingent consideration related to the Sunlight Supply acquisition is required to be accounted for as a derivative instrument and is recorded at fair value in the “Other current liabilities” line in the Consolidated Balance Sheets, with changes in fair value recognized in the “Impairment, restructuring and other” line in the Consolidated Statements of Operations. The estimated fair value of the contingent consideration was $0.9 million as of September 30, 2018 and the fair value measurement was classified in Level 3 of the fair value hierarchy.</w:t>
      </w:r>
    </w:p>
    <w:p>
      <w:pPr>
        <w:spacing w:after="0" w:line="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acquisition of Sunlight Supply also resulted in the settlement of a portion of certain previously acquired customer relationships, which resulted in a non-cash impairment charge of $17.5 million recognized in the “Impairment, restructuring and other” line in the Consolidated Statements of Operations to reduce the carrying value of these previously acquired customer relationship intangible assets to an estimated fair value of $30.9 million.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at September 30, 2018. Additionally, the Company reduced the value of deferred tax liabilities associated with the write-off of these previously acquired customer relationship intangible assets by $7.3 million, which was recognized in the “Income tax expense (benefit) from continuing operations” line in the Consolidated Statement of Operations for fiscal 2018.</w:t>
      </w:r>
    </w:p>
    <w:p>
      <w:pPr>
        <w:spacing w:after="0" w:line="5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Net sales for Sunlight Supply included within the Hawthorne segment for fiscal 2018 were $97.3 million. 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cost of goods sold for fiscal 2017 and decreased cost of goods sold for fiscal 2018 related to the acquisition date inventory fair value adjustment, (v) increased interest expense related to the financing of the acquisition, (vi) removal of the non-cash impairment charge of $17.5 million during the third quarter of fiscal 2018 related to the settlement of a portion of certain previously acquired customer relationships due to the acquisition of Sunlight Supply, (vii) adjustments to tax expense based on condensed consolidated pro forma results, and (viii) the impact of additional Common Shares issued as a result of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are they necessarily an indication of future operating results.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320" w:type="dxa"/>
            <w:vAlign w:val="bottom"/>
            <w:tcBorders>
              <w:bottom w:val="single" w:sz="8" w:color="auto"/>
            </w:tcBorders>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32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i w:val="1"/>
                <w:iCs w:val="1"/>
                <w:color w:val="auto"/>
                <w:w w:val="86"/>
              </w:rPr>
              <w:t>Unaudited Consolidated Pro Forma Results</w:t>
            </w: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ind w:right="879"/>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spacing w:after="0"/>
              <w:rPr>
                <w:sz w:val="17"/>
                <w:szCs w:val="17"/>
                <w:color w:val="auto"/>
              </w:rPr>
            </w:pPr>
          </w:p>
        </w:tc>
        <w:tc>
          <w:tcPr>
            <w:tcW w:w="1320" w:type="dxa"/>
            <w:vAlign w:val="bottom"/>
          </w:tcPr>
          <w:p>
            <w:pPr>
              <w:jc w:val="right"/>
              <w:ind w:right="854"/>
              <w:spacing w:after="0"/>
              <w:rPr>
                <w:sz w:val="20"/>
                <w:szCs w:val="20"/>
                <w:color w:val="auto"/>
              </w:rPr>
            </w:pPr>
            <w:r>
              <w:rPr>
                <w:rFonts w:ascii="Arial" w:cs="Arial" w:eastAsia="Arial" w:hAnsi="Arial"/>
                <w:sz w:val="14"/>
                <w:szCs w:val="14"/>
                <w:b w:val="1"/>
                <w:bCs w:val="1"/>
                <w:color w:val="auto"/>
              </w:rPr>
              <w:t>2017</w:t>
            </w:r>
          </w:p>
        </w:tc>
      </w:tr>
      <w:tr>
        <w:trPr>
          <w:trHeight w:val="48"/>
        </w:trPr>
        <w:tc>
          <w:tcPr>
            <w:tcW w:w="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gridSpan w:val="3"/>
          </w:tcPr>
          <w:p>
            <w:pPr>
              <w:spacing w:after="0"/>
              <w:rPr>
                <w:sz w:val="4"/>
                <w:szCs w:val="4"/>
                <w:color w:val="auto"/>
              </w:rPr>
            </w:pPr>
          </w:p>
        </w:tc>
      </w:tr>
      <w:tr>
        <w:trPr>
          <w:trHeight w:val="244"/>
        </w:trPr>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94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(In millions, except for common share data)</w:t>
            </w:r>
          </w:p>
        </w:tc>
      </w:tr>
      <w:tr>
        <w:trPr>
          <w:trHeight w:val="256"/>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Proforma net sales</w:t>
            </w:r>
          </w:p>
        </w:tc>
        <w:tc>
          <w:tcPr>
            <w:tcW w:w="26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2,879.7</w:t>
            </w:r>
          </w:p>
        </w:tc>
        <w:tc>
          <w:tcPr>
            <w:tcW w:w="9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3,032.4</w:t>
            </w:r>
          </w:p>
        </w:tc>
      </w:tr>
      <w:tr>
        <w:trPr>
          <w:trHeight w:val="243"/>
        </w:trPr>
        <w:tc>
          <w:tcPr>
            <w:tcW w:w="4820" w:type="dxa"/>
            <w:vAlign w:val="bottom"/>
            <w:gridSpan w:val="3"/>
          </w:tcPr>
          <w:p>
            <w:pPr>
              <w:ind w:left="40"/>
              <w:spacing w:after="0"/>
              <w:rPr>
                <w:sz w:val="20"/>
                <w:szCs w:val="20"/>
                <w:color w:val="auto"/>
              </w:rPr>
            </w:pPr>
            <w:r>
              <w:rPr>
                <w:rFonts w:ascii="Arial" w:cs="Arial" w:eastAsia="Arial" w:hAnsi="Arial"/>
                <w:sz w:val="18"/>
                <w:szCs w:val="18"/>
                <w:color w:val="auto"/>
              </w:rPr>
              <w:t>Proforma net income attributable to controlling interest</w:t>
            </w:r>
          </w:p>
        </w:tc>
        <w:tc>
          <w:tcPr>
            <w:tcW w:w="2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90.0</w:t>
            </w:r>
          </w:p>
        </w:tc>
        <w:tc>
          <w:tcPr>
            <w:tcW w:w="9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228.5</w:t>
            </w: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Proforma diluted net income per common share</w:t>
            </w:r>
          </w:p>
        </w:tc>
        <w:tc>
          <w:tcPr>
            <w:tcW w:w="2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1.57</w:t>
            </w:r>
          </w:p>
        </w:tc>
        <w:tc>
          <w:tcPr>
            <w:tcW w:w="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r>
      <w:tr>
        <w:trPr>
          <w:trHeight w:val="459"/>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tcPr>
          <w:p>
            <w:pPr>
              <w:jc w:val="right"/>
              <w:ind w:right="1090"/>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9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Consolidated Balance Sheets.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valuation of the acquired assets included (i) $1.5 million of cash, prepaid and other current assets, (ii) $7.7 million of inventory and accounts receivable, (iii) $4.4 million of fixed assets, (iv) $0.7 million of accounts payable and other current liabilities, (v) $39.7 million of finite-lived identifiable intangible assets, and (vi) $21.5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Can-Filters included within the Hawthorne segment for fiscal 2018 were $10.7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Agrolux</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May 26, 2017, the Company’s majority-owned subsidiary Gavita completed the acquisition of Agrolux for $21.8 million. Based in the Netherlands, Agrolux is a worldwide supplier of horticultural lighting. The purchase price included contingent consideration, a non-cash investing activity, with a maximum payout and initial fair value of $5.2 million, which was paid during the third quarter of fiscal 2018. The valuation of the acquired assets included (i) $8.0 million of cash, prepaid and other current assets, (ii) $9.9 million of inventory and accounts receivable, (iii) $0.5 million of fixed assets, (iv) $8.6 million of accounts payable and other current liabilities, (v) $6.7 million of short-term debt, (vi) $16.1 million of finite-lived identifiable intangible assets, (vii) $6.6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fiscal 2018 and fiscal 2017 were $53.2 million and $16.4 million, respectively.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Botanicare</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October 3, 2016, the Company’s Hawthorne segment completed the acquisition of Botanicare, an Arizona-based leading producer of plant nutrients, plant supplements and growing systems used for hydroponic gardening, for $92.6 million. The purchase price included contingent consideration, a non-cash investing activity, of $15.5 million, which was paid during the third quarter of fiscal 2017. The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11, 2017, the Company’s Hawthorne segment completed the acquisition of substantially all of the assets of the exclusive manufacturer and formulator of branded Botanicare products for $32.0 million. The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 using 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income-based approach, which includes market participant expectations of cash flows that an asset will generate over the remaining useful life discounted to present value using an appropriate discount rate.</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9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for $136.2 million. The remaining 25% interest was initially retained by Gavita’s former ownership group. Gavita, which is based in the Netherlands, is a leading producer and marketer of indoor lighting used in the greenhouse and hydroponic markets, predominately in the United States and Europe. The purchase price included contingent consideration, a non-cash investing activity, with an initial fair value of $2.5 million, which was paid during the first quarter of fiscal 2018. The valuation of the acquired assets included (i) $6.4 million of cash, prepaid and other current assets, (ii) $37.9 million of inventory and accounts receivable,</w:t>
      </w:r>
    </w:p>
    <w:p>
      <w:pPr>
        <w:spacing w:after="0" w:line="2" w:lineRule="exact"/>
        <w:rPr>
          <w:sz w:val="20"/>
          <w:szCs w:val="20"/>
          <w:color w:val="auto"/>
        </w:rPr>
      </w:pPr>
    </w:p>
    <w:p>
      <w:pPr>
        <w:jc w:val="both"/>
        <w:ind w:firstLine="8"/>
        <w:spacing w:after="0" w:line="271" w:lineRule="auto"/>
        <w:tabs>
          <w:tab w:leader="none" w:pos="3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$1.3 million of fixed assets, (iv) $18.7 million of accounts payable and other current liabilities, (v) $5.5 million of short-term debt, (vi) $102.6 million of finite-lived identifiable intangible assets, (vii) $83.3 million of non-deductible goodwill, and (viii) $25.7 million of deferred tax liabilities.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third quarter of fiscal 2016, the Company completed an acquisition within the Other segment to expand its Canadian growing media operations for an estimated purchase price of $33.9 million. The initial purchase price included contingent consideration, a non-cash investing activity, with an estimated fair value of $10.8 million, of which $6.5 million was paid during the first quarter of fiscal 2017, and the remaining $4.3 million has been adjusted and reclassified to the acquired assets. The valuation of the acquired assets included (i) $4.7 million of inventory and accounts receivable, (ii) $18.5 million of fixed assets, (iii) $9.3 million of finite-lived identifiable intangible assets, (iv) $1.2 million of deferred tax liabilities, and (v) an investment in an unconsolidated joint venture of $0.5 million.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4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During the second quarter of fiscal 2016, the Company entered into definitive agreements with Bonnie and its sole shareholder AFC, providing for the Company’s participation in the Bonnie Business. The Company’s participation includes a Term Loan Agreement from the Company to AFC, with Bonnie as guarantor, in the amount of $72.0 million with a fixed coupon rate of 6.95% (the “Term Loan”) as well as a Services Agreement pursuant to which the Company provides marketing, research and development and certain ancillary services to Bonnie for a commission fee based on the profits of the Bonnie Business and the reimbursement of certain costs. These agreements also include options beginning in fiscal 2020 that provide for either (i) the Company to increase its economic interest in the Bonnie Business (the “Bonnie Option”) or (ii) AFC and Bonnie to repurchase the Company’s economic interest in the Bonnie Business. During fiscal 2018, fiscal 2017 and fiscal 2016, the Company recognized commission income of $2.9 million, $2.2 million and $3.6 million, respectively, and cost reimbursements of $2.0 million, $2.6 million and $0.6 million, respectively.</w:t>
      </w:r>
    </w:p>
    <w:p>
      <w:pPr>
        <w:spacing w:after="0" w:line="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Bonnie Option is required to be accounted for as a derivative instrument and is recorded at fair value in the “Other assets” line in the Consolidated Balance Sheets, with changes in fair value recognized in the “Other income, net” line in the Consolidated Statements of Operations. The estimated fair value of the Bonnie Option was $13.0 million and $11.8 million as of September 30, 2018 and 2017, respectively, and the fair value measurement was classified in Level 3 of the fair value hierarchy.</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financial statements include the results of operations for these business combinations from the date of each acquisition.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AFFILIATES</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September 30, 2018, the Company held a minority equity interest of approximately 30% in the TruGreen Joint Venture. In addition, the Company and TruGreen Holdings are parties 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 The Company’s interest had an initial fair value of $294.0 million and is accounted for using the equity method of accounting. In the first quarter of fiscal 2018, the Company’s net investment and advances were reduced to a liability and the Company no longer records its proportionate share of the TruGreen Joint Venture earnings in the Consolidated Statements of Operations until the Company’s net investment and advances are no longer a liability. The Company does not have any contractual obligations to fund losses of the TruGreen Joint Venture.</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connection with the closing of the transactions contemplated by the Contribution Agreement on April 13, 2016, the TruGreen Joint Venture obtained debt financing and made a distribution of $196.2 million to the Company and the Company invested $18.0 million in second lien term loan financing to the TruGreen Joint Venture. The second lien term loan receivable had a carrying value of $18.1 million at September 30, 2018 and 2017 and is recorded in the “Other assets” line in the Consolidated Balance Sheets. The Company was reimbursed $1.4 million, $40.2 million and $52.6 million during fiscal 2018, fiscal 2017 and fiscal 2016, respectively, and had accounts receivable of $0.2 million and $0.4 million at September 30, 2018 and 2017, respectively, for expenses incurred pursuant to a short-term transition services agreement, payments on claims associated with insurance programs and an employee leasing agreement. The Company received distributions from unconsolidated affiliates intended to cover required tax payments of zero, $3.6 million and $7.5 million during fiscal 2018, fiscal 2017 and fiscal 2016, respectively. The Company also had an indemnification asset of $2.7 million and $4.8 million at September 30, 2018 and 2017, respectively, for future payments on claims associated with insurance programs. During the fourth quarter of fiscal 2017, the Company received an $87.1 million distribution from the TruGreen Joint Venture in connection with its August 2017 debt refinancing. The Company has received cumulative distributions from the TruGreen Joint Venture in excess of its investment balance, which resulted in an amount recorded in the “Distributions in excess of investment in unconsolidated affiliate” line in the Consolidated Balance Sheets of $21.9 million at September 30, 2018 and 2017. In accordance with the applicable accounting guidance, the Company has classified the negative balance in the liability section of the Consolidated Balance Sheets.</w:t>
      </w:r>
    </w:p>
    <w:p>
      <w:pPr>
        <w:spacing w:after="0" w:line="4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fourth quarter of fiscal 2017, the Company made a $29.4 million investment in an unconsolidated subsidiary whose products support the professional U.S. industrial, turf and ornamental market (the “IT&amp;O Joint Venture”). The Company provided the IT&amp;O Joint Venture with line of credit financing of $14.3 million during fiscal 2018, which was fully repaid as of September 30, 2018.</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of the Company’s unconsolidated affiliates: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4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20" w:type="dxa"/>
            <w:vAlign w:val="bottom"/>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7"/>
        </w:trPr>
        <w:tc>
          <w:tcPr>
            <w:tcW w:w="39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1,541.3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67"/>
        </w:trPr>
        <w:tc>
          <w:tcPr>
            <w:tcW w:w="394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6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3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Equity</w:t>
            </w:r>
          </w:p>
        </w:tc>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4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534"/>
              <w:spacing w:after="0"/>
              <w:rPr>
                <w:sz w:val="20"/>
                <w:szCs w:val="20"/>
                <w:color w:val="auto"/>
              </w:rPr>
            </w:pPr>
            <w:r>
              <w:rPr>
                <w:rFonts w:ascii="Arial" w:cs="Arial" w:eastAsia="Arial" w:hAnsi="Arial"/>
                <w:sz w:val="18"/>
                <w:szCs w:val="18"/>
                <w:color w:val="auto"/>
              </w:rPr>
              <w:t>90</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1,427.4</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1,340.2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429.7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72.8</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income (loss) does not include income taxes, which are recognized and paid by the partners of the unconsolidated affiliates. The income taxes associated with the Company’s share of net income (loss) have been recorded in the “Income tax expense (benefit) from continuing operations” line in the Consolidated Statement of Operations.</w:t>
      </w:r>
    </w:p>
    <w:p>
      <w:pPr>
        <w:spacing w:after="0" w:line="12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recognized equity in (income) loss of unconsolidated affiliates of $(4.9) million, $29.0 million and $(7.8) million in fiscal 2018, fiscal 2017 and fiscal 2016, respectively. Included within (income) loss of unconsolidated affiliates for fiscal 2017 and fiscal 2016, respectively, is the Company’s $25.2 million and $11.7 million share of restructuring and other charges incurred by the TruGreen Joint Venture. For fiscal 2017, these charges included $1.3 million for transaction costs, $12.1 million for nonrecurring integration and separation costs, $7.2 million of costs associated with the TruGreen Joint Venture’s August 2017 debt refinancing and $4.6 million for a non-cash purchase accounting fair value write-down adjustment related to deferred revenue and advertising. For fiscal 2016, these charges included $6.0 million for transaction costs, $4.4 million for nonrecurring integration and separation costs and $1.3 million for a non-cash purchase accounting fair value write-down adjustment related to deferred revenue and advertising.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may make additional discretionary profit sharing matching contributions to eligible employees on their initial 4% contribution. The Company recorded charges of $15.3 million, $13.9 million and $13.0 million under the plan in fiscal 2018, fiscal 2017 and fiscal 2016, respectively.</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two defined benefit pension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3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Company sponsors defined benefit pension plans associated with its former international businesses in the United Kingdom and Germany. These plans provide retirement benefits primarily based on years of service and compensation levels. On July 1, 2010, the Company froze its two United Kingdom defined benefit pension plans and transferred participants to an amended defined contribution plan. Prior to August 31, 2017, participants were no longer credited for service; however, salary increases continued to be factored into each participant’s final pension benefit. In connection with the sale of the International Business on August 31, 2017, the Company (1) retained all obligations related to the two United Kingdom defined benefit pension plans provided that future salary increases are no longer factored into each participant’s final pension benefit, (2) retained the Germany defined benefit pension obligations associated with inactive participants and (3) disposed of the Germany defined benefit pension obligations associated with active participants and all obligations associated with the France defined benefit pension plans. These changes resulted in a decrease in the projected benefit obligation of $7.1 million during fiscal 2017. The Company recognized a settlement charge of $1.4 million during fiscal 2017 as part of the gain on the sale of the International Business in the “Income (loss) from discontinued operations, net of tax” line in the Consolidated Statements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gridSpan w:val="3"/>
            <w:vMerge w:val="restart"/>
          </w:tcPr>
          <w:p>
            <w:pPr>
              <w:jc w:val="right"/>
              <w:ind w:right="411"/>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39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31"/>
              <w:spacing w:after="0"/>
              <w:rPr>
                <w:sz w:val="20"/>
                <w:szCs w:val="20"/>
                <w:color w:val="auto"/>
              </w:rPr>
            </w:pPr>
            <w:r>
              <w:rPr>
                <w:rFonts w:ascii="Arial" w:cs="Arial" w:eastAsia="Arial" w:hAnsi="Arial"/>
                <w:sz w:val="14"/>
                <w:szCs w:val="14"/>
                <w:b w:val="1"/>
                <w:bCs w:val="1"/>
                <w:color w:val="auto"/>
                <w:w w:val="91"/>
              </w:rPr>
              <w:t>Benefit Pension Plans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110.0</w:t>
            </w:r>
          </w:p>
        </w:tc>
        <w:tc>
          <w:tcPr>
            <w:tcW w:w="100" w:type="dxa"/>
            <w:vAlign w:val="bottom"/>
          </w:tcPr>
          <w:p>
            <w:pPr>
              <w:spacing w:after="0"/>
              <w:rPr>
                <w:sz w:val="21"/>
                <w:szCs w:val="21"/>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Divestiture</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84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8"/>
              </w:rPr>
              <w:t>100.1</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8"/>
              </w:rPr>
              <w:t>110.0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Accumulated benefit obligation at end of year</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8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Overfunded (underfunded) status at end of year</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(19.4)</w:t>
            </w:r>
          </w:p>
        </w:tc>
        <w:tc>
          <w:tcPr>
            <w:tcW w:w="100" w:type="dxa"/>
            <w:vAlign w:val="bottom"/>
          </w:tcPr>
          <w:p>
            <w:pPr>
              <w:spacing w:after="0"/>
              <w:rPr>
                <w:sz w:val="19"/>
                <w:szCs w:val="19"/>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(22.5)</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100.1</w:t>
            </w:r>
          </w:p>
        </w:tc>
        <w:tc>
          <w:tcPr>
            <w:tcW w:w="100" w:type="dxa"/>
            <w:vAlign w:val="bottom"/>
          </w:tcPr>
          <w:p>
            <w:pPr>
              <w:spacing w:after="0"/>
              <w:rPr>
                <w:sz w:val="21"/>
                <w:szCs w:val="21"/>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8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Amounts recognized in the Consolidated Balance Sheets consist of:</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accrued</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0"/>
              </w:rPr>
              <w:t>Amounts recognized in accumulated other comprehensive loss consist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of:</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84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U.S. Defined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3"/>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8"/>
          </w:tcPr>
          <w:p>
            <w:pPr>
              <w:jc w:val="center"/>
              <w:ind w:left="633"/>
              <w:spacing w:after="0"/>
              <w:rPr>
                <w:sz w:val="20"/>
                <w:szCs w:val="20"/>
                <w:color w:val="auto"/>
              </w:rPr>
            </w:pPr>
            <w:r>
              <w:rPr>
                <w:rFonts w:ascii="Arial" w:cs="Arial" w:eastAsia="Arial" w:hAnsi="Arial"/>
                <w:sz w:val="14"/>
                <w:szCs w:val="14"/>
                <w:b w:val="1"/>
                <w:bCs w:val="1"/>
                <w:color w:val="auto"/>
                <w:w w:val="89"/>
              </w:rPr>
              <w:t>Benefit Pension Plans</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right="37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(In millions, except percentage figures)</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Pension benefit gain during the period</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00" w:type="dxa"/>
            <w:vAlign w:val="bottom"/>
            <w:gridSpan w:val="2"/>
          </w:tcPr>
          <w:p>
            <w:pPr>
              <w:jc w:val="right"/>
              <w:ind w:right="77"/>
              <w:spacing w:after="0"/>
              <w:rPr>
                <w:sz w:val="20"/>
                <w:szCs w:val="20"/>
                <w:color w:val="auto"/>
              </w:rPr>
            </w:pPr>
            <w:r>
              <w:rPr>
                <w:rFonts w:ascii="Arial" w:cs="Arial" w:eastAsia="Arial" w:hAnsi="Arial"/>
                <w:sz w:val="18"/>
                <w:szCs w:val="18"/>
                <w:color w:val="auto"/>
              </w:rPr>
              <w:t>1.3</w:t>
            </w:r>
          </w:p>
        </w:tc>
        <w:tc>
          <w:tcPr>
            <w:tcW w:w="76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500" w:type="dxa"/>
            <w:vAlign w:val="bottom"/>
            <w:gridSpan w:val="3"/>
          </w:tcPr>
          <w:p>
            <w:pPr>
              <w:jc w:val="center"/>
              <w:ind w:right="14"/>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Settlement loss during the period</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center"/>
              <w:ind w:right="13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67"/>
        </w:trPr>
        <w:tc>
          <w:tcPr>
            <w:tcW w:w="4960" w:type="dxa"/>
            <w:vAlign w:val="bottom"/>
            <w:tcBorders>
              <w:bottom w:val="single" w:sz="8" w:color="CCEEFF"/>
            </w:tcBorders>
            <w:gridSpan w:val="3"/>
          </w:tcPr>
          <w:p>
            <w:pPr>
              <w:spacing w:after="0"/>
              <w:rPr>
                <w:sz w:val="5"/>
                <w:szCs w:val="5"/>
                <w:color w:val="auto"/>
              </w:rPr>
            </w:pPr>
          </w:p>
        </w:tc>
        <w:tc>
          <w:tcPr>
            <w:tcW w:w="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240" w:type="dxa"/>
            <w:vAlign w:val="bottom"/>
            <w:gridSpan w:val="6"/>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Amounts in accumulated other comprehensive loss expected to be</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w w:val="88"/>
              </w:rPr>
              <w:t>recognized as components of net periodic benefit cost in fiscal 2019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are as follows:</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6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00" w:type="dxa"/>
            <w:vAlign w:val="bottom"/>
            <w:gridSpan w:val="2"/>
          </w:tcPr>
          <w:p>
            <w:pPr>
              <w:jc w:val="right"/>
              <w:ind w:right="77"/>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center"/>
              <w:ind w:right="14"/>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center"/>
              <w:ind w:right="1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w w:val="87"/>
              </w:rPr>
              <w:t>Weighted average assumptions used in development of projected</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477"/>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U.S. Defined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left="41"/>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7"/>
          </w:tcPr>
          <w:p>
            <w:pPr>
              <w:jc w:val="right"/>
              <w:ind w:right="357"/>
              <w:spacing w:after="0"/>
              <w:rPr>
                <w:sz w:val="20"/>
                <w:szCs w:val="20"/>
                <w:color w:val="auto"/>
              </w:rPr>
            </w:pPr>
            <w:r>
              <w:rPr>
                <w:rFonts w:ascii="Arial" w:cs="Arial" w:eastAsia="Arial" w:hAnsi="Arial"/>
                <w:sz w:val="14"/>
                <w:szCs w:val="14"/>
                <w:b w:val="1"/>
                <w:bCs w:val="1"/>
                <w:color w:val="auto"/>
                <w:w w:val="89"/>
              </w:rPr>
              <w:t>Benefit Pension Plans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9"/>
          </w:tcPr>
          <w:p>
            <w:pPr>
              <w:jc w:val="center"/>
              <w:ind w:left="34"/>
              <w:spacing w:after="0"/>
              <w:rPr>
                <w:sz w:val="20"/>
                <w:szCs w:val="20"/>
                <w:color w:val="auto"/>
              </w:rPr>
            </w:pPr>
            <w:r>
              <w:rPr>
                <w:rFonts w:ascii="Arial" w:cs="Arial" w:eastAsia="Arial" w:hAnsi="Arial"/>
                <w:sz w:val="14"/>
                <w:szCs w:val="14"/>
                <w:b w:val="1"/>
                <w:bCs w:val="1"/>
                <w:color w:val="auto"/>
                <w:w w:val="91"/>
              </w:rPr>
              <w:t>Defined Benefit Pension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80" w:type="dxa"/>
            <w:vAlign w:val="bottom"/>
            <w:gridSpan w:val="11"/>
          </w:tcPr>
          <w:p>
            <w:pPr>
              <w:ind w:left="60"/>
              <w:spacing w:after="0"/>
              <w:rPr>
                <w:sz w:val="20"/>
                <w:szCs w:val="20"/>
                <w:color w:val="auto"/>
              </w:rPr>
            </w:pPr>
            <w:r>
              <w:rPr>
                <w:rFonts w:ascii="Arial" w:cs="Arial" w:eastAsia="Arial" w:hAnsi="Arial"/>
                <w:sz w:val="14"/>
                <w:szCs w:val="14"/>
                <w:b w:val="1"/>
                <w:bCs w:val="1"/>
                <w:color w:val="auto"/>
                <w:w w:val="96"/>
              </w:rPr>
              <w:t>(In millions, except percentage figures)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Components of net periodic benefit (income)</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1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20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3"/>
          </w:tcPr>
          <w:p>
            <w:pPr>
              <w:jc w:val="right"/>
              <w:ind w:right="5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ind w:right="34"/>
              <w:spacing w:after="0"/>
              <w:rPr>
                <w:sz w:val="20"/>
                <w:szCs w:val="20"/>
                <w:color w:val="auto"/>
              </w:rPr>
            </w:pPr>
            <w:r>
              <w:rPr>
                <w:rFonts w:ascii="Arial" w:cs="Arial" w:eastAsia="Arial" w:hAnsi="Arial"/>
                <w:sz w:val="18"/>
                <w:szCs w:val="18"/>
                <w:color w:val="auto"/>
                <w:w w:val="97"/>
              </w:rPr>
              <w:t>(7.2)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periodic benefit (income) cost</w:t>
            </w: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w w:val="97"/>
              </w:rPr>
              <w:t>(1.9)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benefit (income) cost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3"/>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34"/>
              <w:spacing w:after="0"/>
              <w:rPr>
                <w:sz w:val="20"/>
                <w:szCs w:val="20"/>
                <w:color w:val="auto"/>
              </w:rPr>
            </w:pPr>
            <w:r>
              <w:rPr>
                <w:rFonts w:ascii="Arial" w:cs="Arial" w:eastAsia="Arial" w:hAnsi="Arial"/>
                <w:sz w:val="18"/>
                <w:szCs w:val="18"/>
                <w:color w:val="auto"/>
                <w:w w:val="97"/>
              </w:rPr>
              <w:t>(1.9)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0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development of net periodic benefit (income)</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 service cost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7"/>
              </w:rPr>
              <w:t>n/a</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discount rate - interest cost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2.21%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6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U.S. Defined</w:t>
            </w:r>
          </w:p>
        </w:tc>
        <w:tc>
          <w:tcPr>
            <w:tcW w:w="260" w:type="dxa"/>
            <w:vAlign w:val="bottom"/>
          </w:tcPr>
          <w:p>
            <w:pPr>
              <w:spacing w:after="0"/>
              <w:rPr>
                <w:sz w:val="14"/>
                <w:szCs w:val="14"/>
                <w:color w:val="auto"/>
              </w:rPr>
            </w:pPr>
          </w:p>
        </w:tc>
        <w:tc>
          <w:tcPr>
            <w:tcW w:w="1700" w:type="dxa"/>
            <w:vAlign w:val="bottom"/>
          </w:tcPr>
          <w:p>
            <w:pPr>
              <w:jc w:val="center"/>
              <w:ind w:right="112"/>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5"/>
              </w:rPr>
              <w:t>Benefit Pension Plans</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0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3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2019:</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2018</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2017</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68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Expected company contributions in fiscal 2019</w:t>
            </w:r>
          </w:p>
        </w:tc>
        <w:tc>
          <w:tcPr>
            <w:tcW w:w="3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future benefit payments: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2019</w:t>
            </w:r>
          </w:p>
        </w:tc>
        <w:tc>
          <w:tcPr>
            <w:tcW w:w="3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2021</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 – 2028</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675"/>
        </w:trPr>
        <w:tc>
          <w:tcPr>
            <w:tcW w:w="4520" w:type="dxa"/>
            <w:vAlign w:val="bottom"/>
          </w:tcPr>
          <w:p>
            <w:pPr>
              <w:spacing w:after="0"/>
              <w:rPr>
                <w:sz w:val="24"/>
                <w:szCs w:val="24"/>
                <w:color w:val="auto"/>
              </w:rPr>
            </w:pPr>
          </w:p>
        </w:tc>
        <w:tc>
          <w:tcPr>
            <w:tcW w:w="3020" w:type="dxa"/>
            <w:vAlign w:val="bottom"/>
          </w:tcPr>
          <w:p>
            <w:pPr>
              <w:jc w:val="right"/>
              <w:ind w:right="165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7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3"/>
                <w:szCs w:val="13"/>
                <w:color w:val="auto"/>
              </w:rPr>
            </w:pPr>
          </w:p>
        </w:tc>
        <w:tc>
          <w:tcPr>
            <w:tcW w:w="13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 (Level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7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3"/>
                <w:szCs w:val="13"/>
                <w:color w:val="auto"/>
              </w:rPr>
            </w:pPr>
          </w:p>
        </w:tc>
        <w:tc>
          <w:tcPr>
            <w:tcW w:w="13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 (Level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benefits paid</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Unfunded status at end of year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89"/>
              </w:rPr>
              <w:t>(19.6)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accrued</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Unamortized prior service credit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recognized</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gain during the period</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amortization of prior service credit and actuarial loss during the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 (income)</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615"/>
        </w:trPr>
        <w:tc>
          <w:tcPr>
            <w:tcW w:w="6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9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interest cost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estimated actuarial loss and prior service credit that will be amortized from accumulated loss into net periodic benefit cost over the next fiscal year is zero and $1.1 million, respectively.</w:t>
      </w:r>
    </w:p>
    <w:p>
      <w:pPr>
        <w:sectPr>
          <w:pgSz w:w="11900" w:h="16838" w:orient="portrait"/>
          <w:cols w:equalWidth="0" w:num="1">
            <w:col w:w="11420"/>
          </w:cols>
          <w:pgMar w:left="240" w:top="121" w:right="239" w:bottom="81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811"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measurement as of September 30, 2018, management has assumed that health care costs will increase at an annual rate of 6.50%, and thereafter decreasing 0.25% per year to an ultimate trend rate of 5.00% in 2024. A 100 basis point increase or decrease in health cost trend rate assumptions would not have a material effect on the APBO as of September 30, 2018. A 100 basis point increase or decrease in the health cost trend rate assumptions would not have a material effect on service or interest costs.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Retiree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Contributions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$0.7 million per occurrence per individual. The cost of such benefits is recognized as expense in the period the claim is incurred. This cost was $31.2 million, $33.4 million and $31.8 million in fiscal 2018, fiscal 2017 and fiscal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debt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Revolving loans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5"/>
              </w:rPr>
              <w:t>The Company’s debt matures as follows for each of the next five fiscal years and thereafter (in millions):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29, 2015, the Company entered into the fourth amended and restated credit agreement (the “former credit agreement”), that was subsequently superseded by the fifth amended and restated credit agreement discussed further below. The former credit agreement provided the Company and certain of its subsidiaries with five-year senior secured loan facilities in the aggregate principal amount of $1.9 billion that were comprised of a revolving credit facility of $1.6 billion and a term loan in the original principal amount of $300.0 million (the “former credit facilities”). The former credit agreement also provided the Company with the right to seek additional committed credit under the agreement in an aggregate amount of up to $500.0 million plus an unlimited additional amount, subject to certain specified financial and other conditions. Under the former credit agreement, the Company had the ability to obtain letters of credit up to $100.0 million. Borrowings under the former credit facilities could be made in various currencies, including U.S. dollars, euro, British pounds, Australian dollars and Canadian dollars. The terms of the former credit agreement included customary representations and warranties, affirmative and negative covenants, financial covenants and events of default. Under the terms of the former credit agreement, loans bore interest, at the Company’s election, at a rate per annum equal to either the ABR or Adjusted LIBO Rate (both as defined in the former credit agreement) plus the applicable margin.</w:t>
      </w:r>
    </w:p>
    <w:p>
      <w:pPr>
        <w:spacing w:after="0" w:line="11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 The Fifth A&amp;R Credit Agreement also provides the Company with the right to seek additional committed credit under the agreement in an aggregate amount of up to $500.0 million plus an unlimited additional amount, subject to certain specified financial and other conditions. The Fifth A&amp;R Credit Agreement replaces the former credit agreement, and will terminate on July 5, 2023. The revolving credit facility is available for issuance of letters of credit up to $75.0 million. Borrowings under the Fifth A&amp;R Credit Facilities may be made in various currencies, including U.S. dollars, euro, British pounds and Canadian dollars. The terms of the Fifth A&amp;R Credit Agreement include customary representations and warranties, customary affirmative and negative covenants, customary financial covenants, and customary events of default. The proceeds of borrowings under the Fifth A&amp;R Credit Facilities may be used: (i) to finance working capital requirements and other general corporate purposes of the Company and its subsidiaries; and (ii) to refinance the amounts outstanding under the former credit agreement. The former credit agreement would have terminated on October 29, 2020, if it had not been amended and restated pursuant to the Fifth A&amp;R Credit Agreement.</w:t>
      </w:r>
    </w:p>
    <w:p>
      <w:pPr>
        <w:spacing w:after="0" w:line="9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Fifth A&amp;R Credit Agreement, loans made under the Fifth A&amp;R Credit Facilities bear interest, at the Company’s election, at a rate per annum equal to either (i) the Alternate Base Rate plus the Applicable Spread (each, as defined in the Fifth A&amp;R Credit Agreement) or (ii) the Adjusted LIBO Rate for the Interest Period in effect for such borrowing plus the Applicable Spread (all as defined in the Fifth A&amp;R Credit Agreement). Swingline Loans bear interest at the applicable Swingline Rate set forth in the Fifth A&amp;R Credit Agreement. The Fifth A&amp;R Credit Facilities are guaranteed by and among the Company and certain of its domestic subsidiaries. The Fifth A&amp;R Credit Agreement is secured by (i) a perfected first priority security interest in all of the accounts receivable, inventory and equipment of the Company and certain of the Company’s domestic subsidiaries and (ii) the pledge of all of the capital stock of certain of the Company’s domestic subsidiaries and a portion of the capital stock of certain of the Company’s foreign subsidiaries. The collateral does not include any of the Company’s or the Company’s subsidiaries’ intellectual property.</w:t>
      </w:r>
    </w:p>
    <w:p>
      <w:pPr>
        <w:spacing w:after="0" w:line="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2018, the Company had letters of credit outstanding in the aggregate principal amount of $22.3 million, and $985.5 million of availability under Fifth A&amp;R Credit Agreement. The weighted average interest rates on average borrowings under the Fifth A&amp;R Credit Agreement and the former credit agreement were 4.0%, 3.9% and 3.5% for fiscal 2018, fiscal 2017 and fiscal 2016, respectively.</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The Company’s leverage ratio was 4.23 at September 30, 2018.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2018. The Company’s interest coverage ratio was 5.55 for the twelve months ended September 30, 2018. The Fifth A&amp;R Credit Agreement allows the Company to make unlimited restricted payments (as defined in the Fifth A&amp;R Credit Agreement), including dividend payments and Common Share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former credit facilities. The 5.250% Senior Notes represent general unsecured senior obligations and rank equal in right of payment with the Company’s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Consolidated Statement of Operations in the first quarter of fiscal 2016.</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a prior credit agreement.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former credit agreement.</w:t>
      </w:r>
    </w:p>
    <w:p>
      <w:pPr>
        <w:spacing w:after="0" w:line="10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consisted of up to $250.0 million in accounts receivable generated by sales to three specified customers. The repurchase price for customer accounts receivable bears interest at LIBOR (with a zero floor), as defined in the Repurchase Agreement, plus 0.90%. On August 25, 2017, the Company entered into Amendment No. 1 to Master Framework Agreement, which (i) extended the expiration date of the Receivables Facility from August 25, 2017 to August 24, 2018, (ii) defined the seasonal commitment period of the Receivables Facility as beginning on February 23, 2018 and ending on June 15, 2018, (iii) increased the eligible amount of customer accounts receivable which may be sold from up to $250.0 million to up to $400.0 million and (iv) increased the commitment amount of the Receivables Facility during the seasonal commitment period from up to $100.0 million to up to $160.0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24, 2018, the Company entered into Amendment No. 1 to the Master Repurchase Agreement (the “Repurchase Amendment”) and Amendment No. 2 to Master Framework Agreement (the “Framework Amendment,” and together with the Repurchase Amendment, the “Amendments”). Under the Amendments, the eligible amount of customer accounts receivables which may be sold is $400.0 million and the commitment amount during the seasonal commitment period is $160.0 million. Among other things, the Amendments (i) extend the expiration date of the Receivables Facility from August 24, 2018 to August 23, 2019 (ii) define the seasonal commitment period of the Receivables Facility as beginning on February 22, 2019 and ending on June 21, 2019 and (iii) revises the repurchase price for customer accounts receivable to LIBOR (with a floor of zero) plus 0.875% from LIBOR (with a floor of zero) plus 0.90%.</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Consolidated Balance Sheet, primarily as a result of the Company’s requirement to repurchase receivables sold. As of September 30, 2018 and 2017, there were $76.0 million and $80.0 million, respectively, in borrowings on receivables pledged as collateral under the Receivables Facility, and the carrying value of the receivables pledged as collateral was $84.5 million and $88.9 million, respectively. As of September 30, 2018 and 2017, there was $0.4 million and $11.1 million, respectively, of availability under the Receivables Facility.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The fair value of the loan was $55.6 million at September 30, 2017. On October 2, 2017, the Company’s Hawthorne segment acquired the remaining 25% noncontrolling interest in Gavita, which included extinguishment of the loan to the noncontrolling ownership group of Gavita with a fair value and carrying value of $55.6 million.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$800.0 million and $1,100.0 million at September 30, 2018 and 2017, respectively. Interest payments made between the effective date and expiration date are hedged by the swap agreements, except as noted below. On October 12, 2018, the Company executed interest rate swap agreements with notional amounts that adjust in accordance with a specified seasonal schedule and have a maximum total notional amount at any point in time of $500.0 million. These swap agreements have a fixed rate of approximately 2.93% beginning in October 2018 through expiration dates in June, July and October 2021.</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2018 are shown in the table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0" w:type="dxa"/>
            <w:vAlign w:val="bottom"/>
          </w:tcPr>
          <w:p>
            <w:pPr>
              <w:jc w:val="right"/>
              <w:ind w:right="57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380" w:type="dxa"/>
            <w:vAlign w:val="bottom"/>
          </w:tcPr>
          <w:p>
            <w:pPr>
              <w:spacing w:after="0"/>
              <w:rPr>
                <w:sz w:val="16"/>
                <w:szCs w:val="16"/>
                <w:color w:val="auto"/>
              </w:rPr>
            </w:pPr>
          </w:p>
        </w:tc>
        <w:tc>
          <w:tcPr>
            <w:tcW w:w="2000" w:type="dxa"/>
            <w:vAlign w:val="bottom"/>
          </w:tcPr>
          <w:p>
            <w:pPr>
              <w:jc w:val="right"/>
              <w:ind w:right="73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2800" w:type="dxa"/>
            <w:vAlign w:val="bottom"/>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2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The fair value measurement for the 5.250%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The fair value measurement for the 6.000%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2017</w:t>
            </w:r>
          </w:p>
        </w:tc>
        <w:tc>
          <w:tcPr>
            <w:tcW w:w="1060" w:type="dxa"/>
            <w:vAlign w:val="bottom"/>
            <w:tcBorders>
              <w:bottom w:val="single" w:sz="8" w:color="auto"/>
            </w:tcBorders>
          </w:tcPr>
          <w:p>
            <w:pPr>
              <w:spacing w:after="0"/>
              <w:rPr>
                <w:sz w:val="22"/>
                <w:szCs w:val="22"/>
                <w:color w:val="auto"/>
              </w:rPr>
            </w:pPr>
          </w:p>
        </w:tc>
      </w:tr>
      <w:tr>
        <w:trPr>
          <w:trHeight w:val="152"/>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9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06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300.5</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790.0</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273.8</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273.8</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5.250%</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264.4</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Senior Notes – 6.000%</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427.0</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105.4</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interest rates on the Company’s debt were 4.3%, 4.6% and 4.4% for fiscal 2018, fiscal 2017 and fiscal 2016,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shares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0.2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68.1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2018, the former shareholders of Miracle-Gro, including the Hagedorn Partnership, L.P., owned approximately 27% of Scotts Miracle-Gro’s outstanding Common Shares on a fully diluted basis and, thus, have the ability to significantly influence the election of directors and other actions requiring the approval of Scotts Miracle-Gro’s shareholders.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fiscal 2018, fiscal 2017 and fiscal 2016, Scotts Miracle-Gro repurchased 3.5 million, 2.7 million and 1.8 million Common Shares for $323.1 million, $245.8 million and $130.8 million, respectively. From the inception of this share repurchase program in the fourth quarter of fiscal 2014 through September 30, 2018, Scotts Miracle-Gro repurchased approximately 8.3 million Common Shares for $714.6 million. The “Treasury share purchases” line in the Consolidated Statements of Shareholders’ Equity also includes cash paid to tax authorities to satisfy statutory income tax withholding obligations related to share-based compensation of $3.0 million, $9.2 million and $6.6 million for fiscal 2018, fiscal 2017 and fiscal 2016, respectively.</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Exercise of Outstanding AeroGrow Warrants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2016, Scotts Miracle-Gro issued 0.1 million Common Shares, which represented a carrying value of $4.2 million, out of its treasury shares for payment of contingent consideration related to the acquisition of Bio-Organic Solutions, Inc. (“Vermicrop”).</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Generally, employee share-based awards provide for three-year cliff vesting. Vesting for non-employee director awards is generally one year from the time of the award. Vesting of performance-based awards is dependent on service and achievement of specified performance targets. Share-based awards are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to 20% of its share-based awards will be forfeited based on an analysis of historical trends. This assumption is re-evaluated on an annual basis and adjusted as appropriate. Stock options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9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January 30, 2017, the Company issued 0.5 million upfront performance-based award units, covering a five-year performance period, with an estimated fair value of $43.3 million on the date of grant to certain senior executives as part of its Project Focus initiative. These awards provide for a five-year vesting period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goals include a combination of five year cumulative operating cash flow less capital expenditures; five year average annual non-GAAP diluted EPS growth; and dividend yield. The Company assesses the probability of achievement of performance goals each period and records expense for the awards based on the probable achievement of such metrics. Performance-based award units accrue cash dividend equivalents that are payable upon vesting of the awards.</w:t>
      </w:r>
    </w:p>
    <w:p>
      <w:pPr>
        <w:spacing w:after="0" w:line="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30, 2017, the Company issued 0.2 million upfront performance-based award units, covering a four-year performance period, with an estimated fair value of $20.2 million on the date of grant to certain Hawthorne segment employees as part of its Project Focus initiative. These awards vest after approximately four years subject to the achievement of specific performance goals aligned with the strategic objectives of the Company’s Project Focus initiatives. Based on the extent to which the performance goals are achieved, vested shares may range from 50 to 250 percent of the target award amount. The performance goals are based on cumulative Hawthorne non-GAAP adjusted earnings. These performance-based award units accrue cash dividend equivalents that are payable upon vesting of the awards.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maximum of 7.3 million Common Shares are available for issuance under share-based award plans. At September 30, 2018, approximately 3.6 million Common Shares were not subject to outstanding awards and were available to underlie the grant of new share-based awards. Common Shares held in treasury totaling 0.4 million, 0.5 million and 0.6 million were reissued in support of share-based compensation awards and employee purchases under the employee stock purchase plan during fiscal 2018, fiscal 2017 and fiscal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Options</w:t>
            </w:r>
          </w:p>
        </w:tc>
        <w:tc>
          <w:tcPr>
            <w:tcW w:w="1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444,890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198,807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109,708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Performance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246,430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487,809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56,315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of Directors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28,621</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471,095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621,808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604,293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 (in millions)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w w:val="97"/>
              </w:rPr>
              <w:t>Total share-based compensation was as follows for each of the periods indicated: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tax benefit realized from the tax deductions associated with the exercise of share-based awards and the vesting of restricted stock totaled $4.5 million for fiscal 2018.</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activity was as follows:</w:t>
      </w:r>
    </w:p>
    <w:p>
      <w:pPr>
        <w:spacing w:after="0" w:line="163"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Wtd.</w:t>
      </w:r>
    </w:p>
    <w:p>
      <w:pPr>
        <w:ind w:left="10260"/>
        <w:spacing w:after="0" w:line="226" w:lineRule="auto"/>
        <w:rPr>
          <w:sz w:val="20"/>
          <w:szCs w:val="20"/>
          <w:color w:val="auto"/>
        </w:rPr>
      </w:pPr>
      <w:r>
        <w:rPr>
          <w:rFonts w:ascii="Arial" w:cs="Arial" w:eastAsia="Arial" w:hAnsi="Arial"/>
          <w:sz w:val="14"/>
          <w:szCs w:val="14"/>
          <w:b w:val="1"/>
          <w:bCs w:val="1"/>
          <w:color w:val="auto"/>
        </w:rPr>
        <w:t>Avg.</w:t>
      </w:r>
    </w:p>
    <w:p>
      <w:pPr>
        <w:ind w:left="8040"/>
        <w:spacing w:after="0"/>
        <w:tabs>
          <w:tab w:leader="none" w:pos="10120" w:val="left"/>
        </w:tabs>
        <w:rPr>
          <w:sz w:val="20"/>
          <w:szCs w:val="20"/>
          <w:color w:val="auto"/>
        </w:rPr>
      </w:pPr>
      <w:r>
        <w:rPr>
          <w:rFonts w:ascii="Arial" w:cs="Arial" w:eastAsia="Arial" w:hAnsi="Arial"/>
          <w:sz w:val="14"/>
          <w:szCs w:val="14"/>
          <w:b w:val="1"/>
          <w:bCs w:val="1"/>
          <w:color w:val="auto"/>
        </w:rPr>
        <w:t>No. of</w:t>
      </w:r>
      <w:r>
        <w:rPr>
          <w:sz w:val="20"/>
          <w:szCs w:val="20"/>
          <w:color w:val="auto"/>
        </w:rPr>
        <w:tab/>
      </w:r>
      <w:r>
        <w:rPr>
          <w:rFonts w:ascii="Arial" w:cs="Arial" w:eastAsia="Arial" w:hAnsi="Arial"/>
          <w:sz w:val="12"/>
          <w:szCs w:val="12"/>
          <w:b w:val="1"/>
          <w:bCs w:val="1"/>
          <w:color w:val="auto"/>
        </w:rPr>
        <w:t>Exercise</w:t>
      </w:r>
    </w:p>
    <w:p>
      <w:pPr>
        <w:ind w:left="8020"/>
        <w:spacing w:after="0"/>
        <w:tabs>
          <w:tab w:leader="none" w:pos="10220" w:val="left"/>
        </w:tabs>
        <w:rPr>
          <w:sz w:val="20"/>
          <w:szCs w:val="20"/>
          <w:color w:val="auto"/>
        </w:rPr>
      </w:pPr>
      <w:r>
        <w:rPr>
          <w:rFonts w:ascii="Arial" w:cs="Arial" w:eastAsia="Arial" w:hAnsi="Arial"/>
          <w:sz w:val="14"/>
          <w:szCs w:val="14"/>
          <w:b w:val="1"/>
          <w:bCs w:val="1"/>
          <w:color w:val="auto"/>
        </w:rPr>
        <w:t>Options</w:t>
      </w:r>
      <w:r>
        <w:rPr>
          <w:sz w:val="20"/>
          <w:szCs w:val="20"/>
          <w:color w:val="auto"/>
        </w:rPr>
        <w:tab/>
      </w:r>
      <w:r>
        <w:rPr>
          <w:rFonts w:ascii="Arial" w:cs="Arial" w:eastAsia="Arial" w:hAnsi="Arial"/>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Awards outstanding at September 30, 2017</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Awards outstanding at September 30, 2018</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Exercisable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jc w:val="right"/>
              <w:ind w:right="10"/>
              <w:spacing w:after="0"/>
              <w:rPr>
                <w:sz w:val="20"/>
                <w:szCs w:val="20"/>
                <w:color w:val="auto"/>
              </w:rPr>
            </w:pPr>
            <w:r>
              <w:rPr>
                <w:rFonts w:ascii="Arial" w:cs="Arial" w:eastAsia="Arial" w:hAnsi="Arial"/>
                <w:sz w:val="18"/>
                <w:szCs w:val="18"/>
                <w:color w:val="auto"/>
              </w:rPr>
              <w:t>1,517,310</w:t>
            </w:r>
          </w:p>
        </w:tc>
        <w:tc>
          <w:tcPr>
            <w:tcW w:w="9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53.05</w:t>
            </w:r>
          </w:p>
        </w:tc>
      </w:tr>
      <w:tr>
        <w:trPr>
          <w:trHeight w:val="270"/>
        </w:trPr>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60" w:type="dxa"/>
            <w:vAlign w:val="bottom"/>
          </w:tcPr>
          <w:p>
            <w:pPr>
              <w:jc w:val="right"/>
              <w:spacing w:after="0"/>
              <w:rPr>
                <w:sz w:val="20"/>
                <w:szCs w:val="20"/>
                <w:color w:val="auto"/>
              </w:rPr>
            </w:pPr>
            <w:r>
              <w:rPr>
                <w:rFonts w:ascii="Arial" w:cs="Arial" w:eastAsia="Arial" w:hAnsi="Arial"/>
                <w:sz w:val="18"/>
                <w:szCs w:val="18"/>
                <w:color w:val="auto"/>
              </w:rPr>
              <w:t>(294,153)</w:t>
            </w:r>
          </w:p>
        </w:tc>
        <w:tc>
          <w:tcPr>
            <w:tcW w:w="9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29.57</w:t>
            </w:r>
          </w:p>
        </w:tc>
      </w:tr>
      <w:tr>
        <w:trPr>
          <w:trHeight w:val="270"/>
        </w:trPr>
        <w:tc>
          <w:tcPr>
            <w:tcW w:w="2060" w:type="dxa"/>
            <w:vAlign w:val="bottom"/>
          </w:tcPr>
          <w:p>
            <w:pPr>
              <w:jc w:val="right"/>
              <w:spacing w:after="0"/>
              <w:rPr>
                <w:sz w:val="20"/>
                <w:szCs w:val="20"/>
                <w:color w:val="auto"/>
              </w:rPr>
            </w:pPr>
            <w:r>
              <w:rPr>
                <w:rFonts w:ascii="Arial" w:cs="Arial" w:eastAsia="Arial" w:hAnsi="Arial"/>
                <w:sz w:val="18"/>
                <w:szCs w:val="18"/>
                <w:color w:val="auto"/>
              </w:rPr>
              <w:t>(6,065)</w:t>
            </w:r>
          </w:p>
        </w:tc>
        <w:tc>
          <w:tcPr>
            <w:tcW w:w="9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61.51</w:t>
            </w:r>
          </w:p>
        </w:tc>
      </w:tr>
      <w:tr>
        <w:trPr>
          <w:trHeight w:val="27"/>
        </w:trPr>
        <w:tc>
          <w:tcPr>
            <w:tcW w:w="20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1,217,092</w:t>
            </w:r>
          </w:p>
        </w:tc>
        <w:tc>
          <w:tcPr>
            <w:tcW w:w="9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58.68</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60" w:type="dxa"/>
            <w:vAlign w:val="bottom"/>
          </w:tcPr>
          <w:p>
            <w:pPr>
              <w:jc w:val="right"/>
              <w:ind w:right="10"/>
              <w:spacing w:after="0"/>
              <w:rPr>
                <w:sz w:val="20"/>
                <w:szCs w:val="20"/>
                <w:color w:val="auto"/>
              </w:rPr>
            </w:pPr>
            <w:r>
              <w:rPr>
                <w:rFonts w:ascii="Arial" w:cs="Arial" w:eastAsia="Arial" w:hAnsi="Arial"/>
                <w:sz w:val="18"/>
                <w:szCs w:val="18"/>
                <w:color w:val="auto"/>
              </w:rPr>
              <w:t>804,941</w:t>
            </w:r>
          </w:p>
        </w:tc>
        <w:tc>
          <w:tcPr>
            <w:tcW w:w="9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-702310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-359410</wp:posOffset>
            </wp:positionV>
            <wp:extent cx="72466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220"/>
          </w:cols>
          <w:pgMar w:left="240" w:top="121"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At September 30, 2018, the total pre-tax compensation cost, net of estimated forfeitures, related to nonvested stock options not yet recognized was $0.2 million, which is expected to be recognized over a weighted-average period of 0.3 years. The total intrinsic value of stock options exercised was $17.2 million, $14.5 million and $13.6 million during fiscal 2018, fiscal 2017 and fiscal 2016, respectively. Cash received from the exercise of stock options, including amounts received from employee purchases under the employee stock purchase plan, for fiscal 2018, fiscal 2017 and fiscal 2016 was $10.5 million, $11.0 million and $14.7 million, respectively. As of September 30, 2018, the Company expects 0.4 million of the remaining unexercisable stock options (after forfeitures), with a weighted-average exercise price of $68.68, intrinsic value of $4.1 million and average remaining term of 7.3 years, to vest and be exercised in the future. The following summarizes certain information pertaining to stock option awards outstanding and exercisable at September 30, 2018 (options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Wtd.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Wtd.</w:t>
            </w:r>
          </w:p>
        </w:tc>
        <w:tc>
          <w:tcPr>
            <w:tcW w:w="220" w:type="dxa"/>
            <w:vAlign w:val="bottom"/>
          </w:tcPr>
          <w:p>
            <w:pPr>
              <w:spacing w:after="0"/>
              <w:rPr>
                <w:sz w:val="13"/>
                <w:szCs w:val="13"/>
                <w:color w:val="auto"/>
              </w:rPr>
            </w:pPr>
          </w:p>
        </w:tc>
        <w:tc>
          <w:tcPr>
            <w:tcW w:w="92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awards outstanding and exercisable at September 30, 2018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2018</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20.3</w:t>
            </w: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No stock options were granted in fiscal 2018 or fiscal 2017. The weighted average assumptions for awards granted in 2016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4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4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8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4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48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5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12.33</w:t>
            </w:r>
          </w:p>
        </w:tc>
      </w:tr>
      <w:tr>
        <w:trPr>
          <w:trHeight w:val="459"/>
        </w:trPr>
        <w:tc>
          <w:tcPr>
            <w:tcW w:w="4800" w:type="dxa"/>
            <w:vAlign w:val="bottom"/>
          </w:tcPr>
          <w:p>
            <w:pPr>
              <w:spacing w:after="0"/>
              <w:rPr>
                <w:sz w:val="24"/>
                <w:szCs w:val="24"/>
                <w:color w:val="auto"/>
              </w:rPr>
            </w:pPr>
          </w:p>
        </w:tc>
        <w:tc>
          <w:tcPr>
            <w:tcW w:w="4720" w:type="dxa"/>
            <w:vAlign w:val="bottom"/>
          </w:tcPr>
          <w:p>
            <w:pPr>
              <w:jc w:val="right"/>
              <w:ind w:right="359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314"/>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381,509</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103,088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(161,440)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2016</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133,999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(144,029)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224,665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2018</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403,440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September 30, 2018, the total pre-tax compensation cost, net of estimated forfeitures, related to nonvested restricted share units not yet recognized was $10.6 million, which is expected to be recognized over a weighted-average period of 2.1 years. The total fair value of restricted stock units and deferred stock units vested was $6.3 million, $8.7 million and $7.6 million during fiscal 2018, fiscal 2017 and fiscal 2016, respectively.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1"/>
              </w:rPr>
              <w:t>Units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2015</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339,224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(128,941)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2016</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266,598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487,809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(147,696)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2017</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596,933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246,430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2018</w:t>
            </w:r>
          </w:p>
        </w:tc>
        <w:tc>
          <w:tcPr>
            <w:tcW w:w="1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755,807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September 30, 2018, the total pre-tax compensation cost, net of estimated forfeitures, related to nonvested performance-based units not yet recognized was $30.6 million, which is expected to be recognized over a weighted-average period of 2.8 years. The total fair value of performance-based units vested was $3.4 million, $8.8 million and $5.8 million during fiscal 2018, fiscal 2017 and fiscal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COMMON SHARE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gridSpan w:val="6"/>
          </w:tcPr>
          <w:p>
            <w:pPr>
              <w:jc w:val="center"/>
              <w:ind w:left="9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127.6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0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INCOME PER COMMON SHARE: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4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INCOME PER COMMON SHARE:</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4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640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There were no Common Shares covered by out-of-the-money options for the year ended September 30, 2018 or September 30, 2017, and there were 0.2 million Common Shares covered by out-of-the-money options for the year ended September 30,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89.7</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26.7</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23495</wp:posOffset>
            </wp:positionV>
            <wp:extent cx="35159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2016</w:t>
            </w:r>
          </w:p>
        </w:tc>
      </w:tr>
      <w:tr>
        <w:trPr>
          <w:trHeight w:val="250"/>
        </w:trPr>
        <w:tc>
          <w:tcPr>
            <w:tcW w:w="5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Effect of tax reform</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35.9 %</w:t>
            </w:r>
          </w:p>
        </w:tc>
      </w:tr>
      <w:tr>
        <w:trPr>
          <w:trHeight w:val="27"/>
        </w:trPr>
        <w:tc>
          <w:tcPr>
            <w:tcW w:w="5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22, 2017, the Act was signed into law. The Act makes broad and complex changes to the Code that affect the Company’s fiscal year 2018 financial results in two primary ways.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First, effective January 1, 2018, the Act reduces the U.S. federal corporate statutory income tax rate from 35% to 21%. Due to the Company’s fiscal year nature, a blended U.S. corporate income tax rate of 24.5% is recorded in the fiscal 2018 financial results. The Company’s U.S. corporate statutory income tax rate decreased to 21% on October 1, 2018. As a result of the lower tax rate, the Company remeasured its U.S. deferred tax assets and liabilities based on the rates at which they are expected to reverse in the future. Guidance under SAB 118 allows companies to use a measurement period, similar to that used in business combinations, to account for the impacts of the Act in their consolidated financial statements. Consistent with SAB 118, the Company recorded a provisional net benefit for the first quarter of fiscal 2018 of $45.9 million in the “Income tax expense (benefit) from continuing operations” line in the Condensed Consolidated Statement of Operations. Due to the consideration of full year financial information and additional analysis of the Act, the Company revised its calculation and recorded measurement period adjustments resulting in a total net benefit of $44.6 million for the year ended September 30, 2018. In addition, the Company will evaluate adoption of accounting standard update 2018-02, issued February 14, 2018, in its first quarter of fiscal 2019. The accounting standard update allows an entity to elect a one-time reclassification from accumulated other comprehensive income (loss) (“AOCI”) to retained earnings of “stranded” tax effects resulting from the Act. The amount of the reclassification includes (1) the effect of the change in the U.S. federal corporate statutory income tax rate on the gross deferred tax amounts and related valuation allowances, if any, on the date of enactment of the Act related to items remaining in AOCI and (2) other income tax effects of the Act on items remaining in AOCI that an entity elects to reclassify. Other than the considerations for accounting standard update 2018-02, the Company considers the accounting for this element of the Act to be complete.</w:t>
      </w:r>
    </w:p>
    <w:p>
      <w:pPr>
        <w:spacing w:after="0" w:line="11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Second, due to the move to a territorial tax system, the Act requires companies to pay a mandatory one-time U.S. transition tax on deemed repatriation of certain undistributed earnings of foreign subsidiaries. Under SAB 118, the Company made a reasonable estimate of this deemed repatriation tax for the first quarter of fiscal 2018 and recorded in the “Income tax expense (benefit) from continuing operations” line in the Condensed Consolidated Statement of Operations an estimated U.S. transition tax of $14.0 million, offset by $10.7 million of foreign tax credits generated from the repatriation plus $3.2 million of foreign tax credit carryovers previously reserved under a full valuation allowance. As a result of additional analysis and support related to the Act, the Company revised its calculation and recorded measurement period adjustments resulting in U.S. transition tax of $21.2</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million based on $97.8 million of undistributed earnings of foreign subsidiaries. This expense is largely offset by $18.2 million of foreign tax credits, $0.5 million of which was carried forward from prior periods and was offset by a full valuation allowance. The Company considers key estimates of the deemed repatriation tax to be currently incomplete subject to continuing analysis and the anticipated future release of additional authoritative guidance and interpretations on the topic. The Company expects to complete its analysis in the first quarter of fiscal 2019.</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addition, the Act also establishes new tax provisions that will affect the Company beginning October 1, 2018, including (1) eliminating the U.S. manufacturing deduction; (2) establishing new limitations on deductible interest expense and certain executive compensation; (3) creating the base erosion anti-abuse tax (“BEAT”); (4) creating a new provision designed to tax global intangible low-tax income (“GILTI”); (5) establishing a deduction for foreign-derived intangible income (“FDII”); and (6) generally eliminating U.S. federal income taxes on dividends from foreign subsidiaries.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Regarding the new GILTI tax rules, the Company is allowed to make an accounting policy election to either (1) treat taxes due on future GILTI exclusions in U.S. taxable income as a current period expense when incurred or (2) reflect such portion of the future GILTI exclusions in U.S. taxable income that relate to existing basis differences in the Company’s measurement of deferred taxes. The Company’s analysis of the new GILTI rules and ultimate impact are incomplete and the Company has not made a policy election regarding the treatment of the GILTI tax.</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340" w:type="dxa"/>
            <w:vAlign w:val="bottom"/>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Federal NOL carryovers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NOL carryovers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Foreign NOL carryovers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tax credit carryovers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Outside basis difference in equity investments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$33.6 million and $29.7 million of deferred tax assets as of September 30, 2018 and 2017, respectively. Most of these valuation allowances relate to certain credits and net operating losses (“NOLs”), as explained further below.</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tax assets related to foreign NOLs of certain controlled foreign corporations were $3.8 million as of September 30, 2018, the majority of which have indefinite carryforward periods. Due to a history of losses in many of these entities, a full</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valuation allowance has been established against $3.3 million of these deferred tax assets. A valuation allowance has also been established against a deferred tax asset related to Scotts’ China subsidiary of $1.3 million.</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Foreign tax credits were $16.4 million and $7.6 million at September 30, 2018 and 2017, respectively. A full valuation allowance has been established against $16.4 million of foreign tax credits the Company does not expect to utilize prior to their expiration.</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Due to the Company’s increased ownership of AeroGrow during fiscal 2017, it may potentially utilize up to $10.9 million of deferred tax assets related to the NOLs of that subsidiary. These NOLs are subject to limitation under IRC §382 from current and prior ownership changes. The Company determined that $10.5 million of these deferred tax assets will expire unutilized due to the closing of statutes of limitation and has established a valuation allowance accordingly. The Company estimates that the remaining $0.4 million of deferred tax assets will be available for utilization in tax years ending after September 30, 2018. These remaining NOLs will be utilized gradually through the tax year ending September 30, 2032.</w:t>
      </w:r>
    </w:p>
    <w:p>
      <w:pPr>
        <w:spacing w:after="0" w:line="11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Deferred tax assets related to state NOLs were $1.5 million as of September 30, 2018, with carryforward periods ranging from 5 to 20 years. Any losses not utilized within a specific state’s carryforward period will expire. A valuation allowance was recorded against $1.4 million of these deferred tax assets as of September 30, 2018 for state NOLs that the Company does not expect to realize within their respective carryover periods. Tax benefits associated with state tax credits will expire if not utilized and amounted to $1.4 million and $1.0 million at September 30, 2018 and 2017, respectively. A valuation allowance in the amount of $0.7 million has been established related to state credits the Company does not expect to utilize.</w:t>
      </w:r>
    </w:p>
    <w:p>
      <w:pPr>
        <w:spacing w:after="0" w:line="11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September 30, 2018 and after consideration of the one time transition tax on deemed repatriation of foreign earnings, the Company had no unremitted earnings of foreign subsidiaries for which earnings are considered permanently reinvested. The Company has repatriated all cash and earnings of one subsidiary in the United Kingdom via a loan to a U.S. affiliate in the fiscal year ended September 30, 2018. Following the one-time transition tax, the Company determined that no deferred tax liability for withholding taxes on the subsidiary’s previously taxed earnings is required as the United Kingdom does not impose withholding taxes on distributions to the U.S. The Company maintains its assertions of indefinite reinvestment of the earnings of all material foreign subsidiaries with the exception of the earnings of Scotts Luxembourg Sarl, which are generally taxed on a current basis under “Subpart F” of the Code which prevents deferral of recognition of U.S. taxable income through the use of foreign entities.</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had $13.9 million, $10.2 million and $5.1 million of gross unrecognized tax benefits related to uncertain tax positions at September 30, 2018, 2017 and 2016, respectively. Of these amounts, $4.8 million, $0.7 million and $0.3 million of gross unrecognized tax benefits are related to discontinued operations at September 30, 2018, 2017 and 2016, respectively. Included in the September 30, 2018, 2017 and 2016 balances were $12.6 million, $8.5 million and $3.5 million, respectively, of unrecognized tax benefits that, if recognized, would have an impact on the effective tax rate.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continues to recognize accrued interest and penalties related to unrecognized tax benefits as a component of the provision for income taxes. As of September 30, 2018, 2017 and 2016, respectively, the Company had $1.5 million, $1.1 million and $1.1 million accrued for the payment of interest that, if recognized, would impact the effective tax rate. As of September 30, 2018, 2017 and 2016, respectively, the Company had $0.4 million, $0.4 million and $0.5 million accrued for the payment of penalties that, if recognized, would impact the effective tax rate. For the fiscal year ended September 30, 2018, the Company recognized a benefit of $2.3 million for tax interest and tax penalties in its Consolidated Statement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Scotts Miracle-Gro Company or one of its subsidiaries files income tax returns in the U.S. federal jurisdiction and various state, local and foreign jurisdictions. Subject to the following exceptions, the Company is no longer subject to examination by these tax authorities for fiscal years prior to 2015. The Company is currently under examination by certain foreign and U.S. state and local tax authorities. With respect to the foreign jurisdictions, a French audit covering fiscal years 2013 through 2016 is underway with no known material impact to the financial statements. In regard to the multiple U.S. state and local audits, the tax periods under examination are limited to fiscal years 2012 through 2017. In addition to the aforementioned audits, certain other tax deficiency notices and refund claims for previous years remain unresolved.</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At September 30, 2018, the notional amount of outstanding currency forward contracts was $117.2 million, with a fair value of $(0.6) million. At September 30, 2017, the notional amount of outstanding currency forward contracts was $268.3 million, with a fair value of $1.8 million. The fair value of currency forward contracts is determined using forward rates in commonly quoted intervals for the full term of the contracts. The outstanding contracts will mature over the next fiscal quarter.</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AOCI within the Consolidated Balance Sheets. The fair value of the swap agreements is determined based on the present value of the estimated future net cash flows using implied rates in the applicable yield curve as of the valuation date.</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$800.0 million and $1,100.0 million at September 30, 2018 and 2017, respectively. Refer to “NOTE 11. DEBT” for the terms of the swap agreements outstanding at September 30, 2018. Included in the AOCI balance at September 30, 2018 was a gain of $1.6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Consolidated Balance Sheets. Realized gains or losses remain as a component of AOCI until the related inventory is sold. Upon sale of the underlying inventory, the gain or loss is reclassified to cost of sales. Included in the AOCI balance at September 30, 2018 was a gain of $4.5 million related to urea derivatives that is expected to be reclassified to earnings during the next twelve months, consistent with the timing of the underlying hedged transactions.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Consolidated Balance Sheets. Changes in the fair value of derivative contracts that qualify for hedge accounting are recorded in AOCI. The effective portion of the change in fair value remains 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September 30, 2018, there were no amounts included within AOCI.</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2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Urea</w:t>
            </w: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89"/>
              </w:rPr>
              <w:t>88,000 tons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5,460,000 gallons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5,586,000 gallons</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1,218,000 gallons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1,386,000 gallons</w:t>
            </w:r>
          </w:p>
        </w:tc>
        <w:tc>
          <w:tcPr>
            <w:tcW w:w="0" w:type="dxa"/>
            <w:vAlign w:val="bottom"/>
          </w:tcPr>
          <w:p>
            <w:pPr>
              <w:spacing w:after="0"/>
              <w:rPr>
                <w:sz w:val="1"/>
                <w:szCs w:val="1"/>
                <w:color w:val="auto"/>
              </w:rPr>
            </w:pPr>
          </w:p>
        </w:tc>
      </w:tr>
      <w:tr>
        <w:trPr>
          <w:trHeight w:val="419"/>
        </w:trPr>
        <w:tc>
          <w:tcPr>
            <w:tcW w:w="2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Fair Values of Derivative Instruments</w:t>
            </w: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7400" w:type="dxa"/>
            <w:vAlign w:val="bottom"/>
            <w:gridSpan w:val="4"/>
          </w:tcPr>
          <w:p>
            <w:pPr>
              <w:ind w:left="220"/>
              <w:spacing w:after="0"/>
              <w:rPr>
                <w:sz w:val="20"/>
                <w:szCs w:val="20"/>
                <w:color w:val="auto"/>
              </w:rPr>
            </w:pPr>
            <w:r>
              <w:rPr>
                <w:rFonts w:ascii="Arial" w:cs="Arial" w:eastAsia="Arial" w:hAnsi="Arial"/>
                <w:sz w:val="18"/>
                <w:szCs w:val="18"/>
                <w:color w:val="auto"/>
              </w:rPr>
              <w:t>The fair values of the Company’s derivative instruments were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74"/>
              <w:spacing w:after="0"/>
              <w:rPr>
                <w:sz w:val="20"/>
                <w:szCs w:val="20"/>
                <w:color w:val="auto"/>
              </w:rPr>
            </w:pPr>
            <w:r>
              <w:rPr>
                <w:rFonts w:ascii="Arial" w:cs="Arial" w:eastAsia="Arial" w:hAnsi="Arial"/>
                <w:sz w:val="14"/>
                <w:szCs w:val="14"/>
                <w:b w:val="1"/>
                <w:bCs w:val="1"/>
                <w:color w:val="auto"/>
                <w:w w:val="92"/>
              </w:rPr>
              <w:t>Assets / (Liabilities)</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96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jc w:val="center"/>
              <w:ind w:right="374"/>
              <w:spacing w:after="0"/>
              <w:rPr>
                <w:sz w:val="20"/>
                <w:szCs w:val="20"/>
                <w:color w:val="auto"/>
              </w:rPr>
            </w:pPr>
            <w:r>
              <w:rPr>
                <w:rFonts w:ascii="Arial" w:cs="Arial" w:eastAsia="Arial" w:hAnsi="Arial"/>
                <w:sz w:val="14"/>
                <w:szCs w:val="14"/>
                <w:b w:val="1"/>
                <w:bCs w:val="1"/>
                <w:color w:val="auto"/>
                <w:w w:val="98"/>
              </w:rPr>
              <w:t>Fair Value</w:t>
            </w:r>
          </w:p>
        </w:tc>
        <w:tc>
          <w:tcPr>
            <w:tcW w:w="5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394"/>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16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Other assets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9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9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2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 derivatives designated as hedging instruments</w:t>
            </w:r>
          </w:p>
        </w:tc>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7"/>
        </w:trPr>
        <w:tc>
          <w:tcPr>
            <w:tcW w:w="22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gridSpan w:val="2"/>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2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96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16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9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2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w w:val="95"/>
              </w:rPr>
              <w:t>Total derivatives not designated as hedging instruments</w:t>
            </w:r>
          </w:p>
        </w:tc>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2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0" w:type="dxa"/>
            <w:vAlign w:val="bottom"/>
          </w:tcPr>
          <w:p>
            <w:pPr>
              <w:spacing w:after="0"/>
              <w:rPr>
                <w:sz w:val="24"/>
                <w:szCs w:val="24"/>
                <w:color w:val="auto"/>
              </w:rPr>
            </w:pPr>
          </w:p>
        </w:tc>
        <w:tc>
          <w:tcPr>
            <w:tcW w:w="10700" w:type="dxa"/>
            <w:vAlign w:val="bottom"/>
            <w:gridSpan w:val="11"/>
          </w:tcPr>
          <w:p>
            <w:pPr>
              <w:jc w:val="right"/>
              <w:ind w:right="74"/>
              <w:spacing w:after="0"/>
              <w:rPr>
                <w:sz w:val="20"/>
                <w:szCs w:val="20"/>
                <w:color w:val="auto"/>
              </w:rPr>
            </w:pPr>
            <w:r>
              <w:rPr>
                <w:rFonts w:ascii="Arial" w:cs="Arial" w:eastAsia="Arial" w:hAnsi="Arial"/>
                <w:sz w:val="18"/>
                <w:szCs w:val="18"/>
                <w:color w:val="auto"/>
                <w:w w:val="92"/>
              </w:rPr>
              <w:t>The effect of derivative instruments on AOCI and the Consolidated Statements of Operations for the years ended September 30 was as follows: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left="437"/>
              <w:spacing w:after="0"/>
              <w:rPr>
                <w:sz w:val="20"/>
                <w:szCs w:val="20"/>
                <w:color w:val="auto"/>
              </w:rPr>
            </w:pPr>
            <w:r>
              <w:rPr>
                <w:rFonts w:ascii="Arial" w:cs="Arial" w:eastAsia="Arial" w:hAnsi="Arial"/>
                <w:sz w:val="14"/>
                <w:szCs w:val="14"/>
                <w:b w:val="1"/>
                <w:bCs w:val="1"/>
                <w:color w:val="auto"/>
                <w:w w:val="94"/>
              </w:rPr>
              <w:t>Amount Of Gain / (Loss)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94"/>
              <w:spacing w:after="0"/>
              <w:rPr>
                <w:sz w:val="20"/>
                <w:szCs w:val="20"/>
                <w:color w:val="auto"/>
              </w:rPr>
            </w:pPr>
            <w:r>
              <w:rPr>
                <w:rFonts w:ascii="Arial" w:cs="Arial" w:eastAsia="Arial" w:hAnsi="Arial"/>
                <w:sz w:val="14"/>
                <w:szCs w:val="14"/>
                <w:b w:val="1"/>
                <w:bCs w:val="1"/>
                <w:color w:val="auto"/>
                <w:w w:val="95"/>
              </w:rPr>
              <w:t>Recognized In AOCI</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394"/>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Commodity hedging instruments</w:t>
            </w: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ind w:left="920"/>
              <w:spacing w:after="0"/>
              <w:rPr>
                <w:sz w:val="20"/>
                <w:szCs w:val="20"/>
                <w:color w:val="auto"/>
              </w:rPr>
            </w:pPr>
            <w:r>
              <w:rPr>
                <w:rFonts w:ascii="Arial" w:cs="Arial" w:eastAsia="Arial" w:hAnsi="Arial"/>
                <w:sz w:val="18"/>
                <w:szCs w:val="18"/>
                <w:color w:val="auto"/>
              </w:rPr>
              <w:t>113</w:t>
            </w: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260" w:type="dxa"/>
            <w:vAlign w:val="bottom"/>
          </w:tcPr>
          <w:p>
            <w:pPr>
              <w:jc w:val="center"/>
              <w:ind w:left="619"/>
              <w:spacing w:after="0"/>
              <w:rPr>
                <w:sz w:val="20"/>
                <w:szCs w:val="20"/>
                <w:color w:val="auto"/>
              </w:rPr>
            </w:pPr>
            <w:r>
              <w:rPr>
                <w:rFonts w:ascii="Arial" w:cs="Arial" w:eastAsia="Arial" w:hAnsi="Arial"/>
                <w:sz w:val="14"/>
                <w:szCs w:val="14"/>
                <w:b w:val="1"/>
                <w:bCs w:val="1"/>
                <w:color w:val="auto"/>
                <w:w w:val="95"/>
              </w:rPr>
              <w:t>Reclassified From AOCI Into</w:t>
            </w: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5"/>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260" w:type="dxa"/>
            <w:vAlign w:val="bottom"/>
            <w:tcBorders>
              <w:bottom w:val="single" w:sz="8" w:color="auto"/>
            </w:tcBorders>
          </w:tcPr>
          <w:p>
            <w:pPr>
              <w:jc w:val="center"/>
              <w:ind w:left="639"/>
              <w:spacing w:after="0"/>
              <w:rPr>
                <w:sz w:val="20"/>
                <w:szCs w:val="20"/>
                <w:color w:val="auto"/>
              </w:rPr>
            </w:pPr>
            <w:r>
              <w:rPr>
                <w:rFonts w:ascii="Arial" w:cs="Arial" w:eastAsia="Arial" w:hAnsi="Arial"/>
                <w:sz w:val="14"/>
                <w:szCs w:val="14"/>
                <w:b w:val="1"/>
                <w:bCs w:val="1"/>
                <w:color w:val="auto"/>
                <w:w w:val="93"/>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ind w:left="8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100" w:type="dxa"/>
            <w:vAlign w:val="bottom"/>
          </w:tcPr>
          <w:p>
            <w:pPr>
              <w:spacing w:after="0"/>
              <w:rPr>
                <w:sz w:val="24"/>
                <w:szCs w:val="24"/>
                <w:color w:val="auto"/>
              </w:rPr>
            </w:pPr>
          </w:p>
        </w:tc>
        <w:tc>
          <w:tcPr>
            <w:tcW w:w="4260" w:type="dxa"/>
            <w:vAlign w:val="bottom"/>
          </w:tcPr>
          <w:p>
            <w:pPr>
              <w:jc w:val="center"/>
              <w:ind w:left="619"/>
              <w:spacing w:after="0"/>
              <w:rPr>
                <w:sz w:val="20"/>
                <w:szCs w:val="20"/>
                <w:color w:val="auto"/>
              </w:rPr>
            </w:pPr>
            <w:r>
              <w:rPr>
                <w:rFonts w:ascii="Arial" w:cs="Arial" w:eastAsia="Arial" w:hAnsi="Arial"/>
                <w:sz w:val="14"/>
                <w:szCs w:val="14"/>
                <w:b w:val="1"/>
                <w:bCs w:val="1"/>
                <w:color w:val="auto"/>
                <w:w w:val="92"/>
              </w:rPr>
              <w:t>Recognized In</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5"/>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260" w:type="dxa"/>
            <w:vAlign w:val="bottom"/>
            <w:tcBorders>
              <w:bottom w:val="single" w:sz="8" w:color="auto"/>
            </w:tcBorders>
          </w:tcPr>
          <w:p>
            <w:pPr>
              <w:jc w:val="center"/>
              <w:ind w:left="639"/>
              <w:spacing w:after="0"/>
              <w:rPr>
                <w:sz w:val="20"/>
                <w:szCs w:val="20"/>
                <w:color w:val="auto"/>
              </w:rPr>
            </w:pPr>
            <w:r>
              <w:rPr>
                <w:rFonts w:ascii="Arial" w:cs="Arial" w:eastAsia="Arial" w:hAnsi="Arial"/>
                <w:sz w:val="14"/>
                <w:szCs w:val="14"/>
                <w:b w:val="1"/>
                <w:bCs w:val="1"/>
                <w:color w:val="auto"/>
                <w:w w:val="92"/>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ind w:left="8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Consolidated Balance Sheets, except for derivative instruments expected to be settled within the next 12 months, which are included within prepaid and other current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assets include investment securities in non-qualified retirement plan assets and the Company’s option to increase its economic interest in Bonnie Plants, Inc. (the “Bonnie Option”). Other liabilities include the contingent consideration related to the acquisition of Sunlight Supply.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1"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was estimated considering a distribution of possible future cash flows discounted to present value using an appropriate discount rate, and is classified in Level 3 of the fair value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estimate required subjective assumptions to be made, including those related to future business results and discount rates. The fair value measurement was based on significant inputs unobservable in the market and thus represented a Level 3 measurement.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5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2018,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2018, the Company’s residual value guarantee would have approximated $4.2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5"/>
              </w:rPr>
              <w:t>Guarantee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(In millions)</w:t>
            </w:r>
          </w:p>
        </w:tc>
        <w:tc>
          <w:tcPr>
            <w:tcW w:w="2160" w:type="dxa"/>
            <w:vAlign w:val="bottom"/>
          </w:tcPr>
          <w:p>
            <w:pPr>
              <w:spacing w:after="0"/>
              <w:rPr>
                <w:sz w:val="22"/>
                <w:szCs w:val="22"/>
                <w:color w:val="auto"/>
              </w:rPr>
            </w:pPr>
          </w:p>
        </w:tc>
      </w:tr>
      <w:tr>
        <w:trPr>
          <w:trHeight w:val="24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aircraft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6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2018, fiscal 2017 and fiscal 2016 totaled $62.5 million, $53.6 million and $51.3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2018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140.8</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80.2</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CONTINGENCIES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2018, $4.4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4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fees. The Company and its Chief Executive Officer dispute the plaintiffs’ assertions and have vigorously defended the consolidated action. As a result of the parties reaching an agreement in principle to settle this matter, which the parties are in the process of finalizing and which remains subject to Court approval, the Company recognized a pre-tax charge of $85.0 million for a probable loss related to this matter for the year ended September 30, 2018 in the “Income (loss) from discontinued operations, net of tax” line in the Consolidated Statements of Operations.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5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The Company has been named as a defendant in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and disputes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would require the Company to pay certain attorneys’ and administrative fees and provide certain payments to the class members. The preliminary settlement will not be finalized until after the court approves the settlement and a claims process determines the payments to be provided to the class members. The date of the final settlement approval hearing with the court is December 19, 2018. During fiscal 2018, the Company recognized a charge of $11.7 million for a probable loss related to this matter within the “Impairment, restructuring and other” line in the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Trade accounts receivable are exposed to a concentration of credit risk with customers principally located in the United States. The Company’s customers include home centers, mass merchandisers, warehouse clubs, large hardware chains, independent hardware stores, nurseries, garden centers, food and drug stores, indoor gardening and hydroponic product distributors and retailers. Concentrations of net sales and accounts receivable in the United States as a percentage of consolidated net sales and accounts receivable at September 30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 of Net Accounts Receivable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jc w:val="right"/>
              <w:ind w:right="3528"/>
              <w:spacing w:after="0"/>
              <w:rPr>
                <w:sz w:val="20"/>
                <w:szCs w:val="20"/>
                <w:color w:val="auto"/>
              </w:rPr>
            </w:pPr>
            <w:r>
              <w:rPr>
                <w:rFonts w:ascii="Arial" w:cs="Arial" w:eastAsia="Arial" w:hAnsi="Arial"/>
                <w:sz w:val="18"/>
                <w:szCs w:val="18"/>
                <w:color w:val="auto"/>
                <w:w w:val="90"/>
              </w:rPr>
              <w:t>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remainder of the Company’s net sales and accounts receivable were generated from customers located outside of the United States, primarily retailers, distributors and nurseries in Europe and Canada. No concentrations of these customers or individual customers within this group accounted for more than 10% of the Company’s net sales or accounts receivable for any period presented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the only customers that individually represent more than 10% of reported consolidated net sales and accounts receivable during any of the last three fiscal years. These three customers accounted for the following percentages of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57% and 60% as of September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on loans receivable</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divides its business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w:t>
      </w:r>
    </w:p>
    <w:p>
      <w:pPr>
        <w:spacing w:after="0" w:line="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2,109.6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2,160.5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2,204.4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Profit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Segment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0"/>
        </w:trPr>
        <w:tc>
          <w:tcPr>
            <w:tcW w:w="67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5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within equity in income (loss) of unconsolidated affiliates for fiscal 2017 are charges of $25.2 million, which represent the Company’s share of restructuring and other charges incurred by the TruGreen Joint Venture, including a charge of $7.2 million related to costs associated with TruGreen’s August 2017 refinancing. For fiscal 2016, the Company’s share of restructuring and other charges incurred by the TruGreen Joint Venture of $11.7 million were included within impairment, restructuring and other above.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89"/>
              </w:rPr>
              <w:t>1,702.2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1,650.3</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150.7</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298.0</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9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89"/>
              </w:rPr>
              <w:t>3,054.5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2,747.0</w:t>
            </w:r>
          </w:p>
        </w:tc>
      </w:tr>
      <w:tr>
        <w:trPr>
          <w:trHeight w:val="27"/>
        </w:trPr>
        <w:tc>
          <w:tcPr>
            <w:tcW w:w="8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3"/>
          </w:tcPr>
          <w:p>
            <w:pPr>
              <w:ind w:left="400"/>
              <w:spacing w:after="0"/>
              <w:rPr>
                <w:sz w:val="20"/>
                <w:szCs w:val="20"/>
                <w:color w:val="auto"/>
              </w:rPr>
            </w:pPr>
            <w:r>
              <w:rPr>
                <w:rFonts w:ascii="Arial" w:cs="Arial" w:eastAsia="Arial" w:hAnsi="Arial"/>
                <w:sz w:val="14"/>
                <w:szCs w:val="14"/>
                <w:b w:val="1"/>
                <w:bCs w:val="1"/>
                <w:color w:val="auto"/>
                <w:w w:val="92"/>
              </w:rPr>
              <w:t>Year Ended September 30,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080" w:type="dxa"/>
            <w:vAlign w:val="bottom"/>
            <w:tcBorders>
              <w:bottom w:val="single" w:sz="8" w:color="CCEEFF"/>
            </w:tcBorders>
          </w:tcPr>
          <w:p>
            <w:pPr>
              <w:spacing w:after="0"/>
              <w:rPr>
                <w:sz w:val="22"/>
                <w:szCs w:val="22"/>
                <w:color w:val="auto"/>
              </w:rPr>
            </w:pPr>
          </w:p>
        </w:tc>
        <w:tc>
          <w:tcPr>
            <w:tcW w:w="2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8"/>
              </w:rPr>
              <w:t>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Indoor, urban and hydroponic gardening</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2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primarily gardening and landscape</w:t>
            </w:r>
          </w:p>
        </w:tc>
        <w:tc>
          <w:tcPr>
            <w:tcW w:w="2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Segment total product sales</w:t>
            </w:r>
          </w:p>
        </w:tc>
        <w:tc>
          <w:tcPr>
            <w:tcW w:w="2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vMerge w:val="restart"/>
          </w:tcPr>
          <w:p>
            <w:pPr>
              <w:ind w:left="420"/>
              <w:spacing w:after="0"/>
              <w:rPr>
                <w:sz w:val="20"/>
                <w:szCs w:val="20"/>
                <w:color w:val="auto"/>
              </w:rPr>
            </w:pPr>
            <w:r>
              <w:rPr>
                <w:rFonts w:ascii="Arial" w:cs="Arial" w:eastAsia="Arial" w:hAnsi="Arial"/>
                <w:sz w:val="18"/>
                <w:szCs w:val="18"/>
                <w:color w:val="auto"/>
                <w:w w:val="99"/>
              </w:rPr>
              <w:t>The following table presents net sales by geographic area:</w:t>
            </w:r>
          </w:p>
        </w:tc>
        <w:tc>
          <w:tcPr>
            <w:tcW w:w="2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continu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5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2,375.5</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2,385.1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32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2,663.4</w:t>
            </w:r>
          </w:p>
        </w:tc>
        <w:tc>
          <w:tcPr>
            <w:tcW w:w="14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2,642.1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gridSpan w:val="3"/>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600" w:type="dxa"/>
            <w:vAlign w:val="bottom"/>
            <w:gridSpan w:val="11"/>
          </w:tcPr>
          <w:p>
            <w:pPr>
              <w:ind w:left="420"/>
              <w:spacing w:after="0"/>
              <w:rPr>
                <w:sz w:val="20"/>
                <w:szCs w:val="20"/>
                <w:color w:val="auto"/>
              </w:rPr>
            </w:pPr>
            <w:r>
              <w:rPr>
                <w:rFonts w:ascii="Arial" w:cs="Arial" w:eastAsia="Arial" w:hAnsi="Arial"/>
                <w:sz w:val="18"/>
                <w:szCs w:val="18"/>
                <w:color w:val="auto"/>
                <w:w w:val="92"/>
              </w:rPr>
              <w:t>The following table presents long-lived assets (property, plant and equipment and finite-lived intangibles) by geographic area: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8"/>
          </w:tcPr>
          <w:p>
            <w:pPr>
              <w:ind w:left="400"/>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w w:val="88"/>
              </w:rPr>
              <w:t>789.8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8"/>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952.5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vMerge w:val="restart"/>
          </w:tcPr>
          <w:p>
            <w:pPr>
              <w:jc w:val="right"/>
              <w:ind w:right="135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FISCAL 2017</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The sum of the quarters may not equal full year due to rounding.</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1"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in excess of 75% of net sales occurring in the second and third fiscal quarters.</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 xml:space="preserve">Significant impairment, restructuring and other charges / recoveries reflected in the quarterly financial information during fiscal 2018 are as follows: first quarter recovery of $0.2 million from continuing operations related to adjustments to previously recognized termination benefits associated with Project Focus and a charge of $1.4 million from discontinued operations related to transaction related costs associated with the sale of the International Business; second quarter charge of $10.2 million from continuing operations for a probable loss related to the previously disclosed legal matter </w:t>
      </w:r>
      <w:r>
        <w:rPr>
          <w:rFonts w:ascii="Arial" w:cs="Arial" w:eastAsia="Arial" w:hAnsi="Arial"/>
          <w:sz w:val="17"/>
          <w:szCs w:val="17"/>
          <w:i w:val="1"/>
          <w:iCs w:val="1"/>
          <w:color w:val="auto"/>
        </w:rPr>
        <w:t>In re Scotts EZ Seed</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$0.1 million adjustment to previously recognized termination benefits associated with Project Focus from continuing operations and a $0.2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charge from discontinued operations related to transaction related costs associated with the sale of the International Business; third quarter charge of $12.9 million from continuing operations associated with Project Catalyst, a non-cash impairment charge of $17.5 million from continuing operations related to the settlement of a portion of certain previously acquired customer relationships due to the acquisition of Sunlight Supply, a $0.1 million charge from discontinued operations related to transaction related costs associated with the sale of the International Business and a $65.0 million pre-tax charge from discontinued operations for a probable loss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fourth quarter charge of $16.5 million from continuing operations associated with Project Catalyst, a non-cash charge of $94.6 million from continuing operations related to a goodwill impairment in the Hawthorne segment, a $1.5 million charge from continuing operations for a probable loss related to the previously disclosed legal matter </w:t>
      </w:r>
      <w:r>
        <w:rPr>
          <w:rFonts w:ascii="Arial" w:cs="Arial" w:eastAsia="Arial" w:hAnsi="Arial"/>
          <w:sz w:val="17"/>
          <w:szCs w:val="17"/>
          <w:i w:val="1"/>
          <w:iCs w:val="1"/>
          <w:color w:val="auto"/>
        </w:rPr>
        <w:t>In re Scotts EZ Seed Litigation</w:t>
      </w:r>
      <w:r>
        <w:rPr>
          <w:rFonts w:ascii="Arial" w:cs="Arial" w:eastAsia="Arial" w:hAnsi="Arial"/>
          <w:sz w:val="17"/>
          <w:szCs w:val="17"/>
          <w:color w:val="auto"/>
        </w:rPr>
        <w:t xml:space="preserve">, a $20.0 million pre-tax charge from discontinued operations for a probable loss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and a $0.1 million charge from discontinued operations related to transaction related costs associated with the sale of the International Business.</w:t>
      </w:r>
    </w:p>
    <w:p>
      <w:pPr>
        <w:spacing w:after="0" w:line="1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Additionally, during the first quarter of fiscal 2018 the Company recorded a provisional net benefit of $45.9 million in the “Income tax expense (benefit) from continuing operations” line in the Condensed Consolidated Statement of Operations. Due to the consideration of full year financial information and additional analysis of the Act, the Company revised its calculation and recorded measurement period adjustments resulting in a total net benefit of $44.6 million for the year ended September 30, 2018. During the second quarter of fiscal 2018, the Company repatriated cash from a foreign subsidiary resulting in the liquidation of substantially all of the assets of the subsidiary and the write-off of accumulated foreign currency translation loss adjustments of $11.7 million in the “Other non-operating expense, net” line in the Condensed Consolidated Statement of Operations.</w:t>
      </w:r>
    </w:p>
    <w:p>
      <w:pPr>
        <w:spacing w:after="0" w:line="12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Significant impairment, restructuring and other charges / recoveries reflected in the quarterly financial information during fiscal 2017 are as follows: first quarter restructuring costs of $2.0 million from discontinued operations including $0.6 million in transaction related costs associated with the divestiture of the SLS Business and $1.4 million in transaction related costs associated with the sale of the International Business; second quarter restructuring costs of $3.4 million from discontinued operations including $0.1 million in transaction related costs associated with the divestiture of the SLS Business and $3.3 million in transaction related costs associated with the sale of the International Business; third quarter restructuring costs of $4.2 million from discontinued operations including $0.1 million in transaction related costs associated with the divestiture of the SLS Business and $4.1 million in transaction related costs associated with the sale of the International Business; and fourth quarter restructuring costs of $11.2 million including costs of $8.3 million from continuing operations and recoveries of $0.4 million from discontinued operations related to termination benefits and facility closure costs associated with Project Focus, recovery of $4.4 million from continuing operations related to the reduction of a contingent consideration liability associated with a historical acquisition, an impairment charge of $1.0 million from continuing operations on the write-off of a trademark asset due to recent performance and future growth expectations, and costs of $6.7 million from discontinued operations for transaction related costs associated with the sale of the International Business.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On December 15, 2015, Scotts Miracle-Gro redeemed all of its outstanding $200.0 million aggregate principal amount of 6.625% Senior Notes, which was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4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September 30, 2018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SLS Holdings, Inc. and SMG ITO Holdings, Inc. (collectively, the “Guarantors”). Effective in the three-month period ending July 1, 2017, American Agritech, L.L.C. was merged into Hawthorne Hydroponics LLC, and has been classified as a Guarantor for all periods presented.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 SLS Holdings, Inc. was added as a Guarantor effective in the three-month period ending July 2, 2016, HGCI, Inc. and GenSource, Inc. were added as Guarantors effective in the three-month period ending January 2, 2016 and SMG ITO Holdings, Inc. was added as a Guarantor effective in the three-month period ending September 30, 2018, and each of which have been classified as Guarantors for all periods presented. SMG ITO Holdings, Inc., SLS Holdings, Inc., HGCI, Inc. and GenSource, Inc. did not have any activity for fiscal 2016.</w:t>
      </w:r>
    </w:p>
    <w:p>
      <w:pPr>
        <w:spacing w:after="0" w:line="3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The following information presents Condensed Consolidating Statements of Operations for each of the three years ended September 30, 2018, 2017 and 2016, Condensed Consolidating Statements of Comprehensive Income (Loss) for each of the three years ended September 30, 2018, 2017 and 2016, Condensed Consolidating Statements of Cash Flows for each of the three years ended September 30, 2018, 2017 and 2016, and Condensed Consolidating Balance Sheets as of September 30, 2018 and 2017.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fiscal 2018, fiscal 2017 and fiscal 2016 are $1,306.9 million, $918.6 million and $940.9 million, respectively, of dividends paid by the Guarantors and Non-Guarantors to the Parent representing return of investments and as such are classified within cash flows from investing activities. Included in the Parent Condensed Consolidating Statements of Cash Flows for fiscal 2018, fiscal 2017 and fiscal 2016 are $24.4 million, $28.8 million and zero of dividends paid by the Guarantors and Non-Guarantors to the Parent representing return on investments and as such are classified within cash flows from operating activities.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840" w:type="dxa"/>
            <w:vAlign w:val="bottom"/>
            <w:tcBorders>
              <w:top w:val="single" w:sz="8" w:color="auto"/>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88.3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4"/>
                <w:szCs w:val="14"/>
                <w:color w:val="auto"/>
              </w:rPr>
              <w:t>NET CASH PROVIDED BY (USED IN) OPERATING ACTIVITIES</w:t>
            </w:r>
            <w:r>
              <w:rPr>
                <w:rFonts w:ascii="Arial" w:cs="Arial" w:eastAsia="Arial" w:hAnsi="Arial"/>
                <w:sz w:val="23"/>
                <w:szCs w:val="23"/>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342.5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sale of long-lived assets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80"/>
              <w:spacing w:after="0"/>
              <w:rPr>
                <w:sz w:val="20"/>
                <w:szCs w:val="20"/>
                <w:color w:val="auto"/>
              </w:rPr>
            </w:pPr>
            <w:r>
              <w:rPr>
                <w:rFonts w:ascii="Arial" w:cs="Arial" w:eastAsia="Arial" w:hAnsi="Arial"/>
                <w:sz w:val="15"/>
                <w:szCs w:val="15"/>
                <w:color w:val="auto"/>
                <w:w w:val="95"/>
              </w:rPr>
              <w:t>Post-closing working capital payment related to sale of International</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380"/>
              <w:spacing w:after="0"/>
              <w:rPr>
                <w:sz w:val="20"/>
                <w:szCs w:val="20"/>
                <w:color w:val="auto"/>
              </w:rPr>
            </w:pPr>
            <w:r>
              <w:rPr>
                <w:rFonts w:ascii="Arial" w:cs="Arial" w:eastAsia="Arial" w:hAnsi="Arial"/>
                <w:sz w:val="15"/>
                <w:szCs w:val="15"/>
                <w:color w:val="auto"/>
              </w:rPr>
              <w:t>Business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Investments in property, plant and equipment</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Investments in loans receivable</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loans receivable</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Net distributions from (investments in) unconsolidated affiliates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Investments in acquired businesses, net of cash acquired</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(492.9)</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Return of investments from affiliates</w:t>
            </w:r>
          </w:p>
        </w:tc>
        <w:tc>
          <w:tcPr>
            <w:tcW w:w="260" w:type="dxa"/>
            <w:vAlign w:val="bottom"/>
          </w:tcPr>
          <w:p>
            <w:pPr>
              <w:spacing w:after="0"/>
              <w:rPr>
                <w:sz w:val="18"/>
                <w:szCs w:val="18"/>
                <w:color w:val="auto"/>
              </w:rPr>
            </w:pPr>
          </w:p>
        </w:tc>
        <w:tc>
          <w:tcPr>
            <w:tcW w:w="1020" w:type="dxa"/>
            <w:vAlign w:val="bottom"/>
            <w:vMerge w:val="restart"/>
          </w:tcPr>
          <w:p>
            <w:pPr>
              <w:jc w:val="right"/>
              <w:ind w:right="44"/>
              <w:spacing w:after="0"/>
              <w:rPr>
                <w:sz w:val="20"/>
                <w:szCs w:val="20"/>
                <w:color w:val="auto"/>
              </w:rPr>
            </w:pPr>
            <w:r>
              <w:rPr>
                <w:rFonts w:ascii="Arial" w:cs="Arial" w:eastAsia="Arial" w:hAnsi="Arial"/>
                <w:sz w:val="15"/>
                <w:szCs w:val="15"/>
                <w:color w:val="auto"/>
              </w:rPr>
              <w:t>1,306.9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(1,306.9)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Investing cash flows from (to) affiliates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Other investing,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rPr>
              <w:t>Net cash provided by (used in) investing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437.0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(628.0)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(264.7)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5"/>
                <w:szCs w:val="15"/>
                <w:color w:val="auto"/>
              </w:rPr>
              <w:t>FINANCING ACTIVITIES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6"/>
              </w:rPr>
              <w:t>Borrowings under revolving and bank lines of credit and term loans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2,658.4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2,987.0</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w w:val="94"/>
              </w:rPr>
              <w:t>Repayments under revolving and bank lines of credit and term loans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(2,005.5)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(2,312.9)</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Financing and issuance fees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(1,306.9)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24"/>
              <w:spacing w:after="0"/>
              <w:rPr>
                <w:sz w:val="20"/>
                <w:szCs w:val="20"/>
                <w:color w:val="auto"/>
              </w:rPr>
            </w:pPr>
            <w:r>
              <w:rPr>
                <w:rFonts w:ascii="Arial" w:cs="Arial" w:eastAsia="Arial" w:hAnsi="Arial"/>
                <w:sz w:val="15"/>
                <w:szCs w:val="15"/>
                <w:color w:val="auto"/>
              </w:rPr>
              <w:t>1,333.1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(120.0)</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Common Shares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Payments on seller notes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received from exercise of stock options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Arial" w:cs="Arial" w:eastAsia="Arial" w:hAnsi="Arial"/>
                <w:sz w:val="15"/>
                <w:szCs w:val="15"/>
                <w:color w:val="auto"/>
              </w:rPr>
              <w:t>Acquisition of noncontrolling interests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(70.7)</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Financing cash flows from (to) affiliates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(443.1)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297.0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290.9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151.2</w:t>
            </w:r>
          </w:p>
        </w:tc>
        <w:tc>
          <w:tcPr>
            <w:tcW w:w="0" w:type="dxa"/>
            <w:vAlign w:val="bottom"/>
          </w:tcPr>
          <w:p>
            <w:pPr>
              <w:spacing w:after="0"/>
              <w:rPr>
                <w:sz w:val="1"/>
                <w:szCs w:val="1"/>
                <w:color w:val="auto"/>
              </w:rPr>
            </w:pPr>
          </w:p>
        </w:tc>
      </w:tr>
      <w:tr>
        <w:trPr>
          <w:trHeight w:val="58"/>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exchange rate changes on cash</w:t>
            </w:r>
          </w:p>
        </w:tc>
        <w:tc>
          <w:tcPr>
            <w:tcW w:w="2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26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5"/>
                <w:szCs w:val="15"/>
                <w:color w:val="auto"/>
              </w:rPr>
              <w:t>Cash and cash equivalents at end of year</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660" w:hanging="652"/>
        <w:spacing w:after="0" w:line="254"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$1,306.9 million represent return of investments and are included in cash flows from investing activities. Cash received by the Parent from the Guarantors and Non-Guarantors in the form of dividends in the amount of $24.4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85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LIABILITIES AND</w:t>
            </w:r>
          </w:p>
        </w:tc>
        <w:tc>
          <w:tcPr>
            <w:tcW w:w="124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31" w:name="page132"/>
    <w:bookmarkEnd w:id="131"/>
    <w:p>
      <w:pPr>
        <w:jc w:val="center"/>
        <w:ind w:right="-11"/>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fiscal year ended September 30, 2017</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12"/>
          </w:cols>
          <w:pgMar w:left="248"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460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5"/>
                <w:szCs w:val="25"/>
                <w:color w:val="auto"/>
                <w:vertAlign w:val="superscript"/>
              </w:rPr>
              <w:t>(a)</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600" w:type="dxa"/>
            <w:vAlign w:val="bottom"/>
          </w:tcPr>
          <w:p>
            <w:pPr>
              <w:spacing w:after="0"/>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long-lived 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business, net of cash disposed of</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property, plant and equipment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loans receivable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Net distributions from (investments in) unconsolidated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acquired businesses, net of cash acquired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Return of investments from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00" w:type="dxa"/>
            <w:vAlign w:val="bottom"/>
          </w:tcPr>
          <w:p>
            <w:pPr>
              <w:ind w:left="340"/>
              <w:spacing w:after="0"/>
              <w:rPr>
                <w:sz w:val="20"/>
                <w:szCs w:val="20"/>
                <w:color w:val="auto"/>
              </w:rPr>
            </w:pPr>
            <w:r>
              <w:rPr>
                <w:rFonts w:ascii="Arial" w:cs="Arial" w:eastAsia="Arial" w:hAnsi="Arial"/>
                <w:sz w:val="15"/>
                <w:szCs w:val="15"/>
                <w:color w:val="auto"/>
                <w:w w:val="95"/>
              </w:rPr>
              <w:t>Borrowings under revolving and bank lines of credit and term loans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w w:val="93"/>
              </w:rPr>
              <w:t>Repayments under revolving and bank lines of credit and term loans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issuance of 5.250% Senior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and issuance fees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Distribution paid by AeroGrow to noncontrolling interest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Purchase of Common Shares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Payments on seller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Excess tax benefits from share-based payment arrangements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Cash received from exercise of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 w:right="320"/>
        <w:spacing w:after="0" w:line="255" w:lineRule="auto"/>
        <w:rPr>
          <w:sz w:val="20"/>
          <w:szCs w:val="20"/>
          <w:color w:val="auto"/>
        </w:rPr>
      </w:pPr>
      <w:r>
        <w:rPr>
          <w:rFonts w:ascii="Arial" w:cs="Arial" w:eastAsia="Arial" w:hAnsi="Arial"/>
          <w:sz w:val="15"/>
          <w:szCs w:val="15"/>
          <w:color w:val="auto"/>
        </w:rPr>
        <w:t>Cash and cash equivalents at beginning of year excluding cash classified within assets held for sale</w:t>
      </w:r>
    </w:p>
    <w:p>
      <w:pPr>
        <w:spacing w:after="0" w:line="12" w:lineRule="exact"/>
        <w:rPr>
          <w:sz w:val="20"/>
          <w:szCs w:val="20"/>
          <w:color w:val="auto"/>
        </w:rPr>
      </w:pPr>
    </w:p>
    <w:p>
      <w:pPr>
        <w:ind w:left="32" w:right="140"/>
        <w:spacing w:after="0" w:line="255" w:lineRule="auto"/>
        <w:rPr>
          <w:sz w:val="20"/>
          <w:szCs w:val="20"/>
          <w:color w:val="auto"/>
        </w:rPr>
      </w:pPr>
      <w:r>
        <w:rPr>
          <w:rFonts w:ascii="Arial" w:cs="Arial" w:eastAsia="Arial" w:hAnsi="Arial"/>
          <w:sz w:val="15"/>
          <w:szCs w:val="15"/>
          <w:color w:val="auto"/>
        </w:rPr>
        <w:t>Cash and cash equivalents at beginning of year classified within assets held for sale</w:t>
      </w:r>
    </w:p>
    <w:p>
      <w:pPr>
        <w:spacing w:after="0" w:line="12" w:lineRule="exact"/>
        <w:rPr>
          <w:sz w:val="20"/>
          <w:szCs w:val="20"/>
          <w:color w:val="auto"/>
        </w:rPr>
      </w:pPr>
    </w:p>
    <w:p>
      <w:pPr>
        <w:ind w:left="32"/>
        <w:spacing w:after="0"/>
        <w:rPr>
          <w:sz w:val="20"/>
          <w:szCs w:val="20"/>
          <w:color w:val="auto"/>
        </w:rPr>
      </w:pPr>
      <w:r>
        <w:rPr>
          <w:rFonts w:ascii="Arial" w:cs="Arial" w:eastAsia="Arial" w:hAnsi="Arial"/>
          <w:sz w:val="15"/>
          <w:szCs w:val="15"/>
          <w:color w:val="auto"/>
        </w:rPr>
        <w:t>Cash and cash equivalents at beginning of year</w:t>
      </w:r>
    </w:p>
    <w:p>
      <w:pPr>
        <w:spacing w:after="0" w:line="22" w:lineRule="exact"/>
        <w:rPr>
          <w:sz w:val="20"/>
          <w:szCs w:val="20"/>
          <w:color w:val="auto"/>
        </w:rPr>
      </w:pPr>
    </w:p>
    <w:p>
      <w:pPr>
        <w:ind w:left="32"/>
        <w:spacing w:after="0"/>
        <w:tabs>
          <w:tab w:leader="none" w:pos="4692" w:val="left"/>
        </w:tabs>
        <w:rPr>
          <w:sz w:val="20"/>
          <w:szCs w:val="20"/>
          <w:color w:val="auto"/>
        </w:rPr>
      </w:pPr>
      <w:r>
        <w:rPr>
          <w:rFonts w:ascii="Arial" w:cs="Arial" w:eastAsia="Arial" w:hAnsi="Arial"/>
          <w:sz w:val="15"/>
          <w:szCs w:val="15"/>
          <w:color w:val="auto"/>
        </w:rPr>
        <w:t>Cash and cash equivalents at end of year</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(48.3)</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471.4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363.2</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178.6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180.3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918.6</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(951.0)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(759.9)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968.5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158.7</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1,196.1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253.2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1,449.3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(1,319.6)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(1,618.3)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(3.8)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(120.3)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962.4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(255.2)</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(255.2)</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7.9</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11.0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759.9</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208.6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(968.5)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(110.4)</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(316.8)</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39.8</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-4965065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-4621530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-3241040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-5316220</wp:posOffset>
            </wp:positionV>
            <wp:extent cx="724662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2" w:space="320"/>
            <w:col w:w="6300"/>
          </w:cols>
          <w:pgMar w:left="248" w:top="850" w:right="239" w:bottom="1440" w:gutter="0" w:footer="0" w:header="0"/>
          <w:type w:val="continuous"/>
        </w:sectPr>
      </w:pPr>
    </w:p>
    <w:p>
      <w:pPr>
        <w:spacing w:after="0" w:line="30" w:lineRule="exact"/>
        <w:rPr>
          <w:sz w:val="20"/>
          <w:szCs w:val="20"/>
          <w:color w:val="auto"/>
        </w:rPr>
      </w:pPr>
    </w:p>
    <w:p>
      <w:pPr>
        <w:jc w:val="both"/>
        <w:ind w:left="652" w:hanging="652"/>
        <w:spacing w:after="0" w:line="317"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4"/>
          <w:szCs w:val="14"/>
          <w:color w:val="auto"/>
        </w:rPr>
        <w:t>Cash received by the Parent from the Guarantors and the Non-Guarantors in the form of distributions in the amount of $918.6 million represent return of investments and are included in cash flows from investing activities. Cash received by the Parent from the Guarantors and Non-Guarantors in the form of dividends in the amount of $28.8 million represent return on investments and are included in cash flows from operating activities. Cash received by the Guarantors from the Non-Guarantors in the form of distributions in the amount of $32.4 million represent return of investments and are included in cash flows from investing activities. Cash received by the Guarantors from the Non-Guarantors in the form of dividends in the amount of $15.0 million represent return on investments and are included in cash flows from operating activities.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12"/>
          </w:cols>
          <w:pgMar w:left="248" w:top="850"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67"/>
        </w:trPr>
        <w:tc>
          <w:tcPr>
            <w:tcW w:w="45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LIABILITIES AND</w:t>
            </w:r>
          </w:p>
        </w:tc>
        <w:tc>
          <w:tcPr>
            <w:tcW w:w="124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w w:val="91"/>
              </w:rPr>
              <w:t>Distribution in excess of investment in unconsolidated affiliate</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37"/>
        </w:trPr>
        <w:tc>
          <w:tcPr>
            <w:tcW w:w="45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35" w:name="page136"/>
    <w:bookmarkEnd w:id="135"/>
    <w:p>
      <w:pPr>
        <w:jc w:val="center"/>
        <w:ind w:right="-11"/>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12"/>
          </w:cols>
          <w:pgMar w:left="248"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460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5"/>
                <w:szCs w:val="25"/>
                <w:color w:val="auto"/>
                <w:vertAlign w:val="superscript"/>
              </w:rPr>
              <w:t>(a)</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600" w:type="dxa"/>
            <w:vAlign w:val="bottom"/>
          </w:tcPr>
          <w:p>
            <w:pPr>
              <w:spacing w:after="0"/>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long-lived 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property, plant and equipment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loans receivable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Cash contributed to TruGreen Joint Venture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Net distributions from (investments in) unconsolidated affiliate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acquired businesses, net of cash acquired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Return of investments from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00" w:type="dxa"/>
            <w:vAlign w:val="bottom"/>
          </w:tcPr>
          <w:p>
            <w:pPr>
              <w:ind w:left="340"/>
              <w:spacing w:after="0"/>
              <w:rPr>
                <w:sz w:val="20"/>
                <w:szCs w:val="20"/>
                <w:color w:val="auto"/>
              </w:rPr>
            </w:pPr>
            <w:r>
              <w:rPr>
                <w:rFonts w:ascii="Arial" w:cs="Arial" w:eastAsia="Arial" w:hAnsi="Arial"/>
                <w:sz w:val="15"/>
                <w:szCs w:val="15"/>
                <w:color w:val="auto"/>
                <w:w w:val="95"/>
              </w:rPr>
              <w:t>Borrowings under revolving and bank lines of credit and term loans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w w:val="93"/>
              </w:rPr>
              <w:t>Repayments under revolving and bank lines of credit and term loans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issuance of 6.000% Senior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Repayment of 6.625% Senior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and issuance fees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Purchase of Common Shares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Payments on seller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Excess tax benefits from share-based payment arrangements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Cash received from exercise of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 w:right="320"/>
        <w:spacing w:after="0" w:line="255" w:lineRule="auto"/>
        <w:rPr>
          <w:sz w:val="20"/>
          <w:szCs w:val="20"/>
          <w:color w:val="auto"/>
        </w:rPr>
      </w:pPr>
      <w:r>
        <w:rPr>
          <w:rFonts w:ascii="Arial" w:cs="Arial" w:eastAsia="Arial" w:hAnsi="Arial"/>
          <w:sz w:val="15"/>
          <w:szCs w:val="15"/>
          <w:color w:val="auto"/>
        </w:rPr>
        <w:t>Cash and cash equivalents at beginning of year excluding cash classified within assets held for sale</w:t>
      </w:r>
    </w:p>
    <w:p>
      <w:pPr>
        <w:spacing w:after="0" w:line="12" w:lineRule="exact"/>
        <w:rPr>
          <w:sz w:val="20"/>
          <w:szCs w:val="20"/>
          <w:color w:val="auto"/>
        </w:rPr>
      </w:pPr>
    </w:p>
    <w:p>
      <w:pPr>
        <w:ind w:left="32" w:right="140"/>
        <w:spacing w:after="0" w:line="255" w:lineRule="auto"/>
        <w:rPr>
          <w:sz w:val="20"/>
          <w:szCs w:val="20"/>
          <w:color w:val="auto"/>
        </w:rPr>
      </w:pPr>
      <w:r>
        <w:rPr>
          <w:rFonts w:ascii="Arial" w:cs="Arial" w:eastAsia="Arial" w:hAnsi="Arial"/>
          <w:sz w:val="15"/>
          <w:szCs w:val="15"/>
          <w:color w:val="auto"/>
        </w:rPr>
        <w:t>Cash and cash equivalents at beginning of year classified within assets held for sale</w:t>
      </w:r>
    </w:p>
    <w:p>
      <w:pPr>
        <w:spacing w:after="0" w:line="12" w:lineRule="exact"/>
        <w:rPr>
          <w:sz w:val="20"/>
          <w:szCs w:val="20"/>
          <w:color w:val="auto"/>
        </w:rPr>
      </w:pPr>
    </w:p>
    <w:p>
      <w:pPr>
        <w:ind w:left="32"/>
        <w:spacing w:after="0"/>
        <w:rPr>
          <w:sz w:val="20"/>
          <w:szCs w:val="20"/>
          <w:color w:val="auto"/>
        </w:rPr>
      </w:pPr>
      <w:r>
        <w:rPr>
          <w:rFonts w:ascii="Arial" w:cs="Arial" w:eastAsia="Arial" w:hAnsi="Arial"/>
          <w:sz w:val="15"/>
          <w:szCs w:val="15"/>
          <w:color w:val="auto"/>
        </w:rPr>
        <w:t>Cash and cash equivalents at beginning of year</w:t>
      </w:r>
    </w:p>
    <w:p>
      <w:pPr>
        <w:spacing w:after="0" w:line="22" w:lineRule="exact"/>
        <w:rPr>
          <w:sz w:val="20"/>
          <w:szCs w:val="20"/>
          <w:color w:val="auto"/>
        </w:rPr>
      </w:pPr>
    </w:p>
    <w:p>
      <w:pPr>
        <w:ind w:left="32"/>
        <w:spacing w:after="0"/>
        <w:tabs>
          <w:tab w:leader="none" w:pos="4692" w:val="left"/>
        </w:tabs>
        <w:rPr>
          <w:sz w:val="20"/>
          <w:szCs w:val="20"/>
          <w:color w:val="auto"/>
        </w:rPr>
      </w:pPr>
      <w:r>
        <w:rPr>
          <w:rFonts w:ascii="Arial" w:cs="Arial" w:eastAsia="Arial" w:hAnsi="Arial"/>
          <w:sz w:val="15"/>
          <w:szCs w:val="15"/>
          <w:color w:val="auto"/>
        </w:rPr>
        <w:t>Cash and cash equivalents at end of year</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18.0</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219.4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244.0</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194.1</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(158.4)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940.9</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(940.9)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(914.2)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26.7</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1,819.5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249.6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2,069.1</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(2,150.4)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400.0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(200.0)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(11.2)</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(116.6)</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(916.0)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942.5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(137.4)</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(137.4)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14.7</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808.2</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133.1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(941.3)</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(44.7)</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143.0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71.4</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-4965065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-4621530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-3241040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-5316220</wp:posOffset>
            </wp:positionV>
            <wp:extent cx="724662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792" w:space="320"/>
            <w:col w:w="6300"/>
          </w:cols>
          <w:pgMar w:left="248" w:top="850" w:right="239" w:bottom="1440" w:gutter="0" w:footer="0" w:header="0"/>
          <w:type w:val="continuous"/>
        </w:sectPr>
      </w:pPr>
    </w:p>
    <w:p>
      <w:pPr>
        <w:jc w:val="both"/>
        <w:ind w:left="652" w:hanging="652"/>
        <w:spacing w:after="0" w:line="257" w:lineRule="auto"/>
        <w:tabs>
          <w:tab w:leader="none" w:pos="6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Cash received by the Parent from the Guarantors and the Non-Guarantors in the form of distributions in the amount of $940.9 million represent return of investments and are included in cash flows from investing activities. Cash received by the Guarantors from the Non-Guarantors in the form of dividends in the amount of $1.5 million represent return on investments and are included in the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12"/>
          </w:cols>
          <w:pgMar w:left="248" w:top="850" w:right="239" w:bottom="1440" w:gutter="0" w:footer="0" w:header="0"/>
          <w:type w:val="continuous"/>
        </w:sectPr>
      </w:pPr>
    </w:p>
    <w:bookmarkStart w:id="136" w:name="page137"/>
    <w:bookmarkEnd w:id="136"/>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2018</w:t>
      </w:r>
    </w:p>
    <w:p>
      <w:pPr>
        <w:sectPr>
          <w:pgSz w:w="11900" w:h="16838" w:orient="portrait"/>
          <w:cols w:equalWidth="0" w:num="1">
            <w:col w:w="11380"/>
          </w:cols>
          <w:pgMar w:left="280" w:top="851"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1"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2017</w:t>
      </w:r>
    </w:p>
    <w:p>
      <w:pPr>
        <w:sectPr>
          <w:pgSz w:w="11900" w:h="16838" w:orient="portrait"/>
          <w:cols w:equalWidth="0" w:num="1">
            <w:col w:w="11380"/>
          </w:cols>
          <w:pgMar w:left="280" w:top="851"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1"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2016</w:t>
      </w:r>
    </w:p>
    <w:p>
      <w:pPr>
        <w:sectPr>
          <w:pgSz w:w="11900" w:h="16838" w:orient="portrait"/>
          <w:cols w:equalWidth="0" w:num="1">
            <w:col w:w="11380"/>
          </w:cols>
          <w:pgMar w:left="280" w:top="851"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1" w:right="239" w:bottom="1440" w:gutter="0" w:footer="0" w:header="0"/>
          <w:type w:val="continuous"/>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380"/>
          </w:cols>
          <w:pgMar w:left="280" w:top="851" w:right="23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85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gridSpan w:val="10"/>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3.1(a)</w:t>
            </w:r>
          </w:p>
        </w:tc>
        <w:tc>
          <w:tcPr>
            <w:tcW w:w="40" w:type="dxa"/>
            <w:vAlign w:val="bottom"/>
          </w:tcPr>
          <w:p>
            <w:pPr>
              <w:spacing w:after="0"/>
              <w:rPr>
                <w:sz w:val="17"/>
                <w:szCs w:val="17"/>
                <w:color w:val="auto"/>
              </w:rPr>
            </w:pPr>
          </w:p>
        </w:tc>
        <w:tc>
          <w:tcPr>
            <w:tcW w:w="4860" w:type="dxa"/>
            <w:vAlign w:val="bottom"/>
            <w:tcBorders>
              <w:bottom w:val="single" w:sz="8" w:color="0000FF"/>
            </w:tcBorders>
            <w:gridSpan w:val="11"/>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Initial  Articles  of  Incorporation  of  The  Scotts  Miracle-Gro</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Company as filed with the Ohio Secretary of State on November</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40"/>
              <w:spacing w:after="0" w:line="196" w:lineRule="exact"/>
              <w:rPr>
                <w:rFonts w:ascii="Arial" w:cs="Arial" w:eastAsia="Arial" w:hAnsi="Arial"/>
                <w:sz w:val="18"/>
                <w:szCs w:val="18"/>
                <w:color w:val="0000FF"/>
                <w:w w:val="85"/>
              </w:rPr>
            </w:pPr>
            <w:hyperlink r:id="rId153">
              <w:r>
                <w:rPr>
                  <w:rFonts w:ascii="Arial" w:cs="Arial" w:eastAsia="Arial" w:hAnsi="Arial"/>
                  <w:sz w:val="18"/>
                  <w:szCs w:val="18"/>
                  <w:color w:val="0000FF"/>
                  <w:w w:val="85"/>
                </w:rPr>
                <w:t>22, 2004</w:t>
              </w:r>
            </w:hyperlink>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0" w:type="dxa"/>
            <w:vAlign w:val="bottom"/>
          </w:tcPr>
          <w:p>
            <w:pPr>
              <w:spacing w:after="0"/>
              <w:rPr>
                <w:sz w:val="24"/>
                <w:szCs w:val="24"/>
                <w:color w:val="auto"/>
              </w:rPr>
            </w:pPr>
          </w:p>
        </w:tc>
        <w:tc>
          <w:tcPr>
            <w:tcW w:w="4820" w:type="dxa"/>
            <w:vAlign w:val="bottom"/>
            <w:tcBorders>
              <w:bottom w:val="single" w:sz="8" w:color="0000FF"/>
            </w:tcBorders>
            <w:gridSpan w:val="10"/>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Certificate  of  Amendment  by  Shareholders  to  Articles  of</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Arial" w:cs="Arial" w:eastAsia="Arial" w:hAnsi="Arial"/>
                <w:sz w:val="18"/>
                <w:szCs w:val="18"/>
                <w:color w:val="0000FF"/>
                <w:w w:val="96"/>
              </w:rPr>
            </w:pPr>
            <w:hyperlink r:id="rId154">
              <w:r>
                <w:rPr>
                  <w:rFonts w:ascii="Arial" w:cs="Arial" w:eastAsia="Arial" w:hAnsi="Arial"/>
                  <w:sz w:val="18"/>
                  <w:szCs w:val="18"/>
                  <w:color w:val="0000FF"/>
                  <w:w w:val="96"/>
                </w:rPr>
                <w:t>Incorporation of The Scotts Miracle-Gro Company as filed with</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154">
              <w:r>
                <w:rPr>
                  <w:rFonts w:ascii="Arial" w:cs="Arial" w:eastAsia="Arial" w:hAnsi="Arial"/>
                  <w:sz w:val="18"/>
                  <w:szCs w:val="18"/>
                  <w:color w:val="0000FF"/>
                  <w:w w:val="89"/>
                </w:rPr>
                <w:t>the Ohio Secretary of State on March 18, 2005</w:t>
              </w:r>
            </w:hyperlink>
          </w:p>
        </w:tc>
        <w:tc>
          <w:tcPr>
            <w:tcW w:w="1500" w:type="dxa"/>
            <w:vAlign w:val="bottom"/>
            <w:gridSpan w:val="6"/>
          </w:tcPr>
          <w:p>
            <w:pPr>
              <w:spacing w:after="0"/>
              <w:rPr>
                <w:sz w:val="17"/>
                <w:szCs w:val="17"/>
                <w:color w:val="auto"/>
              </w:rPr>
            </w:pPr>
          </w:p>
        </w:tc>
      </w:tr>
      <w:tr>
        <w:trPr>
          <w:trHeight w:val="372"/>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rPr>
            </w:pPr>
            <w:hyperlink r:id="rId155">
              <w:r>
                <w:rPr>
                  <w:rFonts w:ascii="Arial" w:cs="Arial" w:eastAsia="Arial" w:hAnsi="Arial"/>
                  <w:sz w:val="18"/>
                  <w:szCs w:val="18"/>
                  <w:color w:val="0000FF"/>
                </w:rPr>
                <w:t>Code of Regulations of The Scotts Miracle-Gro Company</w:t>
              </w:r>
            </w:hyperlink>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Indenture, dated as of October 13, 2015, by and among The Scotts</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w w:val="96"/>
              </w:rPr>
            </w:pPr>
            <w:hyperlink r:id="rId156">
              <w:r>
                <w:rPr>
                  <w:rFonts w:ascii="Arial" w:cs="Arial" w:eastAsia="Arial" w:hAnsi="Arial"/>
                  <w:sz w:val="18"/>
                  <w:szCs w:val="18"/>
                  <w:color w:val="0000FF"/>
                  <w:w w:val="96"/>
                </w:rPr>
                <w:t>Miracle-Gro Company, the Guarantors (as defined therein) and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U.S. Bank National Association, as trustee</w:t>
              </w:r>
            </w:hyperlink>
          </w:p>
        </w:tc>
        <w:tc>
          <w:tcPr>
            <w:tcW w:w="4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First Supplemental Indenture, dated May 26, 2016, by and among</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7"/>
              </w:rPr>
            </w:pPr>
            <w:hyperlink r:id="rId157">
              <w:r>
                <w:rPr>
                  <w:rFonts w:ascii="Arial" w:cs="Arial" w:eastAsia="Arial" w:hAnsi="Arial"/>
                  <w:sz w:val="18"/>
                  <w:szCs w:val="18"/>
                  <w:color w:val="0000FF"/>
                  <w:w w:val="97"/>
                </w:rPr>
                <w:t>The Scotts Miracle-Gro Company, the Guarantors (as defined</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therein) and U.S. Bank National Association, as trustee</w:t>
              </w:r>
            </w:hyperlink>
          </w:p>
        </w:tc>
        <w:tc>
          <w:tcPr>
            <w:tcW w:w="860" w:type="dxa"/>
            <w:vAlign w:val="bottom"/>
            <w:gridSpan w:val="4"/>
          </w:tcPr>
          <w:p>
            <w:pPr>
              <w:spacing w:after="0"/>
              <w:rPr>
                <w:sz w:val="17"/>
                <w:szCs w:val="17"/>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Second Supplemental Indenture, dated July 17, 2018, by and</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among The Scotts Miracle-Gro Company, the Guarantors (as</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defined therein) and U.S. Bank National Association, as trustee</w:t>
              </w:r>
            </w:hyperlink>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Form of 6.000% Senior Notes due 2023</w:t>
              </w:r>
            </w:hyperlink>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0" w:type="dxa"/>
            <w:vAlign w:val="bottom"/>
          </w:tcPr>
          <w:p>
            <w:pPr>
              <w:spacing w:after="0"/>
              <w:rPr>
                <w:sz w:val="24"/>
                <w:szCs w:val="24"/>
                <w:color w:val="auto"/>
              </w:rPr>
            </w:pPr>
          </w:p>
        </w:tc>
        <w:tc>
          <w:tcPr>
            <w:tcW w:w="4820" w:type="dxa"/>
            <w:vAlign w:val="bottom"/>
            <w:tcBorders>
              <w:bottom w:val="single" w:sz="8" w:color="0000FF"/>
            </w:tcBorders>
            <w:gridSpan w:val="10"/>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Indenture, dated as of December 15, 2016, by and among The</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Scotts Miracle-Gro Company, the Guarantors (as defined therein)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and U.S. Bank National Association, as trustee</w:t>
              </w:r>
            </w:hyperlink>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0" w:type="dxa"/>
            <w:vAlign w:val="bottom"/>
          </w:tcPr>
          <w:p>
            <w:pPr>
              <w:spacing w:after="0"/>
              <w:rPr>
                <w:sz w:val="24"/>
                <w:szCs w:val="24"/>
                <w:color w:val="auto"/>
              </w:rPr>
            </w:pPr>
          </w:p>
        </w:tc>
        <w:tc>
          <w:tcPr>
            <w:tcW w:w="4820" w:type="dxa"/>
            <w:vAlign w:val="bottom"/>
            <w:tcBorders>
              <w:bottom w:val="single" w:sz="8" w:color="0000FF"/>
            </w:tcBorders>
            <w:gridSpan w:val="10"/>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First Supplemental Indenture, dated July 17, 2018, by and among</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10"/>
          </w:tcPr>
          <w:p>
            <w:pPr>
              <w:spacing w:after="0" w:line="19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The Scotts Miracle-Gro Company, the Guarantors (as defined</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therein) and U.S. Bank National Association, as trustee</w:t>
              </w:r>
            </w:hyperlink>
          </w:p>
        </w:tc>
        <w:tc>
          <w:tcPr>
            <w:tcW w:w="880" w:type="dxa"/>
            <w:vAlign w:val="bottom"/>
            <w:gridSpan w:val="5"/>
          </w:tcPr>
          <w:p>
            <w:pPr>
              <w:spacing w:after="0"/>
              <w:rPr>
                <w:sz w:val="17"/>
                <w:szCs w:val="17"/>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rPr>
            </w:pPr>
            <w:hyperlink r:id="rId159">
              <w:r>
                <w:rPr>
                  <w:rFonts w:ascii="Arial" w:cs="Arial" w:eastAsia="Arial" w:hAnsi="Arial"/>
                  <w:sz w:val="18"/>
                  <w:szCs w:val="18"/>
                  <w:color w:val="0000FF"/>
                </w:rPr>
                <w:t>Form of 5.250% Senior Notes due 2026</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11"/>
          </w:tcPr>
          <w:p>
            <w:pPr>
              <w:spacing w:after="0"/>
              <w:rPr>
                <w:rFonts w:ascii="Arial" w:cs="Arial" w:eastAsia="Arial" w:hAnsi="Arial"/>
                <w:sz w:val="18"/>
                <w:szCs w:val="18"/>
                <w:color w:val="0000FF"/>
                <w:w w:val="94"/>
              </w:rPr>
            </w:pPr>
            <w:hyperlink w:anchor="page143">
              <w:r>
                <w:rPr>
                  <w:rFonts w:ascii="Arial" w:cs="Arial" w:eastAsia="Arial" w:hAnsi="Arial"/>
                  <w:sz w:val="18"/>
                  <w:szCs w:val="18"/>
                  <w:color w:val="0000FF"/>
                  <w:w w:val="94"/>
                </w:rPr>
                <w:t>Agreement  to  furnish  copies  of  instruments  and  agreements</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43">
              <w:r>
                <w:rPr>
                  <w:rFonts w:ascii="Arial" w:cs="Arial" w:eastAsia="Arial" w:hAnsi="Arial"/>
                  <w:sz w:val="18"/>
                  <w:szCs w:val="18"/>
                  <w:color w:val="0000FF"/>
                </w:rPr>
                <w:t>defining rights of holders of long-term debt</w:t>
              </w:r>
            </w:hyperlink>
          </w:p>
        </w:tc>
        <w:tc>
          <w:tcPr>
            <w:tcW w:w="4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10.1(a)</w:t>
            </w:r>
          </w:p>
        </w:tc>
        <w:tc>
          <w:tcPr>
            <w:tcW w:w="40" w:type="dxa"/>
            <w:vAlign w:val="bottom"/>
          </w:tcPr>
          <w:p>
            <w:pPr>
              <w:spacing w:after="0"/>
              <w:rPr>
                <w:sz w:val="24"/>
                <w:szCs w:val="24"/>
                <w:color w:val="auto"/>
              </w:rPr>
            </w:pPr>
          </w:p>
        </w:tc>
        <w:tc>
          <w:tcPr>
            <w:tcW w:w="4820" w:type="dxa"/>
            <w:vAlign w:val="bottom"/>
            <w:tcBorders>
              <w:bottom w:val="single" w:sz="8" w:color="0000FF"/>
            </w:tcBorders>
            <w:gridSpan w:val="10"/>
          </w:tcPr>
          <w:p>
            <w:pPr>
              <w:spacing w:after="0"/>
              <w:rPr>
                <w:rFonts w:ascii="Arial" w:cs="Arial" w:eastAsia="Arial" w:hAnsi="Arial"/>
                <w:sz w:val="18"/>
                <w:szCs w:val="18"/>
                <w:color w:val="0000FF"/>
                <w:w w:val="89"/>
              </w:rPr>
            </w:pPr>
            <w:hyperlink r:id="rId161">
              <w:r>
                <w:rPr>
                  <w:rFonts w:ascii="Arial" w:cs="Arial" w:eastAsia="Arial" w:hAnsi="Arial"/>
                  <w:sz w:val="18"/>
                  <w:szCs w:val="18"/>
                  <w:color w:val="0000FF"/>
                  <w:w w:val="89"/>
                </w:rPr>
                <w:t>Fifth Amended and Restated Credit Agreement, dated as of July 5,</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2018, by and among The Scotts Miracle-Gro Company, as a</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11"/>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Borrower;  the  Subsidiary  Borrowers  (as  defined  therein);</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bl>
    <w:p>
      <w:pPr>
        <w:spacing w:after="0" w:line="13" w:lineRule="exact"/>
        <w:rPr>
          <w:sz w:val="20"/>
          <w:szCs w:val="20"/>
          <w:color w:val="auto"/>
        </w:rPr>
      </w:pPr>
    </w:p>
    <w:p>
      <w:pPr>
        <w:jc w:val="both"/>
        <w:ind w:left="1540" w:right="20"/>
        <w:spacing w:after="0" w:line="272" w:lineRule="auto"/>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JPMorgan Chase Bank, N.A., as Administrative Agent; Wells</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Fargo Bank, National Association, and Mizuho Bank, Ltd. as Co-</w:t>
        </w:r>
      </w:hyperlink>
      <w:hyperlink r:id="rId161">
        <w:r>
          <w:rPr>
            <w:rFonts w:ascii="Arial" w:cs="Arial" w:eastAsia="Arial" w:hAnsi="Arial"/>
            <w:sz w:val="17"/>
            <w:szCs w:val="17"/>
            <w:u w:val="single" w:color="auto"/>
            <w:color w:val="0000FF"/>
          </w:rPr>
          <w:t>Syndication Agents; CoBank, ACB, Bank of America, N.A., Fifth</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Third Bank, Coöperatieve Rabobank U.A., New York Branch,</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Sumitomo Mitsui Banking Corporation and TD Bank N.A., as Co-</w:t>
        </w:r>
      </w:hyperlink>
      <w:hyperlink r:id="rId161">
        <w:r>
          <w:rPr>
            <w:rFonts w:ascii="Arial" w:cs="Arial" w:eastAsia="Arial" w:hAnsi="Arial"/>
            <w:sz w:val="17"/>
            <w:szCs w:val="17"/>
            <w:u w:val="single" w:color="auto"/>
            <w:color w:val="0000FF"/>
          </w:rPr>
          <w:t>Documentation Agents; and the several other banks and other</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financial institutions from time to time parties thereto</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07" w:lineRule="exact"/>
        <w:rPr>
          <w:rFonts w:ascii="Arial" w:cs="Arial" w:eastAsia="Arial" w:hAnsi="Arial"/>
          <w:sz w:val="17"/>
          <w:szCs w:val="17"/>
          <w:u w:val="single" w:color="auto"/>
          <w:color w:val="0000FF"/>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1" w:lineRule="exact"/>
        <w:rPr>
          <w:rFonts w:ascii="Arial" w:cs="Arial" w:eastAsia="Arial" w:hAnsi="Arial"/>
          <w:sz w:val="17"/>
          <w:szCs w:val="17"/>
          <w:u w:val="single" w:color="auto"/>
          <w:color w:val="0000FF"/>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[Exhibit 3.1]</w:t>
      </w:r>
    </w:p>
    <w:p>
      <w:pPr>
        <w:spacing w:after="0" w:line="141"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3.2]</w:t>
      </w:r>
    </w:p>
    <w:p>
      <w:pPr>
        <w:spacing w:after="0" w:line="346"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3.3]</w:t>
      </w:r>
    </w:p>
    <w:p>
      <w:pPr>
        <w:spacing w:after="0" w:line="130"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4.1]</w:t>
      </w:r>
    </w:p>
    <w:p>
      <w:pPr>
        <w:spacing w:after="0" w:line="346" w:lineRule="exact"/>
        <w:rPr>
          <w:rFonts w:ascii="Arial" w:cs="Arial" w:eastAsia="Arial" w:hAnsi="Arial"/>
          <w:sz w:val="17"/>
          <w:szCs w:val="17"/>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2016 filed August 10, 2016 [Exhibit 4]</w:t>
      </w:r>
    </w:p>
    <w:p>
      <w:pPr>
        <w:spacing w:after="0" w:line="141" w:lineRule="exact"/>
        <w:rPr>
          <w:rFonts w:ascii="Arial" w:cs="Arial" w:eastAsia="Arial" w:hAnsi="Arial"/>
          <w:sz w:val="17"/>
          <w:szCs w:val="17"/>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30, 2018 filed August 8, 2018 [Exhibit 10.5]</w:t>
      </w:r>
    </w:p>
    <w:p>
      <w:pPr>
        <w:spacing w:after="0" w:line="141"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4.2]</w:t>
      </w:r>
    </w:p>
    <w:p>
      <w:pPr>
        <w:spacing w:after="0" w:line="130"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2016 [Exhibit 4.1]</w:t>
      </w:r>
    </w:p>
    <w:p>
      <w:pPr>
        <w:spacing w:after="0" w:line="346" w:lineRule="exact"/>
        <w:rPr>
          <w:rFonts w:ascii="Arial" w:cs="Arial" w:eastAsia="Arial" w:hAnsi="Arial"/>
          <w:sz w:val="17"/>
          <w:szCs w:val="17"/>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30, 2018 filed August 8, 2018 [Exhibit 10.4]</w:t>
      </w:r>
    </w:p>
    <w:p>
      <w:pPr>
        <w:spacing w:after="0" w:line="141"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2016 [Exhibit 4.2]</w:t>
      </w:r>
    </w:p>
    <w:p>
      <w:pPr>
        <w:spacing w:after="0" w:line="130"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7"/>
          <w:szCs w:val="17"/>
          <w:u w:val="single" w:color="auto"/>
          <w:color w:val="0000FF"/>
        </w:rPr>
      </w:pPr>
    </w:p>
    <w:p>
      <w:pPr>
        <w:spacing w:after="0" w:line="201" w:lineRule="exact"/>
        <w:rPr>
          <w:rFonts w:ascii="Arial" w:cs="Arial" w:eastAsia="Arial" w:hAnsi="Arial"/>
          <w:sz w:val="17"/>
          <w:szCs w:val="17"/>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July 11, 2018 [Exhibit 10.1]</w:t>
      </w:r>
    </w:p>
    <w:p>
      <w:pPr>
        <w:spacing w:after="0" w:line="1921" w:lineRule="exact"/>
        <w:rPr>
          <w:rFonts w:ascii="Arial" w:cs="Arial" w:eastAsia="Arial" w:hAnsi="Arial"/>
          <w:sz w:val="17"/>
          <w:szCs w:val="17"/>
          <w:u w:val="single" w:color="auto"/>
          <w:color w:val="0000FF"/>
        </w:rPr>
      </w:pPr>
    </w:p>
    <w:p>
      <w:pPr>
        <w:sectPr>
          <w:pgSz w:w="11900" w:h="16838" w:orient="portrait"/>
          <w:cols w:equalWidth="0" w:num="2">
            <w:col w:w="6400" w:space="140"/>
            <w:col w:w="4860"/>
          </w:cols>
          <w:pgMar w:left="240" w:top="850" w:right="259" w:bottom="1440" w:gutter="0" w:footer="0" w:header="0"/>
          <w:type w:val="continuous"/>
        </w:sectPr>
      </w:pPr>
    </w:p>
    <w:p>
      <w:pPr>
        <w:spacing w:after="0" w:line="153"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00"/>
          </w:cols>
          <w:pgMar w:left="240" w:top="850" w:right="25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10.1(b)</w:t>
            </w:r>
          </w:p>
        </w:tc>
        <w:tc>
          <w:tcPr>
            <w:tcW w:w="4840" w:type="dxa"/>
            <w:vAlign w:val="bottom"/>
            <w:tcBorders>
              <w:bottom w:val="single" w:sz="8" w:color="0000FF"/>
            </w:tcBorders>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Fifth Amended and Restated Guarantee and Collateral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dated as of July 5, 2018, made by The Scotts Miracle-Gro</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8"/>
              </w:rPr>
            </w:pPr>
            <w:hyperlink r:id="rId163">
              <w:r>
                <w:rPr>
                  <w:rFonts w:ascii="Arial" w:cs="Arial" w:eastAsia="Arial" w:hAnsi="Arial"/>
                  <w:sz w:val="18"/>
                  <w:szCs w:val="18"/>
                  <w:color w:val="0000FF"/>
                  <w:w w:val="98"/>
                </w:rPr>
                <w:t>Company, each domestic Subsidiary Borrower under the Fifth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Amended and Restated Credit Agreement, and certain of its and</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their domestic subsidiaries, in favor of JPMorgan Chase Bank,</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N.A., as Administrative Agent</w:t>
        </w:r>
      </w:hyperlink>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July 11, 2018 [Exhibit 10.2]</w:t>
      </w:r>
    </w:p>
    <w:p>
      <w:pPr>
        <w:spacing w:after="0" w:line="977" w:lineRule="exact"/>
        <w:rPr>
          <w:sz w:val="20"/>
          <w:szCs w:val="20"/>
          <w:color w:val="auto"/>
        </w:rPr>
      </w:pPr>
    </w:p>
    <w:p>
      <w:pPr>
        <w:sectPr>
          <w:pgSz w:w="11900" w:h="16838" w:orient="portrait"/>
          <w:cols w:equalWidth="0" w:num="2">
            <w:col w:w="6340" w:space="160"/>
            <w:col w:w="4860"/>
          </w:cols>
          <w:pgMar w:left="280" w:top="1323"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10.2(a)†</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4"/>
              </w:rPr>
            </w:pPr>
            <w:hyperlink r:id="rId164">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64">
              <w:r>
                <w:rPr>
                  <w:rFonts w:ascii="Arial" w:cs="Arial" w:eastAsia="Arial" w:hAnsi="Arial"/>
                  <w:sz w:val="18"/>
                  <w:szCs w:val="18"/>
                  <w:color w:val="0000FF"/>
                  <w:w w:val="94"/>
                </w:rPr>
                <w:t>(reflects amendment and restatement of plan formerly known as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The Scotts Miracle-Gro Company 2006 Long-Term Incentive</w:t>
              </w:r>
            </w:hyperlink>
          </w:p>
        </w:tc>
      </w:tr>
      <w:tr>
        <w:trPr>
          <w:trHeight w:val="196"/>
        </w:trPr>
        <w:tc>
          <w:tcPr>
            <w:tcW w:w="1500" w:type="dxa"/>
            <w:vAlign w:val="bottom"/>
          </w:tcPr>
          <w:p>
            <w:pPr>
              <w:spacing w:after="0"/>
              <w:rPr>
                <w:sz w:val="17"/>
                <w:szCs w:val="17"/>
                <w:color w:val="auto"/>
              </w:rPr>
            </w:pPr>
          </w:p>
        </w:tc>
        <w:tc>
          <w:tcPr>
            <w:tcW w:w="42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Plan) [January 17, 2013 through January 26, 2017 version]</w:t>
              </w:r>
            </w:hyperlink>
          </w:p>
        </w:tc>
        <w:tc>
          <w:tcPr>
            <w:tcW w:w="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[Exhibit 10.1]</w:t>
      </w:r>
    </w:p>
    <w:p>
      <w:pPr>
        <w:spacing w:after="0" w:line="544"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10.2(b)†</w:t>
            </w:r>
          </w:p>
        </w:tc>
        <w:tc>
          <w:tcPr>
            <w:tcW w:w="4840" w:type="dxa"/>
            <w:vAlign w:val="bottom"/>
            <w:tcBorders>
              <w:bottom w:val="single" w:sz="8" w:color="0000FF"/>
            </w:tcBorders>
            <w:gridSpan w:val="2"/>
          </w:tcPr>
          <w:p>
            <w:pPr>
              <w:spacing w:after="0"/>
              <w:rPr>
                <w:rFonts w:ascii="Arial" w:cs="Arial" w:eastAsia="Arial" w:hAnsi="Arial"/>
                <w:sz w:val="18"/>
                <w:szCs w:val="18"/>
                <w:color w:val="0000FF"/>
              </w:rPr>
            </w:pPr>
            <w:hyperlink r:id="rId165">
              <w:r>
                <w:rPr>
                  <w:rFonts w:ascii="Arial" w:cs="Arial" w:eastAsia="Arial" w:hAnsi="Arial"/>
                  <w:sz w:val="18"/>
                  <w:szCs w:val="18"/>
                  <w:color w:val="0000FF"/>
                </w:rPr>
                <w:t>Specimen form of Deferred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Nonemployee Directors (with Related Dividend Equivalents) used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to evidence grants made under The Scotts Miracle-Gro Company</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Long-Term Incentive Plan [January 17, 2013 through January 26,</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2017 version]</w:t>
              </w:r>
            </w:hyperlink>
          </w:p>
        </w:tc>
      </w:tr>
      <w:tr>
        <w:trPr>
          <w:trHeight w:val="20"/>
        </w:trPr>
        <w:tc>
          <w:tcPr>
            <w:tcW w:w="15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10.3]</w:t>
      </w:r>
    </w:p>
    <w:p>
      <w:pPr>
        <w:spacing w:after="0" w:line="555"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10.2(c)†</w:t>
            </w:r>
          </w:p>
        </w:tc>
        <w:tc>
          <w:tcPr>
            <w:tcW w:w="1420" w:type="dxa"/>
            <w:vAlign w:val="bottom"/>
            <w:tcBorders>
              <w:bottom w:val="single" w:sz="8" w:color="0000FF"/>
            </w:tcBorders>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Specimen form of</w:t>
              </w:r>
            </w:hyperlink>
          </w:p>
        </w:tc>
        <w:tc>
          <w:tcPr>
            <w:tcW w:w="3420" w:type="dxa"/>
            <w:vAlign w:val="bottom"/>
            <w:tcBorders>
              <w:bottom w:val="single" w:sz="8" w:color="0000FF"/>
            </w:tcBorders>
          </w:tcPr>
          <w:p>
            <w:pPr>
              <w:jc w:val="right"/>
              <w:spacing w:after="0"/>
              <w:rPr>
                <w:rFonts w:ascii="Arial" w:cs="Arial" w:eastAsia="Arial" w:hAnsi="Arial"/>
                <w:sz w:val="18"/>
                <w:szCs w:val="18"/>
                <w:color w:val="0000FF"/>
              </w:rPr>
            </w:pPr>
            <w:hyperlink r:id="rId166">
              <w:r>
                <w:rPr>
                  <w:rFonts w:ascii="Arial" w:cs="Arial" w:eastAsia="Arial" w:hAnsi="Arial"/>
                  <w:sz w:val="18"/>
                  <w:szCs w:val="18"/>
                  <w:color w:val="0000FF"/>
                </w:rPr>
                <w:t>Deferred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Nonemployee Directors Retainer Deferrals (with Related Dividend</w:t>
              </w:r>
            </w:hyperlink>
          </w:p>
        </w:tc>
      </w:tr>
      <w:tr>
        <w:trPr>
          <w:trHeight w:val="196"/>
        </w:trPr>
        <w:tc>
          <w:tcPr>
            <w:tcW w:w="150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Arial" w:cs="Arial" w:eastAsia="Arial" w:hAnsi="Arial"/>
                <w:sz w:val="18"/>
                <w:szCs w:val="18"/>
                <w:color w:val="0000FF"/>
                <w:w w:val="97"/>
              </w:rPr>
            </w:pPr>
            <w:hyperlink r:id="rId166">
              <w:r>
                <w:rPr>
                  <w:rFonts w:ascii="Arial" w:cs="Arial" w:eastAsia="Arial" w:hAnsi="Arial"/>
                  <w:sz w:val="18"/>
                  <w:szCs w:val="18"/>
                  <w:color w:val="0000FF"/>
                  <w:w w:val="97"/>
                </w:rPr>
                <w:t>Equivalents) used</w:t>
              </w:r>
            </w:hyperlink>
          </w:p>
        </w:tc>
        <w:tc>
          <w:tcPr>
            <w:tcW w:w="3420" w:type="dxa"/>
            <w:vAlign w:val="bottom"/>
            <w:tcBorders>
              <w:bottom w:val="single" w:sz="8" w:color="0000FF"/>
            </w:tcBorders>
          </w:tcPr>
          <w:p>
            <w:pPr>
              <w:jc w:val="right"/>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to evidence grants made under The Scotts</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Miracle-Gro Company Long-Term Incentive Plan [January 17,</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2013 through January 26, 2017 version]</w:t>
        </w:r>
      </w:hyperlink>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10.4]</w:t>
      </w:r>
    </w:p>
    <w:p>
      <w:pPr>
        <w:spacing w:after="0" w:line="555"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10.2(d)†</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8"/>
              </w:rPr>
            </w:pPr>
            <w:hyperlink r:id="rId167">
              <w:r>
                <w:rPr>
                  <w:rFonts w:ascii="Arial" w:cs="Arial" w:eastAsia="Arial" w:hAnsi="Arial"/>
                  <w:sz w:val="18"/>
                  <w:szCs w:val="18"/>
                  <w:color w:val="0000FF"/>
                  <w:w w:val="98"/>
                </w:rPr>
                <w:t>Specimen form of Restricted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Employees (with Related Dividend Equivalents) used to evidence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grants made under The Scotts Miracle-Gro Company Long-Term</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Incentive  Plan  [January  17,  2013  through  January  26,  2017</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version]</w:t>
              </w:r>
            </w:hyperlink>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10.8]</w:t>
      </w:r>
    </w:p>
    <w:p>
      <w:pPr>
        <w:spacing w:after="0" w:line="555"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10.2(e)†</w:t>
            </w:r>
          </w:p>
        </w:tc>
        <w:tc>
          <w:tcPr>
            <w:tcW w:w="4840" w:type="dxa"/>
            <w:vAlign w:val="bottom"/>
            <w:tcBorders>
              <w:bottom w:val="single" w:sz="8" w:color="0000FF"/>
            </w:tcBorders>
          </w:tcPr>
          <w:p>
            <w:pPr>
              <w:spacing w:after="0"/>
              <w:rPr>
                <w:rFonts w:ascii="Arial" w:cs="Arial" w:eastAsia="Arial" w:hAnsi="Arial"/>
                <w:sz w:val="18"/>
                <w:szCs w:val="18"/>
                <w:color w:val="0000FF"/>
                <w:w w:val="97"/>
              </w:rPr>
            </w:pPr>
            <w:hyperlink r:id="rId168">
              <w:r>
                <w:rPr>
                  <w:rFonts w:ascii="Arial" w:cs="Arial" w:eastAsia="Arial" w:hAnsi="Arial"/>
                  <w:sz w:val="18"/>
                  <w:szCs w:val="18"/>
                  <w:color w:val="0000FF"/>
                  <w:w w:val="97"/>
                </w:rPr>
                <w:t>Specimen  form  of  Performance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Employees (with Related Dividend Equivalents) used to evidence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grants made under The Scotts Miracle-Gro Company Long-Term</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Incentive Plan [January 17, 2013 through January 26, 2017</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version]</w:t>
        </w:r>
      </w:hyperlink>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10.6]</w:t>
      </w:r>
    </w:p>
    <w:p>
      <w:pPr>
        <w:spacing w:after="0" w:line="555"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10.2(f)(i)†</w:t>
            </w:r>
          </w:p>
        </w:tc>
        <w:tc>
          <w:tcPr>
            <w:tcW w:w="1160" w:type="dxa"/>
            <w:vAlign w:val="bottom"/>
            <w:tcBorders>
              <w:bottom w:val="single" w:sz="8" w:color="0000FF"/>
            </w:tcBorders>
          </w:tcPr>
          <w:p>
            <w:pPr>
              <w:spacing w:after="0"/>
              <w:rPr>
                <w:rFonts w:ascii="Arial" w:cs="Arial" w:eastAsia="Arial" w:hAnsi="Arial"/>
                <w:sz w:val="18"/>
                <w:szCs w:val="18"/>
                <w:color w:val="0000FF"/>
                <w:w w:val="94"/>
              </w:rPr>
            </w:pPr>
            <w:hyperlink r:id="rId169">
              <w:r>
                <w:rPr>
                  <w:rFonts w:ascii="Arial" w:cs="Arial" w:eastAsia="Arial" w:hAnsi="Arial"/>
                  <w:sz w:val="18"/>
                  <w:szCs w:val="18"/>
                  <w:color w:val="0000FF"/>
                  <w:w w:val="94"/>
                </w:rPr>
                <w:t>Specimen form</w:t>
              </w:r>
            </w:hyperlink>
          </w:p>
        </w:tc>
        <w:tc>
          <w:tcPr>
            <w:tcW w:w="3680" w:type="dxa"/>
            <w:vAlign w:val="bottom"/>
            <w:tcBorders>
              <w:bottom w:val="single" w:sz="8" w:color="0000FF"/>
            </w:tcBorders>
          </w:tcPr>
          <w:p>
            <w:pPr>
              <w:ind w:left="40"/>
              <w:spacing w:after="0"/>
              <w:rPr>
                <w:rFonts w:ascii="Arial" w:cs="Arial" w:eastAsia="Arial" w:hAnsi="Arial"/>
                <w:sz w:val="18"/>
                <w:szCs w:val="18"/>
                <w:color w:val="0000FF"/>
                <w:w w:val="95"/>
              </w:rPr>
            </w:pPr>
            <w:hyperlink r:id="rId169">
              <w:r>
                <w:rPr>
                  <w:rFonts w:ascii="Arial" w:cs="Arial" w:eastAsia="Arial" w:hAnsi="Arial"/>
                  <w:sz w:val="18"/>
                  <w:szCs w:val="18"/>
                  <w:color w:val="0000FF"/>
                  <w:w w:val="95"/>
                </w:rPr>
                <w:t>of Nonqualified Stock Option Award Agreement</w:t>
              </w:r>
            </w:hyperlink>
          </w:p>
        </w:tc>
      </w:tr>
      <w:tr>
        <w:trPr>
          <w:trHeight w:val="196"/>
        </w:trPr>
        <w:tc>
          <w:tcPr>
            <w:tcW w:w="150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for Employees</w:t>
              </w:r>
            </w:hyperlink>
          </w:p>
        </w:tc>
        <w:tc>
          <w:tcPr>
            <w:tcW w:w="3680" w:type="dxa"/>
            <w:vAlign w:val="bottom"/>
            <w:tcBorders>
              <w:bottom w:val="single" w:sz="8" w:color="0000FF"/>
            </w:tcBorders>
          </w:tcPr>
          <w:p>
            <w:pPr>
              <w:ind w:left="40"/>
              <w:spacing w:after="0" w:line="196"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used to evidence grants of Nonqualified Stock</w:t>
              </w:r>
            </w:hyperlink>
          </w:p>
        </w:tc>
      </w:tr>
    </w:tbl>
    <w:p>
      <w:pPr>
        <w:spacing w:after="0" w:line="13" w:lineRule="exact"/>
        <w:rPr>
          <w:sz w:val="20"/>
          <w:szCs w:val="20"/>
          <w:color w:val="auto"/>
        </w:rPr>
      </w:pPr>
    </w:p>
    <w:p>
      <w:pPr>
        <w:jc w:val="both"/>
        <w:ind w:left="1500"/>
        <w:spacing w:after="0" w:line="302" w:lineRule="auto"/>
        <w:rPr>
          <w:rFonts w:ascii="Arial" w:cs="Arial" w:eastAsia="Arial" w:hAnsi="Arial"/>
          <w:sz w:val="16"/>
          <w:szCs w:val="16"/>
          <w:color w:val="0000FF"/>
        </w:rPr>
      </w:pPr>
      <w:hyperlink r:id="rId169">
        <w:r>
          <w:rPr>
            <w:rFonts w:ascii="Arial" w:cs="Arial" w:eastAsia="Arial" w:hAnsi="Arial"/>
            <w:sz w:val="16"/>
            <w:szCs w:val="16"/>
            <w:u w:val="single" w:color="auto"/>
            <w:color w:val="0000FF"/>
          </w:rPr>
          <w:t>Options made under The Scotts Miracle-Gro Company Amended</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and Restated 2006 Long-Term Incentive Plan (now known as The</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Scotts Miracle-Gro Company Long-Term Incentive Plan)</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[January 20, 2010 through January 19, 2012 version</w:t>
        </w:r>
        <w:r>
          <w:rPr>
            <w:rFonts w:ascii="Arial" w:cs="Arial" w:eastAsia="Arial" w:hAnsi="Arial"/>
            <w:sz w:val="16"/>
            <w:szCs w:val="16"/>
            <w:color w:val="000000"/>
          </w:rPr>
          <w: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filed February 11, 2010 [Exhibit 10.4]</w:t>
      </w:r>
    </w:p>
    <w:p>
      <w:pPr>
        <w:spacing w:after="0" w:line="772" w:lineRule="exact"/>
        <w:rPr>
          <w:rFonts w:ascii="Arial" w:cs="Arial" w:eastAsia="Arial" w:hAnsi="Arial"/>
          <w:sz w:val="16"/>
          <w:szCs w:val="16"/>
          <w:u w:val="single" w:color="auto"/>
          <w:color w:val="0000FF"/>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10.2(f)(ii)†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5"/>
              </w:rPr>
            </w:pPr>
            <w:hyperlink r:id="rId170">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for Employees used to evidence grants of Nonqualified Stock</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Options made under The Scotts Miracle-Gro Company Amended</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and Restated 2006 Long-Term Incentive Plan (now known as The</w:t>
              </w:r>
            </w:hyperlink>
          </w:p>
        </w:tc>
      </w:tr>
      <w:tr>
        <w:trPr>
          <w:trHeight w:val="20"/>
        </w:trPr>
        <w:tc>
          <w:tcPr>
            <w:tcW w:w="15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Scotts Miracle-Gro Company Long-Term Incentive Plan) [January</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20, 2012 through January 16, 2013 version]</w:t>
              </w:r>
            </w:hyperlink>
          </w:p>
        </w:tc>
      </w:tr>
      <w:tr>
        <w:trPr>
          <w:trHeight w:val="20"/>
        </w:trPr>
        <w:tc>
          <w:tcPr>
            <w:tcW w:w="15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filed February 8, 2012 [Exhibit 10.3]</w:t>
      </w:r>
    </w:p>
    <w:p>
      <w:pPr>
        <w:spacing w:after="0" w:line="756"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10.2(f)(iii)†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5"/>
              </w:rPr>
            </w:pPr>
            <w:hyperlink r:id="rId171">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5"/>
              </w:rPr>
            </w:pPr>
            <w:hyperlink r:id="rId171">
              <w:r>
                <w:rPr>
                  <w:rFonts w:ascii="Arial" w:cs="Arial" w:eastAsia="Arial" w:hAnsi="Arial"/>
                  <w:sz w:val="18"/>
                  <w:szCs w:val="18"/>
                  <w:color w:val="0000FF"/>
                  <w:w w:val="95"/>
                </w:rPr>
                <w:t>for Employees used to evidence grants made under The Scotts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8"/>
              </w:rPr>
            </w:pPr>
            <w:hyperlink r:id="rId171">
              <w:r>
                <w:rPr>
                  <w:rFonts w:ascii="Arial" w:cs="Arial" w:eastAsia="Arial" w:hAnsi="Arial"/>
                  <w:sz w:val="18"/>
                  <w:szCs w:val="18"/>
                  <w:color w:val="0000FF"/>
                  <w:w w:val="98"/>
                </w:rPr>
                <w:t>Miracle-Gro Company Long-Term Incentive Plan [January 17,</w:t>
              </w:r>
            </w:hyperlink>
          </w:p>
        </w:tc>
      </w:tr>
      <w:tr>
        <w:trPr>
          <w:trHeight w:val="196"/>
        </w:trPr>
        <w:tc>
          <w:tcPr>
            <w:tcW w:w="1500" w:type="dxa"/>
            <w:vAlign w:val="bottom"/>
          </w:tcPr>
          <w:p>
            <w:pPr>
              <w:spacing w:after="0"/>
              <w:rPr>
                <w:sz w:val="17"/>
                <w:szCs w:val="17"/>
                <w:color w:val="auto"/>
              </w:rPr>
            </w:pPr>
          </w:p>
        </w:tc>
        <w:tc>
          <w:tcPr>
            <w:tcW w:w="28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2013 through January 26, 2017 version]</w:t>
              </w:r>
            </w:hyperlink>
          </w:p>
        </w:tc>
        <w:tc>
          <w:tcPr>
            <w:tcW w:w="19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10.3(a)†</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4"/>
              </w:rPr>
            </w:pPr>
            <w:hyperlink r:id="rId172">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(effective as of January 27, 2017)</w:t>
              </w:r>
            </w:hyperlink>
          </w:p>
        </w:tc>
      </w:tr>
      <w:tr>
        <w:trPr>
          <w:trHeight w:val="20"/>
        </w:trPr>
        <w:tc>
          <w:tcPr>
            <w:tcW w:w="150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10.7]</w:t>
      </w:r>
    </w:p>
    <w:p>
      <w:pPr>
        <w:spacing w:after="0" w:line="3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10.1]</w:t>
      </w:r>
    </w:p>
    <w:p>
      <w:pPr>
        <w:spacing w:after="0" w:line="200"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360"/>
          </w:cols>
          <w:pgMar w:left="280" w:top="1323" w:right="25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10.3(b)†</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Form of Project Focus Performance Unit Award Agreement which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may be made under The Scotts Miracle-Gro Company Long-Term</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Incentive Plan</w:t>
              </w:r>
            </w:hyperlink>
          </w:p>
        </w:tc>
      </w:tr>
      <w:tr>
        <w:trPr>
          <w:trHeight w:val="20"/>
        </w:trPr>
        <w:tc>
          <w:tcPr>
            <w:tcW w:w="1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10.3(c)†</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Form of Standard Performance Unit Award Agreement which may</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be made under The Scotts Miracle-Gro Company Long-Term</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Incentive Plan</w:t>
              </w:r>
            </w:hyperlink>
          </w:p>
        </w:tc>
      </w:tr>
      <w:tr>
        <w:trPr>
          <w:trHeight w:val="20"/>
        </w:trPr>
        <w:tc>
          <w:tcPr>
            <w:tcW w:w="1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10.3(d)†</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Form of Standard Restricted Stock Unit Award Agreement which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may be made under The Scotts Miracle-Gro Company Long-Term</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Incentive Plan</w:t>
              </w:r>
            </w:hyperlink>
          </w:p>
        </w:tc>
      </w:tr>
      <w:tr>
        <w:trPr>
          <w:trHeight w:val="20"/>
        </w:trPr>
        <w:tc>
          <w:tcPr>
            <w:tcW w:w="1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10.3(e)†</w:t>
            </w:r>
          </w:p>
        </w:tc>
        <w:tc>
          <w:tcPr>
            <w:tcW w:w="4840" w:type="dxa"/>
            <w:vAlign w:val="bottom"/>
            <w:gridSpan w:val="4"/>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Form of Standard Non-Qualified Stock Option Award Agreement</w:t>
              </w:r>
            </w:hyperlink>
          </w:p>
        </w:tc>
      </w:tr>
      <w:tr>
        <w:trPr>
          <w:trHeight w:val="20"/>
        </w:trPr>
        <w:tc>
          <w:tcPr>
            <w:tcW w:w="150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which may be made under The Scotts Miracle-Gro Company</w:t>
              </w:r>
            </w:hyperlink>
          </w:p>
        </w:tc>
      </w:tr>
      <w:tr>
        <w:trPr>
          <w:trHeight w:val="196"/>
        </w:trPr>
        <w:tc>
          <w:tcPr>
            <w:tcW w:w="1500" w:type="dxa"/>
            <w:vAlign w:val="bottom"/>
          </w:tcPr>
          <w:p>
            <w:pPr>
              <w:spacing w:after="0"/>
              <w:rPr>
                <w:sz w:val="17"/>
                <w:szCs w:val="17"/>
                <w:color w:val="auto"/>
              </w:rPr>
            </w:pPr>
          </w:p>
        </w:tc>
        <w:tc>
          <w:tcPr>
            <w:tcW w:w="19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Long-Term Incentive Plan</w:t>
              </w:r>
            </w:hyperlink>
          </w:p>
        </w:tc>
        <w:tc>
          <w:tcPr>
            <w:tcW w:w="2940" w:type="dxa"/>
            <w:vAlign w:val="bottom"/>
            <w:gridSpan w:val="2"/>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10.3(f)†</w:t>
            </w:r>
          </w:p>
        </w:tc>
        <w:tc>
          <w:tcPr>
            <w:tcW w:w="4840" w:type="dxa"/>
            <w:vAlign w:val="bottom"/>
            <w:tcBorders>
              <w:bottom w:val="single" w:sz="8" w:color="0000FF"/>
            </w:tcBorders>
            <w:gridSpan w:val="4"/>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Specimen form of Deferred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144">
              <w:r>
                <w:rPr>
                  <w:rFonts w:ascii="Arial" w:cs="Arial" w:eastAsia="Arial" w:hAnsi="Arial"/>
                  <w:sz w:val="18"/>
                  <w:szCs w:val="18"/>
                  <w:color w:val="0000FF"/>
                  <w:w w:val="92"/>
                </w:rPr>
                <w:t>Nonemployee Directors (with Related Dividend Equivalents) used</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to evidence grants which may be made under The Scotts Miracle-</w:t>
        </w:r>
      </w:hyperlink>
      <w:hyperlink w:anchor="page144">
        <w:r>
          <w:rPr>
            <w:rFonts w:ascii="Arial" w:cs="Arial" w:eastAsia="Arial" w:hAnsi="Arial"/>
            <w:sz w:val="18"/>
            <w:szCs w:val="18"/>
            <w:u w:val="single" w:color="auto"/>
            <w:color w:val="0000FF"/>
          </w:rPr>
          <w:t>Gro Company Long-Term Incentive Plan</w:t>
        </w:r>
      </w:hyperlink>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10.2]</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10.3]</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10.4]</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10.5]</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15" w:lineRule="exact"/>
        <w:rPr>
          <w:sz w:val="20"/>
          <w:szCs w:val="20"/>
          <w:color w:val="auto"/>
        </w:rPr>
      </w:pPr>
    </w:p>
    <w:p>
      <w:pPr>
        <w:sectPr>
          <w:pgSz w:w="11900" w:h="16838" w:orient="portrait"/>
          <w:cols w:equalWidth="0" w:num="2">
            <w:col w:w="6340" w:space="160"/>
            <w:col w:w="4860"/>
          </w:cols>
          <w:pgMar w:left="280" w:top="1324"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10.3(g)†</w:t>
            </w:r>
          </w:p>
        </w:tc>
        <w:tc>
          <w:tcPr>
            <w:tcW w:w="4860" w:type="dxa"/>
            <w:vAlign w:val="bottom"/>
            <w:tcBorders>
              <w:bottom w:val="single" w:sz="8" w:color="0000FF"/>
            </w:tcBorders>
            <w:gridSpan w:val="4"/>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Specimen form of Deferred Stock Unit Award Agreement for</w:t>
              </w:r>
            </w:hyperlink>
          </w:p>
        </w:tc>
        <w:tc>
          <w:tcPr>
            <w:tcW w:w="60" w:type="dxa"/>
            <w:vAlign w:val="bottom"/>
            <w:gridSpan w:val="2"/>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148">
              <w:r>
                <w:rPr>
                  <w:rFonts w:ascii="Arial" w:cs="Arial" w:eastAsia="Arial" w:hAnsi="Arial"/>
                  <w:sz w:val="18"/>
                  <w:szCs w:val="18"/>
                  <w:color w:val="0000FF"/>
                  <w:w w:val="92"/>
                </w:rPr>
                <w:t>Nonemployee Directors Retainer Deferrals (with Related Dividend</w:t>
              </w:r>
            </w:hyperlink>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w:anchor="page148">
              <w:r>
                <w:rPr>
                  <w:rFonts w:ascii="Arial" w:cs="Arial" w:eastAsia="Arial" w:hAnsi="Arial"/>
                  <w:sz w:val="18"/>
                  <w:szCs w:val="18"/>
                  <w:color w:val="0000FF"/>
                  <w:w w:val="94"/>
                </w:rPr>
                <w:t>Equivalents) used to evidence grants which may be made under</w:t>
              </w:r>
            </w:hyperlink>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4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148">
              <w:r>
                <w:rPr>
                  <w:rFonts w:ascii="Arial" w:cs="Arial" w:eastAsia="Arial" w:hAnsi="Arial"/>
                  <w:sz w:val="18"/>
                  <w:szCs w:val="18"/>
                  <w:color w:val="0000FF"/>
                  <w:w w:val="91"/>
                </w:rPr>
                <w:t>The Scotts Miracle-Gro Company Long-Term Incentive Plan</w:t>
              </w:r>
            </w:hyperlink>
          </w:p>
        </w:tc>
        <w:tc>
          <w:tcPr>
            <w:tcW w:w="5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10.3(h)(i)†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153">
              <w:r>
                <w:rPr>
                  <w:rFonts w:ascii="Arial" w:cs="Arial" w:eastAsia="Arial" w:hAnsi="Arial"/>
                  <w:sz w:val="18"/>
                  <w:szCs w:val="18"/>
                  <w:color w:val="0000FF"/>
                  <w:w w:val="98"/>
                </w:rPr>
                <w:t>Specimen form of Restricted Stock Unit Award Agreement for</w:t>
              </w:r>
            </w:hyperlink>
          </w:p>
        </w:tc>
        <w:tc>
          <w:tcPr>
            <w:tcW w:w="8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rPr>
            </w:pPr>
            <w:hyperlink w:anchor="page153">
              <w:r>
                <w:rPr>
                  <w:rFonts w:ascii="Arial" w:cs="Arial" w:eastAsia="Arial" w:hAnsi="Arial"/>
                  <w:sz w:val="18"/>
                  <w:szCs w:val="18"/>
                  <w:color w:val="0000FF"/>
                </w:rPr>
                <w:t>Third   Party   Service-Providers   (with   Related   Dividend</w:t>
              </w:r>
            </w:hyperlink>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w:anchor="page153">
              <w:r>
                <w:rPr>
                  <w:rFonts w:ascii="Arial" w:cs="Arial" w:eastAsia="Arial" w:hAnsi="Arial"/>
                  <w:sz w:val="18"/>
                  <w:szCs w:val="18"/>
                  <w:color w:val="0000FF"/>
                  <w:w w:val="94"/>
                </w:rPr>
                <w:t>Equivalents) which may be used to evidence grants made under</w:t>
              </w:r>
            </w:hyperlink>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4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153">
              <w:r>
                <w:rPr>
                  <w:rFonts w:ascii="Arial" w:cs="Arial" w:eastAsia="Arial" w:hAnsi="Arial"/>
                  <w:sz w:val="18"/>
                  <w:szCs w:val="18"/>
                  <w:color w:val="0000FF"/>
                  <w:w w:val="91"/>
                </w:rPr>
                <w:t>The Scotts Miracle-Gro Company Long-Term Incentive Plan</w:t>
              </w:r>
            </w:hyperlink>
          </w:p>
        </w:tc>
        <w:tc>
          <w:tcPr>
            <w:tcW w:w="52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10.3(h)(ii)†</w:t>
            </w:r>
          </w:p>
        </w:tc>
        <w:tc>
          <w:tcPr>
            <w:tcW w:w="48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58">
              <w:r>
                <w:rPr>
                  <w:rFonts w:ascii="Arial" w:cs="Arial" w:eastAsia="Arial" w:hAnsi="Arial"/>
                  <w:sz w:val="18"/>
                  <w:szCs w:val="18"/>
                  <w:color w:val="0000FF"/>
                  <w:w w:val="99"/>
                </w:rPr>
                <w:t>Form of Standard Restricted Stock Unit Award Agreement for</w:t>
              </w:r>
            </w:hyperlink>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w:anchor="page158">
              <w:r>
                <w:rPr>
                  <w:rFonts w:ascii="Arial" w:cs="Arial" w:eastAsia="Arial" w:hAnsi="Arial"/>
                  <w:sz w:val="18"/>
                  <w:szCs w:val="18"/>
                  <w:color w:val="0000FF"/>
                  <w:w w:val="92"/>
                </w:rPr>
                <w:t>Nonemployee Directors (with Related Dividend Equivalents) used</w:t>
              </w:r>
            </w:hyperlink>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158">
              <w:r>
                <w:rPr>
                  <w:rFonts w:ascii="Arial" w:cs="Arial" w:eastAsia="Arial" w:hAnsi="Arial"/>
                  <w:sz w:val="18"/>
                  <w:szCs w:val="18"/>
                  <w:color w:val="0000FF"/>
                  <w:w w:val="92"/>
                </w:rPr>
                <w:t>to evidence grants which may be made under The Scotts Miracle-</w:t>
              </w:r>
            </w:hyperlink>
          </w:p>
        </w:tc>
        <w:tc>
          <w:tcPr>
            <w:tcW w:w="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4920" w:type="dxa"/>
            <w:vAlign w:val="bottom"/>
            <w:gridSpan w:val="6"/>
          </w:tcPr>
          <w:p>
            <w:pPr>
              <w:spacing w:after="0" w:line="196" w:lineRule="exact"/>
              <w:rPr>
                <w:rFonts w:ascii="Arial" w:cs="Arial" w:eastAsia="Arial" w:hAnsi="Arial"/>
                <w:sz w:val="18"/>
                <w:szCs w:val="18"/>
                <w:color w:val="0000FF"/>
              </w:rPr>
            </w:pPr>
            <w:hyperlink w:anchor="page158">
              <w:r>
                <w:rPr>
                  <w:rFonts w:ascii="Arial" w:cs="Arial" w:eastAsia="Arial" w:hAnsi="Arial"/>
                  <w:sz w:val="18"/>
                  <w:szCs w:val="18"/>
                  <w:color w:val="0000FF"/>
                </w:rPr>
                <w:t>Gro Company Long-Term Incentive Plan</w:t>
              </w:r>
            </w:hyperlink>
          </w:p>
        </w:tc>
        <w:tc>
          <w:tcPr>
            <w:tcW w:w="18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3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10.4(a)†</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The Scotts Company LLC Amended and Restated Executive</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Incentive Plan (effective as of January 30, 2014)</w:t>
              </w:r>
            </w:hyperlink>
          </w:p>
        </w:tc>
      </w:tr>
      <w:tr>
        <w:trPr>
          <w:trHeight w:val="20"/>
        </w:trPr>
        <w:tc>
          <w:tcPr>
            <w:tcW w:w="150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10.4(b)†</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Specimen form of Employee Confidentiality, Noncompetition,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Nonsolicitation Agreement for employees participating in The</w:t>
              </w:r>
            </w:hyperlink>
          </w:p>
        </w:tc>
      </w:tr>
    </w:tbl>
    <w:p>
      <w:pPr>
        <w:spacing w:after="0" w:line="13" w:lineRule="exact"/>
        <w:rPr>
          <w:sz w:val="20"/>
          <w:szCs w:val="20"/>
          <w:color w:val="auto"/>
        </w:rPr>
      </w:pPr>
    </w:p>
    <w:p>
      <w:pPr>
        <w:jc w:val="both"/>
        <w:ind w:left="1500"/>
        <w:spacing w:after="0" w:line="264"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Scotts Company LLC Executive/Management Incentive Plan (now</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known as The Scotts Company LLC Amended and Restated</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Executive 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February 5, 2014 [Exhibit 10.1]</w:t>
      </w:r>
    </w:p>
    <w:p>
      <w:pPr>
        <w:spacing w:after="0" w:line="130"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filed August 10, 2006 [Exhibit 10.1]</w:t>
      </w:r>
    </w:p>
    <w:p>
      <w:pPr>
        <w:spacing w:after="0" w:line="556" w:lineRule="exact"/>
        <w:rPr>
          <w:rFonts w:ascii="Arial" w:cs="Arial" w:eastAsia="Arial" w:hAnsi="Arial"/>
          <w:sz w:val="18"/>
          <w:szCs w:val="18"/>
          <w:u w:val="single" w:color="auto"/>
          <w:color w:val="0000FF"/>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10.5†</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8"/>
              </w:rPr>
            </w:pPr>
            <w:hyperlink r:id="rId179">
              <w:r>
                <w:rPr>
                  <w:rFonts w:ascii="Arial" w:cs="Arial" w:eastAsia="Arial" w:hAnsi="Arial"/>
                  <w:sz w:val="18"/>
                  <w:szCs w:val="18"/>
                  <w:color w:val="0000FF"/>
                  <w:w w:val="98"/>
                </w:rPr>
                <w:t>The  Scotts  Company  LLC  Executive  Retirement  Plan,  as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Amended and Restated as of January 1, 2015 (executed December</w:t>
              </w:r>
            </w:hyperlink>
          </w:p>
        </w:tc>
      </w:tr>
      <w:tr>
        <w:trPr>
          <w:trHeight w:val="196"/>
        </w:trPr>
        <w:tc>
          <w:tcPr>
            <w:tcW w:w="15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79">
              <w:r>
                <w:rPr>
                  <w:rFonts w:ascii="Arial" w:cs="Arial" w:eastAsia="Arial" w:hAnsi="Arial"/>
                  <w:sz w:val="18"/>
                  <w:szCs w:val="18"/>
                  <w:color w:val="0000FF"/>
                  <w:w w:val="86"/>
                </w:rPr>
                <w:t>31, 2014)</w:t>
              </w:r>
            </w:hyperlink>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10.6(a)†</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Employee   Confidentiality,   Noncompetition,   Nonsolicitation</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Agreement, dated as of December 12, 2013, by and between The</w:t>
              </w:r>
            </w:hyperlink>
          </w:p>
        </w:tc>
      </w:tr>
      <w:tr>
        <w:trPr>
          <w:trHeight w:val="20"/>
        </w:trPr>
        <w:tc>
          <w:tcPr>
            <w:tcW w:w="150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4"/>
              </w:rPr>
            </w:pPr>
            <w:hyperlink r:id="rId180">
              <w:r>
                <w:rPr>
                  <w:rFonts w:ascii="Arial" w:cs="Arial" w:eastAsia="Arial" w:hAnsi="Arial"/>
                  <w:sz w:val="18"/>
                  <w:szCs w:val="18"/>
                  <w:color w:val="0000FF"/>
                  <w:w w:val="94"/>
                </w:rPr>
                <w:t>Scotts Company LLC, all companies controlled by, controlling or</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under common control with The Scotts Company LLC, and James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Hagedorn</w:t>
        </w:r>
      </w:hyperlink>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27, 2014 filed February 5, 2015 [Exhibit 10.2]</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10.2]</w:t>
      </w:r>
    </w:p>
    <w:p>
      <w:pPr>
        <w:spacing w:after="0" w:line="761"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10.6(b)†</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Executive Severance Agreement, dated as of December 11, 2013,</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w w:val="93"/>
              </w:rPr>
            </w:pPr>
            <w:hyperlink r:id="rId181">
              <w:r>
                <w:rPr>
                  <w:rFonts w:ascii="Arial" w:cs="Arial" w:eastAsia="Arial" w:hAnsi="Arial"/>
                  <w:sz w:val="18"/>
                  <w:szCs w:val="18"/>
                  <w:color w:val="0000FF"/>
                  <w:w w:val="93"/>
                </w:rPr>
                <w:t>by and between The Scotts Company LLC and James Hagedorn</w:t>
              </w:r>
            </w:hyperlink>
          </w:p>
        </w:tc>
      </w:tr>
      <w:tr>
        <w:trPr>
          <w:trHeight w:val="20"/>
        </w:trPr>
        <w:tc>
          <w:tcPr>
            <w:tcW w:w="1500" w:type="dxa"/>
            <w:vAlign w:val="bottom"/>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10.1]</w:t>
      </w:r>
    </w:p>
    <w:p>
      <w:pPr>
        <w:spacing w:after="0" w:line="200"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360"/>
          </w:cols>
          <w:pgMar w:left="280" w:top="1324" w:right="25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163">
              <w:r>
                <w:rPr>
                  <w:rFonts w:ascii="Arial" w:cs="Arial" w:eastAsia="Arial" w:hAnsi="Arial"/>
                  <w:sz w:val="18"/>
                  <w:szCs w:val="18"/>
                  <w:color w:val="0000FF"/>
                  <w:w w:val="97"/>
                </w:rPr>
                <w:t>Summary of Compensation for Nonemployee Directors of The</w:t>
              </w:r>
            </w:hyperlink>
          </w:p>
        </w:tc>
      </w:tr>
      <w:tr>
        <w:trPr>
          <w:trHeight w:val="196"/>
        </w:trPr>
        <w:tc>
          <w:tcPr>
            <w:tcW w:w="1500" w:type="dxa"/>
            <w:vAlign w:val="bottom"/>
          </w:tcPr>
          <w:p>
            <w:pPr>
              <w:spacing w:after="0"/>
              <w:rPr>
                <w:sz w:val="17"/>
                <w:szCs w:val="17"/>
                <w:color w:val="auto"/>
              </w:rPr>
            </w:pPr>
          </w:p>
        </w:tc>
        <w:tc>
          <w:tcPr>
            <w:tcW w:w="4840" w:type="dxa"/>
            <w:vAlign w:val="bottom"/>
            <w:gridSpan w:val="11"/>
          </w:tcPr>
          <w:p>
            <w:pPr>
              <w:spacing w:after="0" w:line="196" w:lineRule="exact"/>
              <w:rPr>
                <w:rFonts w:ascii="Arial" w:cs="Arial" w:eastAsia="Arial" w:hAnsi="Arial"/>
                <w:sz w:val="18"/>
                <w:szCs w:val="18"/>
                <w:color w:val="0000FF"/>
                <w:w w:val="95"/>
              </w:rPr>
            </w:pPr>
            <w:hyperlink w:anchor="page163">
              <w:r>
                <w:rPr>
                  <w:rFonts w:ascii="Arial" w:cs="Arial" w:eastAsia="Arial" w:hAnsi="Arial"/>
                  <w:sz w:val="18"/>
                  <w:szCs w:val="18"/>
                  <w:color w:val="0000FF"/>
                  <w:w w:val="95"/>
                </w:rPr>
                <w:t>Scotts Miracle-Gro Company (effective as of January 27, 2017)</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10.8(a)†</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8"/>
              </w:rPr>
            </w:pPr>
            <w:hyperlink r:id="rId182">
              <w:r>
                <w:rPr>
                  <w:rFonts w:ascii="Arial" w:cs="Arial" w:eastAsia="Arial" w:hAnsi="Arial"/>
                  <w:sz w:val="18"/>
                  <w:szCs w:val="18"/>
                  <w:color w:val="0000FF"/>
                  <w:w w:val="98"/>
                </w:rPr>
                <w:t>Consulting Agreement, dated January 31, 2017, between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6"/>
              </w:rPr>
            </w:pPr>
            <w:hyperlink r:id="rId182">
              <w:r>
                <w:rPr>
                  <w:rFonts w:ascii="Arial" w:cs="Arial" w:eastAsia="Arial" w:hAnsi="Arial"/>
                  <w:sz w:val="18"/>
                  <w:szCs w:val="18"/>
                  <w:color w:val="0000FF"/>
                  <w:w w:val="96"/>
                </w:rPr>
                <w:t>Scotts Company LLC and Hanft Projects LLC [expired January</w:t>
              </w:r>
            </w:hyperlink>
          </w:p>
        </w:tc>
      </w:tr>
      <w:tr>
        <w:trPr>
          <w:trHeight w:val="196"/>
        </w:trPr>
        <w:tc>
          <w:tcPr>
            <w:tcW w:w="150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82">
              <w:r>
                <w:rPr>
                  <w:rFonts w:ascii="Arial" w:cs="Arial" w:eastAsia="Arial" w:hAnsi="Arial"/>
                  <w:sz w:val="18"/>
                  <w:szCs w:val="18"/>
                  <w:color w:val="0000FF"/>
                  <w:w w:val="87"/>
                </w:rPr>
                <w:t>31, 2018]</w:t>
              </w:r>
            </w:hyperlink>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10.8(b)†</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8"/>
              </w:rPr>
            </w:pPr>
            <w:hyperlink r:id="rId183">
              <w:r>
                <w:rPr>
                  <w:rFonts w:ascii="Arial" w:cs="Arial" w:eastAsia="Arial" w:hAnsi="Arial"/>
                  <w:sz w:val="18"/>
                  <w:szCs w:val="18"/>
                  <w:color w:val="0000FF"/>
                  <w:w w:val="98"/>
                </w:rPr>
                <w:t>Consulting Agreement, dated January 31, 2018, between The</w:t>
              </w:r>
            </w:hyperlink>
          </w:p>
        </w:tc>
      </w:tr>
      <w:tr>
        <w:trPr>
          <w:trHeight w:val="196"/>
        </w:trPr>
        <w:tc>
          <w:tcPr>
            <w:tcW w:w="1500" w:type="dxa"/>
            <w:vAlign w:val="bottom"/>
          </w:tcPr>
          <w:p>
            <w:pPr>
              <w:spacing w:after="0"/>
              <w:rPr>
                <w:sz w:val="17"/>
                <w:szCs w:val="17"/>
                <w:color w:val="auto"/>
              </w:rPr>
            </w:pPr>
          </w:p>
        </w:tc>
        <w:tc>
          <w:tcPr>
            <w:tcW w:w="33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Scotts Company LLC and Hanft Projects LLC</w:t>
              </w:r>
            </w:hyperlink>
          </w:p>
        </w:tc>
        <w:tc>
          <w:tcPr>
            <w:tcW w:w="1500" w:type="dxa"/>
            <w:vAlign w:val="bottom"/>
            <w:gridSpan w:val="6"/>
          </w:tcPr>
          <w:p>
            <w:pPr>
              <w:spacing w:after="0"/>
              <w:rPr>
                <w:sz w:val="17"/>
                <w:szCs w:val="17"/>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10.9(a)†</w:t>
            </w:r>
          </w:p>
        </w:tc>
        <w:tc>
          <w:tcPr>
            <w:tcW w:w="4840" w:type="dxa"/>
            <w:vAlign w:val="bottom"/>
            <w:gridSpan w:val="11"/>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The Scotts Company LLC Executive Severance Plan, adopted on</w:t>
              </w:r>
            </w:hyperlink>
          </w:p>
        </w:tc>
      </w:tr>
      <w:tr>
        <w:trPr>
          <w:trHeight w:val="196"/>
        </w:trPr>
        <w:tc>
          <w:tcPr>
            <w:tcW w:w="1500" w:type="dxa"/>
            <w:vAlign w:val="bottom"/>
          </w:tcPr>
          <w:p>
            <w:pPr>
              <w:spacing w:after="0"/>
              <w:rPr>
                <w:sz w:val="17"/>
                <w:szCs w:val="17"/>
                <w:color w:val="auto"/>
              </w:rPr>
            </w:pPr>
          </w:p>
        </w:tc>
        <w:tc>
          <w:tcPr>
            <w:tcW w:w="46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April 25, 2017</w:t>
              </w:r>
            </w:hyperlink>
          </w:p>
        </w:tc>
        <w:tc>
          <w:tcPr>
            <w:tcW w:w="1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10.9(b)†</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7"/>
              </w:rPr>
            </w:pPr>
            <w:hyperlink r:id="rId185">
              <w:r>
                <w:rPr>
                  <w:rFonts w:ascii="Arial" w:cs="Arial" w:eastAsia="Arial" w:hAnsi="Arial"/>
                  <w:sz w:val="18"/>
                  <w:szCs w:val="18"/>
                  <w:color w:val="0000FF"/>
                  <w:w w:val="97"/>
                </w:rPr>
                <w:t>Form  of  Tier  1  Participation  Agreement  under  The  Scotts</w:t>
              </w:r>
            </w:hyperlink>
          </w:p>
        </w:tc>
      </w:tr>
      <w:tr>
        <w:trPr>
          <w:trHeight w:val="196"/>
        </w:trPr>
        <w:tc>
          <w:tcPr>
            <w:tcW w:w="1500" w:type="dxa"/>
            <w:vAlign w:val="bottom"/>
          </w:tcPr>
          <w:p>
            <w:pPr>
              <w:spacing w:after="0"/>
              <w:rPr>
                <w:sz w:val="17"/>
                <w:szCs w:val="17"/>
                <w:color w:val="auto"/>
              </w:rPr>
            </w:pPr>
          </w:p>
        </w:tc>
        <w:tc>
          <w:tcPr>
            <w:tcW w:w="30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Company LLC Executive Severance Plan</w:t>
              </w:r>
            </w:hyperlink>
          </w:p>
        </w:tc>
        <w:tc>
          <w:tcPr>
            <w:tcW w:w="1840" w:type="dxa"/>
            <w:vAlign w:val="bottom"/>
            <w:gridSpan w:val="7"/>
          </w:tcPr>
          <w:p>
            <w:pPr>
              <w:spacing w:after="0"/>
              <w:rPr>
                <w:sz w:val="17"/>
                <w:szCs w:val="17"/>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4"/>
              </w:rPr>
            </w:pPr>
            <w:hyperlink r:id="rId186">
              <w:r>
                <w:rPr>
                  <w:rFonts w:ascii="Arial" w:cs="Arial" w:eastAsia="Arial" w:hAnsi="Arial"/>
                  <w:sz w:val="18"/>
                  <w:szCs w:val="18"/>
                  <w:color w:val="0000FF"/>
                  <w:w w:val="94"/>
                </w:rPr>
                <w:t>Commercialization and Technology Agreement, dated as of May</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15, 2015, between Monsanto Company and The Scotts Company</w:t>
              </w:r>
            </w:hyperlink>
          </w:p>
        </w:tc>
      </w:tr>
      <w:tr>
        <w:trPr>
          <w:trHeight w:val="196"/>
        </w:trPr>
        <w:tc>
          <w:tcPr>
            <w:tcW w:w="150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186">
              <w:r>
                <w:rPr>
                  <w:rFonts w:ascii="Arial" w:cs="Arial" w:eastAsia="Arial" w:hAnsi="Arial"/>
                  <w:sz w:val="18"/>
                  <w:szCs w:val="18"/>
                  <w:color w:val="0000FF"/>
                  <w:w w:val="96"/>
                </w:rPr>
                <w:t>LLC</w:t>
              </w:r>
            </w:hyperlink>
          </w:p>
        </w:tc>
        <w:tc>
          <w:tcPr>
            <w:tcW w:w="4500" w:type="dxa"/>
            <w:vAlign w:val="bottom"/>
            <w:gridSpan w:val="10"/>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10.11(a)</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Second Amended and Restated Exclusive Agency and Marketing</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Agreement,  dated  as  of  August  31,  2017,  by  and  between</w:t>
              </w:r>
            </w:hyperlink>
          </w:p>
        </w:tc>
      </w:tr>
      <w:tr>
        <w:trPr>
          <w:trHeight w:val="196"/>
        </w:trPr>
        <w:tc>
          <w:tcPr>
            <w:tcW w:w="1500" w:type="dxa"/>
            <w:vAlign w:val="bottom"/>
          </w:tcPr>
          <w:p>
            <w:pPr>
              <w:spacing w:after="0"/>
              <w:rPr>
                <w:sz w:val="17"/>
                <w:szCs w:val="17"/>
                <w:color w:val="auto"/>
              </w:rPr>
            </w:pPr>
          </w:p>
        </w:tc>
        <w:tc>
          <w:tcPr>
            <w:tcW w:w="37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Monsanto Company and The Scotts Company LLC</w:t>
              </w:r>
            </w:hyperlink>
          </w:p>
        </w:tc>
        <w:tc>
          <w:tcPr>
            <w:tcW w:w="1120" w:type="dxa"/>
            <w:vAlign w:val="bottom"/>
            <w:gridSpan w:val="3"/>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10.11(b)</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Amended  and  Restated  Lawn  and  Garden  Brand  Extension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7"/>
              </w:rPr>
            </w:pPr>
            <w:hyperlink r:id="rId188">
              <w:r>
                <w:rPr>
                  <w:rFonts w:ascii="Arial" w:cs="Arial" w:eastAsia="Arial" w:hAnsi="Arial"/>
                  <w:sz w:val="18"/>
                  <w:szCs w:val="18"/>
                  <w:color w:val="0000FF"/>
                  <w:w w:val="97"/>
                </w:rPr>
                <w:t>Agreement - Americas, dated as of August 31, 2017, between</w:t>
              </w:r>
            </w:hyperlink>
          </w:p>
        </w:tc>
      </w:tr>
      <w:tr>
        <w:trPr>
          <w:trHeight w:val="196"/>
        </w:trPr>
        <w:tc>
          <w:tcPr>
            <w:tcW w:w="1500" w:type="dxa"/>
            <w:vAlign w:val="bottom"/>
          </w:tcPr>
          <w:p>
            <w:pPr>
              <w:spacing w:after="0"/>
              <w:rPr>
                <w:sz w:val="17"/>
                <w:szCs w:val="17"/>
                <w:color w:val="auto"/>
              </w:rPr>
            </w:pPr>
          </w:p>
        </w:tc>
        <w:tc>
          <w:tcPr>
            <w:tcW w:w="4840" w:type="dxa"/>
            <w:vAlign w:val="bottom"/>
            <w:gridSpan w:val="11"/>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Monsanto Company and The Scotts Company LLC</w:t>
              </w:r>
            </w:hyperlink>
          </w:p>
        </w:tc>
      </w:tr>
      <w:tr>
        <w:trPr>
          <w:trHeight w:val="20"/>
        </w:trPr>
        <w:tc>
          <w:tcPr>
            <w:tcW w:w="150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10.12(a)(i)</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7"/>
              </w:rPr>
            </w:pPr>
            <w:hyperlink r:id="rId189">
              <w:r>
                <w:rPr>
                  <w:rFonts w:ascii="Arial" w:cs="Arial" w:eastAsia="Arial" w:hAnsi="Arial"/>
                  <w:sz w:val="18"/>
                  <w:szCs w:val="18"/>
                  <w:color w:val="0000FF"/>
                  <w:w w:val="97"/>
                </w:rPr>
                <w:t>Master  Repurchase  Agreement,  and  Annex  I  thereto,  with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189">
              <w:r>
                <w:rPr>
                  <w:rFonts w:ascii="Arial" w:cs="Arial" w:eastAsia="Arial" w:hAnsi="Arial"/>
                  <w:sz w:val="18"/>
                  <w:szCs w:val="18"/>
                  <w:color w:val="0000FF"/>
                  <w:w w:val="94"/>
                </w:rPr>
                <w:t>Coöperatieve Rabobank, U.A. (New York Branch), as agent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purchaser, and Sumitomo Mitsui Banking Corporation (New York</w:t>
              </w:r>
            </w:hyperlink>
          </w:p>
        </w:tc>
      </w:tr>
      <w:tr>
        <w:trPr>
          <w:trHeight w:val="196"/>
        </w:trPr>
        <w:tc>
          <w:tcPr>
            <w:tcW w:w="1500" w:type="dxa"/>
            <w:vAlign w:val="bottom"/>
          </w:tcPr>
          <w:p>
            <w:pPr>
              <w:spacing w:after="0"/>
              <w:rPr>
                <w:sz w:val="17"/>
                <w:szCs w:val="17"/>
                <w:color w:val="auto"/>
              </w:rPr>
            </w:pPr>
          </w:p>
        </w:tc>
        <w:tc>
          <w:tcPr>
            <w:tcW w:w="34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Branch), as purchaser, dated as of April 7, 2017</w:t>
              </w:r>
            </w:hyperlink>
          </w:p>
        </w:tc>
        <w:tc>
          <w:tcPr>
            <w:tcW w:w="1400" w:type="dxa"/>
            <w:vAlign w:val="bottom"/>
            <w:gridSpan w:val="5"/>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10.6]</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30, 2017 filed February 8, 2018 [Exhibit 10.1]</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10.9]</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10.10]</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10.4]</w:t>
      </w:r>
    </w:p>
    <w:p>
      <w:pPr>
        <w:spacing w:after="0" w:line="3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2017 filed November 28, 2017 [Exhibit 10.14(a)]</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2017 filed November 28, 2017 [Exhibit 10.14(b)]</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April 13, 2017 [Exhibit 10.1]</w:t>
      </w:r>
    </w:p>
    <w:p>
      <w:pPr>
        <w:spacing w:after="0" w:line="544" w:lineRule="exact"/>
        <w:rPr>
          <w:sz w:val="20"/>
          <w:szCs w:val="20"/>
          <w:color w:val="auto"/>
        </w:rPr>
      </w:pPr>
    </w:p>
    <w:p>
      <w:pPr>
        <w:sectPr>
          <w:pgSz w:w="11900" w:h="16838" w:orient="portrait"/>
          <w:cols w:equalWidth="0" w:num="2">
            <w:col w:w="6340" w:space="160"/>
            <w:col w:w="4860"/>
          </w:cols>
          <w:pgMar w:left="280" w:top="1324"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10.12(a)(ii)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7"/>
              </w:rPr>
            </w:pPr>
            <w:hyperlink r:id="rId190">
              <w:r>
                <w:rPr>
                  <w:rFonts w:ascii="Arial" w:cs="Arial" w:eastAsia="Arial" w:hAnsi="Arial"/>
                  <w:sz w:val="18"/>
                  <w:szCs w:val="18"/>
                  <w:color w:val="0000FF"/>
                  <w:w w:val="97"/>
                </w:rPr>
                <w:t>Amendment  No.  1  to  Master  Repurchase  Agreement  with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90">
              <w:r>
                <w:rPr>
                  <w:rFonts w:ascii="Arial" w:cs="Arial" w:eastAsia="Arial" w:hAnsi="Arial"/>
                  <w:sz w:val="18"/>
                  <w:szCs w:val="18"/>
                  <w:color w:val="0000FF"/>
                  <w:w w:val="94"/>
                </w:rPr>
                <w:t>Coöperatieve Rabobank, U.A. (New York Branch), as agent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purchaser, and Sumitomo Mitsui Banking Corporation (New York</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Branch), as purchaser, dated as of August 24, 2018</w:t>
              </w:r>
            </w:hyperlink>
          </w:p>
        </w:tc>
      </w:tr>
      <w:tr>
        <w:trPr>
          <w:trHeight w:val="20"/>
        </w:trPr>
        <w:tc>
          <w:tcPr>
            <w:tcW w:w="15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24, 2018 [Exhibit 10.1]</w:t>
      </w:r>
    </w:p>
    <w:p>
      <w:pPr>
        <w:spacing w:after="0" w:line="544"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10.13(a)(i)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Master Framework Agreement with Coöperatieve Rabobank, U.A.</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(New York Branch), as agent and purchaser, and Sumitomo Mitsui</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Banking Corporation (New York Branch), as purchaser, dated as of</w:t>
              </w:r>
            </w:hyperlink>
          </w:p>
        </w:tc>
      </w:tr>
      <w:tr>
        <w:trPr>
          <w:trHeight w:val="196"/>
        </w:trPr>
        <w:tc>
          <w:tcPr>
            <w:tcW w:w="150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April 7, 2017</w:t>
              </w:r>
            </w:hyperlink>
          </w:p>
        </w:tc>
        <w:tc>
          <w:tcPr>
            <w:tcW w:w="3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April 13, 2017 [Exhibit 10.2]</w:t>
      </w:r>
    </w:p>
    <w:p>
      <w:pPr>
        <w:spacing w:after="0" w:line="544"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10.13(a)(ii)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9"/>
              </w:rPr>
            </w:pPr>
            <w:hyperlink r:id="rId192">
              <w:r>
                <w:rPr>
                  <w:rFonts w:ascii="Arial" w:cs="Arial" w:eastAsia="Arial" w:hAnsi="Arial"/>
                  <w:sz w:val="18"/>
                  <w:szCs w:val="18"/>
                  <w:color w:val="0000FF"/>
                  <w:w w:val="99"/>
                </w:rPr>
                <w:t>Amendment  No.  1  to  Master  Framework  Agreement  with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92">
              <w:r>
                <w:rPr>
                  <w:rFonts w:ascii="Arial" w:cs="Arial" w:eastAsia="Arial" w:hAnsi="Arial"/>
                  <w:sz w:val="18"/>
                  <w:szCs w:val="18"/>
                  <w:color w:val="0000FF"/>
                  <w:w w:val="94"/>
                </w:rPr>
                <w:t>Coöperatieve Rabobank, U.A. (New York Branch), as agent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92">
              <w:r>
                <w:rPr>
                  <w:rFonts w:ascii="Arial" w:cs="Arial" w:eastAsia="Arial" w:hAnsi="Arial"/>
                  <w:sz w:val="18"/>
                  <w:szCs w:val="18"/>
                  <w:color w:val="0000FF"/>
                  <w:w w:val="93"/>
                </w:rPr>
                <w:t>purchaser, and Sumitomo Mitsui Banking Corporation (New York</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Branch), as purchaser, dated as of August 25, 2017</w:t>
              </w:r>
            </w:hyperlink>
          </w:p>
        </w:tc>
      </w:tr>
      <w:tr>
        <w:trPr>
          <w:trHeight w:val="20"/>
        </w:trPr>
        <w:tc>
          <w:tcPr>
            <w:tcW w:w="15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31, 2017 [Exhibit 10.1]</w:t>
      </w:r>
    </w:p>
    <w:p>
      <w:pPr>
        <w:spacing w:after="0" w:line="544"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10.13(a)(iii)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9"/>
              </w:rPr>
            </w:pPr>
            <w:hyperlink r:id="rId193">
              <w:r>
                <w:rPr>
                  <w:rFonts w:ascii="Arial" w:cs="Arial" w:eastAsia="Arial" w:hAnsi="Arial"/>
                  <w:sz w:val="18"/>
                  <w:szCs w:val="18"/>
                  <w:color w:val="0000FF"/>
                  <w:w w:val="99"/>
                </w:rPr>
                <w:t>Amendment  No.  2  to  Master  Framework  Agreement  with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Coöperatieve Rabobank, U.A. (New York Branch), as agent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93">
              <w:r>
                <w:rPr>
                  <w:rFonts w:ascii="Arial" w:cs="Arial" w:eastAsia="Arial" w:hAnsi="Arial"/>
                  <w:sz w:val="18"/>
                  <w:szCs w:val="18"/>
                  <w:color w:val="0000FF"/>
                  <w:w w:val="93"/>
                </w:rPr>
                <w:t>purchaser, and Sumitomo Mitsui Banking Corporation (New York</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Branch), as purchaser, dated as of August 24, 2018</w:t>
              </w:r>
            </w:hyperlink>
          </w:p>
        </w:tc>
      </w:tr>
      <w:tr>
        <w:trPr>
          <w:trHeight w:val="20"/>
        </w:trPr>
        <w:tc>
          <w:tcPr>
            <w:tcW w:w="150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24, 2018 [Exhibit 10.2]</w:t>
      </w:r>
    </w:p>
    <w:p>
      <w:pPr>
        <w:spacing w:after="0" w:line="544"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10.14</w:t>
            </w:r>
          </w:p>
        </w:tc>
        <w:tc>
          <w:tcPr>
            <w:tcW w:w="4860" w:type="dxa"/>
            <w:vAlign w:val="bottom"/>
            <w:gridSpan w:val="2"/>
          </w:tcPr>
          <w:p>
            <w:pPr>
              <w:spacing w:after="0"/>
              <w:rPr>
                <w:rFonts w:ascii="Arial" w:cs="Arial" w:eastAsia="Arial" w:hAnsi="Arial"/>
                <w:sz w:val="18"/>
                <w:szCs w:val="18"/>
                <w:color w:val="0000FF"/>
                <w:w w:val="95"/>
              </w:rPr>
            </w:pPr>
            <w:hyperlink r:id="rId194">
              <w:r>
                <w:rPr>
                  <w:rFonts w:ascii="Arial" w:cs="Arial" w:eastAsia="Arial" w:hAnsi="Arial"/>
                  <w:sz w:val="18"/>
                  <w:szCs w:val="18"/>
                  <w:color w:val="0000FF"/>
                  <w:w w:val="95"/>
                </w:rPr>
                <w:t>Form of Aircraft Time Sharing Agreement for Executive Officers</w:t>
              </w:r>
            </w:hyperlink>
          </w:p>
        </w:tc>
        <w:tc>
          <w:tcPr>
            <w:tcW w:w="5000" w:type="dxa"/>
            <w:vAlign w:val="bottom"/>
          </w:tcPr>
          <w:p>
            <w:pPr>
              <w:ind w:left="140"/>
              <w:spacing w:after="0"/>
              <w:rPr>
                <w:sz w:val="20"/>
                <w:szCs w:val="20"/>
                <w:color w:val="auto"/>
              </w:rPr>
            </w:pPr>
            <w:r>
              <w:rPr>
                <w:rFonts w:ascii="Arial" w:cs="Arial" w:eastAsia="Arial" w:hAnsi="Arial"/>
                <w:sz w:val="18"/>
                <w:szCs w:val="18"/>
                <w:color w:val="auto"/>
                <w:w w:val="98"/>
              </w:rPr>
              <w:t>Incorporated herein by reference to the Registrant’s Quarterly</w:t>
            </w:r>
          </w:p>
        </w:tc>
      </w:tr>
      <w:tr>
        <w:trPr>
          <w:trHeight w:val="222"/>
        </w:trPr>
        <w:tc>
          <w:tcPr>
            <w:tcW w:w="1500" w:type="dxa"/>
            <w:vAlign w:val="bottom"/>
          </w:tcPr>
          <w:p>
            <w:pPr>
              <w:spacing w:after="0"/>
              <w:rPr>
                <w:sz w:val="19"/>
                <w:szCs w:val="19"/>
                <w:color w:val="auto"/>
              </w:rPr>
            </w:pPr>
          </w:p>
        </w:tc>
        <w:tc>
          <w:tcPr>
            <w:tcW w:w="47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w w:val="93"/>
              </w:rPr>
              <w:t>Report on Form 10-Q for the quarterly period ended April 2, 2016</w:t>
            </w:r>
          </w:p>
        </w:tc>
      </w:tr>
      <w:tr>
        <w:trPr>
          <w:trHeight w:val="230"/>
        </w:trPr>
        <w:tc>
          <w:tcPr>
            <w:tcW w:w="15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filed May 11, 2016 [Exhibit 10.4]</w:t>
            </w:r>
          </w:p>
        </w:tc>
      </w:tr>
    </w:tbl>
    <w:p>
      <w:pPr>
        <w:spacing w:after="0" w:line="200" w:lineRule="exact"/>
        <w:rPr>
          <w:sz w:val="20"/>
          <w:szCs w:val="20"/>
          <w:color w:val="auto"/>
        </w:rPr>
      </w:pPr>
    </w:p>
    <w:p>
      <w:pPr>
        <w:sectPr>
          <w:pgSz w:w="11900" w:h="16838" w:orient="portrait"/>
          <w:cols w:equalWidth="0" w:num="1">
            <w:col w:w="11360"/>
          </w:cols>
          <w:pgMar w:left="280" w:top="1324" w:right="259" w:bottom="1440" w:gutter="0" w:footer="0" w:header="0"/>
          <w:type w:val="continuous"/>
        </w:sectPr>
      </w:pP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360"/>
          </w:cols>
          <w:pgMar w:left="280" w:top="1324" w:right="259" w:bottom="1440" w:gutter="0" w:footer="0" w:header="0"/>
          <w:type w:val="continuous"/>
        </w:sectPr>
      </w:pPr>
    </w:p>
    <w:bookmarkStart w:id="141" w:name="page142"/>
    <w:bookmarkEnd w:id="141"/>
    <w:tbl>
      <w:tblPr>
        <w:tblLayout w:type="fixed"/>
        <w:tblInd w:w="5" w:type="dxa"/>
        <w:tblCellMar>
          <w:top w:w="0" w:type="dxa"/>
          <w:left w:w="0" w:type="dxa"/>
          <w:bottom w:w="0" w:type="dxa"/>
          <w:right w:w="0" w:type="dxa"/>
        </w:tblCellMar>
      </w:tblPr>
      <w:tr>
        <w:trPr>
          <w:trHeight w:val="207"/>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10.15</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5"/>
              </w:rPr>
            </w:pPr>
            <w:hyperlink r:id="rId195">
              <w:r>
                <w:rPr>
                  <w:rFonts w:ascii="Arial" w:cs="Arial" w:eastAsia="Arial" w:hAnsi="Arial"/>
                  <w:sz w:val="18"/>
                  <w:szCs w:val="18"/>
                  <w:color w:val="0000FF"/>
                  <w:w w:val="95"/>
                </w:rPr>
                <w:t>Binding and Irrevocable Conditional Offer, dated April 29, 2017,</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195">
              <w:r>
                <w:rPr>
                  <w:rFonts w:ascii="Arial" w:cs="Arial" w:eastAsia="Arial" w:hAnsi="Arial"/>
                  <w:sz w:val="18"/>
                  <w:szCs w:val="18"/>
                  <w:color w:val="0000FF"/>
                  <w:w w:val="98"/>
                </w:rPr>
                <w:t>from Garden Care Bidco Limited to Scotts-Sierra Investments</w:t>
              </w:r>
            </w:hyperlink>
          </w:p>
        </w:tc>
      </w:tr>
      <w:tr>
        <w:trPr>
          <w:trHeight w:val="196"/>
        </w:trPr>
        <w:tc>
          <w:tcPr>
            <w:tcW w:w="150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195">
              <w:r>
                <w:rPr>
                  <w:rFonts w:ascii="Arial" w:cs="Arial" w:eastAsia="Arial" w:hAnsi="Arial"/>
                  <w:sz w:val="18"/>
                  <w:szCs w:val="18"/>
                  <w:color w:val="0000FF"/>
                  <w:w w:val="96"/>
                </w:rPr>
                <w:t>LLC</w:t>
              </w:r>
            </w:hyperlink>
          </w:p>
        </w:tc>
        <w:tc>
          <w:tcPr>
            <w:tcW w:w="4500" w:type="dxa"/>
            <w:vAlign w:val="bottom"/>
          </w:tcPr>
          <w:p>
            <w:pPr>
              <w:spacing w:after="0"/>
              <w:rPr>
                <w:sz w:val="17"/>
                <w:szCs w:val="17"/>
                <w:color w:val="auto"/>
              </w:rPr>
            </w:pPr>
          </w:p>
        </w:tc>
      </w:tr>
      <w:tr>
        <w:trPr>
          <w:trHeight w:val="385"/>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10.16</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4"/>
              </w:rPr>
            </w:pPr>
            <w:hyperlink r:id="rId196">
              <w:r>
                <w:rPr>
                  <w:rFonts w:ascii="Arial" w:cs="Arial" w:eastAsia="Arial" w:hAnsi="Arial"/>
                  <w:sz w:val="18"/>
                  <w:szCs w:val="18"/>
                  <w:color w:val="0000FF"/>
                  <w:w w:val="94"/>
                </w:rPr>
                <w:t>Purchase  Agreement,  dated  April  12,  2018,  among  Sunlight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Supply,  Inc.,  Sunlight  Garden  Supply,  Inc.,  Sunlight  Garden</w:t>
              </w:r>
            </w:hyperlink>
          </w:p>
        </w:tc>
      </w:tr>
    </w:tbl>
    <w:p>
      <w:pPr>
        <w:spacing w:after="0" w:line="13" w:lineRule="exact"/>
        <w:rPr>
          <w:sz w:val="20"/>
          <w:szCs w:val="20"/>
          <w:color w:val="auto"/>
        </w:rPr>
      </w:pPr>
    </w:p>
    <w:p>
      <w:pPr>
        <w:jc w:val="both"/>
        <w:ind w:left="1505"/>
        <w:spacing w:after="0" w:line="264"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Supply, ULC, IP Holdings, LLC, Craig R. Hargreaves, Kim E.</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Hargreaves, Hawthorne Hydroponics LLC and The Scotts Miracle-</w:t>
        </w:r>
      </w:hyperlink>
      <w:hyperlink r:id="rId196">
        <w:r>
          <w:rPr>
            <w:rFonts w:ascii="Arial" w:cs="Arial" w:eastAsia="Arial" w:hAnsi="Arial"/>
            <w:sz w:val="18"/>
            <w:szCs w:val="18"/>
            <w:u w:val="single" w:color="auto"/>
            <w:color w:val="0000FF"/>
          </w:rPr>
          <w:t>Gro Company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2017 filed November 28, 2017 [Exhibit 10.20]</w:t>
      </w:r>
    </w:p>
    <w:p>
      <w:pPr>
        <w:spacing w:after="0" w:line="154"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30, 2018 filed August 8, 2018 [Exhibit 10.1]</w:t>
      </w:r>
    </w:p>
    <w:p>
      <w:pPr>
        <w:spacing w:after="0" w:line="489" w:lineRule="exact"/>
        <w:rPr>
          <w:rFonts w:ascii="Arial" w:cs="Arial" w:eastAsia="Arial" w:hAnsi="Arial"/>
          <w:sz w:val="18"/>
          <w:szCs w:val="18"/>
          <w:u w:val="single" w:color="auto"/>
          <w:color w:val="0000FF"/>
        </w:rPr>
      </w:pPr>
    </w:p>
    <w:p>
      <w:pPr>
        <w:sectPr>
          <w:pgSz w:w="11900" w:h="16838" w:orient="portrait"/>
          <w:cols w:equalWidth="0" w:num="2">
            <w:col w:w="6345" w:space="160"/>
            <w:col w:w="4860"/>
          </w:cols>
          <w:pgMar w:left="275" w:top="1324" w:right="259" w:bottom="1440" w:gutter="0" w:footer="0" w:header="0"/>
        </w:sectPr>
      </w:pPr>
    </w:p>
    <w:tbl>
      <w:tblPr>
        <w:tblLayout w:type="fixed"/>
        <w:tblInd w:w="5" w:type="dxa"/>
        <w:tblCellMar>
          <w:top w:w="0" w:type="dxa"/>
          <w:left w:w="0" w:type="dxa"/>
          <w:bottom w:w="0" w:type="dxa"/>
          <w:right w:w="0" w:type="dxa"/>
        </w:tblCellMar>
      </w:tblPr>
      <w:tr>
        <w:trPr>
          <w:trHeight w:val="287"/>
        </w:trPr>
        <w:tc>
          <w:tcPr>
            <w:tcW w:w="150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25"/>
                <w:szCs w:val="25"/>
                <w:color w:val="auto"/>
                <w:vertAlign w:val="superscript"/>
              </w:rPr>
              <w:t>†</w:t>
            </w:r>
          </w:p>
        </w:tc>
        <w:tc>
          <w:tcPr>
            <w:tcW w:w="4840" w:type="dxa"/>
            <w:vAlign w:val="bottom"/>
            <w:gridSpan w:val="4"/>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Retention Agreement, dated August 22, 2018, by and between The</w:t>
              </w:r>
            </w:hyperlink>
          </w:p>
        </w:tc>
      </w:tr>
      <w:tr>
        <w:trPr>
          <w:trHeight w:val="196"/>
        </w:trPr>
        <w:tc>
          <w:tcPr>
            <w:tcW w:w="150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97">
              <w:r>
                <w:rPr>
                  <w:rFonts w:ascii="Arial" w:cs="Arial" w:eastAsia="Arial" w:hAnsi="Arial"/>
                  <w:sz w:val="18"/>
                  <w:szCs w:val="18"/>
                  <w:color w:val="0000FF"/>
                  <w:w w:val="89"/>
                </w:rPr>
                <w:t>Scotts Company LLC and Denise S. Stump</w:t>
              </w:r>
            </w:hyperlink>
          </w:p>
        </w:tc>
        <w:tc>
          <w:tcPr>
            <w:tcW w:w="17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18</w:t>
            </w:r>
          </w:p>
        </w:tc>
        <w:tc>
          <w:tcPr>
            <w:tcW w:w="4840" w:type="dxa"/>
            <w:vAlign w:val="bottom"/>
            <w:tcBorders>
              <w:bottom w:val="single" w:sz="8" w:color="0000FF"/>
            </w:tcBorders>
            <w:gridSpan w:val="4"/>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Preferability Letter provided by Deloitte &amp; Touche LLP,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8"/>
              </w:rPr>
            </w:pPr>
            <w:hyperlink w:anchor="page165">
              <w:r>
                <w:rPr>
                  <w:rFonts w:ascii="Arial" w:cs="Arial" w:eastAsia="Arial" w:hAnsi="Arial"/>
                  <w:sz w:val="18"/>
                  <w:szCs w:val="18"/>
                  <w:color w:val="0000FF"/>
                  <w:w w:val="98"/>
                </w:rPr>
                <w:t>Registrant’s independent registered public accounting firm, to</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w:anchor="page165">
              <w:r>
                <w:rPr>
                  <w:rFonts w:ascii="Arial" w:cs="Arial" w:eastAsia="Arial" w:hAnsi="Arial"/>
                  <w:sz w:val="18"/>
                  <w:szCs w:val="18"/>
                  <w:color w:val="0000FF"/>
                </w:rPr>
                <w:t>change in accounting principle</w:t>
              </w:r>
            </w:hyperlink>
          </w:p>
        </w:tc>
      </w:tr>
      <w:tr>
        <w:trPr>
          <w:trHeight w:val="20"/>
        </w:trPr>
        <w:tc>
          <w:tcPr>
            <w:tcW w:w="15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24, 2018 [Exhibit 10.3]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3" w:lineRule="exact"/>
        <w:rPr>
          <w:sz w:val="20"/>
          <w:szCs w:val="20"/>
          <w:color w:val="auto"/>
        </w:rPr>
      </w:pPr>
    </w:p>
    <w:p>
      <w:pPr>
        <w:sectPr>
          <w:pgSz w:w="11900" w:h="16838" w:orient="portrait"/>
          <w:cols w:equalWidth="0" w:num="2">
            <w:col w:w="6345" w:space="160"/>
            <w:col w:w="4860"/>
          </w:cols>
          <w:pgMar w:left="275" w:top="1324" w:right="259" w:bottom="1440" w:gutter="0" w:footer="0" w:header="0"/>
          <w:type w:val="continuous"/>
        </w:sectPr>
      </w:pPr>
    </w:p>
    <w:tbl>
      <w:tblPr>
        <w:tblLayout w:type="fixed"/>
        <w:tblInd w:w="5"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21</w:t>
            </w:r>
          </w:p>
        </w:tc>
        <w:tc>
          <w:tcPr>
            <w:tcW w:w="4840" w:type="dxa"/>
            <w:vAlign w:val="bottom"/>
            <w:gridSpan w:val="6"/>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Subsidiaries of The Scotts Miracle-Gro Company</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23</w:t>
            </w:r>
          </w:p>
        </w:tc>
        <w:tc>
          <w:tcPr>
            <w:tcW w:w="484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168">
              <w:r>
                <w:rPr>
                  <w:rFonts w:ascii="Arial" w:cs="Arial" w:eastAsia="Arial" w:hAnsi="Arial"/>
                  <w:sz w:val="18"/>
                  <w:szCs w:val="18"/>
                  <w:color w:val="0000FF"/>
                  <w:w w:val="97"/>
                </w:rPr>
                <w:t>Consent of Independent Registered Public Accounting Firm —</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170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168">
              <w:r>
                <w:rPr>
                  <w:rFonts w:ascii="Arial" w:cs="Arial" w:eastAsia="Arial" w:hAnsi="Arial"/>
                  <w:sz w:val="18"/>
                  <w:szCs w:val="18"/>
                  <w:color w:val="0000FF"/>
                  <w:w w:val="93"/>
                </w:rPr>
                <w:t>Deloitte &amp; Touche LLP</w:t>
              </w:r>
            </w:hyperlink>
          </w:p>
        </w:tc>
        <w:tc>
          <w:tcPr>
            <w:tcW w:w="314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24</w:t>
            </w:r>
          </w:p>
        </w:tc>
        <w:tc>
          <w:tcPr>
            <w:tcW w:w="484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169">
              <w:r>
                <w:rPr>
                  <w:rFonts w:ascii="Arial" w:cs="Arial" w:eastAsia="Arial" w:hAnsi="Arial"/>
                  <w:sz w:val="18"/>
                  <w:szCs w:val="18"/>
                  <w:color w:val="0000FF"/>
                  <w:w w:val="98"/>
                </w:rPr>
                <w:t>Powers of Attorney of Executive Officers and Directors of The</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40" w:type="dxa"/>
            <w:vAlign w:val="bottom"/>
            <w:gridSpan w:val="6"/>
          </w:tcPr>
          <w:p>
            <w:pPr>
              <w:spacing w:after="0" w:line="196" w:lineRule="exact"/>
              <w:rPr>
                <w:rFonts w:ascii="Arial" w:cs="Arial" w:eastAsia="Arial" w:hAnsi="Arial"/>
                <w:sz w:val="18"/>
                <w:szCs w:val="18"/>
                <w:color w:val="0000FF"/>
              </w:rPr>
            </w:pPr>
            <w:hyperlink w:anchor="page169">
              <w:r>
                <w:rPr>
                  <w:rFonts w:ascii="Arial" w:cs="Arial" w:eastAsia="Arial" w:hAnsi="Arial"/>
                  <w:sz w:val="18"/>
                  <w:szCs w:val="18"/>
                  <w:color w:val="0000FF"/>
                </w:rPr>
                <w:t>Scotts Miracle-Gro Company</w:t>
              </w:r>
            </w:hyperlink>
          </w:p>
        </w:tc>
        <w:tc>
          <w:tcPr>
            <w:tcW w:w="2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5100" w:type="dxa"/>
            <w:vAlign w:val="bottom"/>
            <w:gridSpan w:val="7"/>
          </w:tcPr>
          <w:p>
            <w:pPr>
              <w:spacing w:after="0"/>
              <w:rPr>
                <w:rFonts w:ascii="Arial" w:cs="Arial" w:eastAsia="Arial" w:hAnsi="Arial"/>
                <w:sz w:val="18"/>
                <w:szCs w:val="18"/>
                <w:color w:val="0000FF"/>
                <w:w w:val="99"/>
              </w:rPr>
            </w:pPr>
            <w:hyperlink w:anchor="page182">
              <w:r>
                <w:rPr>
                  <w:rFonts w:ascii="Arial" w:cs="Arial" w:eastAsia="Arial" w:hAnsi="Arial"/>
                  <w:sz w:val="18"/>
                  <w:szCs w:val="18"/>
                  <w:color w:val="0000FF"/>
                  <w:w w:val="99"/>
                </w:rPr>
                <w:t xml:space="preserve">Rule  13a-14(a)/15d-14(a)  Certifications  (Principal  Executive  </w:t>
              </w:r>
            </w:hyperlink>
            <w:r>
              <w:rPr>
                <w:rFonts w:ascii="Arial" w:cs="Arial" w:eastAsia="Arial" w:hAnsi="Arial"/>
                <w:sz w:val="18"/>
                <w:szCs w:val="18"/>
                <w:color w:val="000000"/>
                <w:w w:val="99"/>
              </w:rPr>
              <w:t>*</w:t>
            </w:r>
          </w:p>
        </w:tc>
      </w:tr>
      <w:tr>
        <w:trPr>
          <w:trHeight w:val="196"/>
        </w:trPr>
        <w:tc>
          <w:tcPr>
            <w:tcW w:w="15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82">
              <w:r>
                <w:rPr>
                  <w:rFonts w:ascii="Arial" w:cs="Arial" w:eastAsia="Arial" w:hAnsi="Arial"/>
                  <w:sz w:val="18"/>
                  <w:szCs w:val="18"/>
                  <w:color w:val="0000FF"/>
                  <w:w w:val="94"/>
                </w:rPr>
                <w:t>Officer)</w:t>
              </w:r>
            </w:hyperlink>
          </w:p>
        </w:tc>
        <w:tc>
          <w:tcPr>
            <w:tcW w:w="4260" w:type="dxa"/>
            <w:vAlign w:val="bottom"/>
            <w:tcBorders>
              <w:top w:val="single" w:sz="8" w:color="0000FF"/>
            </w:tcBorders>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5100" w:type="dxa"/>
            <w:vAlign w:val="bottom"/>
            <w:gridSpan w:val="7"/>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 xml:space="preserve">Rule  13a-14(a)/15d-14(a)  Certifications  (Principal  Financial  </w:t>
              </w:r>
            </w:hyperlink>
            <w:r>
              <w:rPr>
                <w:rFonts w:ascii="Arial" w:cs="Arial" w:eastAsia="Arial" w:hAnsi="Arial"/>
                <w:sz w:val="18"/>
                <w:szCs w:val="18"/>
                <w:color w:val="000000"/>
              </w:rPr>
              <w:t>*</w:t>
            </w:r>
          </w:p>
        </w:tc>
      </w:tr>
      <w:tr>
        <w:trPr>
          <w:trHeight w:val="196"/>
        </w:trPr>
        <w:tc>
          <w:tcPr>
            <w:tcW w:w="15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83">
              <w:r>
                <w:rPr>
                  <w:rFonts w:ascii="Arial" w:cs="Arial" w:eastAsia="Arial" w:hAnsi="Arial"/>
                  <w:sz w:val="18"/>
                  <w:szCs w:val="18"/>
                  <w:color w:val="0000FF"/>
                  <w:w w:val="94"/>
                </w:rPr>
                <w:t>Officer)</w:t>
              </w:r>
            </w:hyperlink>
          </w:p>
        </w:tc>
        <w:tc>
          <w:tcPr>
            <w:tcW w:w="4260" w:type="dxa"/>
            <w:vAlign w:val="bottom"/>
            <w:tcBorders>
              <w:top w:val="single" w:sz="8" w:color="0000FF"/>
            </w:tcBorders>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32</w:t>
            </w:r>
          </w:p>
        </w:tc>
        <w:tc>
          <w:tcPr>
            <w:tcW w:w="4840" w:type="dxa"/>
            <w:vAlign w:val="bottom"/>
            <w:tcBorders>
              <w:bottom w:val="single" w:sz="8" w:color="0000FF"/>
            </w:tcBorders>
            <w:gridSpan w:val="6"/>
          </w:tcPr>
          <w:p>
            <w:pPr>
              <w:spacing w:after="0"/>
              <w:rPr>
                <w:rFonts w:ascii="Arial" w:cs="Arial" w:eastAsia="Arial" w:hAnsi="Arial"/>
                <w:sz w:val="18"/>
                <w:szCs w:val="18"/>
                <w:color w:val="0000FF"/>
                <w:w w:val="96"/>
              </w:rPr>
            </w:pPr>
            <w:hyperlink w:anchor="page184">
              <w:r>
                <w:rPr>
                  <w:rFonts w:ascii="Arial" w:cs="Arial" w:eastAsia="Arial" w:hAnsi="Arial"/>
                  <w:sz w:val="18"/>
                  <w:szCs w:val="18"/>
                  <w:color w:val="0000FF"/>
                  <w:w w:val="96"/>
                </w:rPr>
                <w:t>Section  1350  Certifications  (Principal  Executive  Officer  and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40" w:type="dxa"/>
            <w:vAlign w:val="bottom"/>
            <w:gridSpan w:val="6"/>
          </w:tcPr>
          <w:p>
            <w:pPr>
              <w:spacing w:after="0" w:line="196" w:lineRule="exact"/>
              <w:rPr>
                <w:rFonts w:ascii="Arial" w:cs="Arial" w:eastAsia="Arial" w:hAnsi="Arial"/>
                <w:sz w:val="18"/>
                <w:szCs w:val="18"/>
                <w:color w:val="0000FF"/>
              </w:rPr>
            </w:pPr>
            <w:hyperlink w:anchor="page184">
              <w:r>
                <w:rPr>
                  <w:rFonts w:ascii="Arial" w:cs="Arial" w:eastAsia="Arial" w:hAnsi="Arial"/>
                  <w:sz w:val="18"/>
                  <w:szCs w:val="18"/>
                  <w:color w:val="0000FF"/>
                </w:rPr>
                <w:t>Principal Financial Officer)</w:t>
              </w:r>
            </w:hyperlink>
          </w:p>
        </w:tc>
        <w:tc>
          <w:tcPr>
            <w:tcW w:w="260" w:type="dxa"/>
            <w:vAlign w:val="bottom"/>
          </w:tcPr>
          <w:p>
            <w:pPr>
              <w:spacing w:after="0"/>
              <w:rPr>
                <w:sz w:val="17"/>
                <w:szCs w:val="17"/>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19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4"/>
              </w:rPr>
              <w:t>XBRL Instance Document</w:t>
            </w:r>
          </w:p>
        </w:tc>
        <w:tc>
          <w:tcPr>
            <w:tcW w:w="286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685" w:hanging="685"/>
        <w:spacing w:after="0"/>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 w:lineRule="exact"/>
        <w:rPr>
          <w:sz w:val="20"/>
          <w:szCs w:val="20"/>
          <w:color w:val="auto"/>
        </w:rPr>
      </w:pPr>
    </w:p>
    <w:p>
      <w:pPr>
        <w:ind w:left="685" w:hanging="685"/>
        <w:spacing w:after="0"/>
        <w:tabs>
          <w:tab w:leader="none" w:pos="685"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7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5"/>
          </w:cols>
          <w:pgMar w:left="275" w:top="1324" w:right="259" w:bottom="1440" w:gutter="0" w:footer="0" w:header="0"/>
          <w:type w:val="continuous"/>
        </w:sectPr>
      </w:pPr>
    </w:p>
    <w:bookmarkStart w:id="142" w:name="page143"/>
    <w:bookmarkEnd w:id="14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889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29,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2018 (the “Form 10-K”).</w:t>
      </w:r>
    </w:p>
    <w:p>
      <w:pPr>
        <w:spacing w:after="0" w:line="17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THOMAS RANDAL COLEMAN</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4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10.3(f)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27, 2017)</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408"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DEFERRED STOCK UNITS. </w:t>
      </w:r>
      <w:r>
        <w:rPr>
          <w:rFonts w:ascii="Arial" w:cs="Arial" w:eastAsia="Arial" w:hAnsi="Arial"/>
          <w:sz w:val="21"/>
          <w:szCs w:val="21"/>
          <w:color w:val="auto"/>
        </w:rPr>
        <w:t>You have been granted</w:t>
      </w:r>
      <w:r>
        <w:rPr>
          <w:rFonts w:ascii="Arial" w:cs="Arial" w:eastAsia="Arial" w:hAnsi="Arial"/>
          <w:sz w:val="21"/>
          <w:szCs w:val="21"/>
          <w:b w:val="1"/>
          <w:bCs w:val="1"/>
          <w:color w:val="auto"/>
        </w:rPr>
        <w:t xml:space="preserve"> [# units] </w:t>
      </w:r>
      <w:r>
        <w:rPr>
          <w:rFonts w:ascii="Arial" w:cs="Arial" w:eastAsia="Arial" w:hAnsi="Arial"/>
          <w:sz w:val="21"/>
          <w:szCs w:val="21"/>
          <w:color w:val="auto"/>
        </w:rPr>
        <w:t>deferred stock units (“DSUs”)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an equal number of related dividend equivalents. 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xml:space="preserve">. Each whole DSU represents the right to receive one full Share for each vested whole DSU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vested DSU. To accept this Award Agreement, you must return a signed copy of this Award Agreement no later than </w:t>
      </w:r>
      <w:r>
        <w:rPr>
          <w:rFonts w:ascii="Arial" w:cs="Arial" w:eastAsia="Arial" w:hAnsi="Arial"/>
          <w:sz w:val="21"/>
          <w:szCs w:val="21"/>
          <w:b w:val="1"/>
          <w:bCs w:val="1"/>
          <w:color w:val="auto"/>
        </w:rPr>
        <w:t>[Return Date]</w:t>
      </w:r>
      <w:r>
        <w:rPr>
          <w:rFonts w:ascii="Arial" w:cs="Arial" w:eastAsia="Arial" w:hAnsi="Arial"/>
          <w:sz w:val="21"/>
          <w:szCs w:val="21"/>
          <w:color w:val="auto"/>
        </w:rPr>
        <w:t>, to [</w:t>
      </w:r>
      <w:r>
        <w:rPr>
          <w:rFonts w:ascii="Arial" w:cs="Arial" w:eastAsia="Arial" w:hAnsi="Arial"/>
          <w:sz w:val="21"/>
          <w:szCs w:val="21"/>
          <w:b w:val="1"/>
          <w:bCs w:val="1"/>
          <w:color w:val="auto"/>
        </w:rPr>
        <w:t>Third Party Administrator</w:t>
      </w:r>
      <w:r>
        <w:rPr>
          <w:rFonts w:ascii="Arial" w:cs="Arial" w:eastAsia="Arial" w:hAnsi="Arial"/>
          <w:sz w:val="21"/>
          <w:szCs w:val="21"/>
          <w:color w:val="auto"/>
        </w:rPr>
        <w:t>] (the “Third Party Administrator”) as follows:</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This Award Agreement and your DSUs and dividend equivalents are granted pursuant to and in accordance with the terms of The Scotts Miracle-Gro Company Long-Term Incentive Plan effective January 27, 2017 (the “Plan”). All provisions of the Plan are incorporated herein by reference, and your DSUs and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44" w:name="page145"/>
    <w:bookmarkEnd w:id="144"/>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DSUs described in this Award Agreement will vest as follows:</w:t>
      </w:r>
    </w:p>
    <w:p>
      <w:pPr>
        <w:spacing w:after="0" w:line="260" w:lineRule="exact"/>
        <w:rPr>
          <w:rFonts w:ascii="Arial" w:cs="Arial" w:eastAsia="Arial" w:hAnsi="Arial"/>
          <w:sz w:val="22"/>
          <w:szCs w:val="22"/>
          <w:b w:val="1"/>
          <w:bCs w:val="1"/>
          <w:color w:val="auto"/>
        </w:rPr>
      </w:pPr>
    </w:p>
    <w:p>
      <w:pPr>
        <w:jc w:val="both"/>
        <w:ind w:left="1320" w:hanging="664"/>
        <w:spacing w:after="0" w:line="298" w:lineRule="auto"/>
        <w:tabs>
          <w:tab w:leader="none" w:pos="1302"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General Vesting. </w:t>
      </w:r>
      <w:r>
        <w:rPr>
          <w:rFonts w:ascii="Arial" w:cs="Arial" w:eastAsia="Arial" w:hAnsi="Arial"/>
          <w:sz w:val="19"/>
          <w:szCs w:val="19"/>
          <w:color w:val="auto"/>
        </w:rPr>
        <w:t>On the first anniversary of the Grant Date (the “Vesting Date”) provided, however, that your board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 has continued through the date of the Company’s </w:t>
      </w:r>
      <w:r>
        <w:rPr>
          <w:rFonts w:ascii="Arial" w:cs="Arial" w:eastAsia="Arial" w:hAnsi="Arial"/>
          <w:sz w:val="19"/>
          <w:szCs w:val="19"/>
          <w:b w:val="1"/>
          <w:bCs w:val="1"/>
          <w:color w:val="auto"/>
        </w:rPr>
        <w:t>[Year]</w:t>
      </w:r>
      <w:r>
        <w:rPr>
          <w:rFonts w:ascii="Arial" w:cs="Arial" w:eastAsia="Arial" w:hAnsi="Arial"/>
          <w:sz w:val="19"/>
          <w:szCs w:val="19"/>
          <w:color w:val="auto"/>
        </w:rPr>
        <w:t xml:space="preserve"> Annual Meeting of Shareholders if it is held prior to the Vesting Date, your DSUs described in this Award Agreement will become 100% vested on the Vesting Date, including any DSUs credited pursuant to Section 5 on or prior to the Vesting Date. Any DSUs received pursuant to Section 5 following the Vesting Date will be 100% vested on the date they are credited to you;</w:t>
      </w:r>
    </w:p>
    <w:p>
      <w:pPr>
        <w:spacing w:after="0" w:line="148"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13" w:lineRule="exact"/>
        <w:rPr>
          <w:rFonts w:ascii="Arial" w:cs="Arial" w:eastAsia="Arial" w:hAnsi="Arial"/>
          <w:sz w:val="19"/>
          <w:szCs w:val="19"/>
          <w:color w:val="auto"/>
        </w:rPr>
      </w:pPr>
    </w:p>
    <w:p>
      <w:pPr>
        <w:jc w:val="both"/>
        <w:ind w:left="1320" w:hanging="664"/>
        <w:spacing w:after="0" w:line="252" w:lineRule="auto"/>
        <w:tabs>
          <w:tab w:leader="none" w:pos="1302"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Your DSUs described in this Award Agreement, including any DSUs credited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 will become 100% vested as of the date you Terminate because of your death or because you become Disabled. For purposes of this Award Agreement, “Disabled” means that you have been determined to be totally disabled by the Social Security Administration.</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63" w:lineRule="auto"/>
        <w:tabs>
          <w:tab w:leader="none" w:pos="1300" w:val="left"/>
        </w:tabs>
        <w:numPr>
          <w:ilvl w:val="1"/>
          <w:numId w:val="40"/>
        </w:numPr>
        <w:rPr>
          <w:rFonts w:ascii="Arial" w:cs="Arial" w:eastAsia="Arial" w:hAnsi="Arial"/>
          <w:sz w:val="21"/>
          <w:szCs w:val="21"/>
          <w:color w:val="auto"/>
        </w:rPr>
      </w:pPr>
      <w:r>
        <w:rPr>
          <w:rFonts w:ascii="Arial" w:cs="Arial" w:eastAsia="Arial" w:hAnsi="Arial"/>
          <w:sz w:val="21"/>
          <w:szCs w:val="21"/>
          <w:color w:val="auto"/>
        </w:rPr>
        <w:t>Subject to the terms of the Plan and this Award Agreement, your vested DSUs, including any DSUs credited pursuant to Section 5, shall be settled in a lump sum as soon as administratively practicable, but no later than 90 days following the earliest date to occur of: (i) your Termination; or (ii) the third anniversary of the Grant Date (the “Settlement Date”). Your whole DSUs shall be settled in full Shares, and any fractional DSU shall be settled in cash, determined based upon the Fair Market Value of a Share on the Settlement Date.</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DSUs unless and until you become the record holder of such Shares.</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If there is a Change in Control, your DSUs, including any DSUs credited pursuant to Section 5, may vest in accordance with the Plan. See the Plan for further details.</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b w:val="1"/>
          <w:bCs w:val="1"/>
          <w:color w:val="auto"/>
        </w:rPr>
      </w:pPr>
    </w:p>
    <w:p>
      <w:pPr>
        <w:ind w:left="1300" w:right="20" w:hanging="644"/>
        <w:spacing w:after="0" w:line="263" w:lineRule="auto"/>
        <w:tabs>
          <w:tab w:leader="none" w:pos="130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you will be credited with an additional number of DSUs equal to the quotient of:</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40"/>
        </w:numPr>
        <w:rPr>
          <w:rFonts w:ascii="Arial" w:cs="Arial" w:eastAsia="Arial" w:hAnsi="Arial"/>
          <w:sz w:val="21"/>
          <w:szCs w:val="21"/>
          <w:color w:val="auto"/>
        </w:rPr>
      </w:pPr>
      <w:r>
        <w:rPr>
          <w:rFonts w:ascii="Arial" w:cs="Arial" w:eastAsia="Arial" w:hAnsi="Arial"/>
          <w:sz w:val="21"/>
          <w:szCs w:val="21"/>
          <w:color w:val="auto"/>
        </w:rPr>
        <w:t>The product of (I) the number of DSUs granted under this Award Agreement (including additional DSUs previously credited in accordance with this Section 5) that have not been settled as of the dividend payment date, multiplied by (II) the amount of the cash dividend paid per Share; divided 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145" w:name="page146"/>
    <w:bookmarkEnd w:id="145"/>
    <w:p>
      <w:pPr>
        <w:ind w:left="1960" w:hanging="655"/>
        <w:spacing w:after="0" w:line="263" w:lineRule="auto"/>
        <w:tabs>
          <w:tab w:leader="none" w:pos="19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DSUs, you will be credited with an additional number of DSUs equal to the product of:</w:t>
      </w:r>
    </w:p>
    <w:p>
      <w:pPr>
        <w:spacing w:after="0" w:line="174" w:lineRule="exact"/>
        <w:rPr>
          <w:rFonts w:ascii="Arial" w:cs="Arial" w:eastAsia="Arial" w:hAnsi="Arial"/>
          <w:sz w:val="22"/>
          <w:szCs w:val="22"/>
          <w:color w:val="auto"/>
        </w:rPr>
      </w:pPr>
    </w:p>
    <w:p>
      <w:pPr>
        <w:ind w:left="1960" w:right="20" w:hanging="655"/>
        <w:spacing w:after="0" w:line="343" w:lineRule="auto"/>
        <w:tabs>
          <w:tab w:leader="none" w:pos="19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number of DSUs granted under this Award Agreement (including additional DSUs previously credited in accordance with this Section 5) that have not been settled as of the dividend payment date, multiplied by</w:t>
      </w:r>
    </w:p>
    <w:p>
      <w:pPr>
        <w:spacing w:after="0" w:line="105" w:lineRule="exact"/>
        <w:rPr>
          <w:sz w:val="20"/>
          <w:szCs w:val="20"/>
          <w:color w:val="auto"/>
        </w:rPr>
      </w:pPr>
    </w:p>
    <w:p>
      <w:pPr>
        <w:ind w:left="1960" w:hanging="655"/>
        <w:spacing w:after="0"/>
        <w:tabs>
          <w:tab w:leader="none" w:pos="1960"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additional DSUs credited pursuant to this Section 5 shall be subject to the same terms and conditions as the DSUs granted pursuant to Section 1 above.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5 shall be rounded to the nearest whole Share.</w:t>
      </w:r>
    </w:p>
    <w:p>
      <w:pPr>
        <w:spacing w:after="0" w:line="168" w:lineRule="exact"/>
        <w:rPr>
          <w:rFonts w:ascii="Arial" w:cs="Arial" w:eastAsia="Arial" w:hAnsi="Arial"/>
          <w:sz w:val="22"/>
          <w:szCs w:val="22"/>
          <w:color w:val="auto"/>
        </w:rPr>
      </w:pPr>
    </w:p>
    <w:p>
      <w:pPr>
        <w:ind w:firstLine="8"/>
        <w:spacing w:after="0" w:line="269" w:lineRule="auto"/>
        <w:tabs>
          <w:tab w:leader="none" w:pos="459"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DSUs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pacing w:after="0" w:line="202" w:lineRule="exact"/>
        <w:rPr>
          <w:rFonts w:ascii="Arial" w:cs="Arial" w:eastAsia="Arial" w:hAnsi="Arial"/>
          <w:sz w:val="22"/>
          <w:szCs w:val="22"/>
          <w:b w:val="1"/>
          <w:bCs w:val="1"/>
          <w:color w:val="auto"/>
        </w:rPr>
      </w:pPr>
    </w:p>
    <w:p>
      <w:pPr>
        <w:ind w:firstLine="8"/>
        <w:spacing w:after="0" w:line="269" w:lineRule="auto"/>
        <w:tabs>
          <w:tab w:leader="none" w:pos="402"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52" w:lineRule="auto"/>
        <w:tabs>
          <w:tab w:leader="none" w:pos="482"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AGREEMENTS AND POLICIES. </w:t>
      </w:r>
      <w:r>
        <w:rPr>
          <w:rFonts w:ascii="Arial" w:cs="Arial" w:eastAsia="Arial" w:hAnsi="Arial"/>
          <w:sz w:val="22"/>
          <w:szCs w:val="22"/>
          <w:color w:val="auto"/>
        </w:rPr>
        <w:t>Your DSUs and the related dividend equivalents will be subject to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t>recoupment policies, share trading policies and other policies that may be implemented by the Company from time to time.</w:t>
      </w:r>
    </w:p>
    <w:p>
      <w:pPr>
        <w:spacing w:after="0" w:line="225" w:lineRule="exact"/>
        <w:rPr>
          <w:sz w:val="20"/>
          <w:szCs w:val="20"/>
          <w:color w:val="auto"/>
        </w:rPr>
      </w:pPr>
    </w:p>
    <w:p>
      <w:pPr>
        <w:jc w:val="both"/>
        <w:ind w:firstLine="8"/>
        <w:spacing w:after="0" w:line="256" w:lineRule="auto"/>
        <w:tabs>
          <w:tab w:leader="none" w:pos="513"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 equivalents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375" w:right="239" w:bottom="1440" w:gutter="0" w:footer="0" w:header="0"/>
        </w:sect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[PARTICIPANT NAME]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16" w:lineRule="exact"/>
        <w:rPr>
          <w:sz w:val="20"/>
          <w:szCs w:val="20"/>
          <w:color w:val="auto"/>
        </w:rPr>
      </w:pPr>
    </w:p>
    <w:p>
      <w:pPr>
        <w:sectPr>
          <w:pgSz w:w="11900" w:h="16838" w:orient="portrait"/>
          <w:cols w:equalWidth="0" w:num="2">
            <w:col w:w="4560" w:space="720"/>
            <w:col w:w="6140"/>
          </w:cols>
          <w:pgMar w:left="240" w:top="375" w:right="239" w:bottom="144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 Name]</w:t>
      </w:r>
    </w:p>
    <w:p>
      <w:pPr>
        <w:spacing w:after="0" w:line="230" w:lineRule="auto"/>
        <w:rPr>
          <w:sz w:val="20"/>
          <w:szCs w:val="20"/>
          <w:color w:val="auto"/>
        </w:rPr>
      </w:pPr>
      <w:r>
        <w:rPr>
          <w:rFonts w:ascii="Arial" w:cs="Arial" w:eastAsia="Arial" w:hAnsi="Arial"/>
          <w:sz w:val="22"/>
          <w:szCs w:val="22"/>
          <w:b w:val="1"/>
          <w:bCs w:val="1"/>
          <w:color w:val="auto"/>
        </w:rPr>
        <w:t>[Officer Title]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560" w:space="720"/>
            <w:col w:w="6140"/>
          </w:cols>
          <w:pgMar w:left="240" w:top="375" w:right="2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5" w:right="2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Deferral of [Year] Cash Retainer</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January 27, 2017)</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Award Agreement describes the deferred stock units (“DSUs”) which you will be credited with upon conversion of quarterly installments of the annual cash retainer payable to you by the Company and the terms and conditions of your DSUs.</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You must return a signed copy of this Award Agreement no later than </w:t>
      </w:r>
      <w:r>
        <w:rPr>
          <w:rFonts w:ascii="Arial" w:cs="Arial" w:eastAsia="Arial" w:hAnsi="Arial"/>
          <w:sz w:val="22"/>
          <w:szCs w:val="22"/>
          <w:b w:val="1"/>
          <w:bCs w:val="1"/>
          <w:color w:val="auto"/>
        </w:rPr>
        <w:t>[Date</w:t>
      </w:r>
      <w:r>
        <w:rPr>
          <w:rFonts w:ascii="Arial" w:cs="Arial" w:eastAsia="Arial" w:hAnsi="Arial"/>
          <w:sz w:val="22"/>
          <w:szCs w:val="22"/>
          <w:color w:val="auto"/>
        </w:rPr>
        <w:t xml:space="preserve">],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xml:space="preserve"> (the “Third Party Administrator”) as follows:</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DSUs and reduce their value or potential value.</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DESCRIPTION OF YOUR DEFERRED STOCK UNITS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have elected to convert $</w:t>
      </w:r>
      <w:r>
        <w:rPr>
          <w:rFonts w:ascii="Arial" w:cs="Arial" w:eastAsia="Arial" w:hAnsi="Arial"/>
          <w:sz w:val="22"/>
          <w:szCs w:val="22"/>
          <w:b w:val="1"/>
          <w:bCs w:val="1"/>
          <w:color w:val="auto"/>
        </w:rPr>
        <w:t>[DollarAmount]</w:t>
      </w:r>
      <w:r>
        <w:rPr>
          <w:rFonts w:ascii="Arial" w:cs="Arial" w:eastAsia="Arial" w:hAnsi="Arial"/>
          <w:sz w:val="22"/>
          <w:szCs w:val="22"/>
          <w:color w:val="auto"/>
        </w:rPr>
        <w:t xml:space="preserve"> of each quarterly installment of the annual cash retainer paid to you by the Company (“Amount Deferred”) into DSUs, subject to the terms and conditions of the Plan and this Award Agreement. As of each date on which the Amount Deferred would otherwise be paid (each a “Conversion Date”), you will be credited with a number of DSUs and an equal number of related dividend equivalents, determined by dividing the Amount Deferred by the Fair Market Value of a Share. The number of DSUs credited to you each quarter will be reflected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as updated by the Company after each Conversion Date during </w:t>
      </w:r>
      <w:r>
        <w:rPr>
          <w:rFonts w:ascii="Arial" w:cs="Arial" w:eastAsia="Arial" w:hAnsi="Arial"/>
          <w:sz w:val="22"/>
          <w:szCs w:val="22"/>
          <w:b w:val="1"/>
          <w:bCs w:val="1"/>
          <w:color w:val="auto"/>
        </w:rPr>
        <w:t>[Year]</w:t>
      </w:r>
      <w:r>
        <w:rPr>
          <w:rFonts w:ascii="Arial" w:cs="Arial" w:eastAsia="Arial" w:hAnsi="Arial"/>
          <w:sz w:val="22"/>
          <w:szCs w:val="22"/>
          <w:color w:val="auto"/>
        </w:rPr>
        <w: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148" w:name="page149"/>
    <w:bookmarkEnd w:id="148"/>
    <w:p>
      <w:pPr>
        <w:ind w:left="380" w:hanging="372"/>
        <w:spacing w:after="0"/>
        <w:tabs>
          <w:tab w:leader="none" w:pos="3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04"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Your DSUs (and any related dividend equivalents received pursuant to Section 3(c) following the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will be 100% vested on the date they are credited to you.</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319"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Subject to the terms of the Plan, your vested DSUs shall be settled in a lump sum as soon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administratively practicable, but no later than 90 days, following the earliest to occur of: (i) your Termination (as defined below); (ii) your death; (iii) the date you become Disabled (as defined below); or (iv) </w:t>
      </w:r>
      <w:r>
        <w:rPr>
          <w:rFonts w:ascii="Arial" w:cs="Arial" w:eastAsia="Arial" w:hAnsi="Arial"/>
          <w:sz w:val="22"/>
          <w:szCs w:val="22"/>
          <w:b w:val="1"/>
          <w:bCs w:val="1"/>
          <w:color w:val="auto"/>
        </w:rPr>
        <w:t>[Date]</w:t>
      </w:r>
      <w:r>
        <w:rPr>
          <w:rFonts w:ascii="Arial" w:cs="Arial" w:eastAsia="Arial" w:hAnsi="Arial"/>
          <w:sz w:val="22"/>
          <w:szCs w:val="22"/>
          <w:color w:val="auto"/>
        </w:rPr>
        <w:t xml:space="preserve"> (the “Settlement Date”). Your whole DSUs shall be settled in full Shares, and any fractional DSU shall be settled in cash, determined based upon the Fair Market Value of a Share on the Settlement Date.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Award Agreement:</w:t>
      </w:r>
    </w:p>
    <w:p>
      <w:pPr>
        <w:spacing w:after="0" w:line="225" w:lineRule="exact"/>
        <w:rPr>
          <w:rFonts w:ascii="Arial" w:cs="Arial" w:eastAsia="Arial" w:hAnsi="Arial"/>
          <w:sz w:val="22"/>
          <w:szCs w:val="22"/>
          <w:color w:val="auto"/>
        </w:rPr>
      </w:pPr>
    </w:p>
    <w:p>
      <w:pPr>
        <w:ind w:left="1720" w:hanging="415"/>
        <w:spacing w:after="0"/>
        <w:tabs>
          <w:tab w:leader="none" w:pos="1720" w:val="left"/>
        </w:tabs>
        <w:numPr>
          <w:ilvl w:val="2"/>
          <w:numId w:val="48"/>
        </w:numPr>
        <w:rPr>
          <w:rFonts w:ascii="Arial" w:cs="Arial" w:eastAsia="Arial" w:hAnsi="Arial"/>
          <w:sz w:val="19"/>
          <w:szCs w:val="19"/>
          <w:color w:val="auto"/>
        </w:rPr>
      </w:pPr>
      <w:r>
        <w:rPr>
          <w:rFonts w:ascii="Arial" w:cs="Arial" w:eastAsia="Arial" w:hAnsi="Arial"/>
          <w:sz w:val="19"/>
          <w:szCs w:val="19"/>
          <w:color w:val="auto"/>
        </w:rPr>
        <w:t>“Disabled” means that you have been determined to be totally disabled by the Social Security Administration.</w:t>
      </w:r>
    </w:p>
    <w:p>
      <w:pPr>
        <w:spacing w:after="0" w:line="254" w:lineRule="exact"/>
        <w:rPr>
          <w:rFonts w:ascii="Arial" w:cs="Arial" w:eastAsia="Arial" w:hAnsi="Arial"/>
          <w:sz w:val="19"/>
          <w:szCs w:val="19"/>
          <w:color w:val="auto"/>
        </w:rPr>
      </w:pPr>
    </w:p>
    <w:p>
      <w:pPr>
        <w:ind w:left="660" w:firstLine="645"/>
        <w:spacing w:after="0" w:line="263" w:lineRule="auto"/>
        <w:tabs>
          <w:tab w:leader="none" w:pos="1842" w:val="left"/>
        </w:tabs>
        <w:numPr>
          <w:ilvl w:val="2"/>
          <w:numId w:val="48"/>
        </w:numPr>
        <w:rPr>
          <w:rFonts w:ascii="Arial" w:cs="Arial" w:eastAsia="Arial" w:hAnsi="Arial"/>
          <w:sz w:val="22"/>
          <w:szCs w:val="22"/>
          <w:color w:val="auto"/>
        </w:rPr>
      </w:pPr>
      <w:r>
        <w:rPr>
          <w:rFonts w:ascii="Arial" w:cs="Arial" w:eastAsia="Arial" w:hAnsi="Arial"/>
          <w:sz w:val="22"/>
          <w:szCs w:val="22"/>
          <w:color w:val="auto"/>
        </w:rPr>
        <w:t>“Termination” (or any form thereof) means your “separation from service” from the Company, as defined in Section 409A of the Code.</w:t>
      </w:r>
    </w:p>
    <w:p>
      <w:pPr>
        <w:spacing w:after="0" w:line="209" w:lineRule="exact"/>
        <w:rPr>
          <w:rFonts w:ascii="Arial" w:cs="Arial" w:eastAsia="Arial" w:hAnsi="Arial"/>
          <w:sz w:val="22"/>
          <w:szCs w:val="22"/>
          <w:color w:val="auto"/>
        </w:rPr>
      </w:pPr>
    </w:p>
    <w:p>
      <w:pPr>
        <w:ind w:left="380" w:hanging="372"/>
        <w:spacing w:after="0"/>
        <w:tabs>
          <w:tab w:leader="none" w:pos="3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GENERAL TERMS AND CONDITIONS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18"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or the Plan at any time.</w:t>
      </w:r>
    </w:p>
    <w:p>
      <w:pPr>
        <w:spacing w:after="0" w:line="162" w:lineRule="exact"/>
        <w:rPr>
          <w:rFonts w:ascii="Arial" w:cs="Arial" w:eastAsia="Arial" w:hAnsi="Arial"/>
          <w:sz w:val="22"/>
          <w:szCs w:val="22"/>
          <w:color w:val="auto"/>
        </w:rPr>
      </w:pPr>
    </w:p>
    <w:p>
      <w:pPr>
        <w:jc w:val="both"/>
        <w:ind w:right="20" w:firstLine="656"/>
        <w:spacing w:after="0" w:line="256" w:lineRule="auto"/>
        <w:tabs>
          <w:tab w:leader="none" w:pos="1116"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RIGHTS BEFORE YOUR DSUs ARE SETTLED. </w:t>
      </w:r>
      <w:r>
        <w:rPr>
          <w:rFonts w:ascii="Arial" w:cs="Arial" w:eastAsia="Arial" w:hAnsi="Arial"/>
          <w:sz w:val="22"/>
          <w:szCs w:val="22"/>
          <w:color w:val="auto"/>
        </w:rPr>
        <w:t>Except as provided in Section 3(c) below, you will have none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of a shareholder with respect to Shares underlying the DSUs credited to you under this Award Agreement unless and until you become the record holder of such Shares.</w:t>
      </w:r>
    </w:p>
    <w:p>
      <w:pPr>
        <w:spacing w:after="0" w:line="176" w:lineRule="exact"/>
        <w:rPr>
          <w:rFonts w:ascii="Arial" w:cs="Arial" w:eastAsia="Arial" w:hAnsi="Arial"/>
          <w:sz w:val="22"/>
          <w:szCs w:val="22"/>
          <w:color w:val="auto"/>
        </w:rPr>
      </w:pPr>
    </w:p>
    <w:p>
      <w:pPr>
        <w:ind w:left="1120" w:hanging="464"/>
        <w:spacing w:after="0"/>
        <w:tabs>
          <w:tab w:leader="none" w:pos="1120"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color w:val="auto"/>
        </w:rPr>
      </w:pPr>
    </w:p>
    <w:p>
      <w:pPr>
        <w:ind w:left="660" w:firstLine="645"/>
        <w:spacing w:after="0" w:line="263" w:lineRule="auto"/>
        <w:tabs>
          <w:tab w:leader="none" w:pos="1796" w:val="left"/>
        </w:tabs>
        <w:numPr>
          <w:ilvl w:val="2"/>
          <w:numId w:val="48"/>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credited to you under this Award Agreement, you will receive an additional number of DSUs equal to the quotient of:</w:t>
      </w:r>
    </w:p>
    <w:p>
      <w:pPr>
        <w:spacing w:after="0" w:line="174" w:lineRule="exact"/>
        <w:rPr>
          <w:rFonts w:ascii="Arial" w:cs="Arial" w:eastAsia="Arial" w:hAnsi="Arial"/>
          <w:sz w:val="22"/>
          <w:szCs w:val="22"/>
          <w:color w:val="auto"/>
        </w:rPr>
      </w:pPr>
    </w:p>
    <w:p>
      <w:pPr>
        <w:jc w:val="both"/>
        <w:ind w:left="1300" w:firstLine="653"/>
        <w:spacing w:after="0" w:line="253" w:lineRule="auto"/>
        <w:tabs>
          <w:tab w:leader="none" w:pos="2479" w:val="left"/>
        </w:tabs>
        <w:numPr>
          <w:ilvl w:val="3"/>
          <w:numId w:val="48"/>
        </w:numPr>
        <w:rPr>
          <w:rFonts w:ascii="Arial" w:cs="Arial" w:eastAsia="Arial" w:hAnsi="Arial"/>
          <w:sz w:val="22"/>
          <w:szCs w:val="22"/>
          <w:color w:val="auto"/>
        </w:rPr>
      </w:pPr>
      <w:r>
        <w:rPr>
          <w:rFonts w:ascii="Arial" w:cs="Arial" w:eastAsia="Arial" w:hAnsi="Arial"/>
          <w:sz w:val="22"/>
          <w:szCs w:val="22"/>
          <w:color w:val="auto"/>
        </w:rPr>
        <w:t>the product of (I) such number of DSUs (including additional DSUs previously received in accordance with this Section 3(c)) that have not been settled as of the dividend payment date, multiplied by (II) the amount of the cash dividend paid per Share; divided by</w:t>
      </w:r>
    </w:p>
    <w:p>
      <w:pPr>
        <w:spacing w:after="0" w:line="185" w:lineRule="exact"/>
        <w:rPr>
          <w:rFonts w:ascii="Arial" w:cs="Arial" w:eastAsia="Arial" w:hAnsi="Arial"/>
          <w:sz w:val="22"/>
          <w:szCs w:val="22"/>
          <w:color w:val="auto"/>
        </w:rPr>
      </w:pPr>
    </w:p>
    <w:p>
      <w:pPr>
        <w:ind w:left="1300" w:firstLine="653"/>
        <w:spacing w:after="0" w:line="263" w:lineRule="auto"/>
        <w:tabs>
          <w:tab w:leader="none" w:pos="2553" w:val="left"/>
        </w:tabs>
        <w:numPr>
          <w:ilvl w:val="3"/>
          <w:numId w:val="48"/>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Any additional DSUs credited pursuant to this Section 3(c)(i) shall be subject to the same terms and conditions as the DSUs credited to you pursuant to Section 1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149" w:name="page150"/>
    <w:bookmarkEnd w:id="149"/>
    <w:p>
      <w:pPr>
        <w:jc w:val="both"/>
        <w:ind w:left="660" w:firstLine="645"/>
        <w:spacing w:after="0" w:line="297" w:lineRule="auto"/>
        <w:tabs>
          <w:tab w:leader="none" w:pos="1945" w:val="left"/>
        </w:tabs>
        <w:numPr>
          <w:ilvl w:val="1"/>
          <w:numId w:val="49"/>
        </w:numPr>
        <w:rPr>
          <w:rFonts w:ascii="Arial" w:cs="Arial" w:eastAsia="Arial" w:hAnsi="Arial"/>
          <w:sz w:val="19"/>
          <w:szCs w:val="19"/>
          <w:color w:val="auto"/>
        </w:rPr>
      </w:pPr>
      <w:r>
        <w:rPr>
          <w:rFonts w:ascii="Arial" w:cs="Arial" w:eastAsia="Arial" w:hAnsi="Arial"/>
          <w:sz w:val="19"/>
          <w:szCs w:val="19"/>
          <w:color w:val="auto"/>
        </w:rPr>
        <w:t>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credited pursuant to Section 1 above.</w:t>
      </w:r>
    </w:p>
    <w:p>
      <w:pPr>
        <w:spacing w:after="0" w:line="147" w:lineRule="exact"/>
        <w:rPr>
          <w:rFonts w:ascii="Arial" w:cs="Arial" w:eastAsia="Arial" w:hAnsi="Arial"/>
          <w:sz w:val="19"/>
          <w:szCs w:val="19"/>
          <w:color w:val="auto"/>
        </w:rPr>
      </w:pPr>
    </w:p>
    <w:p>
      <w:pPr>
        <w:ind w:left="660" w:firstLine="645"/>
        <w:spacing w:after="0" w:line="263" w:lineRule="auto"/>
        <w:tabs>
          <w:tab w:leader="none" w:pos="1852"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3(c) shall be rounded to the nearest whole Share.</w:t>
      </w:r>
    </w:p>
    <w:p>
      <w:pPr>
        <w:spacing w:after="0" w:line="168" w:lineRule="exact"/>
        <w:rPr>
          <w:rFonts w:ascii="Arial" w:cs="Arial" w:eastAsia="Arial" w:hAnsi="Arial"/>
          <w:sz w:val="22"/>
          <w:szCs w:val="22"/>
          <w:color w:val="auto"/>
        </w:rPr>
      </w:pPr>
    </w:p>
    <w:p>
      <w:pPr>
        <w:jc w:val="both"/>
        <w:ind w:firstLine="656"/>
        <w:spacing w:after="0" w:line="248" w:lineRule="auto"/>
        <w:tabs>
          <w:tab w:leader="none" w:pos="1197"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are settled after you die. This may be done only on a Beneficiary Designation Form and by following the rules described in that Form. The Beneficiary Designation Form does not need to be completed now and is not required as a condition of receiving DSUs upon conversion of the Amount Deferred.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04"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Normally your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w:t>
      </w:r>
      <w:r>
        <w:rPr>
          <w:rFonts w:ascii="Arial" w:cs="Arial" w:eastAsia="Arial" w:hAnsi="Arial"/>
          <w:sz w:val="22"/>
          <w:szCs w:val="22"/>
          <w:b w:val="1"/>
          <w:bCs w:val="1"/>
          <w:color w:val="auto"/>
        </w:rPr>
        <w:t>[TPA]</w:t>
      </w:r>
      <w:r>
        <w:rPr>
          <w:rFonts w:ascii="Arial" w:cs="Arial" w:eastAsia="Arial" w:hAnsi="Arial"/>
          <w:sz w:val="22"/>
          <w:szCs w:val="22"/>
          <w:color w:val="auto"/>
        </w:rPr>
        <w:t xml:space="preserve"> at [</w:t>
      </w:r>
      <w:r>
        <w:rPr>
          <w:rFonts w:ascii="Arial" w:cs="Arial" w:eastAsia="Arial" w:hAnsi="Arial"/>
          <w:sz w:val="22"/>
          <w:szCs w:val="22"/>
          <w:b w:val="1"/>
          <w:bCs w:val="1"/>
          <w:color w:val="auto"/>
        </w:rPr>
        <w:t>TPA Telephone Number]</w:t>
      </w:r>
      <w:r>
        <w:rPr>
          <w:rFonts w:ascii="Arial" w:cs="Arial" w:eastAsia="Arial" w:hAnsi="Arial"/>
          <w:sz w:val="22"/>
          <w:szCs w:val="22"/>
          <w:color w:val="auto"/>
        </w:rPr>
        <w:t xml:space="preserve"> or at the address given above if you are interested in doing this.</w:t>
      </w:r>
    </w:p>
    <w:p>
      <w:pPr>
        <w:spacing w:after="0" w:line="227" w:lineRule="exact"/>
        <w:rPr>
          <w:rFonts w:ascii="Arial" w:cs="Arial" w:eastAsia="Arial" w:hAnsi="Arial"/>
          <w:sz w:val="22"/>
          <w:szCs w:val="22"/>
          <w:color w:val="auto"/>
        </w:rPr>
      </w:pPr>
    </w:p>
    <w:p>
      <w:pPr>
        <w:jc w:val="both"/>
        <w:ind w:firstLine="656"/>
        <w:spacing w:after="0" w:line="256" w:lineRule="auto"/>
        <w:tabs>
          <w:tab w:leader="none" w:pos="118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or 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color w:val="auto"/>
        </w:rPr>
      </w:pPr>
    </w:p>
    <w:p>
      <w:pPr>
        <w:jc w:val="both"/>
        <w:ind w:firstLine="656"/>
        <w:spacing w:after="0" w:line="256" w:lineRule="auto"/>
        <w:tabs>
          <w:tab w:leader="none" w:pos="1143"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OTHER AGREEMENTS. </w:t>
      </w:r>
      <w:r>
        <w:rPr>
          <w:rFonts w:ascii="Arial" w:cs="Arial" w:eastAsia="Arial" w:hAnsi="Arial"/>
          <w:sz w:val="22"/>
          <w:szCs w:val="22"/>
          <w:color w:val="auto"/>
        </w:rPr>
        <w:t>Your DSUs and the related dividend equivalents will be subject to the terms of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agreements between you and the Company or any Affiliate or Subsidiary to the extent that those other agreements do not directly conflict with the terms of the Plan or this Award Agreement.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319"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will 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22"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OTHER RULES. </w:t>
      </w:r>
      <w:r>
        <w:rPr>
          <w:rFonts w:ascii="Arial" w:cs="Arial" w:eastAsia="Arial" w:hAnsi="Arial"/>
          <w:sz w:val="22"/>
          <w:szCs w:val="22"/>
          <w:color w:val="auto"/>
        </w:rPr>
        <w:t>Your DSUs and dividend equivalents are subject to more rules described in the Plan. You should</w:t>
      </w:r>
      <w:r>
        <w:rPr>
          <w:rFonts w:ascii="Arial" w:cs="Arial" w:eastAsia="Arial" w:hAnsi="Arial"/>
          <w:sz w:val="22"/>
          <w:szCs w:val="22"/>
          <w:b w:val="1"/>
          <w:bCs w:val="1"/>
          <w:color w:val="auto"/>
        </w:rPr>
        <w:t xml:space="preserve"> </w:t>
      </w:r>
      <w:r>
        <w:rPr>
          <w:rFonts w:ascii="Arial" w:cs="Arial" w:eastAsia="Arial" w:hAnsi="Arial"/>
          <w:sz w:val="22"/>
          <w:szCs w:val="22"/>
          <w:color w:val="auto"/>
        </w:rPr>
        <w:t>read the Plan carefully to ensure you fully understand all the terms and conditions of the crediting of DSUs and the related dividend equivalents under this Award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50" w:name="page151"/>
    <w:bookmarkEnd w:id="150"/>
    <w:p>
      <w:pPr>
        <w:ind w:right="5420"/>
        <w:spacing w:after="0" w:line="451" w:lineRule="auto"/>
        <w:rPr>
          <w:sz w:val="20"/>
          <w:szCs w:val="20"/>
          <w:color w:val="auto"/>
        </w:rPr>
      </w:pPr>
      <w:r>
        <w:rPr>
          <w:rFonts w:ascii="Arial" w:cs="Arial" w:eastAsia="Arial" w:hAnsi="Arial"/>
          <w:sz w:val="22"/>
          <w:szCs w:val="22"/>
          <w:b w:val="1"/>
          <w:bCs w:val="1"/>
          <w:color w:val="auto"/>
        </w:rPr>
        <w:t xml:space="preserve">4. YOUR ACKNOWLEDGMENT OF AWARD CONDITIONS </w:t>
      </w:r>
      <w:r>
        <w:rPr>
          <w:rFonts w:ascii="Arial" w:cs="Arial" w:eastAsia="Arial" w:hAnsi="Arial"/>
          <w:sz w:val="22"/>
          <w:szCs w:val="22"/>
          <w:color w:val="auto"/>
        </w:rPr>
        <w:t>By signing below, you acknowledge and agree that:</w:t>
      </w:r>
    </w:p>
    <w:p>
      <w:pPr>
        <w:spacing w:after="0" w:line="1" w:lineRule="exact"/>
        <w:rPr>
          <w:sz w:val="20"/>
          <w:szCs w:val="20"/>
          <w:color w:val="auto"/>
        </w:rPr>
      </w:pPr>
    </w:p>
    <w:p>
      <w:pPr>
        <w:ind w:left="1100" w:hanging="444"/>
        <w:spacing w:after="0"/>
        <w:tabs>
          <w:tab w:leader="none" w:pos="11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DSUs;</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spacing w:after="0" w:line="182" w:lineRule="exact"/>
        <w:rPr>
          <w:rFonts w:ascii="Arial" w:cs="Arial" w:eastAsia="Arial" w:hAnsi="Arial"/>
          <w:sz w:val="22"/>
          <w:szCs w:val="22"/>
          <w:color w:val="auto"/>
        </w:rPr>
      </w:pPr>
    </w:p>
    <w:p>
      <w:pPr>
        <w:jc w:val="both"/>
        <w:ind w:firstLine="656"/>
        <w:spacing w:after="0" w:line="256" w:lineRule="auto"/>
        <w:tabs>
          <w:tab w:leader="none" w:pos="1145"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 By signing below you acknowledge that the DSUs credited to you on each Conversion Date (as reflected on Schedule A for each Conversion Date) will be subject to the terms of the Plan and this Award Agreement.</w:t>
      </w:r>
    </w:p>
    <w:p>
      <w:pPr>
        <w:sectPr>
          <w:pgSz w:w="11900" w:h="16838" w:orient="portrait"/>
          <w:cols w:equalWidth="0" w:num="1">
            <w:col w:w="11420"/>
          </w:cols>
          <w:pgMar w:left="240" w:top="369"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[Director’s Name]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560" w:space="720"/>
            <w:col w:w="6140"/>
          </w:cols>
          <w:pgMar w:left="240" w:top="369"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 Name]</w:t>
      </w:r>
    </w:p>
    <w:p>
      <w:pPr>
        <w:spacing w:after="0" w:line="230" w:lineRule="auto"/>
        <w:rPr>
          <w:sz w:val="20"/>
          <w:szCs w:val="20"/>
          <w:color w:val="auto"/>
        </w:rPr>
      </w:pPr>
      <w:r>
        <w:rPr>
          <w:rFonts w:ascii="Arial" w:cs="Arial" w:eastAsia="Arial" w:hAnsi="Arial"/>
          <w:sz w:val="22"/>
          <w:szCs w:val="22"/>
          <w:b w:val="1"/>
          <w:bCs w:val="1"/>
          <w:color w:val="auto"/>
        </w:rPr>
        <w:t>[Officer Title]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w:t>
      </w:r>
    </w:p>
    <w:p>
      <w:pPr>
        <w:spacing w:after="0" w:line="200" w:lineRule="exact"/>
        <w:rPr>
          <w:sz w:val="20"/>
          <w:szCs w:val="20"/>
          <w:color w:val="auto"/>
        </w:rPr>
      </w:pPr>
    </w:p>
    <w:p>
      <w:pPr>
        <w:sectPr>
          <w:pgSz w:w="11900" w:h="16838" w:orient="portrait"/>
          <w:cols w:equalWidth="0" w:num="2">
            <w:col w:w="4560" w:space="720"/>
            <w:col w:w="6140"/>
          </w:cols>
          <w:pgMar w:left="240" w:top="3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369" w:right="239" w:bottom="1440" w:gutter="0" w:footer="0" w:header="0"/>
          <w:type w:val="continuous"/>
        </w:sectPr>
      </w:pPr>
    </w:p>
    <w:bookmarkStart w:id="151" w:name="page152"/>
    <w:bookmarkEnd w:id="151"/>
    <w:p>
      <w:pPr>
        <w:jc w:val="center"/>
        <w:ind w:right="20"/>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Amended and Restated effective January 27, 2017)</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 w:type="dxa"/>
            <w:vAlign w:val="bottom"/>
            <w:tcBorders>
              <w:top w:val="single" w:sz="8" w:color="00000A"/>
              <w:left w:val="single" w:sz="8" w:color="00000A"/>
            </w:tcBorders>
          </w:tcPr>
          <w:p>
            <w:pPr>
              <w:spacing w:after="0"/>
              <w:rPr>
                <w:sz w:val="21"/>
                <w:szCs w:val="21"/>
                <w:color w:val="auto"/>
              </w:rPr>
            </w:pPr>
          </w:p>
        </w:tc>
        <w:tc>
          <w:tcPr>
            <w:tcW w:w="580" w:type="dxa"/>
            <w:vAlign w:val="bottom"/>
            <w:tcBorders>
              <w:top w:val="single" w:sz="8" w:color="00000A"/>
            </w:tcBorders>
          </w:tcPr>
          <w:p>
            <w:pPr>
              <w:spacing w:after="0"/>
              <w:rPr>
                <w:sz w:val="21"/>
                <w:szCs w:val="21"/>
                <w:color w:val="auto"/>
              </w:rPr>
            </w:pPr>
          </w:p>
        </w:tc>
        <w:tc>
          <w:tcPr>
            <w:tcW w:w="2280" w:type="dxa"/>
            <w:vAlign w:val="bottom"/>
            <w:tcBorders>
              <w:top w:val="single" w:sz="8" w:color="00000A"/>
              <w:right w:val="single" w:sz="8" w:color="00000A"/>
            </w:tcBorders>
            <w:gridSpan w:val="3"/>
          </w:tcPr>
          <w:p>
            <w:pPr>
              <w:ind w:left="100"/>
              <w:spacing w:after="0" w:line="243" w:lineRule="exact"/>
              <w:rPr>
                <w:sz w:val="20"/>
                <w:szCs w:val="20"/>
                <w:color w:val="auto"/>
              </w:rPr>
            </w:pPr>
            <w:r>
              <w:rPr>
                <w:rFonts w:ascii="Arial" w:cs="Arial" w:eastAsia="Arial" w:hAnsi="Arial"/>
                <w:sz w:val="22"/>
                <w:szCs w:val="22"/>
                <w:color w:val="auto"/>
              </w:rPr>
              <w:t>Conversion Date</w:t>
            </w:r>
          </w:p>
        </w:tc>
        <w:tc>
          <w:tcPr>
            <w:tcW w:w="640" w:type="dxa"/>
            <w:vAlign w:val="bottom"/>
            <w:tcBorders>
              <w:top w:val="single" w:sz="8" w:color="00000A"/>
            </w:tcBorders>
          </w:tcPr>
          <w:p>
            <w:pPr>
              <w:spacing w:after="0"/>
              <w:rPr>
                <w:sz w:val="21"/>
                <w:szCs w:val="21"/>
                <w:color w:val="auto"/>
              </w:rPr>
            </w:pPr>
          </w:p>
        </w:tc>
        <w:tc>
          <w:tcPr>
            <w:tcW w:w="2200" w:type="dxa"/>
            <w:vAlign w:val="bottom"/>
            <w:tcBorders>
              <w:top w:val="single" w:sz="8" w:color="00000A"/>
              <w:right w:val="single" w:sz="8" w:color="00000A"/>
            </w:tcBorders>
            <w:gridSpan w:val="4"/>
          </w:tcPr>
          <w:p>
            <w:pPr>
              <w:jc w:val="center"/>
              <w:ind w:right="680"/>
              <w:spacing w:after="0" w:line="243" w:lineRule="exact"/>
              <w:rPr>
                <w:sz w:val="20"/>
                <w:szCs w:val="20"/>
                <w:color w:val="auto"/>
              </w:rPr>
            </w:pPr>
            <w:r>
              <w:rPr>
                <w:rFonts w:ascii="Arial" w:cs="Arial" w:eastAsia="Arial" w:hAnsi="Arial"/>
                <w:sz w:val="22"/>
                <w:szCs w:val="22"/>
                <w:color w:val="auto"/>
                <w:w w:val="90"/>
              </w:rPr>
              <w:t>Amount Deferred</w:t>
            </w:r>
          </w:p>
        </w:tc>
        <w:tc>
          <w:tcPr>
            <w:tcW w:w="2860" w:type="dxa"/>
            <w:vAlign w:val="bottom"/>
            <w:tcBorders>
              <w:top w:val="single" w:sz="8" w:color="00000A"/>
              <w:right w:val="single" w:sz="8" w:color="00000A"/>
            </w:tcBorders>
            <w:gridSpan w:val="5"/>
          </w:tcPr>
          <w:p>
            <w:pPr>
              <w:jc w:val="center"/>
              <w:ind w:right="40"/>
              <w:spacing w:after="0" w:line="243" w:lineRule="exact"/>
              <w:rPr>
                <w:sz w:val="20"/>
                <w:szCs w:val="20"/>
                <w:color w:val="auto"/>
              </w:rPr>
            </w:pPr>
            <w:r>
              <w:rPr>
                <w:rFonts w:ascii="Arial" w:cs="Arial" w:eastAsia="Arial" w:hAnsi="Arial"/>
                <w:sz w:val="22"/>
                <w:szCs w:val="22"/>
                <w:color w:val="auto"/>
                <w:w w:val="88"/>
              </w:rPr>
              <w:t>Applicable Share Price</w:t>
            </w:r>
          </w:p>
        </w:tc>
        <w:tc>
          <w:tcPr>
            <w:tcW w:w="240" w:type="dxa"/>
            <w:vAlign w:val="bottom"/>
            <w:tcBorders>
              <w:top w:val="single" w:sz="8" w:color="00000A"/>
            </w:tcBorders>
          </w:tcPr>
          <w:p>
            <w:pPr>
              <w:spacing w:after="0"/>
              <w:rPr>
                <w:sz w:val="21"/>
                <w:szCs w:val="21"/>
                <w:color w:val="auto"/>
              </w:rPr>
            </w:pPr>
          </w:p>
        </w:tc>
        <w:tc>
          <w:tcPr>
            <w:tcW w:w="2600" w:type="dxa"/>
            <w:vAlign w:val="bottom"/>
            <w:tcBorders>
              <w:top w:val="single" w:sz="8" w:color="00000A"/>
              <w:right w:val="single" w:sz="8" w:color="00000A"/>
            </w:tcBorders>
            <w:gridSpan w:val="6"/>
          </w:tcPr>
          <w:p>
            <w:pPr>
              <w:jc w:val="center"/>
              <w:ind w:right="280"/>
              <w:spacing w:after="0" w:line="243" w:lineRule="exact"/>
              <w:rPr>
                <w:sz w:val="20"/>
                <w:szCs w:val="20"/>
                <w:color w:val="auto"/>
              </w:rPr>
            </w:pPr>
            <w:r>
              <w:rPr>
                <w:rFonts w:ascii="Arial" w:cs="Arial" w:eastAsia="Arial" w:hAnsi="Arial"/>
                <w:sz w:val="22"/>
                <w:szCs w:val="22"/>
                <w:color w:val="auto"/>
                <w:w w:val="90"/>
              </w:rPr>
              <w:t>Number of Deferred Stock</w:t>
            </w:r>
          </w:p>
        </w:tc>
      </w:tr>
      <w:tr>
        <w:trPr>
          <w:trHeight w:val="223"/>
        </w:trPr>
        <w:tc>
          <w:tcPr>
            <w:tcW w:w="40" w:type="dxa"/>
            <w:vAlign w:val="bottom"/>
            <w:tcBorders>
              <w:left w:val="single" w:sz="8" w:color="00000A"/>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4"/>
          </w:tcPr>
          <w:p>
            <w:pPr>
              <w:jc w:val="center"/>
              <w:ind w:right="780"/>
              <w:spacing w:after="0" w:line="223" w:lineRule="exact"/>
              <w:rPr>
                <w:sz w:val="20"/>
                <w:szCs w:val="20"/>
                <w:color w:val="auto"/>
              </w:rPr>
            </w:pPr>
            <w:r>
              <w:rPr>
                <w:rFonts w:ascii="Arial" w:cs="Arial" w:eastAsia="Arial" w:hAnsi="Arial"/>
                <w:sz w:val="22"/>
                <w:szCs w:val="22"/>
                <w:color w:val="auto"/>
                <w:w w:val="95"/>
              </w:rPr>
              <w:t>Units</w:t>
            </w:r>
          </w:p>
        </w:tc>
        <w:tc>
          <w:tcPr>
            <w:tcW w:w="280" w:type="dxa"/>
            <w:vAlign w:val="bottom"/>
            <w:tcBorders>
              <w:right w:val="single" w:sz="8" w:color="00000A"/>
            </w:tcBorders>
          </w:tcPr>
          <w:p>
            <w:pPr>
              <w:spacing w:after="0"/>
              <w:rPr>
                <w:sz w:val="19"/>
                <w:szCs w:val="19"/>
                <w:color w:val="auto"/>
              </w:rPr>
            </w:pP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58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46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4"/>
          </w:tcPr>
          <w:p>
            <w:pPr>
              <w:spacing w:after="0" w:line="223" w:lineRule="exact"/>
              <w:rPr>
                <w:sz w:val="20"/>
                <w:szCs w:val="20"/>
                <w:color w:val="auto"/>
              </w:rPr>
            </w:pPr>
            <w:r>
              <w:rPr>
                <w:rFonts w:ascii="Arial" w:cs="Arial" w:eastAsia="Arial" w:hAnsi="Arial"/>
                <w:sz w:val="22"/>
                <w:szCs w:val="22"/>
                <w:b w:val="1"/>
                <w:bCs w:val="1"/>
                <w:color w:val="auto"/>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46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4"/>
          </w:tcPr>
          <w:p>
            <w:pPr>
              <w:spacing w:after="0" w:line="223" w:lineRule="exact"/>
              <w:rPr>
                <w:sz w:val="20"/>
                <w:szCs w:val="20"/>
                <w:color w:val="auto"/>
              </w:rPr>
            </w:pPr>
            <w:r>
              <w:rPr>
                <w:rFonts w:ascii="Arial" w:cs="Arial" w:eastAsia="Arial" w:hAnsi="Arial"/>
                <w:sz w:val="22"/>
                <w:szCs w:val="22"/>
                <w:b w:val="1"/>
                <w:bCs w:val="1"/>
                <w:color w:val="auto"/>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46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4"/>
          </w:tcPr>
          <w:p>
            <w:pPr>
              <w:spacing w:after="0" w:line="223" w:lineRule="exact"/>
              <w:rPr>
                <w:sz w:val="20"/>
                <w:szCs w:val="20"/>
                <w:color w:val="auto"/>
              </w:rPr>
            </w:pPr>
            <w:r>
              <w:rPr>
                <w:rFonts w:ascii="Arial" w:cs="Arial" w:eastAsia="Arial" w:hAnsi="Arial"/>
                <w:sz w:val="22"/>
                <w:szCs w:val="22"/>
                <w:b w:val="1"/>
                <w:bCs w:val="1"/>
                <w:color w:val="auto"/>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46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4"/>
          </w:tcPr>
          <w:p>
            <w:pPr>
              <w:spacing w:after="0" w:line="223" w:lineRule="exact"/>
              <w:rPr>
                <w:sz w:val="20"/>
                <w:szCs w:val="20"/>
                <w:color w:val="auto"/>
              </w:rPr>
            </w:pPr>
            <w:r>
              <w:rPr>
                <w:rFonts w:ascii="Arial" w:cs="Arial" w:eastAsia="Arial" w:hAnsi="Arial"/>
                <w:sz w:val="22"/>
                <w:szCs w:val="22"/>
                <w:b w:val="1"/>
                <w:bCs w:val="1"/>
                <w:color w:val="auto"/>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46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Note: the Company will update Schedule A each quarter to reflect the number of additional DSUs to be credited to you on the applicable Conversion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368"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10.3(h)(i)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27, 2017)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THIRD PARTY SERVICE PROVIDERS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95" w:lineRule="auto"/>
        <w:tabs>
          <w:tab w:leader="none" w:pos="486"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DESCRIPTION OF YOUR RESTRICTED STOCK UNITS. </w:t>
      </w:r>
      <w:r>
        <w:rPr>
          <w:rFonts w:ascii="Arial" w:cs="Arial" w:eastAsia="Arial" w:hAnsi="Arial"/>
          <w:sz w:val="19"/>
          <w:szCs w:val="19"/>
          <w:color w:val="auto"/>
        </w:rPr>
        <w:t>You have been granted [</w:t>
      </w:r>
      <w:r>
        <w:rPr>
          <w:rFonts w:ascii="Arial" w:cs="Arial" w:eastAsia="Arial" w:hAnsi="Arial"/>
          <w:sz w:val="19"/>
          <w:szCs w:val="19"/>
          <w:b w:val="1"/>
          <w:bCs w:val="1"/>
          <w:color w:val="auto"/>
        </w:rPr>
        <w:t>Number</w:t>
      </w:r>
      <w:r>
        <w:rPr>
          <w:rFonts w:ascii="Arial" w:cs="Arial" w:eastAsia="Arial" w:hAnsi="Arial"/>
          <w:sz w:val="19"/>
          <w:szCs w:val="19"/>
          <w:color w:val="auto"/>
        </w:rPr>
        <w:t>]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(“RSUs”) and an equal number of related Dividend Equivalents. Each whole RSU represents the right to receive one full Share at the time and in the manner described in this Award Agreement. Subject to Section 5 of this Award Agreement, each Dividend Equivalent represents the right to receive additional RSUs (determined in accordance with Section 5) in respect to the dividends that are declared and paid during the period beginning on the Grant Date and ending on the Settlement Date (as described in Section 4(a) of this Award Agreement) with respect to the Share represented by the related RSU.</w:t>
      </w:r>
    </w:p>
    <w:p>
      <w:pPr>
        <w:spacing w:after="0" w:line="200" w:lineRule="exact"/>
        <w:rPr>
          <w:sz w:val="20"/>
          <w:szCs w:val="20"/>
          <w:color w:val="auto"/>
        </w:rPr>
      </w:pPr>
    </w:p>
    <w:p>
      <w:pPr>
        <w:spacing w:after="0" w:line="201" w:lineRule="exact"/>
        <w:rPr>
          <w:sz w:val="20"/>
          <w:szCs w:val="20"/>
          <w:color w:val="auto"/>
        </w:rPr>
      </w:pPr>
    </w:p>
    <w:p>
      <w:pPr>
        <w:ind w:right="20"/>
        <w:spacing w:after="0" w:line="293" w:lineRule="auto"/>
        <w:rPr>
          <w:sz w:val="20"/>
          <w:szCs w:val="20"/>
          <w:color w:val="auto"/>
        </w:rPr>
      </w:pPr>
      <w:r>
        <w:rPr>
          <w:rFonts w:ascii="Arial" w:cs="Arial" w:eastAsia="Arial" w:hAnsi="Arial"/>
          <w:sz w:val="21"/>
          <w:szCs w:val="21"/>
          <w:color w:val="auto"/>
        </w:rPr>
        <w:t>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To accept this Award Agreement, you must return a signed copy of this Award Agreement no later than [</w:t>
      </w:r>
      <w:r>
        <w:rPr>
          <w:rFonts w:ascii="Arial" w:cs="Arial" w:eastAsia="Arial" w:hAnsi="Arial"/>
          <w:sz w:val="21"/>
          <w:szCs w:val="21"/>
          <w:b w:val="1"/>
          <w:bCs w:val="1"/>
          <w:color w:val="auto"/>
        </w:rPr>
        <w:t>Date</w:t>
      </w:r>
      <w:r>
        <w:rPr>
          <w:rFonts w:ascii="Arial" w:cs="Arial" w:eastAsia="Arial" w:hAnsi="Arial"/>
          <w:sz w:val="21"/>
          <w:szCs w:val="21"/>
          <w:color w:val="auto"/>
        </w:rPr>
        <w:t>], to [</w:t>
      </w:r>
      <w:r>
        <w:rPr>
          <w:rFonts w:ascii="Arial" w:cs="Arial" w:eastAsia="Arial" w:hAnsi="Arial"/>
          <w:sz w:val="21"/>
          <w:szCs w:val="21"/>
          <w:b w:val="1"/>
          <w:bCs w:val="1"/>
          <w:color w:val="auto"/>
        </w:rPr>
        <w:t>Third Party Administrator</w:t>
      </w:r>
      <w:r>
        <w:rPr>
          <w:rFonts w:ascii="Arial" w:cs="Arial" w:eastAsia="Arial" w:hAnsi="Arial"/>
          <w:sz w:val="21"/>
          <w:szCs w:val="21"/>
          <w:color w:val="auto"/>
        </w:rPr>
        <w:t>] (the “Third Party Administrator”) as follows:</w:t>
      </w:r>
    </w:p>
    <w:p>
      <w:pPr>
        <w:spacing w:after="0" w:line="1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effective January 27, 2017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153" w:name="page154"/>
    <w:bookmarkEnd w:id="153"/>
    <w:p>
      <w:pPr>
        <w:ind w:firstLine="8"/>
        <w:spacing w:after="0" w:line="282" w:lineRule="auto"/>
        <w:tabs>
          <w:tab w:leader="none" w:pos="369"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8" w:lineRule="exact"/>
        <w:rPr>
          <w:rFonts w:ascii="Arial" w:cs="Arial" w:eastAsia="Arial" w:hAnsi="Arial"/>
          <w:sz w:val="22"/>
          <w:szCs w:val="22"/>
          <w:b w:val="1"/>
          <w:bCs w:val="1"/>
          <w:color w:val="auto"/>
        </w:rPr>
      </w:pPr>
    </w:p>
    <w:p>
      <w:pPr>
        <w:ind w:left="1320" w:right="20" w:hanging="664"/>
        <w:spacing w:after="0" w:line="293" w:lineRule="auto"/>
        <w:tabs>
          <w:tab w:leader="none" w:pos="1302" w:val="left"/>
        </w:tabs>
        <w:numPr>
          <w:ilvl w:val="1"/>
          <w:numId w:val="54"/>
        </w:numPr>
        <w:rPr>
          <w:rFonts w:ascii="Arial" w:cs="Arial" w:eastAsia="Arial" w:hAnsi="Arial"/>
          <w:sz w:val="21"/>
          <w:szCs w:val="21"/>
          <w:color w:val="auto"/>
        </w:rPr>
      </w:pPr>
      <w:r>
        <w:rPr>
          <w:rFonts w:ascii="Arial" w:cs="Arial" w:eastAsia="Arial" w:hAnsi="Arial"/>
          <w:sz w:val="21"/>
          <w:szCs w:val="21"/>
          <w:b w:val="1"/>
          <w:bCs w:val="1"/>
          <w:color w:val="auto"/>
        </w:rPr>
        <w:t xml:space="preserve">General Vesting. </w:t>
      </w:r>
      <w:r>
        <w:rPr>
          <w:rFonts w:ascii="Arial" w:cs="Arial" w:eastAsia="Arial" w:hAnsi="Arial"/>
          <w:sz w:val="21"/>
          <w:szCs w:val="21"/>
          <w:color w:val="auto"/>
        </w:rPr>
        <w:t>If your service continues from the Grant Date until</w:t>
      </w:r>
      <w:r>
        <w:rPr>
          <w:rFonts w:ascii="Arial" w:cs="Arial" w:eastAsia="Arial" w:hAnsi="Arial"/>
          <w:sz w:val="21"/>
          <w:szCs w:val="21"/>
          <w:b w:val="1"/>
          <w:bCs w:val="1"/>
          <w:color w:val="auto"/>
        </w:rPr>
        <w:t xml:space="preserve"> [Vesting Date] </w:t>
      </w:r>
      <w:r>
        <w:rPr>
          <w:rFonts w:ascii="Arial" w:cs="Arial" w:eastAsia="Arial" w:hAnsi="Arial"/>
          <w:sz w:val="21"/>
          <w:szCs w:val="21"/>
          <w:color w:val="auto"/>
        </w:rPr>
        <w:t>(the “Vesting Date”), your</w:t>
      </w:r>
      <w:r>
        <w:rPr>
          <w:rFonts w:ascii="Arial" w:cs="Arial" w:eastAsia="Arial" w:hAnsi="Arial"/>
          <w:sz w:val="21"/>
          <w:szCs w:val="21"/>
          <w:b w:val="1"/>
          <w:bCs w:val="1"/>
          <w:color w:val="auto"/>
        </w:rPr>
        <w:t xml:space="preserve"> </w:t>
      </w:r>
      <w:r>
        <w:rPr>
          <w:rFonts w:ascii="Arial" w:cs="Arial" w:eastAsia="Arial" w:hAnsi="Arial"/>
          <w:sz w:val="21"/>
          <w:szCs w:val="21"/>
          <w:color w:val="auto"/>
        </w:rPr>
        <w:t>RSUs described in this Award Agreement will become 100% vested on the Vesting Date; or</w:t>
      </w:r>
    </w:p>
    <w:p>
      <w:pPr>
        <w:spacing w:after="0" w:line="180" w:lineRule="exact"/>
        <w:rPr>
          <w:rFonts w:ascii="Arial" w:cs="Arial" w:eastAsia="Arial" w:hAnsi="Arial"/>
          <w:sz w:val="21"/>
          <w:szCs w:val="21"/>
          <w:color w:val="auto"/>
        </w:rPr>
      </w:pPr>
    </w:p>
    <w:p>
      <w:pPr>
        <w:ind w:left="1320" w:hanging="664"/>
        <w:spacing w:after="0" w:line="269" w:lineRule="auto"/>
        <w:tabs>
          <w:tab w:leader="none" w:pos="1302"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 your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than the Vesting Date:</w:t>
      </w:r>
    </w:p>
    <w:p>
      <w:pPr>
        <w:spacing w:after="0" w:line="208" w:lineRule="exact"/>
        <w:rPr>
          <w:rFonts w:ascii="Arial" w:cs="Arial" w:eastAsia="Arial" w:hAnsi="Arial"/>
          <w:sz w:val="22"/>
          <w:szCs w:val="22"/>
          <w:color w:val="auto"/>
        </w:rPr>
      </w:pPr>
    </w:p>
    <w:p>
      <w:pPr>
        <w:ind w:left="2000" w:hanging="641"/>
        <w:spacing w:after="0" w:line="306" w:lineRule="auto"/>
        <w:tabs>
          <w:tab w:leader="none" w:pos="1946" w:val="left"/>
        </w:tabs>
        <w:numPr>
          <w:ilvl w:val="3"/>
          <w:numId w:val="54"/>
        </w:numPr>
        <w:rPr>
          <w:rFonts w:ascii="Arial" w:cs="Arial" w:eastAsia="Arial" w:hAnsi="Arial"/>
          <w:sz w:val="19"/>
          <w:szCs w:val="19"/>
          <w:color w:val="auto"/>
        </w:rPr>
      </w:pPr>
      <w:r>
        <w:rPr>
          <w:rFonts w:ascii="Arial" w:cs="Arial" w:eastAsia="Arial" w:hAnsi="Arial"/>
          <w:sz w:val="19"/>
          <w:szCs w:val="19"/>
          <w:color w:val="auto"/>
        </w:rPr>
        <w:t xml:space="preserve">If the Company Terminates your consulting agreement dated </w:t>
      </w:r>
      <w:r>
        <w:rPr>
          <w:rFonts w:ascii="Arial" w:cs="Arial" w:eastAsia="Arial" w:hAnsi="Arial"/>
          <w:sz w:val="13"/>
          <w:szCs w:val="13"/>
          <w:color w:val="auto"/>
        </w:rPr>
        <w:t>[</w:t>
      </w:r>
      <w:r>
        <w:rPr>
          <w:rFonts w:ascii="Arial" w:cs="Arial" w:eastAsia="Arial" w:hAnsi="Arial"/>
          <w:sz w:val="13"/>
          <w:szCs w:val="13"/>
          <w:b w:val="1"/>
          <w:bCs w:val="1"/>
          <w:color w:val="auto"/>
        </w:rPr>
        <w:t>Date</w:t>
      </w:r>
      <w:r>
        <w:rPr>
          <w:rFonts w:ascii="Arial" w:cs="Arial" w:eastAsia="Arial" w:hAnsi="Arial"/>
          <w:sz w:val="13"/>
          <w:szCs w:val="13"/>
          <w:color w:val="auto"/>
        </w:rPr>
        <w:t>]</w:t>
      </w:r>
      <w:r>
        <w:rPr>
          <w:rFonts w:ascii="Arial" w:cs="Arial" w:eastAsia="Arial" w:hAnsi="Arial"/>
          <w:sz w:val="19"/>
          <w:szCs w:val="19"/>
          <w:color w:val="auto"/>
        </w:rPr>
        <w:t>, without Cause, before the Vesting Date, the RSUs described in this Award Agreement will become pro rata vested as of the Vesting Date.</w:t>
      </w:r>
    </w:p>
    <w:p>
      <w:pPr>
        <w:jc w:val="both"/>
        <w:ind w:left="2000"/>
        <w:spacing w:after="0" w:line="247" w:lineRule="auto"/>
        <w:rPr>
          <w:rFonts w:ascii="Arial" w:cs="Arial" w:eastAsia="Arial" w:hAnsi="Arial"/>
          <w:sz w:val="19"/>
          <w:szCs w:val="19"/>
          <w:color w:val="auto"/>
        </w:rPr>
      </w:pPr>
      <w:r>
        <w:rPr>
          <w:rFonts w:ascii="Arial" w:cs="Arial" w:eastAsia="Arial" w:hAnsi="Arial"/>
          <w:sz w:val="22"/>
          <w:szCs w:val="22"/>
          <w:color w:val="auto"/>
        </w:rPr>
        <w:t>The number of RSUs that become pro rata vested in this subsection (b) will be calculated by multiplying the number of RSUs granted under this Agreement by a fraction. The numerator of the fraction will equal the number of days that elapsed beginning with the Grant Date and ending with the date of your Termination. The denominator of the fraction will be 365. Any fractional RSUs will be rounded up to the nearest whole number.</w:t>
      </w:r>
    </w:p>
    <w:p>
      <w:pPr>
        <w:spacing w:after="0" w:line="227" w:lineRule="exact"/>
        <w:rPr>
          <w:rFonts w:ascii="Arial" w:cs="Arial" w:eastAsia="Arial" w:hAnsi="Arial"/>
          <w:sz w:val="19"/>
          <w:szCs w:val="19"/>
          <w:color w:val="auto"/>
        </w:rPr>
      </w:pPr>
    </w:p>
    <w:p>
      <w:pPr>
        <w:ind w:left="1300" w:hanging="644"/>
        <w:spacing w:after="0"/>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For purposes of this Award Agreement, “Cause” means that Grantee has:</w:t>
      </w:r>
    </w:p>
    <w:p>
      <w:pPr>
        <w:spacing w:after="0" w:line="117" w:lineRule="exact"/>
        <w:rPr>
          <w:rFonts w:ascii="Arial" w:cs="Arial" w:eastAsia="Arial" w:hAnsi="Arial"/>
          <w:sz w:val="22"/>
          <w:szCs w:val="22"/>
          <w:color w:val="auto"/>
        </w:rPr>
      </w:pPr>
    </w:p>
    <w:p>
      <w:pPr>
        <w:ind w:left="1960" w:hanging="655"/>
        <w:spacing w:after="0"/>
        <w:tabs>
          <w:tab w:leader="none" w:pos="1960" w:val="left"/>
        </w:tabs>
        <w:numPr>
          <w:ilvl w:val="2"/>
          <w:numId w:val="54"/>
        </w:numPr>
        <w:rPr>
          <w:rFonts w:ascii="Arial" w:cs="Arial" w:eastAsia="Arial" w:hAnsi="Arial"/>
          <w:sz w:val="22"/>
          <w:szCs w:val="22"/>
          <w:color w:val="auto"/>
        </w:rPr>
      </w:pPr>
      <w:r>
        <w:rPr>
          <w:rFonts w:ascii="Arial" w:cs="Arial" w:eastAsia="Arial" w:hAnsi="Arial"/>
          <w:sz w:val="22"/>
          <w:szCs w:val="22"/>
          <w:color w:val="auto"/>
        </w:rPr>
        <w:t>Died or become disabled prior to the vesting date;</w:t>
      </w:r>
    </w:p>
    <w:p>
      <w:pPr>
        <w:spacing w:after="0" w:line="260" w:lineRule="exact"/>
        <w:rPr>
          <w:rFonts w:ascii="Arial" w:cs="Arial" w:eastAsia="Arial" w:hAnsi="Arial"/>
          <w:sz w:val="22"/>
          <w:szCs w:val="22"/>
          <w:color w:val="auto"/>
        </w:rPr>
      </w:pPr>
    </w:p>
    <w:p>
      <w:pPr>
        <w:ind w:left="1960" w:right="360" w:hanging="655"/>
        <w:spacing w:after="0" w:line="343" w:lineRule="auto"/>
        <w:tabs>
          <w:tab w:leader="none" w:pos="1960" w:val="left"/>
        </w:tabs>
        <w:numPr>
          <w:ilvl w:val="2"/>
          <w:numId w:val="54"/>
        </w:numPr>
        <w:rPr>
          <w:rFonts w:ascii="Arial" w:cs="Arial" w:eastAsia="Arial" w:hAnsi="Arial"/>
          <w:sz w:val="19"/>
          <w:szCs w:val="19"/>
          <w:color w:val="auto"/>
        </w:rPr>
      </w:pPr>
      <w:r>
        <w:rPr>
          <w:rFonts w:ascii="Arial" w:cs="Arial" w:eastAsia="Arial" w:hAnsi="Arial"/>
          <w:sz w:val="19"/>
          <w:szCs w:val="19"/>
          <w:color w:val="auto"/>
        </w:rPr>
        <w:t>Materially breached the terms of any consulting or other service provider agreement between the Grantee and the Company if such breach is not cured within thirty (30) days after you receive notice thereof;</w:t>
      </w:r>
    </w:p>
    <w:p>
      <w:pPr>
        <w:spacing w:after="0" w:line="145" w:lineRule="exact"/>
        <w:rPr>
          <w:rFonts w:ascii="Arial" w:cs="Arial" w:eastAsia="Arial" w:hAnsi="Arial"/>
          <w:sz w:val="19"/>
          <w:szCs w:val="19"/>
          <w:color w:val="auto"/>
        </w:rPr>
      </w:pPr>
    </w:p>
    <w:p>
      <w:pPr>
        <w:ind w:left="1960" w:hanging="655"/>
        <w:spacing w:after="0"/>
        <w:tabs>
          <w:tab w:leader="none" w:pos="1960" w:val="left"/>
        </w:tabs>
        <w:numPr>
          <w:ilvl w:val="2"/>
          <w:numId w:val="54"/>
        </w:numPr>
        <w:rPr>
          <w:rFonts w:ascii="Arial" w:cs="Arial" w:eastAsia="Arial" w:hAnsi="Arial"/>
          <w:sz w:val="22"/>
          <w:szCs w:val="22"/>
          <w:color w:val="auto"/>
        </w:rPr>
      </w:pPr>
      <w:r>
        <w:rPr>
          <w:rFonts w:ascii="Arial" w:cs="Arial" w:eastAsia="Arial" w:hAnsi="Arial"/>
          <w:sz w:val="22"/>
          <w:szCs w:val="22"/>
          <w:color w:val="auto"/>
        </w:rPr>
        <w:t>Been indicted for a felony or serious misdemeanor;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54"/>
        </w:numPr>
        <w:rPr>
          <w:rFonts w:ascii="Arial" w:cs="Arial" w:eastAsia="Arial" w:hAnsi="Arial"/>
          <w:sz w:val="22"/>
          <w:szCs w:val="22"/>
          <w:color w:val="auto"/>
        </w:rPr>
      </w:pPr>
      <w:r>
        <w:rPr>
          <w:rFonts w:ascii="Arial" w:cs="Arial" w:eastAsia="Arial" w:hAnsi="Arial"/>
          <w:sz w:val="22"/>
          <w:szCs w:val="22"/>
          <w:color w:val="auto"/>
        </w:rPr>
        <w:t>Committed an act of fraud or bad faith towards the Company or any Subsidiary or Affiliate;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54"/>
        </w:numPr>
        <w:rPr>
          <w:rFonts w:ascii="Arial" w:cs="Arial" w:eastAsia="Arial" w:hAnsi="Arial"/>
          <w:sz w:val="22"/>
          <w:szCs w:val="22"/>
          <w:color w:val="auto"/>
        </w:rPr>
      </w:pPr>
      <w:r>
        <w:rPr>
          <w:rFonts w:ascii="Arial" w:cs="Arial" w:eastAsia="Arial" w:hAnsi="Arial"/>
          <w:sz w:val="22"/>
          <w:szCs w:val="22"/>
          <w:color w:val="auto"/>
        </w:rPr>
        <w:t>Misappropriated any funds, property or rights of the Company. .</w:t>
      </w:r>
    </w:p>
    <w:p>
      <w:pPr>
        <w:spacing w:after="0" w:line="362" w:lineRule="exact"/>
        <w:rPr>
          <w:rFonts w:ascii="Arial" w:cs="Arial" w:eastAsia="Arial" w:hAnsi="Arial"/>
          <w:sz w:val="22"/>
          <w:szCs w:val="22"/>
          <w:color w:val="auto"/>
        </w:rPr>
      </w:pPr>
    </w:p>
    <w:p>
      <w:pPr>
        <w:ind w:left="380" w:hanging="372"/>
        <w:spacing w:after="0"/>
        <w:tabs>
          <w:tab w:leader="none" w:pos="3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47"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Subject to the terms of the Plan and this Award Agreement, your vested RSUs and related dividend equivalents, shall be settled in a lump sum as soon as administratively practicable, but no later than 90 days following the Vesting Date (the “Settlement Date”). Your whole RSUs shall be settled in full Shares, and any fractional RSU shall be settled in cash, determined based upon the Fair Market Value of a Share on the Settlement Date equal to the closing price of a Share on the Settlement date if it is a trading day or, if such date is not a trading day, on the next preceding trading day.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154" w:name="page155"/>
    <w:bookmarkEnd w:id="154"/>
    <w:p>
      <w:pPr>
        <w:ind w:left="1300" w:hanging="644"/>
        <w:spacing w:after="0" w:line="287" w:lineRule="auto"/>
        <w:tabs>
          <w:tab w:leader="none" w:pos="1300" w:val="left"/>
        </w:tabs>
        <w:numPr>
          <w:ilvl w:val="1"/>
          <w:numId w:val="55"/>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With respect to each dividend equivalent:</w:t>
      </w:r>
    </w:p>
    <w:p>
      <w:pPr>
        <w:spacing w:after="0" w:line="225" w:lineRule="exact"/>
        <w:rPr>
          <w:rFonts w:ascii="Arial" w:cs="Arial" w:eastAsia="Arial" w:hAnsi="Arial"/>
          <w:sz w:val="22"/>
          <w:szCs w:val="22"/>
          <w:b w:val="1"/>
          <w:bCs w:val="1"/>
          <w:color w:val="auto"/>
        </w:rPr>
      </w:pPr>
    </w:p>
    <w:p>
      <w:pPr>
        <w:ind w:left="1300" w:right="20" w:hanging="644"/>
        <w:spacing w:after="0" w:line="26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RSUs, you will be credited with an additional number of RSUs equal to the quotient of:</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56"/>
        </w:numPr>
        <w:rPr>
          <w:rFonts w:ascii="Arial" w:cs="Arial" w:eastAsia="Arial" w:hAnsi="Arial"/>
          <w:sz w:val="21"/>
          <w:szCs w:val="21"/>
          <w:color w:val="auto"/>
        </w:rPr>
      </w:pPr>
      <w:r>
        <w:rPr>
          <w:rFonts w:ascii="Arial" w:cs="Arial" w:eastAsia="Arial" w:hAnsi="Arial"/>
          <w:sz w:val="21"/>
          <w:szCs w:val="21"/>
          <w:color w:val="auto"/>
        </w:rPr>
        <w:t>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spacing w:after="0" w:line="167" w:lineRule="exact"/>
        <w:rPr>
          <w:rFonts w:ascii="Arial" w:cs="Arial" w:eastAsia="Arial" w:hAnsi="Arial"/>
          <w:sz w:val="21"/>
          <w:szCs w:val="21"/>
          <w:color w:val="auto"/>
        </w:rPr>
      </w:pPr>
    </w:p>
    <w:p>
      <w:pPr>
        <w:ind w:left="1960" w:hanging="655"/>
        <w:spacing w:after="0" w:line="263" w:lineRule="auto"/>
        <w:tabs>
          <w:tab w:leader="none" w:pos="196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RSUs, you will be credited with an additional number of RSUs equal to the product of:</w:t>
      </w:r>
    </w:p>
    <w:p>
      <w:pPr>
        <w:spacing w:after="0" w:line="174" w:lineRule="exact"/>
        <w:rPr>
          <w:rFonts w:ascii="Arial" w:cs="Arial" w:eastAsia="Arial" w:hAnsi="Arial"/>
          <w:sz w:val="22"/>
          <w:szCs w:val="22"/>
          <w:color w:val="auto"/>
        </w:rPr>
      </w:pPr>
    </w:p>
    <w:p>
      <w:pPr>
        <w:ind w:left="1960" w:hanging="655"/>
        <w:spacing w:after="0" w:line="343" w:lineRule="auto"/>
        <w:tabs>
          <w:tab w:leader="none" w:pos="1960" w:val="left"/>
        </w:tabs>
        <w:numPr>
          <w:ilvl w:val="2"/>
          <w:numId w:val="56"/>
        </w:numPr>
        <w:rPr>
          <w:rFonts w:ascii="Arial" w:cs="Arial" w:eastAsia="Arial" w:hAnsi="Arial"/>
          <w:sz w:val="19"/>
          <w:szCs w:val="19"/>
          <w:color w:val="auto"/>
        </w:rPr>
      </w:pPr>
      <w:r>
        <w:rPr>
          <w:rFonts w:ascii="Arial" w:cs="Arial" w:eastAsia="Arial" w:hAnsi="Arial"/>
          <w:sz w:val="19"/>
          <w:szCs w:val="19"/>
          <w:color w:val="auto"/>
        </w:rPr>
        <w:t>The number of RSUs granted under this Award Agreement (including additional RSUs previously credited in accordance with this Section 5) that have not been settled as of the dividend payment date, multiplied by</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additional RSUs credited pursuant to this Section 5 shall be subject to the same terms and conditions as the DSUs granted pursuant to Section 1 above.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fractional number of RSUs resulting from the calculations under this Section 5 shall be rounded to the nearest whole Share.</w:t>
      </w:r>
    </w:p>
    <w:p>
      <w:pPr>
        <w:spacing w:after="0" w:line="209" w:lineRule="exact"/>
        <w:rPr>
          <w:rFonts w:ascii="Arial" w:cs="Arial" w:eastAsia="Arial" w:hAnsi="Arial"/>
          <w:sz w:val="22"/>
          <w:szCs w:val="22"/>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4(c)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55" w:name="page156"/>
    <w:bookmarkEnd w:id="155"/>
    <w:p>
      <w:pPr>
        <w:ind w:left="1300"/>
        <w:spacing w:after="0" w:line="269" w:lineRule="auto"/>
        <w:rPr>
          <w:sz w:val="20"/>
          <w:szCs w:val="20"/>
          <w:color w:val="auto"/>
        </w:rPr>
      </w:pPr>
      <w:r>
        <w:rPr>
          <w:rFonts w:ascii="Arial" w:cs="Arial" w:eastAsia="Arial" w:hAnsi="Arial"/>
          <w:sz w:val="22"/>
          <w:szCs w:val="22"/>
          <w:color w:val="auto"/>
        </w:rPr>
        <w:t xml:space="preserve">Award Agreement if, without the Company’s written consent, you do any of the following within </w:t>
      </w:r>
      <w:r>
        <w:rPr>
          <w:rFonts w:ascii="Arial" w:cs="Arial" w:eastAsia="Arial" w:hAnsi="Arial"/>
          <w:sz w:val="22"/>
          <w:szCs w:val="22"/>
          <w:b w:val="1"/>
          <w:bCs w:val="1"/>
          <w:color w:val="auto"/>
        </w:rPr>
        <w:t>[Number]</w:t>
      </w:r>
      <w:r>
        <w:rPr>
          <w:rFonts w:ascii="Arial" w:cs="Arial" w:eastAsia="Arial" w:hAnsi="Arial"/>
          <w:sz w:val="22"/>
          <w:szCs w:val="22"/>
          <w:color w:val="auto"/>
        </w:rPr>
        <w:t xml:space="preserve"> days before and </w:t>
      </w:r>
      <w:r>
        <w:rPr>
          <w:rFonts w:ascii="Arial" w:cs="Arial" w:eastAsia="Arial" w:hAnsi="Arial"/>
          <w:sz w:val="22"/>
          <w:szCs w:val="22"/>
          <w:b w:val="1"/>
          <w:bCs w:val="1"/>
          <w:color w:val="auto"/>
        </w:rPr>
        <w:t>[Number]</w:t>
      </w:r>
      <w:r>
        <w:rPr>
          <w:rFonts w:ascii="Arial" w:cs="Arial" w:eastAsia="Arial" w:hAnsi="Arial"/>
          <w:sz w:val="22"/>
          <w:szCs w:val="22"/>
          <w:color w:val="auto"/>
        </w:rPr>
        <w:t xml:space="preserve"> days after you Terminate:</w:t>
      </w:r>
    </w:p>
    <w:p>
      <w:pPr>
        <w:spacing w:after="0" w:line="209" w:lineRule="exact"/>
        <w:rPr>
          <w:sz w:val="20"/>
          <w:szCs w:val="20"/>
          <w:color w:val="auto"/>
        </w:rPr>
      </w:pPr>
    </w:p>
    <w:p>
      <w:pPr>
        <w:ind w:left="1960" w:hanging="655"/>
        <w:spacing w:after="0" w:line="263" w:lineRule="auto"/>
        <w:tabs>
          <w:tab w:leader="none" w:pos="19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You engage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3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156" w:name="page157"/>
    <w:bookmarkEnd w:id="156"/>
    <w:p>
      <w:pPr>
        <w:jc w:val="both"/>
        <w:ind w:firstLine="8"/>
        <w:spacing w:after="0" w:line="256" w:lineRule="auto"/>
        <w:tabs>
          <w:tab w:leader="none" w:pos="50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528"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13"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r>
        <w:rPr>
          <w:rFonts w:ascii="Arial" w:cs="Arial" w:eastAsia="Arial" w:hAnsi="Arial"/>
          <w:sz w:val="22"/>
          <w:szCs w:val="22"/>
          <w:b w:val="1"/>
          <w:bCs w:val="1"/>
          <w:color w:val="auto"/>
        </w:rPr>
        <w:t>.</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[Grantee’s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369" w:right="239" w:bottom="1440" w:gutter="0" w:footer="0" w:header="0"/>
          <w:type w:val="continuous"/>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 Name]</w:t>
      </w:r>
    </w:p>
    <w:p>
      <w:pPr>
        <w:spacing w:after="0" w:line="230" w:lineRule="auto"/>
        <w:rPr>
          <w:sz w:val="20"/>
          <w:szCs w:val="20"/>
          <w:color w:val="auto"/>
        </w:rPr>
      </w:pPr>
      <w:r>
        <w:rPr>
          <w:rFonts w:ascii="Arial" w:cs="Arial" w:eastAsia="Arial" w:hAnsi="Arial"/>
          <w:sz w:val="22"/>
          <w:szCs w:val="22"/>
          <w:b w:val="1"/>
          <w:bCs w:val="1"/>
          <w:color w:val="auto"/>
        </w:rPr>
        <w:t>[Officer Title]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w:t>
      </w:r>
    </w:p>
    <w:p>
      <w:pPr>
        <w:spacing w:after="0" w:line="200" w:lineRule="exact"/>
        <w:rPr>
          <w:sz w:val="20"/>
          <w:szCs w:val="20"/>
          <w:color w:val="auto"/>
        </w:rPr>
      </w:pPr>
    </w:p>
    <w:p>
      <w:pPr>
        <w:sectPr>
          <w:pgSz w:w="11900" w:h="16838" w:orient="portrait"/>
          <w:cols w:equalWidth="0" w:num="2">
            <w:col w:w="4800" w:space="720"/>
            <w:col w:w="5900"/>
          </w:cols>
          <w:pgMar w:left="240" w:top="3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9" w:right="239" w:bottom="144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10.3(h)(ii)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27, 2017)</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546"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RESTRICTED STOCK UNITS. </w:t>
      </w:r>
      <w:r>
        <w:rPr>
          <w:rFonts w:ascii="Arial" w:cs="Arial" w:eastAsia="Arial" w:hAnsi="Arial"/>
          <w:sz w:val="21"/>
          <w:szCs w:val="21"/>
          <w:color w:val="auto"/>
        </w:rPr>
        <w:t>You have been granted</w:t>
      </w:r>
      <w:r>
        <w:rPr>
          <w:rFonts w:ascii="Arial" w:cs="Arial" w:eastAsia="Arial" w:hAnsi="Arial"/>
          <w:sz w:val="21"/>
          <w:szCs w:val="21"/>
          <w:b w:val="1"/>
          <w:bCs w:val="1"/>
          <w:color w:val="auto"/>
        </w:rPr>
        <w:t xml:space="preserve"> [# units] </w:t>
      </w:r>
      <w:r>
        <w:rPr>
          <w:rFonts w:ascii="Arial" w:cs="Arial" w:eastAsia="Arial" w:hAnsi="Arial"/>
          <w:sz w:val="21"/>
          <w:szCs w:val="21"/>
          <w:color w:val="auto"/>
        </w:rPr>
        <w:t>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(“RSUs”) and an equal number of related dividend equivalents. 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xml:space="preserve">. Each whole RSU represents the right to receive one full Share for each vested whole RSU at the time and in the manner described in this Award Agreement. Each dividend equivalent represents the right to receive additional RSUs (determined in accordance with Section 5) in respect of the dividends that are declared and paid during the period beginning on the Grant Date and ending on the Settlement Date (as described in Section 4(a)) with respect to the Share represented by the related vested RSU. To accept this Award Agreement, you must return a signed copy of this Award Agreement no later than </w:t>
      </w:r>
      <w:r>
        <w:rPr>
          <w:rFonts w:ascii="Arial" w:cs="Arial" w:eastAsia="Arial" w:hAnsi="Arial"/>
          <w:sz w:val="21"/>
          <w:szCs w:val="21"/>
          <w:b w:val="1"/>
          <w:bCs w:val="1"/>
          <w:color w:val="auto"/>
        </w:rPr>
        <w:t>[Return Date]</w:t>
      </w:r>
      <w:r>
        <w:rPr>
          <w:rFonts w:ascii="Arial" w:cs="Arial" w:eastAsia="Arial" w:hAnsi="Arial"/>
          <w:sz w:val="21"/>
          <w:szCs w:val="21"/>
          <w:color w:val="auto"/>
        </w:rPr>
        <w:t>, to [</w:t>
      </w:r>
      <w:r>
        <w:rPr>
          <w:rFonts w:ascii="Arial" w:cs="Arial" w:eastAsia="Arial" w:hAnsi="Arial"/>
          <w:sz w:val="21"/>
          <w:szCs w:val="21"/>
          <w:b w:val="1"/>
          <w:bCs w:val="1"/>
          <w:color w:val="auto"/>
        </w:rPr>
        <w:t>Third Party Administrator</w:t>
      </w:r>
      <w:r>
        <w:rPr>
          <w:rFonts w:ascii="Arial" w:cs="Arial" w:eastAsia="Arial" w:hAnsi="Arial"/>
          <w:sz w:val="21"/>
          <w:szCs w:val="21"/>
          <w:color w:val="auto"/>
        </w:rPr>
        <w:t>] (the “Third Party Administrator”) as follows:</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This Award Agreement and your RSUs and dividend equivalents are granted pursuant to and in accordance with the terms of The Scotts Miracle-Gro Company Long-Term Incentive Plan effective January 27, 2017 (the “Plan”). All provisions of the Plan are incorporated herein by reference, and your RSUs and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382" w:right="239" w:bottom="1440" w:gutter="0" w:footer="0" w:header="0"/>
        </w:sectPr>
      </w:pPr>
    </w:p>
    <w:bookmarkStart w:id="158" w:name="page159"/>
    <w:bookmarkEnd w:id="158"/>
    <w:p>
      <w:pPr>
        <w:ind w:left="660" w:hanging="652"/>
        <w:spacing w:after="0" w:line="269" w:lineRule="auto"/>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RSUs described in this Award Agreement, including any RSUs credited pursuant to Section 5 on or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Vesting Date (as defined below) will vest as follows:</w:t>
      </w:r>
    </w:p>
    <w:p>
      <w:pPr>
        <w:spacing w:after="0" w:line="202" w:lineRule="exact"/>
        <w:rPr>
          <w:rFonts w:ascii="Arial" w:cs="Arial" w:eastAsia="Arial" w:hAnsi="Arial"/>
          <w:sz w:val="22"/>
          <w:szCs w:val="22"/>
          <w:b w:val="1"/>
          <w:bCs w:val="1"/>
          <w:color w:val="auto"/>
        </w:rPr>
      </w:pPr>
    </w:p>
    <w:p>
      <w:pPr>
        <w:jc w:val="both"/>
        <w:ind w:left="1320" w:hanging="664"/>
        <w:spacing w:after="0" w:line="252" w:lineRule="auto"/>
        <w:tabs>
          <w:tab w:leader="none" w:pos="1302"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On the earlier of (i) the first anniversary of the Grant Date, or (ii) the date of the Company’s next</w:t>
      </w:r>
      <w:r>
        <w:rPr>
          <w:rFonts w:ascii="Arial" w:cs="Arial" w:eastAsia="Arial" w:hAnsi="Arial"/>
          <w:sz w:val="22"/>
          <w:szCs w:val="22"/>
          <w:b w:val="1"/>
          <w:bCs w:val="1"/>
          <w:color w:val="auto"/>
        </w:rPr>
        <w:t xml:space="preserve"> </w:t>
      </w:r>
      <w:r>
        <w:rPr>
          <w:rFonts w:ascii="Arial" w:cs="Arial" w:eastAsia="Arial" w:hAnsi="Arial"/>
          <w:sz w:val="22"/>
          <w:szCs w:val="22"/>
          <w:color w:val="auto"/>
        </w:rPr>
        <w:t>Annual Meeting of Shareholders (the “Vesting Date”), your RSUs described in this Award Agreement will become 100% vested on the Vesting Date. Any RSUs received pursuant to Section 5 following the Vesting Date will be 100% vested on the date they are credited to you;</w:t>
      </w:r>
    </w:p>
    <w:p>
      <w:pPr>
        <w:spacing w:after="0" w:line="226"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or</w:t>
      </w:r>
    </w:p>
    <w:p>
      <w:pPr>
        <w:spacing w:after="0" w:line="254" w:lineRule="exact"/>
        <w:rPr>
          <w:rFonts w:ascii="Arial" w:cs="Arial" w:eastAsia="Arial" w:hAnsi="Arial"/>
          <w:sz w:val="22"/>
          <w:szCs w:val="22"/>
          <w:color w:val="auto"/>
        </w:rPr>
      </w:pPr>
    </w:p>
    <w:p>
      <w:pPr>
        <w:jc w:val="both"/>
        <w:ind w:left="1320" w:hanging="664"/>
        <w:spacing w:after="0" w:line="252" w:lineRule="auto"/>
        <w:tabs>
          <w:tab w:leader="none" w:pos="1302"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Your RSUs described in this Award Agreement, including any RSUs credited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 will become 100% vested as of the date you Terminate because of your death or because you become Disabled. For purposes of this Award Agreement, “Disabled” means that you have been determined to be totally disabled by the Social Security Administration.</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66" w:lineRule="exact"/>
        <w:rPr>
          <w:rFonts w:ascii="Arial" w:cs="Arial" w:eastAsia="Arial" w:hAnsi="Arial"/>
          <w:sz w:val="22"/>
          <w:szCs w:val="22"/>
          <w:b w:val="1"/>
          <w:bCs w:val="1"/>
          <w:color w:val="auto"/>
        </w:rPr>
      </w:pPr>
    </w:p>
    <w:p>
      <w:pPr>
        <w:jc w:val="both"/>
        <w:ind w:left="1300" w:hanging="644"/>
        <w:spacing w:after="0" w:line="261" w:lineRule="auto"/>
        <w:tabs>
          <w:tab w:leader="none" w:pos="1300" w:val="left"/>
        </w:tabs>
        <w:numPr>
          <w:ilvl w:val="1"/>
          <w:numId w:val="63"/>
        </w:numPr>
        <w:rPr>
          <w:rFonts w:ascii="Arial" w:cs="Arial" w:eastAsia="Arial" w:hAnsi="Arial"/>
          <w:sz w:val="21"/>
          <w:szCs w:val="21"/>
          <w:color w:val="auto"/>
        </w:rPr>
      </w:pPr>
      <w:r>
        <w:rPr>
          <w:rFonts w:ascii="Arial" w:cs="Arial" w:eastAsia="Arial" w:hAnsi="Arial"/>
          <w:sz w:val="21"/>
          <w:szCs w:val="21"/>
          <w:color w:val="auto"/>
        </w:rPr>
        <w:t>Subject to the terms of the Plan and this Award Agreement, unless you have made a settlement election under subsection (d) below, your vested RSUs, including any RSUs credited pursuant to Section 5, shall be settled in a lump sum as soon as administratively practicable, but no later than 90 days following the earliest date to occur of: (i) your Termination; (ii) your death, (iii) your Disability, or (iv) the third anniversary of the Grant Date (the “Settlement Date”). Your whole RSUs shall be settled in full Shares, and any fractional RSU shall be settled in cash, determined based upon the Fair Market Value of a Share on the Settlement Date.</w:t>
      </w:r>
    </w:p>
    <w:p>
      <w:pPr>
        <w:spacing w:after="0" w:line="220"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RSUs unless and until you become the record holder of such Shares.</w:t>
      </w:r>
    </w:p>
    <w:p>
      <w:pPr>
        <w:spacing w:after="0" w:line="215"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If there is a Change in Control, your RSUs, including any RSUs credited pursuant to Section 5, may vest in accordance with the Plan. See the Plan for further details.</w:t>
      </w:r>
    </w:p>
    <w:p>
      <w:pPr>
        <w:spacing w:after="0" w:line="215" w:lineRule="exact"/>
        <w:rPr>
          <w:rFonts w:ascii="Arial" w:cs="Arial" w:eastAsia="Arial" w:hAnsi="Arial"/>
          <w:sz w:val="22"/>
          <w:szCs w:val="22"/>
          <w:color w:val="auto"/>
        </w:rPr>
      </w:pPr>
    </w:p>
    <w:p>
      <w:pPr>
        <w:jc w:val="both"/>
        <w:ind w:left="1300" w:hanging="644"/>
        <w:spacing w:after="0" w:line="277"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Notwithstanding subsection (a) above, subject to the terms of the Plan and this Award Agreement, you may make an election to provide that if your Termination occurs before the third anniversary of the Grant Date, your vested RSUs, including any RSUs credited pursuant to Section 5, shall be settled in a lump sum as soon as administratively practicable, but no later than 90 days following the third anniversary of the Grant Date. For such an election to be effective, you must have completed such an election on a form provided by the Company no later than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before the year in which the Grant Date occurred. If you do not complete the election form within such time period provided in the form, you will receive your vested RSUs as provided in subsection (a) above.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159" w:name="page160"/>
    <w:bookmarkEnd w:id="159"/>
    <w:p>
      <w:pPr>
        <w:ind w:left="380" w:hanging="372"/>
        <w:spacing w:after="0"/>
        <w:tabs>
          <w:tab w:leader="none" w:pos="3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66" w:lineRule="exact"/>
        <w:rPr>
          <w:rFonts w:ascii="Arial" w:cs="Arial" w:eastAsia="Arial" w:hAnsi="Arial"/>
          <w:sz w:val="22"/>
          <w:szCs w:val="22"/>
          <w:b w:val="1"/>
          <w:bCs w:val="1"/>
          <w:color w:val="auto"/>
        </w:rPr>
      </w:pPr>
    </w:p>
    <w:p>
      <w:pPr>
        <w:ind w:left="1300" w:right="20" w:hanging="644"/>
        <w:spacing w:after="0" w:line="263" w:lineRule="auto"/>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RSUs, you will be credited with an additional number of RSUs equal to the quotient of:</w:t>
      </w:r>
    </w:p>
    <w:p>
      <w:pPr>
        <w:spacing w:after="0" w:line="215"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64"/>
        </w:numPr>
        <w:rPr>
          <w:rFonts w:ascii="Arial" w:cs="Arial" w:eastAsia="Arial" w:hAnsi="Arial"/>
          <w:sz w:val="21"/>
          <w:szCs w:val="21"/>
          <w:color w:val="auto"/>
        </w:rPr>
      </w:pPr>
      <w:r>
        <w:rPr>
          <w:rFonts w:ascii="Arial" w:cs="Arial" w:eastAsia="Arial" w:hAnsi="Arial"/>
          <w:sz w:val="21"/>
          <w:szCs w:val="21"/>
          <w:color w:val="auto"/>
        </w:rPr>
        <w:t>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spacing w:after="0" w:line="208" w:lineRule="exact"/>
        <w:rPr>
          <w:rFonts w:ascii="Arial" w:cs="Arial" w:eastAsia="Arial" w:hAnsi="Arial"/>
          <w:sz w:val="21"/>
          <w:szCs w:val="21"/>
          <w:color w:val="auto"/>
        </w:rPr>
      </w:pPr>
    </w:p>
    <w:p>
      <w:pPr>
        <w:ind w:left="1960" w:hanging="655"/>
        <w:spacing w:after="0" w:line="263" w:lineRule="auto"/>
        <w:tabs>
          <w:tab w:leader="none" w:pos="1960"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215"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RSUs, you will be credited with an additional number of RSUs equal to the product of:</w:t>
      </w:r>
    </w:p>
    <w:p>
      <w:pPr>
        <w:spacing w:after="0" w:line="215" w:lineRule="exact"/>
        <w:rPr>
          <w:rFonts w:ascii="Arial" w:cs="Arial" w:eastAsia="Arial" w:hAnsi="Arial"/>
          <w:sz w:val="22"/>
          <w:szCs w:val="22"/>
          <w:color w:val="auto"/>
        </w:rPr>
      </w:pPr>
    </w:p>
    <w:p>
      <w:pPr>
        <w:ind w:left="1960" w:hanging="655"/>
        <w:spacing w:after="0" w:line="343" w:lineRule="auto"/>
        <w:tabs>
          <w:tab w:leader="none" w:pos="1960" w:val="left"/>
        </w:tabs>
        <w:numPr>
          <w:ilvl w:val="2"/>
          <w:numId w:val="64"/>
        </w:numPr>
        <w:rPr>
          <w:rFonts w:ascii="Arial" w:cs="Arial" w:eastAsia="Arial" w:hAnsi="Arial"/>
          <w:sz w:val="19"/>
          <w:szCs w:val="19"/>
          <w:color w:val="auto"/>
        </w:rPr>
      </w:pPr>
      <w:r>
        <w:rPr>
          <w:rFonts w:ascii="Arial" w:cs="Arial" w:eastAsia="Arial" w:hAnsi="Arial"/>
          <w:sz w:val="19"/>
          <w:szCs w:val="19"/>
          <w:color w:val="auto"/>
        </w:rPr>
        <w:t>The number of RSUs granted under this Award Agreement (including additional RSUs previously credited in accordance with this Section 5) that have not been settled as of the dividend payment date, multiplied by</w:t>
      </w:r>
    </w:p>
    <w:p>
      <w:pPr>
        <w:spacing w:after="0" w:line="145" w:lineRule="exact"/>
        <w:rPr>
          <w:rFonts w:ascii="Arial" w:cs="Arial" w:eastAsia="Arial" w:hAnsi="Arial"/>
          <w:sz w:val="19"/>
          <w:szCs w:val="19"/>
          <w:color w:val="auto"/>
        </w:rPr>
      </w:pPr>
    </w:p>
    <w:p>
      <w:pPr>
        <w:ind w:left="1960" w:hanging="655"/>
        <w:spacing w:after="0"/>
        <w:tabs>
          <w:tab w:leader="none" w:pos="1960" w:val="left"/>
        </w:tabs>
        <w:numPr>
          <w:ilvl w:val="2"/>
          <w:numId w:val="64"/>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additional RSUs credited pursuant to this Section 5 shall be subject to the same terms and conditions as the RSUs granted pursuant to Section 1 above.</w:t>
      </w:r>
    </w:p>
    <w:p>
      <w:pPr>
        <w:spacing w:after="0" w:line="215"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fractional number of RSUs resulting from the calculations under this Section 5 shall be rounded to the nearest whole Share.</w:t>
      </w:r>
    </w:p>
    <w:p>
      <w:pPr>
        <w:spacing w:after="0" w:line="209" w:lineRule="exact"/>
        <w:rPr>
          <w:rFonts w:ascii="Arial" w:cs="Arial" w:eastAsia="Arial" w:hAnsi="Arial"/>
          <w:sz w:val="22"/>
          <w:szCs w:val="22"/>
          <w:color w:val="auto"/>
        </w:rPr>
      </w:pPr>
    </w:p>
    <w:p>
      <w:pPr>
        <w:ind w:firstLine="8"/>
        <w:spacing w:after="0" w:line="269" w:lineRule="auto"/>
        <w:tabs>
          <w:tab w:leader="none" w:pos="459"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RSUs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pacing w:after="0" w:line="202" w:lineRule="exact"/>
        <w:rPr>
          <w:rFonts w:ascii="Arial" w:cs="Arial" w:eastAsia="Arial" w:hAnsi="Arial"/>
          <w:sz w:val="22"/>
          <w:szCs w:val="22"/>
          <w:b w:val="1"/>
          <w:bCs w:val="1"/>
          <w:color w:val="auto"/>
        </w:rPr>
      </w:pPr>
    </w:p>
    <w:p>
      <w:pPr>
        <w:ind w:firstLine="8"/>
        <w:spacing w:after="0" w:line="269" w:lineRule="auto"/>
        <w:tabs>
          <w:tab w:leader="none" w:pos="40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20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27" w:lineRule="exact"/>
        <w:rPr>
          <w:rFonts w:ascii="Arial" w:cs="Arial" w:eastAsia="Arial" w:hAnsi="Arial"/>
          <w:sz w:val="22"/>
          <w:szCs w:val="22"/>
          <w:b w:val="1"/>
          <w:bCs w:val="1"/>
          <w:color w:val="auto"/>
        </w:rPr>
      </w:pPr>
    </w:p>
    <w:p>
      <w:pPr>
        <w:jc w:val="both"/>
        <w:ind w:firstLine="8"/>
        <w:spacing w:after="0" w:line="256" w:lineRule="auto"/>
        <w:tabs>
          <w:tab w:leader="none" w:pos="439"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160" w:name="page161"/>
    <w:bookmarkEnd w:id="160"/>
    <w:p>
      <w:pPr>
        <w:ind w:right="20"/>
        <w:spacing w:after="0" w:line="263" w:lineRule="auto"/>
        <w:rPr>
          <w:sz w:val="20"/>
          <w:szCs w:val="20"/>
          <w:color w:val="auto"/>
        </w:rPr>
      </w:pPr>
      <w:r>
        <w:rPr>
          <w:rFonts w:ascii="Arial" w:cs="Arial" w:eastAsia="Arial" w:hAnsi="Arial"/>
          <w:sz w:val="22"/>
          <w:szCs w:val="22"/>
          <w:color w:val="auto"/>
        </w:rPr>
        <w:t>equivalents into a trust established for your benefit or the benefit of your family. Contact the Third Party Administrator for further details.</w:t>
      </w:r>
    </w:p>
    <w:p>
      <w:pPr>
        <w:spacing w:after="0" w:line="209" w:lineRule="exact"/>
        <w:rPr>
          <w:sz w:val="20"/>
          <w:szCs w:val="20"/>
          <w:color w:val="auto"/>
        </w:rPr>
      </w:pPr>
    </w:p>
    <w:p>
      <w:pPr>
        <w:jc w:val="both"/>
        <w:ind w:firstLine="8"/>
        <w:spacing w:after="0" w:line="256" w:lineRule="auto"/>
        <w:tabs>
          <w:tab w:leader="none" w:pos="508"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482"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the related dividend equivalents will be subject to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211" w:lineRule="exact"/>
        <w:rPr>
          <w:rFonts w:ascii="Arial" w:cs="Arial" w:eastAsia="Arial" w:hAnsi="Arial"/>
          <w:sz w:val="21"/>
          <w:szCs w:val="21"/>
          <w:b w:val="1"/>
          <w:bCs w:val="1"/>
          <w:color w:val="auto"/>
        </w:rPr>
      </w:pPr>
    </w:p>
    <w:p>
      <w:pPr>
        <w:jc w:val="both"/>
        <w:ind w:firstLine="8"/>
        <w:spacing w:after="0" w:line="256" w:lineRule="auto"/>
        <w:tabs>
          <w:tab w:leader="none" w:pos="474"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the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RSUs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60" w:lineRule="exact"/>
        <w:rPr>
          <w:sz w:val="20"/>
          <w:szCs w:val="20"/>
          <w:color w:val="auto"/>
        </w:rPr>
      </w:pPr>
    </w:p>
    <w:p>
      <w:pPr>
        <w:ind w:left="1100" w:hanging="444"/>
        <w:spacing w:after="0"/>
        <w:tabs>
          <w:tab w:leader="none" w:pos="1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60"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21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22" w:lineRule="exact"/>
        <w:rPr>
          <w:rFonts w:ascii="Arial" w:cs="Arial" w:eastAsia="Arial" w:hAnsi="Arial"/>
          <w:sz w:val="22"/>
          <w:szCs w:val="22"/>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61" w:name="page162"/>
    <w:bookmarkEnd w:id="161"/>
    <w:p>
      <w:pPr>
        <w:spacing w:after="0"/>
        <w:rPr>
          <w:sz w:val="20"/>
          <w:szCs w:val="20"/>
          <w:color w:val="auto"/>
        </w:rPr>
      </w:pPr>
      <w:r>
        <w:rPr>
          <w:rFonts w:ascii="Arial" w:cs="Arial" w:eastAsia="Arial" w:hAnsi="Arial"/>
          <w:sz w:val="21"/>
          <w:szCs w:val="21"/>
          <w:b w:val="1"/>
          <w:bCs w:val="1"/>
          <w:color w:val="auto"/>
        </w:rPr>
        <w:t>[PARTICIPANT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SCOTTS MIRACLE-GRO COMPANY</w:t>
      </w:r>
    </w:p>
    <w:p>
      <w:pPr>
        <w:spacing w:after="0" w:line="216" w:lineRule="exact"/>
        <w:rPr>
          <w:sz w:val="20"/>
          <w:szCs w:val="20"/>
          <w:color w:val="auto"/>
        </w:rPr>
      </w:pPr>
    </w:p>
    <w:p>
      <w:pPr>
        <w:sectPr>
          <w:pgSz w:w="11900" w:h="16838" w:orient="portrait"/>
          <w:cols w:equalWidth="0" w:num="2">
            <w:col w:w="4520" w:space="720"/>
            <w:col w:w="4939"/>
          </w:cols>
          <w:pgMar w:left="280" w:top="517" w:right="1440"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 ___________________________________</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[Officer Name]</w:t>
      </w:r>
    </w:p>
    <w:p>
      <w:pPr>
        <w:ind w:left="20"/>
        <w:spacing w:after="0" w:line="230" w:lineRule="auto"/>
        <w:rPr>
          <w:sz w:val="20"/>
          <w:szCs w:val="20"/>
          <w:color w:val="auto"/>
        </w:rPr>
      </w:pPr>
      <w:r>
        <w:rPr>
          <w:rFonts w:ascii="Arial" w:cs="Arial" w:eastAsia="Arial" w:hAnsi="Arial"/>
          <w:sz w:val="22"/>
          <w:szCs w:val="22"/>
          <w:b w:val="1"/>
          <w:bCs w:val="1"/>
          <w:color w:val="auto"/>
        </w:rPr>
        <w:t>[Officer Title]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580" w:space="720"/>
            <w:col w:w="4879"/>
          </w:cols>
          <w:pgMar w:left="280" w:top="517" w:right="1440"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79"/>
          </w:cols>
          <w:pgMar w:left="280" w:top="517" w:right="1440"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Compensation for Nonemployee Directors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January 27, 2017</w:t>
      </w:r>
    </w:p>
    <w:p>
      <w:pPr>
        <w:spacing w:after="0" w:line="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_____________________________________</w:t>
      </w:r>
    </w:p>
    <w:p>
      <w:pPr>
        <w:spacing w:after="0" w:line="242" w:lineRule="exact"/>
        <w:rPr>
          <w:sz w:val="20"/>
          <w:szCs w:val="20"/>
          <w:color w:val="auto"/>
        </w:rPr>
      </w:pPr>
    </w:p>
    <w:p>
      <w:pPr>
        <w:ind w:right="520" w:firstLine="648"/>
        <w:spacing w:after="0" w:line="302" w:lineRule="auto"/>
        <w:rPr>
          <w:sz w:val="20"/>
          <w:szCs w:val="20"/>
          <w:color w:val="auto"/>
        </w:rPr>
      </w:pPr>
      <w:r>
        <w:rPr>
          <w:rFonts w:ascii="Arial" w:cs="Arial" w:eastAsia="Arial" w:hAnsi="Arial"/>
          <w:sz w:val="19"/>
          <w:szCs w:val="19"/>
          <w:color w:val="auto"/>
        </w:rPr>
        <w:t>At the meeting of the Board of Directors (the “Board”) of The Scotts Miracle-Gro Company (the “Company”) held on January 27, 2017,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Cash Retainer; Reimbursement of Expenses</w:t>
      </w:r>
    </w:p>
    <w:p>
      <w:pPr>
        <w:spacing w:after="0" w:line="26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Each of the Nonemployee Directors will be paid an annual cash retainer in the amount of $100,000 and the Lead Independent Director will be paid an additional annual cash retainer in the amount of $15,000. The annual cash retainer(s) will be paid on a quarterly basis, in January, April, July and October; provided, that, the Nonemployee Directors have the option to elect, in advance, to receive up to 100% of their quarterly cash retainers in cash or fully-vested deferred stock units. Nonemployee Directors receive reimbursement of all reasonable travel and other expenses associated with attending Board and Board committee meetings.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Deferred Stock Units</w:t>
      </w:r>
    </w:p>
    <w:p>
      <w:pPr>
        <w:spacing w:after="0" w:line="260" w:lineRule="exact"/>
        <w:rPr>
          <w:sz w:val="20"/>
          <w:szCs w:val="20"/>
          <w:color w:val="auto"/>
        </w:rPr>
      </w:pPr>
    </w:p>
    <w:p>
      <w:pPr>
        <w:ind w:right="260" w:firstLine="648"/>
        <w:spacing w:after="0" w:line="246" w:lineRule="auto"/>
        <w:rPr>
          <w:sz w:val="20"/>
          <w:szCs w:val="20"/>
          <w:color w:val="auto"/>
        </w:rPr>
      </w:pPr>
      <w:r>
        <w:rPr>
          <w:rFonts w:ascii="Arial" w:cs="Arial" w:eastAsia="Arial" w:hAnsi="Arial"/>
          <w:sz w:val="22"/>
          <w:szCs w:val="22"/>
          <w:color w:val="auto"/>
        </w:rPr>
        <w:t>Shortly following each of the Company’s annual meetings: (a) each Nonemployee Director will be granted deferred stock units having a value of $185,000, with no additional deferred stock units awarded for serving as Board committee chairs or members; and (b) the Lead Independent Director will be granted additional deferred stock units having a value of $35,000. The number of deferred stock units (and related dividend equivalents) granted to each Nonemployee Director will be calculated by dividing the aggregate value of deferred stock units to be granted to such Nonemployee Director by the closing price of the Company’s common shares on the grant date and rounding any resulting fractional deferred stock unit up to the next whole deferred stock unit.</w:t>
      </w:r>
    </w:p>
    <w:p>
      <w:pPr>
        <w:spacing w:after="0" w:line="238"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The deferred stock units (and related dividend equivalents) will be granted under The Scotts Miracle-Gro Company Long-Term Incentive Plan (Effective as of January 27, 2017) (the “2017 Plan”). Each whole deferred stock unit represents the right to receive one full common share of the Company at the time and in the manner described in the Deferred Stock Unit Award Agreement for Nonemployee Directors (with Related Dividend Equivalents) evidencing the award. Each dividend equivalent represents the right to receive additional deferred stock units (rounded to the nearest whole deferred stock unit) in respect of dividends that are declared and paid during the period beginning on the grant date and ending on the settlement date with respect to the common shares of the Company represented by the related deferred stock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163" w:name="page164"/>
    <w:bookmarkEnd w:id="163"/>
    <w:p>
      <w:pPr>
        <w:ind w:right="40" w:firstLine="648"/>
        <w:spacing w:after="0" w:line="289" w:lineRule="auto"/>
        <w:rPr>
          <w:sz w:val="20"/>
          <w:szCs w:val="20"/>
          <w:color w:val="auto"/>
        </w:rPr>
      </w:pPr>
      <w:r>
        <w:rPr>
          <w:rFonts w:ascii="Arial" w:cs="Arial" w:eastAsia="Arial" w:hAnsi="Arial"/>
          <w:sz w:val="19"/>
          <w:szCs w:val="19"/>
          <w:color w:val="auto"/>
        </w:rPr>
        <w:t>In general, the deferred stock units, including any deferred stock units received in respect of dividend equivalents on or prior to the vesting date, will generally become 100% vested on the date of the next annual meeting of the Company’s shareholders (the “Vesting Date”). Any deferred stock units received in respect of dividend equivalents following the vesting date will be 100% vested on the date they are credited to the Nonemployee Director. If a Nonemployee Director ceases to be a member of the Board as a result of their death or becoming totally disabled, then all of the Nonemployee Director’s deferred stock units (and related dividend 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deferred stock units (and related dividend equivalents) will be immediately forfeited.</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Subject to the terms of the 2017 Plan, vested deferred stock units (and related dividend equivalents) will be settled in a lump sum as soon as administratively practicable, but no later than 90 days, following the earliest to occur of (a) termination, (b) death,</w:t>
      </w:r>
    </w:p>
    <w:p>
      <w:pPr>
        <w:spacing w:after="0" w:line="1" w:lineRule="exact"/>
        <w:rPr>
          <w:sz w:val="20"/>
          <w:szCs w:val="20"/>
          <w:color w:val="auto"/>
        </w:rPr>
      </w:pPr>
    </w:p>
    <w:p>
      <w:pPr>
        <w:ind w:right="220" w:firstLine="8"/>
        <w:spacing w:after="0" w:line="262" w:lineRule="auto"/>
        <w:tabs>
          <w:tab w:leader="none" w:pos="294" w:val="left"/>
        </w:tabs>
        <w:numPr>
          <w:ilvl w:val="0"/>
          <w:numId w:val="67"/>
        </w:numPr>
        <w:rPr>
          <w:rFonts w:ascii="Arial" w:cs="Arial" w:eastAsia="Arial" w:hAnsi="Arial"/>
          <w:sz w:val="21"/>
          <w:szCs w:val="21"/>
          <w:color w:val="auto"/>
        </w:rPr>
      </w:pPr>
      <w:r>
        <w:rPr>
          <w:rFonts w:ascii="Arial" w:cs="Arial" w:eastAsia="Arial" w:hAnsi="Arial"/>
          <w:sz w:val="21"/>
          <w:szCs w:val="21"/>
          <w:color w:val="auto"/>
        </w:rPr>
        <w:t>disability, or (d) the third anniversary of the grant date. Whole deferred stock units (and related dividend equivalents) will be settled in full common shares of the Company and any fractional deferred stock units will be settled in cash, determined based on the fair market value of a common share of the Company on the settlement date.</w:t>
      </w:r>
    </w:p>
    <w:p>
      <w:pPr>
        <w:spacing w:after="0" w:line="218"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If there is a Change in Control (as defined in the 2017 Plan), each Nonemployee Director’s deferred stock units (and related dividend equivalents) will become 100% vested on the date of the Change in Control and will be settled as described above.</w:t>
      </w:r>
    </w:p>
    <w:p>
      <w:pPr>
        <w:spacing w:after="0" w:line="145"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For more information about the deferred stock units (and related dividend equivalents) granted to the Nonemployee Directors, please refer to: (a) the form of Deferred Stock Unit Award Agreement for Nonemployee Directors (with Related Dividend Equivalents) that is included as an exhibit to the Company’s Annual Report on Form 10-K; (b) the form of Deferred Stock Unit Award Agreement for Nonemployee Directors Retainer Deferrals (with Related Dividend Equivalents) that is included as an exhibit to the Company’s Annual Report on Form 10-K; and (c) the 2017 Plan that is included as Exhibit 10.1 to the Company’s Current Report on Form 8-K filed January 30, 2017.</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2"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Exhibit 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2018</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30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We have audited the consolidated financial statements of The Scotts Miracle-Gro Company and subsidiaries (the "Company") as of September 30, 2018 and 2017, and for each of the three years in the period ended September 30, 2018, included in your Annual Report on Form 10-K to the Securities and Exchange Commission and have issued our report thereon dated November 29, 2018, which expresses an unqualified opinion, including an explanatory paragraph regarding the Company’s change in accounting for employee share-based payments, goodwill impairment testing and inventory valuation.</w:t>
      </w: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Note 1 to such consolidated financial statements contains a description of your change in accounting principle during the year ended September 30, 2018 of the change in method of accounting for a portion of inventories from the last-in first-out method to the first-in first-out method. In our judgment, such change is to an alternative accounting principle that is preferable under the circumstances.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ectPr>
          <w:pgSz w:w="11900" w:h="16838" w:orient="portrait"/>
          <w:cols w:equalWidth="0" w:num="1">
            <w:col w:w="11420"/>
          </w:cols>
          <w:pgMar w:left="240" w:top="1057"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Directly owned subsidiaries, as of September 30, 2018,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166" w:name="page167"/>
    <w:bookmarkEnd w:id="166"/>
    <w:p>
      <w:pPr>
        <w:ind w:left="805"/>
        <w:spacing w:after="0"/>
        <w:rPr>
          <w:sz w:val="20"/>
          <w:szCs w:val="20"/>
          <w:color w:val="auto"/>
        </w:rPr>
      </w:pPr>
      <w:r>
        <w:rPr>
          <w:rFonts w:ascii="Arial" w:cs="Arial" w:eastAsia="Arial" w:hAnsi="Arial"/>
          <w:sz w:val="17"/>
          <w:szCs w:val="17"/>
          <w:color w:val="auto"/>
        </w:rPr>
        <w:t>Hawthorne Lighting B.V. (formerly known as Agrolux Holding B.V.)</w:t>
      </w:r>
    </w:p>
    <w:p>
      <w:pPr>
        <w:spacing w:after="0" w:line="75"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Europe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Nederland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Lighting Holding Inc.</w:t>
      </w:r>
    </w:p>
    <w:p>
      <w:pPr>
        <w:spacing w:after="0" w:line="63" w:lineRule="exact"/>
        <w:rPr>
          <w:sz w:val="20"/>
          <w:szCs w:val="20"/>
          <w:color w:val="auto"/>
        </w:rPr>
      </w:pPr>
    </w:p>
    <w:p>
      <w:pPr>
        <w:ind w:left="1025"/>
        <w:spacing w:after="0"/>
        <w:rPr>
          <w:sz w:val="20"/>
          <w:szCs w:val="20"/>
          <w:color w:val="auto"/>
        </w:rPr>
      </w:pPr>
      <w:r>
        <w:rPr>
          <w:rFonts w:ascii="Arial" w:cs="Arial" w:eastAsia="Arial" w:hAnsi="Arial"/>
          <w:sz w:val="18"/>
          <w:szCs w:val="18"/>
          <w:color w:val="auto"/>
        </w:rPr>
        <w:t>Agrolux Lighting Inc.</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Gavita Canada Inc.</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Hawthorne Canada Limited</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HDP Trading B.V.</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4</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SMG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8"/>
          <w:szCs w:val="18"/>
          <w:color w:val="auto"/>
        </w:rPr>
        <w:t>The Scotts Company (Manufacturing) Limited</w:t>
      </w:r>
    </w:p>
    <w:p>
      <w:pPr>
        <w:spacing w:after="0" w:line="6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SMG ITO Holdings, Inc.'s ownership is 51.0%.</w:t>
      </w:r>
    </w:p>
    <w:p>
      <w:pPr>
        <w:spacing w:after="0" w:line="1" w:lineRule="exact"/>
        <w:rPr>
          <w:rFonts w:ascii="Arial" w:cs="Arial" w:eastAsia="Arial" w:hAnsi="Arial"/>
          <w:sz w:val="25"/>
          <w:szCs w:val="25"/>
          <w:color w:val="auto"/>
          <w:vertAlign w:val="superscript"/>
        </w:rPr>
      </w:pPr>
    </w:p>
    <w:p>
      <w:pPr>
        <w:ind w:left="5"/>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30" w:right="1440"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23</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033-47073, 333-72715, 333-124503, 333-131466, 333-147397, 333-153925, 333-154364, 333-186187, 333-215774 and 333-222840 on Form S-8 and Registration Statement No. 333-208554 on Form S-3 of our reports dated November 29, 2018, relating to the consolidated financial statements and consolidated financial statement schedules of The Scotts Miracle-Gro Company and subsidiaries (the “Company”) (which report expresses an unqualified opinion and includes an explanatory paragraph regarding the Company’s adoption of the new accounting guidance in ASU 2016-09 Compensation-Stock Compensation (Topic 718): Improvements to Employee Share-Based Payment Accounting and ASU 2017-04 Intangibles-Goodwill and Other (Topic 350): Simplifying the Test for Goodwill Impairment and change in inventory valuation) and to the effectiveness of the Company's internal control over financial reporting, appear in this Annual Report on Form 10-K of the Company for the fiscal year ended September 30, 2018.</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2018</w:t>
      </w:r>
    </w:p>
    <w:p>
      <w:pPr>
        <w:sectPr>
          <w:pgSz w:w="11900" w:h="16838" w:orient="portrait"/>
          <w:cols w:equalWidth="0" w:num="1">
            <w:col w:w="11420"/>
          </w:cols>
          <w:pgMar w:left="240" w:top="132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C. Evans</w:t>
      </w:r>
    </w:p>
    <w:p>
      <w:pPr>
        <w:sectPr>
          <w:pgSz w:w="11900" w:h="16838" w:orient="portrait"/>
          <w:cols w:equalWidth="0" w:num="1">
            <w:col w:w="11420"/>
          </w:cols>
          <w:pgMar w:left="240" w:top="121" w:right="2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D. Finn</w:t>
      </w:r>
    </w:p>
    <w:p>
      <w:pPr>
        <w:sectPr>
          <w:pgSz w:w="11900" w:h="16838" w:orient="portrait"/>
          <w:cols w:equalWidth="0" w:num="1">
            <w:col w:w="11360"/>
          </w:cols>
          <w:pgMar w:left="240" w:top="360" w:right="299" w:bottom="1440" w:gutter="0" w:footer="0" w:header="0"/>
        </w:sectPr>
      </w:pPr>
    </w:p>
    <w:bookmarkStart w:id="170" w:name="page171"/>
    <w:bookmarkEnd w:id="17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360"/>
          </w:cols>
          <w:pgMar w:left="240" w:top="360" w:right="29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60" w:right="29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CRAIG R. HARGREAVES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Craig R. Hargreaves</w:t>
      </w:r>
    </w:p>
    <w:p>
      <w:pPr>
        <w:sectPr>
          <w:pgSz w:w="11900" w:h="16838" w:orient="portrait"/>
          <w:cols w:equalWidth="0" w:num="1">
            <w:col w:w="11360"/>
          </w:cols>
          <w:pgMar w:left="240" w:top="360" w:right="29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13335</wp:posOffset>
            </wp:positionV>
            <wp:extent cx="24523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60" w:right="29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F.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F. McCann</w:t>
      </w:r>
    </w:p>
    <w:p>
      <w:pPr>
        <w:sectPr>
          <w:pgSz w:w="11900" w:h="16838" w:orient="portrait"/>
          <w:cols w:equalWidth="0" w:num="1">
            <w:col w:w="11360"/>
          </w:cols>
          <w:pgMar w:left="240" w:top="360" w:right="29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Peter E. Shumlin</w:t>
      </w:r>
    </w:p>
    <w:p>
      <w:pPr>
        <w:sectPr>
          <w:pgSz w:w="11900" w:h="16838" w:orient="portrait"/>
          <w:cols w:equalWidth="0" w:num="1">
            <w:col w:w="11360"/>
          </w:cols>
          <w:pgMar w:left="240" w:top="360" w:right="299" w:bottom="1440" w:gutter="0" w:footer="0" w:header="0"/>
        </w:sectPr>
      </w:pPr>
    </w:p>
    <w:bookmarkStart w:id="179" w:name="page180"/>
    <w:bookmarkEnd w:id="17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360"/>
          </w:cols>
          <w:pgMar w:left="240" w:top="360" w:right="29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2018,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29th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11420"/>
          </w:cols>
          <w:pgMar w:left="240" w:top="36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2018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November 29, 2018</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29, 2018</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1"/>
      <w:numFmt w:val="bullet"/>
      <w:start w:val="1"/>
    </w:lvl>
  </w:abstractNum>
  <w:abstractNum w:abstractNumId="3">
    <w:nsid w:val="2463B9EA"/>
    <w:multiLevelType w:val="hybridMultilevel"/>
    <w:lvl w:ilvl="0">
      <w:lvlJc w:val="left"/>
      <w:lvlText w:val="2"/>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3"/>
    </w:lvl>
  </w:abstractNum>
  <w:abstractNum w:abstractNumId="12">
    <w:nsid w:val="2A487CB0"/>
    <w:multiLevelType w:val="hybridMultilevel"/>
    <w:lvl w:ilvl="0">
      <w:lvlJc w:val="left"/>
      <w:lvlText w:val="(%1)"/>
      <w:numFmt w:val="decimal"/>
      <w:start w:val="7"/>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lowerLetter"/>
      <w:start w:val="3"/>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lowerRoman"/>
      <w:start w:val="3"/>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2"/>
    </w:lvl>
    <w:lvl w:ilvl="1">
      <w:lvlJc w:val="left"/>
      <w:lvlText w:val="(%2)"/>
      <w:numFmt w:val="lowerLetter"/>
      <w:start w:val="1"/>
    </w:lvl>
  </w:abstractNum>
  <w:abstractNum w:abstractNumId="39">
    <w:nsid w:val="3938657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1CF10FD8"/>
    <w:multiLevelType w:val="hybridMultilevel"/>
    <w:lvl w:ilvl="0">
      <w:lvlJc w:val="left"/>
      <w:lvlText w:val="%1"/>
      <w:numFmt w:val="lowerLetter"/>
      <w:start w:val="1"/>
    </w:lvl>
    <w:lvl w:ilvl="1">
      <w:lvlJc w:val="left"/>
      <w:lvlText w:val="(%2)"/>
      <w:numFmt w:val="lowerLetter"/>
      <w:start w:val="35"/>
    </w:lvl>
  </w:abstractNum>
  <w:abstractNum w:abstractNumId="41">
    <w:nsid w:val="180115BE"/>
    <w:multiLevelType w:val="hybridMultilevel"/>
    <w:lvl w:ilvl="0">
      <w:lvlJc w:val="left"/>
      <w:lvlText w:val="(%1)"/>
      <w:numFmt w:val="lowerLetter"/>
      <w:start w:val="2"/>
    </w:lvl>
    <w:lvl w:ilvl="1">
      <w:lvlJc w:val="left"/>
      <w:lvlText w:val="(%2)"/>
      <w:numFmt w:val="lowerLetter"/>
      <w:start w:val="9"/>
    </w:lvl>
  </w:abstractNum>
  <w:abstractNum w:abstractNumId="42">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3">
    <w:nsid w:val="47398C8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4">
    <w:nsid w:val="354FE9F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5">
    <w:nsid w:val="15B5AF5C"/>
    <w:multiLevelType w:val="hybridMultilevel"/>
    <w:lvl w:ilvl="0">
      <w:lvlJc w:val="left"/>
      <w:lvlText w:val="%1."/>
      <w:numFmt w:val="decimal"/>
      <w:start w:val="12"/>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8">
    <w:nsid w:val="10233C99"/>
    <w:multiLevelType w:val="hybridMultilevel"/>
    <w:lvl w:ilvl="0">
      <w:lvlJc w:val="left"/>
      <w:lvlText w:val="%1"/>
      <w:numFmt w:val="lowerLetter"/>
      <w:start w:val="1"/>
    </w:lvl>
    <w:lvl w:ilvl="1">
      <w:lvlJc w:val="left"/>
      <w:lvlText w:val="(%2)"/>
      <w:numFmt w:val="lowerRoman"/>
      <w:start w:val="2"/>
    </w:lvl>
  </w:abstractNum>
  <w:abstractNum w:abstractNumId="49">
    <w:nsid w:val="3F6AB60F"/>
    <w:multiLevelType w:val="hybridMultilevel"/>
    <w:lvl w:ilvl="0">
      <w:lvlJc w:val="left"/>
      <w:lvlText w:val="(%1)"/>
      <w:numFmt w:val="lowerLetter"/>
      <w:start w:val="4"/>
    </w:lvl>
    <w:lvl w:ilvl="1">
      <w:lvlJc w:val="left"/>
      <w:lvlText w:val="%2"/>
      <w:numFmt w:val="lowerRoman"/>
      <w:start w:val="1"/>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2"/>
    </w:lvl>
    <w:lvl w:ilvl="1">
      <w:lvlJc w:val="left"/>
      <w:lvlText w:val="(%2)"/>
      <w:numFmt w:val="lowerLetter"/>
      <w:start w:val="1"/>
    </w:lvl>
  </w:abstractNum>
  <w:abstractNum w:abstractNumId="53">
    <w:nsid w:val="579BE4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54">
    <w:nsid w:val="310C50B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6">
    <w:nsid w:val="2F305DEF"/>
    <w:multiLevelType w:val="hybridMultilevel"/>
    <w:lvl w:ilvl="0">
      <w:lvlJc w:val="left"/>
      <w:lvlText w:val="%1"/>
      <w:numFmt w:val="decimal"/>
      <w:start w:val="1"/>
    </w:lvl>
    <w:lvl w:ilvl="1">
      <w:lvlJc w:val="left"/>
      <w:lvlText w:val="(%2)"/>
      <w:numFmt w:val="lowerRoman"/>
      <w:start w:val="1"/>
    </w:lvl>
  </w:abstractNum>
  <w:abstractNum w:abstractNumId="57">
    <w:nsid w:val="25A70BF7"/>
    <w:multiLevelType w:val="hybridMultilevel"/>
    <w:lvl w:ilvl="0">
      <w:lvlJc w:val="left"/>
      <w:lvlText w:val="%1."/>
      <w:numFmt w:val="decimal"/>
      <w:start w:val="7"/>
    </w:lvl>
    <w:lvl w:ilvl="1">
      <w:lvlJc w:val="left"/>
      <w:lvlText w:val="%2"/>
      <w:numFmt w:val="lowerRoman"/>
      <w:start w:val="1"/>
    </w:lvl>
  </w:abstractNum>
  <w:abstractNum w:abstractNumId="58">
    <w:nsid w:val="1DBABF00"/>
    <w:multiLevelType w:val="hybridMultilevel"/>
    <w:lvl w:ilvl="0">
      <w:lvlJc w:val="left"/>
      <w:lvlText w:val="%1."/>
      <w:numFmt w:val="decimal"/>
      <w:start w:val="10"/>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2"/>
    </w:lvl>
    <w:lvl w:ilvl="1">
      <w:lvlJc w:val="left"/>
      <w:lvlText w:val="(%2)"/>
      <w:numFmt w:val="lowerLetter"/>
      <w:start w:val="1"/>
    </w:lvl>
  </w:abstractNum>
  <w:abstractNum w:abstractNumId="62">
    <w:nsid w:val="5DB70AE5"/>
    <w:multiLevelType w:val="hybridMultilevel"/>
    <w:lvl w:ilvl="0">
      <w:lvlJc w:val="left"/>
      <w:lvlText w:val="%1."/>
      <w:numFmt w:val="decimal"/>
      <w:start w:val="3"/>
    </w:lvl>
    <w:lvl w:ilvl="1">
      <w:lvlJc w:val="left"/>
      <w:lvlText w:val="(%2)"/>
      <w:numFmt w:val="lowerLetter"/>
      <w:start w:val="1"/>
    </w:lvl>
  </w:abstractNum>
  <w:abstractNum w:abstractNumId="63">
    <w:nsid w:val="100F8F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6590700B"/>
    <w:multiLevelType w:val="hybridMultilevel"/>
    <w:lvl w:ilvl="0">
      <w:lvlJc w:val="left"/>
      <w:lvlText w:val="%1."/>
      <w:numFmt w:val="decimal"/>
      <w:start w:val="10"/>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3"/>
    </w:lvl>
  </w:abstractNum>
  <w:abstractNum w:abstractNumId="67">
    <w:nsid w:val="98A3148"/>
    <w:multiLevelType w:val="hybridMultilevel"/>
    <w:lvl w:ilvl="0">
      <w:lvlJc w:val="left"/>
      <w:lvlText w:val="1"/>
      <w:numFmt w:val="bullet"/>
      <w:start w:val="1"/>
    </w:lvl>
  </w:abstractNum>
  <w:abstractNum w:abstractNumId="68">
    <w:nsid w:val="799D0247"/>
    <w:multiLevelType w:val="hybridMultilevel"/>
    <w:lvl w:ilvl="0">
      <w:lvlJc w:val="left"/>
      <w:lvlText w:val="4"/>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2" Type="http://schemas.openxmlformats.org/officeDocument/2006/relationships/image" Target="media/image146.png"/><Relationship Id="rId198" Type="http://schemas.openxmlformats.org/officeDocument/2006/relationships/image" Target="media/image147.jpe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153" Type="http://schemas.openxmlformats.org/officeDocument/2006/relationships/hyperlink" Target="http://www.sec.gov/Archives/edgar/data/825542/000095015205002525/l12922aexv3w1.htm" TargetMode="External"/><Relationship Id="rId154" Type="http://schemas.openxmlformats.org/officeDocument/2006/relationships/hyperlink" Target="http://www.sec.gov/Archives/edgar/data/825542/000095015205002525/l12922aexv3w2.htm" TargetMode="External"/><Relationship Id="rId155" Type="http://schemas.openxmlformats.org/officeDocument/2006/relationships/hyperlink" Target="http://www.sec.gov/Archives/edgar/data/825542/000095015205002525/l12922aexv3w3.htm" TargetMode="External"/><Relationship Id="rId156" Type="http://schemas.openxmlformats.org/officeDocument/2006/relationships/hyperlink" Target="http://www.sec.gov/Archives/edgar/data/825542/000119312515343758/d98295dex41.htm" TargetMode="External"/><Relationship Id="rId157" Type="http://schemas.openxmlformats.org/officeDocument/2006/relationships/hyperlink" Target="http://www.sec.gov/Archives/edgar/data/825542/000154638016000062/exhibit4smg722016q3f16.htm" TargetMode="External"/><Relationship Id="rId158" Type="http://schemas.openxmlformats.org/officeDocument/2006/relationships/hyperlink" Target="http://www.sec.gov/Archives/edgar/data/825542/000154638018000022/exhibit105smg6302018q3f18.htm" TargetMode="External"/><Relationship Id="rId159" Type="http://schemas.openxmlformats.org/officeDocument/2006/relationships/hyperlink" Target="http://www.sec.gov/Archives/edgar/data/825542/000144398416000071/exhibit41smg2016-12x168xk.htm" TargetMode="External"/><Relationship Id="rId160" Type="http://schemas.openxmlformats.org/officeDocument/2006/relationships/hyperlink" Target="http://www.sec.gov/Archives/edgar/data/825542/000154638018000022/exhibit104smg6302018q3f18.htm" TargetMode="External"/><Relationship Id="rId161" Type="http://schemas.openxmlformats.org/officeDocument/2006/relationships/hyperlink" Target="http://www.sec.gov/Archives/edgar/data/825542/000144398418000018/exhibit101smg2018-07x118xk.htm" TargetMode="External"/><Relationship Id="rId163" Type="http://schemas.openxmlformats.org/officeDocument/2006/relationships/hyperlink" Target="http://www.sec.gov/Archives/edgar/data/825542/000144398418000018/exhibit102smg2018-07x118xk.htm" TargetMode="External"/><Relationship Id="rId164" Type="http://schemas.openxmlformats.org/officeDocument/2006/relationships/hyperlink" Target="http://www.sec.gov/Archives/edgar/data/825542/000144398413000006/smg2013-01x148xkannualmeet.htm" TargetMode="External"/><Relationship Id="rId165" Type="http://schemas.openxmlformats.org/officeDocument/2006/relationships/hyperlink" Target="http://www.sec.gov/Archives/edgar/data/825542/000154638015000015/exhibit103smg-328201510xq2.htm" TargetMode="External"/><Relationship Id="rId166" Type="http://schemas.openxmlformats.org/officeDocument/2006/relationships/hyperlink" Target="http://www.sec.gov/Archives/edgar/data/825542/000154638015000015/exhibit104smg-328201510xq2.htm" TargetMode="External"/><Relationship Id="rId167" Type="http://schemas.openxmlformats.org/officeDocument/2006/relationships/hyperlink" Target="http://www.sec.gov/Archives/edgar/data/825542/000154638015000015/exhibit108smg-328201510xq2.htm" TargetMode="External"/><Relationship Id="rId168" Type="http://schemas.openxmlformats.org/officeDocument/2006/relationships/hyperlink" Target="http://www.sec.gov/Archives/edgar/data/825542/000154638015000015/exhibit106smg-328201510xq2.htm" TargetMode="External"/><Relationship Id="rId169" Type="http://schemas.openxmlformats.org/officeDocument/2006/relationships/hyperlink" Target="http://www.sec.gov/Archives/edgar/data/825542/000095012310011580/c95724exv10w4.htm" TargetMode="External"/><Relationship Id="rId170" Type="http://schemas.openxmlformats.org/officeDocument/2006/relationships/hyperlink" Target="http://www.sec.gov/Archives/edgar/data/825542/000119312512046475/d274946dex103.htm" TargetMode="External"/><Relationship Id="rId171" Type="http://schemas.openxmlformats.org/officeDocument/2006/relationships/hyperlink" Target="http://www.sec.gov/Archives/edgar/data/825542/000154638015000015/exhibit107smg-328201510xq2.htm" TargetMode="External"/><Relationship Id="rId172" Type="http://schemas.openxmlformats.org/officeDocument/2006/relationships/hyperlink" Target="http://www.sec.gov/Archives/edgar/data/825542/000144398417000010/smg2017-01x308xkxexhibit101.htm" TargetMode="External"/><Relationship Id="rId173" Type="http://schemas.openxmlformats.org/officeDocument/2006/relationships/hyperlink" Target="http://www.sec.gov/Archives/edgar/data/825542/000144398417000010/smg2017-01x308xkxexhibit102.htm" TargetMode="External"/><Relationship Id="rId174" Type="http://schemas.openxmlformats.org/officeDocument/2006/relationships/hyperlink" Target="http://www.sec.gov/Archives/edgar/data/825542/000144398417000010/smg2017-01x308xkxexhibit103.htm" TargetMode="External"/><Relationship Id="rId175" Type="http://schemas.openxmlformats.org/officeDocument/2006/relationships/hyperlink" Target="http://www.sec.gov/Archives/edgar/data/825542/000144398417000010/smg2017-01x308xkxexhibit104.htm" TargetMode="External"/><Relationship Id="rId176" Type="http://schemas.openxmlformats.org/officeDocument/2006/relationships/hyperlink" Target="http://www.sec.gov/Archives/edgar/data/825542/000144398417000010/smg2017-01x308xkxexhibit105.htm" TargetMode="External"/><Relationship Id="rId177" Type="http://schemas.openxmlformats.org/officeDocument/2006/relationships/hyperlink" Target="http://www.sec.gov/Archives/edgar/data/825542/000144398414000005/exhibit101smg2014-02x058xk.htm" TargetMode="External"/><Relationship Id="rId178" Type="http://schemas.openxmlformats.org/officeDocument/2006/relationships/hyperlink" Target="http://www.sec.gov/Archives/edgar/data/825542/000095015206006818/l21737aexv10w1.htm" TargetMode="External"/><Relationship Id="rId179" Type="http://schemas.openxmlformats.org/officeDocument/2006/relationships/hyperlink" Target="http://www.sec.gov/Archives/edgar/data/825542/000154638015000006/exhibit102smg12271410qf15.htm" TargetMode="External"/><Relationship Id="rId180" Type="http://schemas.openxmlformats.org/officeDocument/2006/relationships/hyperlink" Target="http://www.sec.gov/Archives/edgar/data/825542/000144398413000030/smg2013-12x178kex102.htm" TargetMode="External"/><Relationship Id="rId181" Type="http://schemas.openxmlformats.org/officeDocument/2006/relationships/hyperlink" Target="http://www.sec.gov/Archives/edgar/data/825542/000144398413000030/smg2013-12x178kex101.htm" TargetMode="External"/><Relationship Id="rId182" Type="http://schemas.openxmlformats.org/officeDocument/2006/relationships/hyperlink" Target="http://www.sec.gov/Archives/edgar/data/825542/000154638017000016/exhibit106smg412017q2f17.htm" TargetMode="External"/><Relationship Id="rId183" Type="http://schemas.openxmlformats.org/officeDocument/2006/relationships/hyperlink" Target="http://www.sec.gov/Archives/edgar/data/825542/000154638018000005/exhibit101smg12302017q1f18.htm" TargetMode="External"/><Relationship Id="rId184" Type="http://schemas.openxmlformats.org/officeDocument/2006/relationships/hyperlink" Target="http://www.sec.gov/Archives/edgar/data/825542/000154638017000016/exhibit109smg412017q2f17.htm" TargetMode="External"/><Relationship Id="rId185" Type="http://schemas.openxmlformats.org/officeDocument/2006/relationships/hyperlink" Target="http://www.sec.gov/Archives/edgar/data/825542/000154638017000016/exhibit1010smg412017q2f17.htm" TargetMode="External"/><Relationship Id="rId186" Type="http://schemas.openxmlformats.org/officeDocument/2006/relationships/hyperlink" Target="http://www.sec.gov/Archives/edgar/data/825542/000144398415000012/exhibit104smg2015-05x208xka.htm" TargetMode="External"/><Relationship Id="rId187" Type="http://schemas.openxmlformats.org/officeDocument/2006/relationships/hyperlink" Target="http://www.sec.gov/Archives/edgar/data/825542/000154638017000042/exhibit1014asmg930201710kf.htm" TargetMode="External"/><Relationship Id="rId188" Type="http://schemas.openxmlformats.org/officeDocument/2006/relationships/hyperlink" Target="http://www.sec.gov/Archives/edgar/data/825542/000154638017000042/exhibit1014bsmg930201710kf.htm" TargetMode="External"/><Relationship Id="rId189" Type="http://schemas.openxmlformats.org/officeDocument/2006/relationships/hyperlink" Target="http://www.sec.gov/Archives/edgar/data/825542/000144398417000025/smg201704138kexhibit101.htm" TargetMode="External"/><Relationship Id="rId190" Type="http://schemas.openxmlformats.org/officeDocument/2006/relationships/hyperlink" Target="http://www.sec.gov/Archives/edgar/data/825542/000155278118000366/e18323_ex10-1.htm" TargetMode="External"/><Relationship Id="rId191" Type="http://schemas.openxmlformats.org/officeDocument/2006/relationships/hyperlink" Target="http://www.sec.gov/Archives/edgar/data/825542/000144398417000025/smg201704138kexhibit102.htm" TargetMode="External"/><Relationship Id="rId192" Type="http://schemas.openxmlformats.org/officeDocument/2006/relationships/hyperlink" Target="http://www.sec.gov/Archives/edgar/data/825542/000144398417000045/exhibit101smg2017-08x318xk.htm" TargetMode="External"/><Relationship Id="rId193" Type="http://schemas.openxmlformats.org/officeDocument/2006/relationships/hyperlink" Target="http://www.sec.gov/Archives/edgar/data/825542/000155278118000366/e18323_ex10-2.htm" TargetMode="External"/><Relationship Id="rId194" Type="http://schemas.openxmlformats.org/officeDocument/2006/relationships/hyperlink" Target="http://www.sec.gov/Archives/edgar/data/825542/000154638016000053/exhibit104smg422016q2f16.htm" TargetMode="External"/><Relationship Id="rId195" Type="http://schemas.openxmlformats.org/officeDocument/2006/relationships/hyperlink" Target="http://www.sec.gov/Archives/edgar/data/825542/000154638017000042/exhibit1020smg930201710kfy.htm" TargetMode="External"/><Relationship Id="rId196" Type="http://schemas.openxmlformats.org/officeDocument/2006/relationships/hyperlink" Target="http://www.sec.gov/Archives/edgar/data/825542/000154638018000022/exhibit101smg6302018q3f18.htm" TargetMode="External"/><Relationship Id="rId197" Type="http://schemas.openxmlformats.org/officeDocument/2006/relationships/hyperlink" Target="http://www.sec.gov/Archives/edgar/data/825542/000155278118000366/e1832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2019-12-28T17:27:23Z</dcterms:created>
  <dcterms:modified xsi:type="dcterms:W3CDTF">2019-12-28T17:27:23Z</dcterms:modified>
</cp:coreProperties>
</file>