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For the quarterly period ended July 3, 2021</w:t>
      </w:r>
    </w:p>
    <w:p>
      <w:pPr>
        <w:spacing w:after="0" w:line="11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44"/>
        </w:trPr>
        <w:tc>
          <w:tcPr>
            <w:tcW w:w="4600" w:type="dxa"/>
            <w:vAlign w:val="bottom"/>
          </w:tcPr>
          <w:p>
            <w:pPr>
              <w:jc w:val="center"/>
              <w:ind w:right="2644"/>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9"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2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81"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6" w:right="339" w:bottom="1440" w:gutter="0" w:footer="0" w:header="0"/>
        </w:sectPr>
      </w:pPr>
    </w:p>
    <w:p>
      <w:pPr>
        <w:spacing w:after="0" w:line="41"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Large accelerated filer</w:t>
      </w:r>
    </w:p>
    <w:p>
      <w:pPr>
        <w:spacing w:after="0" w:line="34"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Non-accelerated filer</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77"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96"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14" w:lineRule="exact"/>
        <w:rPr>
          <w:sz w:val="24"/>
          <w:szCs w:val="24"/>
          <w:color w:val="auto"/>
        </w:rPr>
      </w:pPr>
    </w:p>
    <w:p>
      <w:pPr>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080"/>
        <w:spacing w:after="0" w:line="31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35"/>
          <w:szCs w:val="35"/>
          <w:color w:val="auto"/>
          <w:vertAlign w:val="superscript"/>
        </w:rPr>
        <w:t>Yes</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w:t>
      </w:r>
      <w:r>
        <w:rPr>
          <w:rFonts w:ascii="Arial" w:cs="Arial" w:eastAsia="Arial" w:hAnsi="Arial"/>
          <w:sz w:val="35"/>
          <w:szCs w:val="35"/>
          <w:color w:val="auto"/>
          <w:vertAlign w:val="superscript"/>
        </w:rPr>
        <w:t>No</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As of August 6, 2021, there were 55,801,258 Common Shares outstanding.</w:t>
      </w:r>
    </w:p>
    <w:p>
      <w:pPr>
        <w:sectPr>
          <w:pgSz w:w="11900" w:h="16838" w:orient="portrait"/>
          <w:cols w:equalWidth="0" w:num="1">
            <w:col w:w="11240"/>
          </w:cols>
          <w:pgMar w:left="320" w:top="796" w:right="339" w:bottom="1440" w:gutter="0" w:footer="0" w:header="0"/>
          <w:type w:val="continuous"/>
        </w:sectPr>
      </w:pP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jc w:val="center"/>
        <w:ind w:right="-19"/>
        <w:spacing w:after="0"/>
        <w:rPr>
          <w:sz w:val="20"/>
          <w:szCs w:val="20"/>
          <w:color w:val="auto"/>
        </w:rPr>
      </w:pPr>
      <w:r>
        <w:rPr>
          <w:rFonts w:ascii="Arial" w:cs="Arial" w:eastAsia="Arial" w:hAnsi="Arial"/>
          <w:sz w:val="18"/>
          <w:szCs w:val="18"/>
          <w:color w:val="auto"/>
        </w:rPr>
        <w:t>INDEX</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 Three and nine months ended July 3, 2021 and June 27, 2020</w:t>
              </w:r>
            </w:hyperlink>
          </w:p>
        </w:tc>
        <w:tc>
          <w:tcPr>
            <w:tcW w:w="500" w:type="dxa"/>
            <w:vAlign w:val="bottom"/>
            <w:gridSpan w:val="2"/>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3"/>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Comprehensive Income (Loss) — Three and nine months ended July 3, 2021 and</w:t>
              </w:r>
            </w:hyperlink>
          </w:p>
        </w:tc>
        <w:tc>
          <w:tcPr>
            <w:tcW w:w="108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tcBorders>
            <w:gridSpan w:val="3"/>
          </w:tcPr>
          <w:p>
            <w:pPr>
              <w:spacing w:after="0" w:line="156" w:lineRule="exact"/>
              <w:rPr>
                <w:rFonts w:ascii="Arial" w:cs="Arial" w:eastAsia="Arial" w:hAnsi="Arial"/>
                <w:sz w:val="18"/>
                <w:szCs w:val="18"/>
                <w:color w:val="0000FF"/>
                <w:w w:val="82"/>
              </w:rPr>
            </w:pPr>
            <w:hyperlink w:anchor="page3">
              <w:r>
                <w:rPr>
                  <w:rFonts w:ascii="Arial" w:cs="Arial" w:eastAsia="Arial" w:hAnsi="Arial"/>
                  <w:sz w:val="18"/>
                  <w:szCs w:val="18"/>
                  <w:color w:val="0000FF"/>
                  <w:w w:val="82"/>
                </w:rPr>
                <w:t>June 27, 2020</w:t>
              </w:r>
            </w:hyperlink>
          </w:p>
        </w:tc>
        <w:tc>
          <w:tcPr>
            <w:tcW w:w="774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 — Nine months ended July 3, 2021 and June 27, 2020</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Condensed Consolidated Balance Sheets — </w:t>
              </w:r>
            </w:hyperlink>
            <w:hyperlink w:anchor="page3">
              <w:r>
                <w:rPr>
                  <w:rFonts w:ascii="Arial" w:cs="Arial" w:eastAsia="Arial" w:hAnsi="Arial"/>
                  <w:sz w:val="18"/>
                  <w:szCs w:val="18"/>
                  <w:color w:val="0000FF"/>
                  <w:w w:val="88"/>
                </w:rPr>
                <w:t xml:space="preserve">July 3, 2021, June 27, 2020 </w:t>
              </w:r>
            </w:hyperlink>
            <w:hyperlink w:anchor="page5">
              <w:r>
                <w:rPr>
                  <w:rFonts w:ascii="Arial" w:cs="Arial" w:eastAsia="Arial" w:hAnsi="Arial"/>
                  <w:sz w:val="18"/>
                  <w:szCs w:val="18"/>
                  <w:color w:val="0000FF"/>
                  <w:w w:val="88"/>
                </w:rPr>
                <w:t>and September 30, 2020</w:t>
              </w:r>
            </w:hyperlink>
          </w:p>
        </w:tc>
        <w:tc>
          <w:tcPr>
            <w:tcW w:w="68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60" w:type="dxa"/>
            <w:vAlign w:val="bottom"/>
            <w:gridSpan w:val="4"/>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916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4300" w:type="dxa"/>
            <w:vAlign w:val="bottom"/>
            <w:gridSpan w:val="9"/>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Quantitative and Qualitative Disclosures about Market Risk</w:t>
              </w:r>
            </w:hyperlink>
          </w:p>
        </w:tc>
        <w:tc>
          <w:tcPr>
            <w:tcW w:w="2140" w:type="dxa"/>
            <w:vAlign w:val="bottom"/>
          </w:tcPr>
          <w:p>
            <w:pPr>
              <w:spacing w:after="0"/>
              <w:rPr>
                <w:sz w:val="18"/>
                <w:szCs w:val="18"/>
                <w:color w:val="auto"/>
              </w:rPr>
            </w:pPr>
          </w:p>
        </w:tc>
        <w:tc>
          <w:tcPr>
            <w:tcW w:w="272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1760" w:type="dxa"/>
            <w:vAlign w:val="bottom"/>
            <w:gridSpan w:val="6"/>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Controls and Procedures</w:t>
              </w:r>
            </w:hyperlink>
          </w:p>
        </w:tc>
        <w:tc>
          <w:tcPr>
            <w:tcW w:w="2540" w:type="dxa"/>
            <w:vAlign w:val="bottom"/>
            <w:gridSpan w:val="3"/>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PART II. OTHER INFORMATION:</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916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1A.</w:t>
              </w:r>
            </w:hyperlink>
          </w:p>
        </w:tc>
        <w:tc>
          <w:tcPr>
            <w:tcW w:w="900" w:type="dxa"/>
            <w:vAlign w:val="bottom"/>
            <w:gridSpan w:val="4"/>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Risk Factors</w:t>
              </w:r>
            </w:hyperlink>
          </w:p>
        </w:tc>
        <w:tc>
          <w:tcPr>
            <w:tcW w:w="400" w:type="dxa"/>
            <w:vAlign w:val="bottom"/>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4300" w:type="dxa"/>
            <w:vAlign w:val="bottom"/>
            <w:gridSpan w:val="9"/>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Unregistered Sales of Equity Securities and Use of Proceeds</w:t>
              </w:r>
            </w:hyperlink>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2320" w:type="dxa"/>
            <w:vAlign w:val="bottom"/>
            <w:gridSpan w:val="7"/>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Defaults Upon Senior Securities</w:t>
              </w:r>
            </w:hyperlink>
          </w:p>
        </w:tc>
        <w:tc>
          <w:tcPr>
            <w:tcW w:w="1980" w:type="dxa"/>
            <w:vAlign w:val="bottom"/>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1760" w:type="dxa"/>
            <w:vAlign w:val="bottom"/>
            <w:gridSpan w:val="6"/>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Mine Safety Disclosures</w:t>
              </w:r>
            </w:hyperlink>
          </w:p>
        </w:tc>
        <w:tc>
          <w:tcPr>
            <w:tcW w:w="560" w:type="dxa"/>
            <w:vAlign w:val="bottom"/>
          </w:tcPr>
          <w:p>
            <w:pPr>
              <w:spacing w:after="0"/>
              <w:rPr>
                <w:sz w:val="18"/>
                <w:szCs w:val="18"/>
                <w:color w:val="auto"/>
              </w:rPr>
            </w:pPr>
          </w:p>
        </w:tc>
        <w:tc>
          <w:tcPr>
            <w:tcW w:w="6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5.</w:t>
              </w:r>
            </w:hyperlink>
          </w:p>
        </w:tc>
        <w:tc>
          <w:tcPr>
            <w:tcW w:w="1760" w:type="dxa"/>
            <w:vAlign w:val="bottom"/>
            <w:gridSpan w:val="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740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6.</w:t>
              </w:r>
            </w:hyperlink>
          </w:p>
        </w:tc>
        <w:tc>
          <w:tcPr>
            <w:tcW w:w="600" w:type="dxa"/>
            <w:vAlign w:val="bottom"/>
            <w:gridSpan w:val="3"/>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Exhibits</w:t>
              </w:r>
            </w:hyperlink>
          </w:p>
        </w:tc>
        <w:tc>
          <w:tcPr>
            <w:tcW w:w="700" w:type="dxa"/>
            <w:vAlign w:val="bottom"/>
            <w:gridSpan w:val="2"/>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Index to Exhibits</w:t>
              </w:r>
            </w:hyperlink>
          </w:p>
        </w:tc>
        <w:tc>
          <w:tcPr>
            <w:tcW w:w="8860" w:type="dxa"/>
            <w:vAlign w:val="bottom"/>
            <w:gridSpan w:val="14"/>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Signatures</w:t>
              </w:r>
            </w:hyperlink>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1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1"/>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1"/>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3,241.3</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net income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Diluted income (loss) per common share: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2"/>
              </w:rPr>
              <w:t>Weighted-average common shares outstanding during the period plus dilutive potential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common shares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3"/>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3"/>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Arial" w:cs="Arial" w:eastAsia="Arial" w:hAnsi="Arial"/>
                <w:sz w:val="18"/>
                <w:szCs w:val="18"/>
                <w:color w:val="auto"/>
              </w:rPr>
              <w:t>Net unrealized gain (loss) on derivative instruments, net of tax</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5"/>
        </w:trPr>
        <w:tc>
          <w:tcPr>
            <w:tcW w:w="64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Reclassification of net unrealized losses on derivative instruments to net income,</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8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1"/>
                <w:szCs w:val="11"/>
                <w:color w:val="auto"/>
              </w:rPr>
            </w:pPr>
          </w:p>
        </w:tc>
        <w:tc>
          <w:tcPr>
            <w:tcW w:w="1200" w:type="dxa"/>
            <w:vAlign w:val="bottom"/>
          </w:tcPr>
          <w:p>
            <w:pPr>
              <w:jc w:val="right"/>
              <w:ind w:right="428"/>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8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561.3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384.4</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Costs related to refinancing</w:t>
            </w:r>
          </w:p>
        </w:tc>
        <w:tc>
          <w:tcPr>
            <w:tcW w:w="3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Share-based compensation expense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45.4</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Equity in income of unconsolidated affiliates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net</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Changes in assets and liabilities, net of acquired businesses: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Prepaid and other assets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115.3</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current liabilities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Other non-current items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79"/>
        </w:trPr>
        <w:tc>
          <w:tcPr>
            <w:tcW w:w="8140" w:type="dxa"/>
            <w:vAlign w:val="bottom"/>
            <w:tcBorders>
              <w:bottom w:val="single" w:sz="8" w:color="CCEEFF"/>
            </w:tcBorders>
          </w:tcPr>
          <w:p>
            <w:pPr>
              <w:ind w:left="144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r>
      <w:tr>
        <w:trPr>
          <w:trHeight w:val="199"/>
        </w:trPr>
        <w:tc>
          <w:tcPr>
            <w:tcW w:w="8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long-lived assets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Investments in property, plant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(41.7)</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Investments in loans receivable</w:t>
            </w: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Proceeds from sale of brand extension assets</w:t>
            </w:r>
          </w:p>
        </w:tc>
        <w:tc>
          <w:tcPr>
            <w:tcW w:w="3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115.5</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Investments in unconsolidated affiliates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Payment for acquisitions, net of cash acquired</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investing, net</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9"/>
        </w:trPr>
        <w:tc>
          <w:tcPr>
            <w:tcW w:w="8140" w:type="dxa"/>
            <w:vAlign w:val="bottom"/>
            <w:tcBorders>
              <w:bottom w:val="single" w:sz="8" w:color="CCEEFF"/>
            </w:tcBorders>
          </w:tcPr>
          <w:p>
            <w:pPr>
              <w:ind w:left="140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r>
      <w:tr>
        <w:trPr>
          <w:trHeight w:val="199"/>
        </w:trPr>
        <w:tc>
          <w:tcPr>
            <w:tcW w:w="8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1,134.3</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(1,118.6)</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4.000% Senior Notes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Proceeds from issuance of 4.500% Senior Notes</w:t>
            </w:r>
          </w:p>
        </w:tc>
        <w:tc>
          <w:tcPr>
            <w:tcW w:w="3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6.000% Senior Notes</w:t>
            </w: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Financing and issuance fees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Purchase of Common Shares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on seller notes</w:t>
            </w: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Cash received from exercise of stock options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 of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140" w:type="dxa"/>
            <w:vAlign w:val="bottom"/>
            <w:tcBorders>
              <w:bottom w:val="single" w:sz="8" w:color="CCEEFF"/>
            </w:tcBorders>
          </w:tcPr>
          <w:p>
            <w:pPr>
              <w:ind w:left="144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w:t>
            </w:r>
          </w:p>
        </w:tc>
      </w:tr>
      <w:tr>
        <w:trPr>
          <w:trHeight w:val="18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1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19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79"/>
        </w:trPr>
        <w:tc>
          <w:tcPr>
            <w:tcW w:w="814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r>
      <w:tr>
        <w:trPr>
          <w:trHeight w:val="24"/>
        </w:trPr>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$10.9, $13.3 and $7.5, respectively</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$727.0, $671.1 and</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$682.1, respectively</w:t>
            </w:r>
          </w:p>
        </w:tc>
        <w:tc>
          <w:tcPr>
            <w:tcW w:w="4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92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55.8, 55.8 and 55.8, respectively</w:t>
            </w:r>
          </w:p>
        </w:tc>
        <w:tc>
          <w:tcPr>
            <w:tcW w:w="4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12.4, 12.4 and 12.4 shares, respectively</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equity—controlling interest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1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2021 is impacted by this process and, as a result, the first quarter of fiscal 2021 had five additional days and the fourth quarter of fiscal 2021 will have six fewer days compared to the respective quarters of fiscal 2020. In addition, the third quarter of fiscal 2021 began six days later than the third quarter of fiscal 2020 and those six days fell within the Company’s peak selling season. The Company’s third quarter of fiscal 2021 ended on July 3, 2021 while the Company’s third quarter of fiscal 2020 ended on June 27,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Company’s unaudited condensed consolidated financial statements for the three and nine months ended July 3, 2021 and June 27, 2020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Condensed Consolidated Balance Sheets, and the other shareholders’ portion of net earnings and other comprehensive income was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2020 (the “2020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2020 has been derived from the Company’s audited Consolidated Balance Sheet at that date, but does not include all of the information and footnotes required by GAAP for complete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$13.8 and $3.2 during the nine months ended July 3, 2021 and June 27, 2020, respectively, representing unpaid liabilities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35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0" w:type="dxa"/>
            <w:vAlign w:val="bottom"/>
          </w:tcPr>
          <w:p>
            <w:pPr>
              <w:jc w:val="center"/>
              <w:ind w:left="442"/>
              <w:spacing w:after="0" w:line="135" w:lineRule="exact"/>
              <w:rPr>
                <w:sz w:val="20"/>
                <w:szCs w:val="20"/>
                <w:color w:val="auto"/>
              </w:rPr>
            </w:pPr>
            <w:r>
              <w:rPr>
                <w:rFonts w:ascii="Arial" w:cs="Arial" w:eastAsia="Arial" w:hAnsi="Arial"/>
                <w:sz w:val="14"/>
                <w:szCs w:val="14"/>
                <w:b w:val="1"/>
                <w:bCs w:val="1"/>
                <w:color w:val="auto"/>
                <w:w w:val="91"/>
              </w:rPr>
              <w:t>July 3,</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342"/>
              <w:spacing w:after="0" w:line="135" w:lineRule="exact"/>
              <w:rPr>
                <w:sz w:val="20"/>
                <w:szCs w:val="20"/>
                <w:color w:val="auto"/>
              </w:rPr>
            </w:pPr>
            <w:r>
              <w:rPr>
                <w:rFonts w:ascii="Arial" w:cs="Arial" w:eastAsia="Arial" w:hAnsi="Arial"/>
                <w:sz w:val="14"/>
                <w:szCs w:val="14"/>
                <w:b w:val="1"/>
                <w:bCs w:val="1"/>
                <w:color w:val="auto"/>
                <w:w w:val="92"/>
              </w:rPr>
              <w:t>June 27,</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8"/>
        </w:trPr>
        <w:tc>
          <w:tcPr>
            <w:tcW w:w="3580" w:type="dxa"/>
            <w:vAlign w:val="bottom"/>
          </w:tcPr>
          <w:p>
            <w:pPr>
              <w:spacing w:after="0"/>
              <w:rPr>
                <w:sz w:val="16"/>
                <w:szCs w:val="16"/>
                <w:color w:val="auto"/>
              </w:rPr>
            </w:pPr>
          </w:p>
        </w:tc>
        <w:tc>
          <w:tcPr>
            <w:tcW w:w="55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45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68.2</w:t>
            </w:r>
          </w:p>
        </w:tc>
        <w:tc>
          <w:tcPr>
            <w:tcW w:w="20" w:type="dxa"/>
            <w:vAlign w:val="bottom"/>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4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165.9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16.6</w:t>
            </w:r>
          </w:p>
        </w:tc>
        <w:tc>
          <w:tcPr>
            <w:tcW w:w="20" w:type="dxa"/>
            <w:vAlign w:val="bottom"/>
          </w:tcPr>
          <w:p>
            <w:pPr>
              <w:spacing w:after="0"/>
              <w:rPr>
                <w:sz w:val="20"/>
                <w:szCs w:val="20"/>
                <w:color w:val="auto"/>
              </w:rPr>
            </w:pPr>
          </w:p>
        </w:tc>
      </w:tr>
      <w:tr>
        <w:trPr>
          <w:trHeight w:val="850"/>
        </w:trPr>
        <w:tc>
          <w:tcPr>
            <w:tcW w:w="3580" w:type="dxa"/>
            <w:vAlign w:val="bottom"/>
          </w:tcPr>
          <w:p>
            <w:pPr>
              <w:spacing w:after="0"/>
              <w:rPr>
                <w:sz w:val="24"/>
                <w:szCs w:val="24"/>
                <w:color w:val="auto"/>
              </w:rPr>
            </w:pPr>
          </w:p>
        </w:tc>
        <w:tc>
          <w:tcPr>
            <w:tcW w:w="4520" w:type="dxa"/>
            <w:vAlign w:val="bottom"/>
          </w:tcPr>
          <w:p>
            <w:pPr>
              <w:jc w:val="right"/>
              <w:ind w:right="2359"/>
              <w:spacing w:after="0"/>
              <w:rPr>
                <w:sz w:val="20"/>
                <w:szCs w:val="20"/>
                <w:color w:val="auto"/>
              </w:rPr>
            </w:pPr>
            <w:r>
              <w:rPr>
                <w:rFonts w:ascii="Arial" w:cs="Arial" w:eastAsia="Arial" w:hAnsi="Arial"/>
                <w:sz w:val="18"/>
                <w:szCs w:val="18"/>
                <w:color w:val="auto"/>
              </w:rPr>
              <w:t>7</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in Unconsolidated Affiliates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Condensed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 - Credit Losses (Topic 326),” which changes the impairment model for most financial assets to require measurement and recognition of expected credit losses for financial assets held. The Company adopted this guidance on October 1, 2020. The adoption of this guidance did not have a material impact on the Company’s consolidated financial position, results of operations or cash flows.</w:t>
      </w:r>
    </w:p>
    <w:p>
      <w:pPr>
        <w:spacing w:after="0" w:line="11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guidance on October 1, 2020. The adoption of this guidance did not have a material impact on the Company’s consolidated financial position,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 Company’s financial statements no later than the fiscal year beginning October 1, 2021. The Company is continuing to assess the impact of the amended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10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sale proceeds were net of seller financing provided by the Company in the form of a $29.7 loan for seven years bearing interest at 5% for the first three years, with annual 2.5% increases thereafter. The seller financing loan receivable is recorded in the “Other assets” line in the Condensed Consolidated Balance Sheets as of July 3, 2021. The transaction also included contingent consideration with a maximum payout of $23.8 and an initial fair value of $18.2, the payment of which depended on the achievement of certain performance criteria by the International Business following the closing of the transaction through fiscal 2020. During the three months ended July 3, 2021, the Company agreed to accept a contingent consideration payout of $6.0, which will be paid to the Company prior to March 31, 2022. This amount is recorded in the “Prepaid and other current assets” line in the Condensed Consolidated Balance Sheets as of July 3, 2021. The Company recorded a pre-tax charge of $12.2 in the “Income (loss) from discontinued operations, net of tax” line in the Condensed Consolidated Statements of Operations during the three months ended July 3, 2021 to write down the contingent consideration receivable to the agreed upon payout amount.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1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Alabama Farmers Cooperative, Inc. (“AFC”), the Company acquired a 50% equity interest in the Bonnie Plants business of planting, growing, developing, manufacturing, distributing, marketing, and selling live plants, plant food, fertilizer and potting soil through a newly formed joint venture with AFC (“Bonnie Plants, LLC”) in exchange for a cash payment of $100.7, as well as non-cash investing activities that included forgiveness of the Company’s outstanding loan receivable with AFC and surrender of the Company’s options to increase its economic interest in the Bonnie Plants business. The Company’s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receivable with AFC, which was previously recognized in the “Other assets” line in the Condensed Consolidated Balance Sheets, had a carrying value of $66.4 on December 31, 2020 and the Company recognized a gain of $12.5 during the three months ended January 2, 2021 to write-up the value of the loan to its closing date fair value of $78.9 in the “Other non-operating income, net” line in the Condensed Consolidated Statements of Operations. The Company’s options to increase its economic interest in the Bonnie Plants business were previously recognized in the “Other assets” line in the Condensed Consolidated Balance Sheets and had an estimated fair value of $23.3 on December 31, 2020. The Company’s interest in Bonnie Plants, LLC had an initial fair value of $202.9 and is recorded in the “Investment in unconsolidated affiliates” line in the Condensed Consolidated Balance Sheets. The Company’s interest is accounted for using the equity method of accounting, with the Company’s proportionate share of Bonnie Plants, LLC earnings subsequent to December 31, 2020 reflected in the Condensed Consolidated Statements of Operations.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10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November 11, 2020, the Company entered into an agreement and plan of merger to acquire the remaining outstanding shares of AeroGrow for cash consideration of $3.00 per share, or approximately $20.1. The merger closed on February 26, 2021. Prior to closing, SMG Growing Media, Inc., a wholly-owned subsidiary of Scotts Miracle-Gro, was the holder of 80.5%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equity—controlling interest” in the Condensed Consolidated Balance Sheets.</w:t>
      </w:r>
    </w:p>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29, 2021, the Company’s Hawthorne segment entered into an agreement to acquire substantially all of the assets of Hydro-Logic Purification Systems, Inc., a leading provider of products, accessories and systems for water filtration and purification, for $65.0. The transaction, which is subject to customary closing conditions, is expected to close during the fourth quarter of fiscal 2021.</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9, 2021, the Company entered into an agreement to make its initial investment under its strategic minority non-equity investment initiative in the form of a $150.0 six-year convertible note issued to the Company by Toronto-based RIV Capital Inc. (TSX: RIV) (OTC: CNPOF), a cannabis investment and acquisition firm currently listed on the Toronto Stock Exchange. The note accrues interest at 2 percent annually for the first two years and provides additional follow-on investment rights. The conversion feature, which is based upon the RIV Capital closing stock price on August 9, 2021, would provide the Company with approximately 42 percent ownership of RIV Capital if it were to be converted. The transaction is expected to close in the fourth quarter of fiscal 2021. The Company will also have the right to nominate up to three members for election to RIV Capital’s Board of Directors, which will be increased to seven members. The Company will not have an active day-to-day role in RIV Capital nor any of the companies in which it invests. RIV Capital has agreed to use the funds for general corporate and other lawful purposes, which could include acquisitions, and has agreed that the funds will not be used in connection with or for any cannabis or cannabis-related operations in the U.S. unless and until such operations comply with all applicable U.S. federal laws.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6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activity related to liabilities associated with restructuring and other during the nine months ended July 3,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July 3, 2021</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Included in restructuring accruals, as of July 3, 2021, is $1.1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COVID-19 pandemic has had, and continues to have, an impact on financial markets, economic conditions, and portions of the Company’s business and industry. The Company has actively addressed the pandemic’s ongoing impact on its employees, operations, customers, consumers, and communities, by, among other things, implementing contingency plans, making operational adjustments where necessary, and providing assistance to organizations that support front-line workers. Many of the Company’s employees continue to work from home. In those instances where the Company’s employees cannot perform their work at home, the Company has implemented additional health and safety measures and social distancing protocols, consistent with government recommendations and/or requirements, to help to ensure their safety. In addition, the Company implemented an interim premium pay allowance for certain associates in its field sales force and its manufacturing or distribution centers. During the three and nine months ended July 3, 2021, the Company incurred costs of $1.9 and $26.1, respectively, associated with the COVID-19 pandemic primarily related to premium pay. The Company incurred costs of $0.8 and $19.8 in its U.S. Consumer segment, $0.5 and $2.4 in its Hawthorne segment and $0.2 and $0.3 in its Other segment in the “Cost of sales—impairment, restructuring and other” line in the Condensed Consolidated Statements of Operations during the three and nine months ended July 3, 2021, respectively. The Company incurred costs of $0.3 and $3.5 in its U.S. Consumer segment and $0.1 in its Other segment in the “Impairment, restructuring and other” line in the Condensed Consolidated Statements of Operations during the three and nine months ended July 3, 2021, respectively. Since the inception of the COVID-19 pandemic, total costs classified within the “Cost of sales—impairment, restructuring and other” and the “Impairment, restructuring and other” lines in the Condensed Consolidated Statements of Operations are $39.5 for the U.S. Consumer segment, $5.0 for the Hawthorne segment and $1.0 for the Other segment.</w:t>
      </w:r>
    </w:p>
    <w:p>
      <w:pPr>
        <w:spacing w:after="0" w:line="1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and nine months ended June 27, 2020, the Company incurred costs of $16.5 and $20.3, respectively, associated with the COVID-19 pandemic primarily related to premium pay. The Company incurred costs of $9.6 and $12.2 in its U.S. Consumer segment, $2.0 and $2.5 in its Hawthorne segment and $0.6 in its Other segment in the “Cost of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impairment, restructuring and other” line in the Condensed Consolidated Statements of Operations during the three and nine months ended June 27, 2020, respectively. The Company incurred costs of $4.2 and $4.9 in its U.S. Consumer segment and $0.1 in its Other segment in the “Impairment, restructuring and other” line in the Condensed Consolidated Statements of Operations during the three and nine months ended June 27,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Costs incurred during the three and nine months ended July 3, 2021 and June 27, 2020 related to Project Catalyst were not material. Costs incurred to date since the inception of Project Catalyst are $24.5 for the Hawthorne segment, $13.9 for the U.S. Consumer segment, $1.3 for the Other segment and $2.8 for Corporate. Additionally, during the three and nine months ended June 27, 2020, the Company received zero and $2.6, respectively, from the final settlement of escrow funds related to a previous acquisition within the Hawthorne segment that was recognized in the “Impairment, restructuring and other” line in the Condensed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5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665.8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962.8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r>
      <w:tr>
        <w:trPr>
          <w:trHeight w:val="20"/>
        </w:trPr>
        <w:tc>
          <w:tcPr>
            <w:tcW w:w="6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60" w:firstLine="405"/>
        <w:spacing w:after="0" w:line="438" w:lineRule="auto"/>
        <w:rPr>
          <w:sz w:val="20"/>
          <w:szCs w:val="20"/>
          <w:color w:val="auto"/>
        </w:rPr>
      </w:pPr>
      <w:r>
        <w:rPr>
          <w:rFonts w:ascii="Arial" w:cs="Arial" w:eastAsia="Arial" w:hAnsi="Arial"/>
          <w:sz w:val="18"/>
          <w:szCs w:val="18"/>
          <w:color w:val="auto"/>
        </w:rPr>
        <w:t xml:space="preserve">Adjustments to reflect inventories at net realizable values were $21.3 at July 3, 2021, $13.9 at June 27, 2020 and $31.3 at September 30, 2020. </w:t>
      </w:r>
      <w:r>
        <w:rPr>
          <w:rFonts w:ascii="Arial" w:cs="Arial" w:eastAsia="Arial" w:hAnsi="Arial"/>
          <w:sz w:val="18"/>
          <w:szCs w:val="18"/>
          <w:b w:val="1"/>
          <w:bCs w:val="1"/>
          <w:color w:val="auto"/>
        </w:rPr>
        <w:t>NOTE 6. MARKETING AGREEMENT</w:t>
      </w:r>
    </w:p>
    <w:p>
      <w:pPr>
        <w:spacing w:after="0" w:line="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7"/>
          <w:szCs w:val="17"/>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subject to reduction pursuant to the Third Restated Agreement for any program year in which the Program EBIT does not equal or exceed $36.0.</w:t>
      </w:r>
    </w:p>
    <w:p>
      <w:pPr>
        <w:spacing w:after="0" w:line="1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89"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78" w:lineRule="exact"/>
        <w:rPr>
          <w:rFonts w:ascii="Arial" w:cs="Arial" w:eastAsia="Arial" w:hAnsi="Arial"/>
          <w:sz w:val="17"/>
          <w:szCs w:val="17"/>
          <w:color w:val="auto"/>
        </w:rPr>
      </w:pPr>
    </w:p>
    <w:p>
      <w:pPr>
        <w:jc w:val="both"/>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January 15, 2021, the Company declined to exercise its Convenience Termination right.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$175.0 upon a Convenience Termination, which the Company declined to exercise, (ii) $375.0 upon a Brand Decommissioning Termination, and (iii)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07"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In connection with the signing of the Third Restated Agreement, the Company also entered into the Brand Extension Agreement Asset Purchase Agreement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sold outside the non-selective weedkiller category within the residential lawn and garden market. The consideration paid by Monsanto was $112.0 plus the value of finished goods inventory of $3.5. This consideration receivable was recorded in the “Prepaid and other current assets” line in the Consolidated Balance Sheets until it was received by the Company on January 13, 2020. The carrying value of the assets sold included the brand extension agreement intangible asset with a carrying value of $111.7.</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elements of the net commission and reimbursements earned under the Restated Marketing Agreement and included in the “Net sales” line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8"/>
          </w:tcPr>
          <w:p>
            <w:pPr>
              <w:ind w:lef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July 3,</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commission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Contribution expenses</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(4.5)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7"/>
              </w:rPr>
              <w:t>(4.5)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commission</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440"/>
              <w:spacing w:after="0" w:line="176" w:lineRule="exact"/>
              <w:rPr>
                <w:sz w:val="20"/>
                <w:szCs w:val="20"/>
                <w:color w:val="auto"/>
              </w:rPr>
            </w:pPr>
            <w:r>
              <w:rPr>
                <w:rFonts w:ascii="Arial" w:cs="Arial" w:eastAsia="Arial" w:hAnsi="Arial"/>
                <w:sz w:val="16"/>
                <w:szCs w:val="16"/>
                <w:color w:val="auto"/>
              </w:rPr>
              <w:t>Reimbursements associated with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marketing</w:t>
            </w:r>
          </w:p>
        </w:tc>
        <w:tc>
          <w:tcPr>
            <w:tcW w:w="560" w:type="dxa"/>
            <w:vAlign w:val="bottom"/>
          </w:tcPr>
          <w:p>
            <w:pPr>
              <w:spacing w:after="0"/>
              <w:rPr>
                <w:sz w:val="15"/>
                <w:szCs w:val="15"/>
                <w:color w:val="auto"/>
              </w:rPr>
            </w:pPr>
          </w:p>
        </w:tc>
        <w:tc>
          <w:tcPr>
            <w:tcW w:w="960" w:type="dxa"/>
            <w:vAlign w:val="bottom"/>
            <w:vMerge w:val="restart"/>
          </w:tcPr>
          <w:p>
            <w:pPr>
              <w:ind w:left="58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restart"/>
          </w:tcPr>
          <w:p>
            <w:pPr>
              <w:ind w:left="5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agreement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60" w:type="dxa"/>
            <w:vAlign w:val="bottom"/>
            <w:shd w:val="clear" w:color="auto" w:fill="CCEEFF"/>
          </w:tcPr>
          <w:p>
            <w:pPr>
              <w:ind w:left="760"/>
              <w:spacing w:after="0" w:line="156" w:lineRule="exact"/>
              <w:rPr>
                <w:sz w:val="20"/>
                <w:szCs w:val="20"/>
                <w:color w:val="auto"/>
              </w:rPr>
            </w:pPr>
            <w:r>
              <w:rPr>
                <w:rFonts w:ascii="Arial" w:cs="Arial" w:eastAsia="Arial" w:hAnsi="Arial"/>
                <w:sz w:val="14"/>
                <w:szCs w:val="14"/>
                <w:color w:val="auto"/>
              </w:rPr>
              <w:t>Total net sales associated with Roundup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marketing</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agreement</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gridSpan w:val="2"/>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DEBT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60" w:type="dxa"/>
            <w:vAlign w:val="bottom"/>
          </w:tcPr>
          <w:p>
            <w:pPr>
              <w:ind w:left="420"/>
              <w:spacing w:after="0"/>
              <w:rPr>
                <w:sz w:val="20"/>
                <w:szCs w:val="20"/>
                <w:color w:val="auto"/>
              </w:rPr>
            </w:pPr>
            <w:r>
              <w:rPr>
                <w:rFonts w:ascii="Arial" w:cs="Arial" w:eastAsia="Arial" w:hAnsi="Arial"/>
                <w:sz w:val="18"/>
                <w:szCs w:val="18"/>
                <w:color w:val="auto"/>
              </w:rPr>
              <w:t>The components of debt are as follows: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278.8</w:t>
            </w:r>
          </w:p>
        </w:tc>
        <w:tc>
          <w:tcPr>
            <w:tcW w:w="2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Senior Notes – 4.000%</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 4.500%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5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$2,300.0, comprised of a revolving credit facility of $1,500.0 and a term loan in the original principal amount of $800.0 (the “Fifth A&amp;R Credit Facilities”).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July 3, 2021, the Company had letters of credit outstanding in the aggregate principal amount of $19.8 and had $1,201.4 of borrowing availability under the Fifth A&amp;R Credit Agreement. The weighted average interest rates on average borrowings under the Fifth A&amp;R Credit Agreement were 1.8% and 3.4% for the nine months ended July 3, 2021 and June 27, 2020, respectively.</w:t>
      </w:r>
    </w:p>
    <w:p>
      <w:pPr>
        <w:spacing w:after="0" w:line="10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4.50. The Company’s leverage ratio was 2.19 at July 3, 2021.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July 3, 2021. The Company’s interest coverage ratio was 13.53 for the twelve months ended July 3, 2021.</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the common shares of Scotts Miracle-Gro (“Common Shares”), as long as the leverage ratio resulting from the making of such restricted payments is 4.00 or less. Otherwise, the Company may make further restricted payments in an aggregate amount for each fiscal year not to exceed $225.0.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10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October 22, 2019, Scotts Miracle-Gro issued $450.0 aggregate principal amount of 4.500% Senior Notes due 2029 (the “4.500% Senior Notes”). The net proceeds of the offering were used to redeem all of the Company’s outstanding 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9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23, 2019, Scotts Miracle-Gro redeemed all of its outstanding 6.000% Senior Notes for a redemption price of $412.5, comprised of $0.5 of accrued and unpaid interest, $12.0 of redemption premium, and $400.0 for outstanding principal amount. The $12.0 redemption premium was recognized in the “Costs related to refinancing” line on the Condensed Consolidated Statements of Operations during the first quarter of fiscal 2020. Additionally, the Company had $3.1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9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March 17, 2021, Scotts Miracle-Gro issued $500.0 aggregate principal amount of 4.000% Senior Notes due 2031 (the “4.000% Senior Notes”). The net proceeds of the offering were used to reduce borrowings under the Fifth A&amp;R Credit Facilities. The 4.000% Senior Notes represent general unsecured senior obligations and rank equal in right of payment with the Company’s existing and future unsecured senior debt. The 4.000% Senior Notes have interest payment dates of April 1 and October 1 of each year, commencing October 1, 2021. All of Scotts Miracle-Gro’s domestic subsidiaries that serve as guarantors of the 5.250% Senior Notes also serve as guarantors of the 4.000% Senior Notes.</w:t>
      </w:r>
    </w:p>
    <w:p>
      <w:pPr>
        <w:spacing w:after="0" w:line="10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August 10, 2021, Scotts Miracle-Gro entered into a purchase agreement, pursuant to which it has agreed to issue and sell $400.0 aggregate principal amount of 4.375% senior notes due 2032 (the “4.375% Senior Notes”) in a private placement exempt from the registration requirements under the Securities Act of 1933, as amended. The Company intends to use the net proceeds from the offering to reduce borrowings under the Fifth A&amp;R Credit Facilities and for other general corporate purposes (including acquisitions and other strategic opportunities). The 4.375% Senior Notes will represent general unsecured senior obligations and rank equal in right of payment with the Company’s existing and future unsecured senior debt. All of Scotts Miracle-Gro’s domestic subsidiaries that serve as guarantors of the 5.250% Senior Notes will also serve as guarantors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right="100"/>
        <w:spacing w:after="0" w:line="414" w:lineRule="auto"/>
        <w:rPr>
          <w:sz w:val="20"/>
          <w:szCs w:val="20"/>
          <w:color w:val="auto"/>
        </w:rPr>
      </w:pPr>
      <w:r>
        <w:rPr>
          <w:rFonts w:ascii="Arial" w:cs="Arial" w:eastAsia="Arial" w:hAnsi="Arial"/>
          <w:sz w:val="18"/>
          <w:szCs w:val="18"/>
          <w:color w:val="auto"/>
        </w:rPr>
        <w:t xml:space="preserve">4.375% Senior Notes. The issuance and sale of the 4.375% Senior Notes is expected to close on August 13, 2021, subject to customary closing conditions. </w:t>
      </w:r>
      <w:r>
        <w:rPr>
          <w:rFonts w:ascii="Arial" w:cs="Arial" w:eastAsia="Arial" w:hAnsi="Arial"/>
          <w:sz w:val="18"/>
          <w:szCs w:val="18"/>
          <w:b w:val="1"/>
          <w:bCs w:val="1"/>
          <w:i w:val="1"/>
          <w:iCs w:val="1"/>
          <w:u w:val="single" w:color="auto"/>
          <w:color w:val="auto"/>
        </w:rPr>
        <w:t>Receivables Facility</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July 3, 2021 and June 27, 2020, there were zero and $160.0, respectively, in borrowings on receivables pledged as collateral under the Receivables Facility, and the carrying value of the receivables pledged as collateral was zero and $177.8,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July 3, 2021, June 27, 2020 and September 30, 2020 had a maximum total U.S. dollar equivalent notional amount of $700.0, $600.0 and $600.0, respectively. The notional amount, effective date, expiration date and rate of each of the swap agreements outstanding at July 3, 2021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880" w:type="dxa"/>
            <w:vAlign w:val="bottom"/>
          </w:tcPr>
          <w:p>
            <w:pPr>
              <w:jc w:val="right"/>
              <w:ind w:right="854"/>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4"/>
              <w:spacing w:after="0"/>
              <w:rPr>
                <w:sz w:val="20"/>
                <w:szCs w:val="20"/>
                <w:color w:val="auto"/>
              </w:rPr>
            </w:pPr>
            <w:r>
              <w:rPr>
                <w:rFonts w:ascii="Arial" w:cs="Arial" w:eastAsia="Arial" w:hAnsi="Arial"/>
                <w:sz w:val="14"/>
                <w:szCs w:val="14"/>
                <w:b w:val="1"/>
                <w:bCs w:val="1"/>
                <w:color w:val="auto"/>
              </w:rPr>
              <w:t>Fixed</w:t>
            </w:r>
          </w:p>
        </w:tc>
      </w:tr>
      <w:tr>
        <w:trPr>
          <w:trHeight w:val="188"/>
        </w:trPr>
        <w:tc>
          <w:tcPr>
            <w:tcW w:w="520" w:type="dxa"/>
            <w:vAlign w:val="bottom"/>
          </w:tcPr>
          <w:p>
            <w:pPr>
              <w:spacing w:after="0"/>
              <w:rPr>
                <w:sz w:val="16"/>
                <w:szCs w:val="16"/>
                <w:color w:val="auto"/>
              </w:rPr>
            </w:pPr>
          </w:p>
        </w:tc>
        <w:tc>
          <w:tcPr>
            <w:tcW w:w="1880" w:type="dxa"/>
            <w:vAlign w:val="bottom"/>
          </w:tcPr>
          <w:p>
            <w:pPr>
              <w:jc w:val="right"/>
              <w:ind w:right="854"/>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4"/>
              <w:spacing w:after="0"/>
              <w:rPr>
                <w:sz w:val="20"/>
                <w:szCs w:val="20"/>
                <w:color w:val="auto"/>
              </w:rPr>
            </w:pPr>
            <w:r>
              <w:rPr>
                <w:rFonts w:ascii="Arial" w:cs="Arial" w:eastAsia="Arial" w:hAnsi="Arial"/>
                <w:sz w:val="14"/>
                <w:szCs w:val="14"/>
                <w:b w:val="1"/>
                <w:bCs w:val="1"/>
                <w:color w:val="auto"/>
              </w:rPr>
              <w:t>Rate</w:t>
            </w:r>
          </w:p>
        </w:tc>
      </w:tr>
      <w:tr>
        <w:trPr>
          <w:trHeight w:val="224"/>
        </w:trPr>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5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29"/>
        </w:trPr>
        <w:tc>
          <w:tcPr>
            <w:tcW w:w="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5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5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6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3.6% and 4.2% for the nine months ended July 3, 2021 and June 27, 2020,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tables provide a summary of the changes in total equity, equity attributable to controlling interest, and equity attributable to noncontrolling interests for each of the periods indicated:</w:t>
      </w:r>
    </w:p>
    <w:tbl>
      <w:tblPr>
        <w:tblLayout w:type="fixed"/>
        <w:tblInd w:w="0" w:type="dxa"/>
        <w:tblCellMar>
          <w:top w:w="0" w:type="dxa"/>
          <w:left w:w="0" w:type="dxa"/>
          <w:bottom w:w="0" w:type="dxa"/>
          <w:right w:w="0" w:type="dxa"/>
        </w:tblCellMar>
      </w:tblPr>
      <w:tr>
        <w:trPr>
          <w:trHeight w:val="127"/>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87"/>
              </w:rPr>
              <w:t>Common Shares</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0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 Equity -</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2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Controlling Interest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4"/>
                <w:szCs w:val="14"/>
                <w:color w:val="auto"/>
              </w:rPr>
              <w:t>Balance at January 2,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490.5</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10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4"/>
                <w:szCs w:val="14"/>
                <w:color w:val="auto"/>
              </w:rPr>
              <w:t>Balance at April 3,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473.0</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1,500.2</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0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 $0.62 per share)</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48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THE SCOTTS MIRACLE-GRO COMPANY</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80" w:type="dxa"/>
            <w:vAlign w:val="bottom"/>
            <w:gridSpan w:val="19"/>
          </w:tcPr>
          <w:p>
            <w:pPr>
              <w:jc w:val="center"/>
              <w:ind w:left="1087"/>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8"/>
          </w:tcPr>
          <w:p>
            <w:pPr>
              <w:jc w:val="center"/>
              <w:ind w:right="14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Common Shares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10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 Equity -</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2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Controlling Interest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 per share)</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6"/>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28,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(903.1)</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 per share)</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4"/>
                <w:szCs w:val="14"/>
                <w:color w:val="auto"/>
              </w:rPr>
              <w:t>Balance at March 28,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1,389.0</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(941.9)</w:t>
            </w:r>
          </w:p>
        </w:tc>
        <w:tc>
          <w:tcPr>
            <w:tcW w:w="100" w:type="dxa"/>
            <w:vAlign w:val="bottom"/>
          </w:tcPr>
          <w:p>
            <w:pPr>
              <w:spacing w:after="0"/>
              <w:rPr>
                <w:sz w:val="15"/>
                <w:szCs w:val="15"/>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789.7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794.6</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($0.58 per share)</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27,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AOCL by component were as follows for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4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Net Unrealized Gain</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(Loss) in</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Pension and Other</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60" w:type="dxa"/>
            <w:vAlign w:val="bottom"/>
          </w:tcPr>
          <w:p>
            <w:pPr>
              <w:spacing w:after="0"/>
              <w:rPr>
                <w:sz w:val="11"/>
                <w:szCs w:val="11"/>
                <w:color w:val="auto"/>
              </w:rPr>
            </w:pPr>
          </w:p>
        </w:tc>
        <w:tc>
          <w:tcPr>
            <w:tcW w:w="12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July 3,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Balance at March 28,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546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27,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4"/>
                <w:szCs w:val="14"/>
                <w:color w:val="auto"/>
              </w:rPr>
              <w:t>The sum of the components may not equal due to rounding.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4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4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Net Unrealized Gain</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(Loss) in</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Pension and Other</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60" w:type="dxa"/>
            <w:vAlign w:val="bottom"/>
          </w:tcPr>
          <w:p>
            <w:pPr>
              <w:spacing w:after="0"/>
              <w:rPr>
                <w:sz w:val="11"/>
                <w:szCs w:val="11"/>
                <w:color w:val="auto"/>
              </w:rPr>
            </w:pPr>
          </w:p>
        </w:tc>
        <w:tc>
          <w:tcPr>
            <w:tcW w:w="12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July 3,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75"/>
        </w:trPr>
        <w:tc>
          <w:tcPr>
            <w:tcW w:w="546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27,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sum of the components may not equal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27, 2020, the Scotts Miracle-Gro Board of Directors approved an increase in the Company’s quarterly cash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 from $0.58 to $0.62 per Common Share. In addition, on July 27, 2020, the Scotts Miracle-Gro Board of Directors approved a special cash dividend of $5.00 per Common Share, which was paid on September 10, 2020 to all shareholders of record at the close of business on August 27, 2020. On July 30, 2021, the Scotts Miracle-Gro Board of Directors approved an increase in the Company’s quarterly cash dividend from $0.62 to $0.66 per Common Share, which will be first paid in the fourth quarter of fiscal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5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this share repurchase authorization for $48.2. From the effective date of this share repurchase authorization in the fourth quarter of fiscal 2014 through March 28, 2020, Scotts Miracle-Gro repurchased approximately 8.7 million Common Shares for $762.8.</w:t>
      </w:r>
    </w:p>
    <w:p>
      <w:pPr>
        <w:spacing w:after="0" w:line="9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6, 2020, Scotts Miracle-Gro announced that its Board of Directors authorized the repurchase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this share repurchase authorization during fiscal 2020. During the three and nine months ended July 3, 2021, Scotts Miracle-Gro repurchased approximately 0.1 million and 0.4 million Common Shares under this share repurchase authorization for $25.0 and $75.6, respectively. The “Treasury share purchases” lines in the tables above include cash paid to tax authorities to satisfy statutory income tax withholding obligations related to share-based compensation of $3.8 and $15.5 for the three and nine months ended July 3, 2021, respectively, and $0.2 and $4.9 for the three and nine months ended June 27,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42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1"/>
                <w:szCs w:val="11"/>
                <w:color w:val="auto"/>
              </w:rPr>
            </w:pPr>
          </w:p>
        </w:tc>
        <w:tc>
          <w:tcPr>
            <w:tcW w:w="1200" w:type="dxa"/>
            <w:vAlign w:val="bottom"/>
          </w:tcPr>
          <w:p>
            <w:pPr>
              <w:jc w:val="right"/>
              <w:ind w:right="415"/>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420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1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Options</w:t>
            </w:r>
          </w:p>
        </w:tc>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3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118,410</w:t>
            </w: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Performance units</w:t>
            </w:r>
          </w:p>
        </w:tc>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37,570</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3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and deferred stock units</w:t>
            </w:r>
          </w:p>
        </w:tc>
        <w:tc>
          <w:tcPr>
            <w:tcW w:w="3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16,295</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3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w:t>
            </w:r>
          </w:p>
        </w:tc>
        <w:tc>
          <w:tcPr>
            <w:tcW w:w="4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864"/>
        </w:trPr>
        <w:tc>
          <w:tcPr>
            <w:tcW w:w="4200" w:type="dxa"/>
            <w:vAlign w:val="bottom"/>
          </w:tcPr>
          <w:p>
            <w:pPr>
              <w:spacing w:after="0"/>
              <w:rPr>
                <w:sz w:val="24"/>
                <w:szCs w:val="24"/>
                <w:color w:val="auto"/>
              </w:rPr>
            </w:pPr>
          </w:p>
        </w:tc>
        <w:tc>
          <w:tcPr>
            <w:tcW w:w="3940" w:type="dxa"/>
            <w:vAlign w:val="bottom"/>
          </w:tcPr>
          <w:p>
            <w:pPr>
              <w:jc w:val="right"/>
              <w:ind w:right="233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r>
      <w:tr>
        <w:trPr>
          <w:trHeight w:val="135"/>
        </w:trPr>
        <w:tc>
          <w:tcPr>
            <w:tcW w:w="6400" w:type="dxa"/>
            <w:vAlign w:val="bottom"/>
          </w:tcPr>
          <w:p>
            <w:pPr>
              <w:spacing w:after="0"/>
              <w:rPr>
                <w:sz w:val="11"/>
                <w:szCs w:val="11"/>
                <w:color w:val="auto"/>
              </w:rPr>
            </w:pPr>
          </w:p>
        </w:tc>
        <w:tc>
          <w:tcPr>
            <w:tcW w:w="780" w:type="dxa"/>
            <w:vAlign w:val="bottom"/>
            <w:tcBorders>
              <w:top w:val="single" w:sz="8" w:color="auto"/>
            </w:tcBorders>
          </w:tcPr>
          <w:p>
            <w:pPr>
              <w:jc w:val="center"/>
              <w:ind w:left="284"/>
              <w:spacing w:after="0" w:line="135" w:lineRule="exact"/>
              <w:rPr>
                <w:sz w:val="20"/>
                <w:szCs w:val="20"/>
                <w:color w:val="auto"/>
              </w:rPr>
            </w:pPr>
            <w:r>
              <w:rPr>
                <w:rFonts w:ascii="Arial" w:cs="Arial" w:eastAsia="Arial" w:hAnsi="Arial"/>
                <w:sz w:val="14"/>
                <w:szCs w:val="14"/>
                <w:b w:val="1"/>
                <w:bCs w:val="1"/>
                <w:color w:val="auto"/>
                <w:w w:val="96"/>
              </w:rPr>
              <w:t>July 3,</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June 27,</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22"/>
              <w:spacing w:after="0" w:line="135" w:lineRule="exact"/>
              <w:rPr>
                <w:sz w:val="20"/>
                <w:szCs w:val="20"/>
                <w:color w:val="auto"/>
              </w:rPr>
            </w:pPr>
            <w:r>
              <w:rPr>
                <w:rFonts w:ascii="Arial" w:cs="Arial" w:eastAsia="Arial" w:hAnsi="Arial"/>
                <w:sz w:val="14"/>
                <w:szCs w:val="14"/>
                <w:b w:val="1"/>
                <w:bCs w:val="1"/>
                <w:color w:val="auto"/>
              </w:rPr>
              <w:t>July 3,</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4"/>
              <w:spacing w:after="0" w:line="135" w:lineRule="exact"/>
              <w:rPr>
                <w:sz w:val="20"/>
                <w:szCs w:val="20"/>
                <w:color w:val="auto"/>
              </w:rPr>
            </w:pPr>
            <w:r>
              <w:rPr>
                <w:rFonts w:ascii="Arial" w:cs="Arial" w:eastAsia="Arial" w:hAnsi="Arial"/>
                <w:sz w:val="14"/>
                <w:szCs w:val="14"/>
                <w:b w:val="1"/>
                <w:bCs w:val="1"/>
                <w:color w:val="auto"/>
              </w:rPr>
              <w:t>June 27,</w:t>
            </w:r>
          </w:p>
        </w:tc>
        <w:tc>
          <w:tcPr>
            <w:tcW w:w="20" w:type="dxa"/>
            <w:vAlign w:val="bottom"/>
          </w:tcPr>
          <w:p>
            <w:pPr>
              <w:spacing w:after="0"/>
              <w:rPr>
                <w:sz w:val="11"/>
                <w:szCs w:val="11"/>
                <w:color w:val="auto"/>
              </w:rPr>
            </w:pPr>
          </w:p>
        </w:tc>
      </w:tr>
      <w:tr>
        <w:trPr>
          <w:trHeight w:val="188"/>
        </w:trPr>
        <w:tc>
          <w:tcPr>
            <w:tcW w:w="64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78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Related tax benefit recognized</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r>
      <w:tr>
        <w:trPr>
          <w:trHeight w:val="445"/>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6400" w:type="dxa"/>
            <w:vAlign w:val="bottom"/>
          </w:tcPr>
          <w:p>
            <w:pPr>
              <w:ind w:left="420"/>
              <w:spacing w:after="0"/>
              <w:rPr>
                <w:sz w:val="20"/>
                <w:szCs w:val="20"/>
                <w:color w:val="auto"/>
              </w:rPr>
            </w:pPr>
            <w:r>
              <w:rPr>
                <w:rFonts w:ascii="Arial" w:cs="Arial" w:eastAsia="Arial" w:hAnsi="Arial"/>
                <w:sz w:val="18"/>
                <w:szCs w:val="18"/>
                <w:color w:val="auto"/>
                <w:w w:val="94"/>
              </w:rPr>
              <w:t>Stock option activity during the nine months ended July 3, 2021 was as follows: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6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No.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w w:val="95"/>
              </w:rPr>
              <w:t>Wtd. Avg.</w:t>
            </w:r>
          </w:p>
        </w:tc>
        <w:tc>
          <w:tcPr>
            <w:tcW w:w="20" w:type="dxa"/>
            <w:vAlign w:val="bottom"/>
          </w:tcPr>
          <w:p>
            <w:pPr>
              <w:spacing w:after="0"/>
              <w:rPr>
                <w:sz w:val="14"/>
                <w:szCs w:val="14"/>
                <w:color w:val="auto"/>
              </w:rPr>
            </w:pPr>
          </w:p>
        </w:tc>
      </w:tr>
      <w:tr>
        <w:trPr>
          <w:trHeight w:val="188"/>
        </w:trPr>
        <w:tc>
          <w:tcPr>
            <w:tcW w:w="64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497"/>
              <w:spacing w:after="0"/>
              <w:rPr>
                <w:sz w:val="20"/>
                <w:szCs w:val="20"/>
                <w:color w:val="auto"/>
              </w:rPr>
            </w:pPr>
            <w:r>
              <w:rPr>
                <w:rFonts w:ascii="Arial" w:cs="Arial" w:eastAsia="Arial" w:hAnsi="Arial"/>
                <w:sz w:val="18"/>
                <w:szCs w:val="18"/>
                <w:color w:val="auto"/>
                <w:w w:val="89"/>
              </w:rPr>
              <w:t>619,225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2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center"/>
              <w:ind w:left="497"/>
              <w:spacing w:after="0"/>
              <w:rPr>
                <w:sz w:val="20"/>
                <w:szCs w:val="20"/>
                <w:color w:val="auto"/>
              </w:rPr>
            </w:pPr>
            <w:r>
              <w:rPr>
                <w:rFonts w:ascii="Arial" w:cs="Arial" w:eastAsia="Arial" w:hAnsi="Arial"/>
                <w:sz w:val="18"/>
                <w:szCs w:val="18"/>
                <w:color w:val="auto"/>
                <w:w w:val="89"/>
              </w:rPr>
              <w:t>183,553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236.53</w:t>
            </w:r>
          </w:p>
        </w:tc>
        <w:tc>
          <w:tcPr>
            <w:tcW w:w="2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center"/>
              <w:ind w:left="477"/>
              <w:spacing w:after="0"/>
              <w:rPr>
                <w:sz w:val="20"/>
                <w:szCs w:val="20"/>
                <w:color w:val="auto"/>
              </w:rPr>
            </w:pPr>
            <w:r>
              <w:rPr>
                <w:rFonts w:ascii="Arial" w:cs="Arial" w:eastAsia="Arial" w:hAnsi="Arial"/>
                <w:sz w:val="18"/>
                <w:szCs w:val="18"/>
                <w:color w:val="auto"/>
                <w:w w:val="93"/>
              </w:rPr>
              <w:t>(234,587)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20" w:type="dxa"/>
            <w:vAlign w:val="bottom"/>
            <w:shd w:val="clear" w:color="auto" w:fill="CCEEFF"/>
          </w:tcPr>
          <w:p>
            <w:pPr>
              <w:spacing w:after="0"/>
              <w:rPr>
                <w:sz w:val="19"/>
                <w:szCs w:val="19"/>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Awards outstanding at July 3, 2021</w:t>
            </w:r>
          </w:p>
        </w:tc>
        <w:tc>
          <w:tcPr>
            <w:tcW w:w="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8"/>
                <w:szCs w:val="18"/>
                <w:color w:val="auto"/>
                <w:w w:val="89"/>
              </w:rPr>
              <w:t>568,191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118.38</w:t>
            </w:r>
          </w:p>
        </w:tc>
        <w:tc>
          <w:tcPr>
            <w:tcW w:w="20" w:type="dxa"/>
            <w:vAlign w:val="bottom"/>
          </w:tcPr>
          <w:p>
            <w:pPr>
              <w:spacing w:after="0"/>
              <w:rPr>
                <w:sz w:val="19"/>
                <w:szCs w:val="19"/>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497"/>
              <w:spacing w:after="0"/>
              <w:rPr>
                <w:sz w:val="20"/>
                <w:szCs w:val="20"/>
                <w:color w:val="auto"/>
              </w:rPr>
            </w:pPr>
            <w:r>
              <w:rPr>
                <w:rFonts w:ascii="Arial" w:cs="Arial" w:eastAsia="Arial" w:hAnsi="Arial"/>
                <w:sz w:val="18"/>
                <w:szCs w:val="18"/>
                <w:color w:val="auto"/>
                <w:w w:val="89"/>
              </w:rPr>
              <w:t>384,638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At July 3, 2021, the total pre-tax compensation cost, net of estimated forfeitures, related to nonvested stock options not yet recognized was $4.0, which is expected to be recognized over a weighted-average period of 2.5 years. The total intrinsic value of stock options exercised was $41.8 for the nine months ended July 3, 2021. Cash received from the exercise of stock options, including amounts received from employee purchases under the employee stock purchase plan, was $14.3 and $17.0 for the nine months ended July 3, 2021 and June 27,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COMMON SHARE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necessary to calculate basic and diluted income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4.12</w:t>
            </w:r>
          </w:p>
        </w:tc>
        <w:tc>
          <w:tcPr>
            <w:tcW w:w="1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3.67</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(Loss) Per Common Share: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5"/>
        </w:trPr>
        <w:tc>
          <w:tcPr>
            <w:tcW w:w="6460" w:type="dxa"/>
            <w:vAlign w:val="bottom"/>
          </w:tcPr>
          <w:p>
            <w:pPr>
              <w:ind w:left="360"/>
              <w:spacing w:after="0" w:line="156" w:lineRule="exact"/>
              <w:rPr>
                <w:sz w:val="20"/>
                <w:szCs w:val="20"/>
                <w:color w:val="auto"/>
              </w:rPr>
            </w:pPr>
            <w:r>
              <w:rPr>
                <w:rFonts w:ascii="Arial" w:cs="Arial" w:eastAsia="Arial" w:hAnsi="Arial"/>
                <w:sz w:val="18"/>
                <w:szCs w:val="18"/>
                <w:color w:val="auto"/>
              </w:rPr>
              <w:t>Weighted-average number of Common Shares</w:t>
            </w: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3"/>
        </w:trPr>
        <w:tc>
          <w:tcPr>
            <w:tcW w:w="6460" w:type="dxa"/>
            <w:vAlign w:val="bottom"/>
          </w:tcPr>
          <w:p>
            <w:pPr>
              <w:ind w:left="360"/>
              <w:spacing w:after="0" w:line="202" w:lineRule="exact"/>
              <w:rPr>
                <w:sz w:val="20"/>
                <w:szCs w:val="20"/>
                <w:color w:val="auto"/>
              </w:rPr>
            </w:pPr>
            <w:r>
              <w:rPr>
                <w:rFonts w:ascii="Arial" w:cs="Arial" w:eastAsia="Arial" w:hAnsi="Arial"/>
                <w:sz w:val="18"/>
                <w:szCs w:val="18"/>
                <w:color w:val="auto"/>
              </w:rPr>
              <w:t>outstanding and dilutive potential Common Shares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the three and nine months ended July 3, 2021, the average number of out-of-the-money options was 0.2 million and 0.1 million. There were no out-of-the-money options for the three and nine months ended June 27, 2020.</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nine months ended July 3, 2021 and June 27, 2020 were 23.5% and 24.2%,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5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2018. There are currently no ongoing audits with respect to the U.S. federal jurisdiction. With respect to the foreign jurisdictions, a German audit covering fiscal years 2014 through 2017 is underway with no known material impact to the financial statements. The Company is currently under examination by certain U.S. state and local tax authorities covering various periods from fiscal years 2012 through 2020.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3, 2021, $3.6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$162.8, $143.9 and $160.1 at July 3, 2021, June 27, 2020 and September 30, 2020, respectively. Contracts outstanding at July 3, 2021 will mature over the next fiscal quarter.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The swap agreements had a maximum total U.S. dollar equivalent notional amount of $700.0, $600.0 and $600.0 at July 3, 2021, June 27, 2020 and September 30, 2020, respectively. Refer to “NOTE 7. DEBT” for the terms of the swap agreements outstanding at July 3, 2021. Included in the AOCL balance at July 3, 2021 was a loss of $4.6 related to interest rate swap agreements that is expected to be reclassified to earnings during the next twelve months, consistent with the timing of the underlying hedged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diesel and resin requirements. Commodity contracts are valued using observable commodity exchange prices in active markets. Included in the AOCL balance at July 3, 2021 was a gain of $4.8 related to commodity hedges that is expected to be reclassified to earnings during the next twelve months, consistent with the timing of the underlying hedged transactions.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780"/>
              <w:spacing w:after="0"/>
              <w:rPr>
                <w:sz w:val="20"/>
                <w:szCs w:val="20"/>
                <w:color w:val="auto"/>
              </w:rPr>
            </w:pPr>
            <w:r>
              <w:rPr>
                <w:rFonts w:ascii="Arial" w:cs="Arial" w:eastAsia="Arial" w:hAnsi="Arial"/>
                <w:sz w:val="14"/>
                <w:szCs w:val="14"/>
                <w:b w:val="1"/>
                <w:bCs w:val="1"/>
                <w:color w:val="auto"/>
              </w:rPr>
              <w:t>July 3,</w:t>
            </w:r>
          </w:p>
        </w:tc>
        <w:tc>
          <w:tcPr>
            <w:tcW w:w="2100" w:type="dxa"/>
            <w:vAlign w:val="bottom"/>
            <w:gridSpan w:val="2"/>
          </w:tcPr>
          <w:p>
            <w:pPr>
              <w:ind w:left="740"/>
              <w:spacing w:after="0"/>
              <w:rPr>
                <w:sz w:val="20"/>
                <w:szCs w:val="20"/>
                <w:color w:val="auto"/>
              </w:rPr>
            </w:pPr>
            <w:r>
              <w:rPr>
                <w:rFonts w:ascii="Arial" w:cs="Arial" w:eastAsia="Arial" w:hAnsi="Arial"/>
                <w:sz w:val="14"/>
                <w:szCs w:val="14"/>
                <w:b w:val="1"/>
                <w:bCs w:val="1"/>
                <w:color w:val="auto"/>
              </w:rPr>
              <w:t>June 27,</w:t>
            </w:r>
          </w:p>
        </w:tc>
        <w:tc>
          <w:tcPr>
            <w:tcW w:w="1980" w:type="dxa"/>
            <w:vAlign w:val="bottom"/>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980" w:type="dxa"/>
            <w:vAlign w:val="bottom"/>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 tons</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Resin</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 pounds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7,100,000 pounds</w:t>
            </w:r>
          </w:p>
        </w:tc>
        <w:tc>
          <w:tcPr>
            <w:tcW w:w="1980" w:type="dxa"/>
            <w:vAlign w:val="bottom"/>
          </w:tcPr>
          <w:p>
            <w:pPr>
              <w:jc w:val="right"/>
              <w:spacing w:after="0"/>
              <w:rPr>
                <w:sz w:val="20"/>
                <w:szCs w:val="20"/>
                <w:color w:val="auto"/>
              </w:rPr>
            </w:pPr>
            <w:r>
              <w:rPr>
                <w:rFonts w:ascii="Arial" w:cs="Arial" w:eastAsia="Arial" w:hAnsi="Arial"/>
                <w:sz w:val="18"/>
                <w:szCs w:val="18"/>
                <w:color w:val="auto"/>
              </w:rPr>
              <w:t>9,100,000 pounds</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4,746,000 gallons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5,292,000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5,838,000 gallons</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1,638,000 gallons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1,764,000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2,142,000 gallons</w:t>
            </w:r>
          </w:p>
        </w:tc>
        <w:tc>
          <w:tcPr>
            <w:tcW w:w="0" w:type="dxa"/>
            <w:vAlign w:val="bottom"/>
          </w:tcPr>
          <w:p>
            <w:pPr>
              <w:spacing w:after="0"/>
              <w:rPr>
                <w:sz w:val="1"/>
                <w:szCs w:val="1"/>
                <w:color w:val="auto"/>
              </w:rPr>
            </w:pPr>
          </w:p>
        </w:tc>
      </w:tr>
      <w:tr>
        <w:trPr>
          <w:trHeight w:val="863"/>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right"/>
              <w:ind w:right="125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Assets /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June 27,</w:t>
            </w:r>
          </w:p>
        </w:tc>
        <w:tc>
          <w:tcPr>
            <w:tcW w:w="200" w:type="dxa"/>
            <w:vAlign w:val="bottom"/>
          </w:tcPr>
          <w:p>
            <w:pPr>
              <w:spacing w:after="0"/>
              <w:rPr>
                <w:sz w:val="11"/>
                <w:szCs w:val="11"/>
                <w:color w:val="auto"/>
              </w:rPr>
            </w:pPr>
          </w:p>
        </w:tc>
        <w:tc>
          <w:tcPr>
            <w:tcW w:w="128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tcPr>
          <w:p>
            <w:pPr>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560" w:type="dxa"/>
            <w:vAlign w:val="bottom"/>
            <w:gridSpan w:val="4"/>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18"/>
          </w:tcPr>
          <w:p>
            <w:pPr>
              <w:jc w:val="center"/>
              <w:ind w:left="620"/>
              <w:spacing w:after="0"/>
              <w:rPr>
                <w:sz w:val="20"/>
                <w:szCs w:val="20"/>
                <w:color w:val="auto"/>
              </w:rPr>
            </w:pPr>
            <w:r>
              <w:rPr>
                <w:rFonts w:ascii="Arial" w:cs="Arial" w:eastAsia="Arial" w:hAnsi="Arial"/>
                <w:sz w:val="14"/>
                <w:szCs w:val="14"/>
                <w:b w:val="1"/>
                <w:bCs w:val="1"/>
                <w:color w:val="auto"/>
                <w:w w:val="94"/>
              </w:rPr>
              <w:t>Amount of Gain / (Loss) Recognized in AOCL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June 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center"/>
              <w:ind w:left="459"/>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93"/>
              </w:rPr>
              <w:t>Amount of Gain / (Loss)</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0"/>
              </w:rPr>
              <w:t>Reclassified from</w:t>
            </w: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0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June 27,</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July 3,</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35"/>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1"/>
                <w:szCs w:val="11"/>
                <w:color w:val="auto"/>
              </w:rPr>
            </w:pPr>
          </w:p>
        </w:tc>
        <w:tc>
          <w:tcPr>
            <w:tcW w:w="230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rPr>
              <w:t>AOCL into</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Statement of Operations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3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3"/>
              </w:rPr>
              <w:t>Amount of Gain / (Loss)</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9"/>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0" w:type="dxa"/>
            <w:vAlign w:val="bottom"/>
          </w:tcPr>
          <w:p>
            <w:pPr>
              <w:spacing w:after="0"/>
              <w:rPr>
                <w:sz w:val="15"/>
                <w:szCs w:val="15"/>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4"/>
          </w:tcPr>
          <w:p>
            <w:pPr>
              <w:ind w:left="160"/>
              <w:spacing w:after="0"/>
              <w:rPr>
                <w:sz w:val="20"/>
                <w:szCs w:val="20"/>
                <w:color w:val="auto"/>
              </w:rPr>
            </w:pPr>
            <w:r>
              <w:rPr>
                <w:rFonts w:ascii="Arial" w:cs="Arial" w:eastAsia="Arial" w:hAnsi="Arial"/>
                <w:sz w:val="14"/>
                <w:szCs w:val="14"/>
                <w:b w:val="1"/>
                <w:bCs w:val="1"/>
                <w:color w:val="auto"/>
              </w:rPr>
              <w:t>July 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88"/>
        </w:trPr>
        <w:tc>
          <w:tcPr>
            <w:tcW w:w="3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Statement of Operations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Other income / expense, net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91"/>
              </w:rPr>
              <w:t>(0.3)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4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8"/>
                <w:szCs w:val="18"/>
                <w:color w:val="auto"/>
                <w:w w:val="91"/>
              </w:rPr>
              <w:t>(0.3)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91"/>
              </w:rPr>
              <w:t>(0.6)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July 3, 2021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27, 2020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3"/>
                <w:szCs w:val="13"/>
                <w:b w:val="1"/>
                <w:bCs w:val="1"/>
                <w:color w:val="auto"/>
              </w:rPr>
              <w:t>September 30, 2020</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ind w:left="400"/>
              <w:spacing w:after="0" w:line="108" w:lineRule="exact"/>
              <w:rPr>
                <w:sz w:val="20"/>
                <w:szCs w:val="20"/>
                <w:color w:val="auto"/>
              </w:rPr>
            </w:pPr>
            <w:r>
              <w:rPr>
                <w:rFonts w:ascii="Arial" w:cs="Arial" w:eastAsia="Arial" w:hAnsi="Arial"/>
                <w:sz w:val="12"/>
                <w:szCs w:val="12"/>
                <w:b w:val="1"/>
                <w:bCs w:val="1"/>
                <w:color w:val="auto"/>
              </w:rPr>
              <w:t>Fair</w:t>
            </w: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6"/>
              </w:rPr>
              <w:t>Value</w:t>
            </w:r>
          </w:p>
        </w:tc>
        <w:tc>
          <w:tcPr>
            <w:tcW w:w="5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Carrying</w:t>
            </w:r>
          </w:p>
        </w:tc>
        <w:tc>
          <w:tcPr>
            <w:tcW w:w="54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Estimated</w:t>
            </w:r>
          </w:p>
        </w:tc>
        <w:tc>
          <w:tcPr>
            <w:tcW w:w="5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Carrying</w:t>
            </w:r>
          </w:p>
        </w:tc>
        <w:tc>
          <w:tcPr>
            <w:tcW w:w="56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Estimated</w:t>
            </w:r>
          </w:p>
        </w:tc>
        <w:tc>
          <w:tcPr>
            <w:tcW w:w="5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Carrying</w:t>
            </w:r>
          </w:p>
        </w:tc>
        <w:tc>
          <w:tcPr>
            <w:tcW w:w="540" w:type="dxa"/>
            <w:vAlign w:val="bottom"/>
          </w:tcPr>
          <w:p>
            <w:pPr>
              <w:spacing w:after="0"/>
              <w:rPr>
                <w:sz w:val="10"/>
                <w:szCs w:val="10"/>
                <w:color w:val="auto"/>
              </w:rPr>
            </w:pPr>
          </w:p>
        </w:tc>
        <w:tc>
          <w:tcPr>
            <w:tcW w:w="760" w:type="dxa"/>
            <w:vAlign w:val="bottom"/>
            <w:vMerge w:val="restart"/>
          </w:tcPr>
          <w:p>
            <w:pPr>
              <w:jc w:val="right"/>
              <w:ind w:right="101"/>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3"/>
              </w:rPr>
              <w:t>Hierarchy</w:t>
            </w:r>
          </w:p>
        </w:tc>
        <w:tc>
          <w:tcPr>
            <w:tcW w:w="5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Level</w:t>
            </w:r>
          </w:p>
        </w:tc>
        <w:tc>
          <w:tcPr>
            <w:tcW w:w="1380" w:type="dxa"/>
            <w:vAlign w:val="bottom"/>
            <w:gridSpan w:val="3"/>
          </w:tcPr>
          <w:p>
            <w:pPr>
              <w:ind w:left="420"/>
              <w:spacing w:after="0"/>
              <w:rPr>
                <w:sz w:val="20"/>
                <w:szCs w:val="20"/>
                <w:color w:val="auto"/>
              </w:rPr>
            </w:pPr>
            <w:r>
              <w:rPr>
                <w:rFonts w:ascii="Arial" w:cs="Arial" w:eastAsia="Arial" w:hAnsi="Arial"/>
                <w:sz w:val="13"/>
                <w:szCs w:val="13"/>
                <w:b w:val="1"/>
                <w:bCs w:val="1"/>
                <w:color w:val="auto"/>
              </w:rPr>
              <w:t>Amount</w:t>
            </w:r>
          </w:p>
        </w:tc>
        <w:tc>
          <w:tcPr>
            <w:tcW w:w="1400" w:type="dxa"/>
            <w:vAlign w:val="bottom"/>
            <w:gridSpan w:val="3"/>
          </w:tcPr>
          <w:p>
            <w:pPr>
              <w:ind w:left="360"/>
              <w:spacing w:after="0"/>
              <w:rPr>
                <w:sz w:val="20"/>
                <w:szCs w:val="20"/>
                <w:color w:val="auto"/>
              </w:rPr>
            </w:pPr>
            <w:r>
              <w:rPr>
                <w:rFonts w:ascii="Arial" w:cs="Arial" w:eastAsia="Arial" w:hAnsi="Arial"/>
                <w:sz w:val="13"/>
                <w:szCs w:val="13"/>
                <w:b w:val="1"/>
                <w:bCs w:val="1"/>
                <w:color w:val="auto"/>
              </w:rPr>
              <w:t>Fair Value</w:t>
            </w:r>
          </w:p>
        </w:tc>
        <w:tc>
          <w:tcPr>
            <w:tcW w:w="1380" w:type="dxa"/>
            <w:vAlign w:val="bottom"/>
            <w:gridSpan w:val="3"/>
          </w:tcPr>
          <w:p>
            <w:pPr>
              <w:ind w:left="420"/>
              <w:spacing w:after="0"/>
              <w:rPr>
                <w:sz w:val="20"/>
                <w:szCs w:val="20"/>
                <w:color w:val="auto"/>
              </w:rPr>
            </w:pPr>
            <w:r>
              <w:rPr>
                <w:rFonts w:ascii="Arial" w:cs="Arial" w:eastAsia="Arial" w:hAnsi="Arial"/>
                <w:sz w:val="13"/>
                <w:szCs w:val="13"/>
                <w:b w:val="1"/>
                <w:bCs w:val="1"/>
                <w:color w:val="auto"/>
              </w:rPr>
              <w:t>Amount</w:t>
            </w:r>
          </w:p>
        </w:tc>
        <w:tc>
          <w:tcPr>
            <w:tcW w:w="1400" w:type="dxa"/>
            <w:vAlign w:val="bottom"/>
            <w:gridSpan w:val="3"/>
          </w:tcPr>
          <w:p>
            <w:pPr>
              <w:ind w:left="360"/>
              <w:spacing w:after="0"/>
              <w:rPr>
                <w:sz w:val="20"/>
                <w:szCs w:val="20"/>
                <w:color w:val="auto"/>
              </w:rPr>
            </w:pPr>
            <w:r>
              <w:rPr>
                <w:rFonts w:ascii="Arial" w:cs="Arial" w:eastAsia="Arial" w:hAnsi="Arial"/>
                <w:sz w:val="13"/>
                <w:szCs w:val="13"/>
                <w:b w:val="1"/>
                <w:bCs w:val="1"/>
                <w:color w:val="auto"/>
              </w:rPr>
              <w:t>Fair Value</w:t>
            </w:r>
          </w:p>
        </w:tc>
        <w:tc>
          <w:tcPr>
            <w:tcW w:w="1380" w:type="dxa"/>
            <w:vAlign w:val="bottom"/>
            <w:gridSpan w:val="3"/>
          </w:tcPr>
          <w:p>
            <w:pPr>
              <w:ind w:left="420"/>
              <w:spacing w:after="0"/>
              <w:rPr>
                <w:sz w:val="20"/>
                <w:szCs w:val="20"/>
                <w:color w:val="auto"/>
              </w:rPr>
            </w:pPr>
            <w:r>
              <w:rPr>
                <w:rFonts w:ascii="Arial" w:cs="Arial" w:eastAsia="Arial" w:hAnsi="Arial"/>
                <w:sz w:val="13"/>
                <w:szCs w:val="13"/>
                <w:b w:val="1"/>
                <w:bCs w:val="1"/>
                <w:color w:val="auto"/>
              </w:rPr>
              <w:t>Amount</w:t>
            </w:r>
          </w:p>
        </w:tc>
        <w:tc>
          <w:tcPr>
            <w:tcW w:w="130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2"/>
        </w:trPr>
        <w:tc>
          <w:tcPr>
            <w:tcW w:w="19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ind w:left="440"/>
              <w:spacing w:after="0"/>
              <w:rPr>
                <w:sz w:val="20"/>
                <w:szCs w:val="20"/>
                <w:color w:val="auto"/>
              </w:rPr>
            </w:pPr>
            <w:r>
              <w:rPr>
                <w:rFonts w:ascii="Arial" w:cs="Arial" w:eastAsia="Arial" w:hAnsi="Arial"/>
                <w:sz w:val="16"/>
                <w:szCs w:val="16"/>
                <w:color w:val="auto"/>
              </w:rPr>
              <w:t>Cash equivalents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1</w:t>
            </w:r>
          </w:p>
        </w:tc>
        <w:tc>
          <w:tcPr>
            <w:tcW w:w="880" w:type="dxa"/>
            <w:vAlign w:val="bottom"/>
            <w:gridSpan w:val="2"/>
          </w:tcPr>
          <w:p>
            <w:pPr>
              <w:ind w:left="280"/>
              <w:spacing w:after="0"/>
              <w:rPr>
                <w:sz w:val="20"/>
                <w:szCs w:val="20"/>
                <w:color w:val="auto"/>
              </w:rPr>
            </w:pPr>
            <w:r>
              <w:rPr>
                <w:rFonts w:ascii="Arial" w:cs="Arial" w:eastAsia="Arial" w:hAnsi="Arial"/>
                <w:sz w:val="16"/>
                <w:szCs w:val="16"/>
                <w:color w:val="auto"/>
              </w:rPr>
              <w:t>Level</w:t>
            </w:r>
          </w:p>
        </w:tc>
        <w:tc>
          <w:tcPr>
            <w:tcW w:w="5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5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980" w:type="dxa"/>
            <w:vAlign w:val="bottom"/>
          </w:tcPr>
          <w:p>
            <w:pPr>
              <w:ind w:left="640"/>
              <w:spacing w:after="0" w:line="166" w:lineRule="exact"/>
              <w:rPr>
                <w:sz w:val="20"/>
                <w:szCs w:val="20"/>
                <w:color w:val="auto"/>
              </w:rPr>
            </w:pPr>
            <w:r>
              <w:rPr>
                <w:rFonts w:ascii="Arial" w:cs="Arial" w:eastAsia="Arial" w:hAnsi="Arial"/>
                <w:sz w:val="16"/>
                <w:szCs w:val="16"/>
                <w:color w:val="auto"/>
              </w:rPr>
              <w:t>Investment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20"/>
              <w:spacing w:after="0" w:line="162" w:lineRule="exact"/>
              <w:rPr>
                <w:sz w:val="20"/>
                <w:szCs w:val="20"/>
                <w:color w:val="auto"/>
              </w:rPr>
            </w:pPr>
            <w:r>
              <w:rPr>
                <w:rFonts w:ascii="Arial" w:cs="Arial" w:eastAsia="Arial" w:hAnsi="Arial"/>
                <w:sz w:val="16"/>
                <w:szCs w:val="16"/>
                <w:color w:val="auto"/>
              </w:rPr>
              <w:t>securities in non-</w:t>
            </w:r>
          </w:p>
        </w:tc>
        <w:tc>
          <w:tcPr>
            <w:tcW w:w="140" w:type="dxa"/>
            <w:vAlign w:val="bottom"/>
          </w:tcPr>
          <w:p>
            <w:pPr>
              <w:spacing w:after="0"/>
              <w:rPr>
                <w:sz w:val="14"/>
                <w:szCs w:val="14"/>
                <w:color w:val="auto"/>
              </w:rPr>
            </w:pPr>
          </w:p>
        </w:tc>
        <w:tc>
          <w:tcPr>
            <w:tcW w:w="880" w:type="dxa"/>
            <w:vAlign w:val="bottom"/>
            <w:gridSpan w:val="2"/>
            <w:vMerge w:val="restart"/>
          </w:tcPr>
          <w:p>
            <w:pPr>
              <w:ind w:left="280"/>
              <w:spacing w:after="0"/>
              <w:rPr>
                <w:sz w:val="20"/>
                <w:szCs w:val="20"/>
                <w:color w:val="auto"/>
              </w:rPr>
            </w:pPr>
            <w:r>
              <w:rPr>
                <w:rFonts w:ascii="Arial" w:cs="Arial" w:eastAsia="Arial" w:hAnsi="Arial"/>
                <w:sz w:val="16"/>
                <w:szCs w:val="16"/>
                <w:color w:val="auto"/>
              </w:rPr>
              <w:t>Level</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20"/>
              <w:spacing w:after="0" w:line="162" w:lineRule="exact"/>
              <w:rPr>
                <w:sz w:val="20"/>
                <w:szCs w:val="20"/>
                <w:color w:val="auto"/>
              </w:rPr>
            </w:pPr>
            <w:r>
              <w:rPr>
                <w:rFonts w:ascii="Arial" w:cs="Arial" w:eastAsia="Arial" w:hAnsi="Arial"/>
                <w:sz w:val="16"/>
                <w:szCs w:val="16"/>
                <w:color w:val="auto"/>
              </w:rPr>
              <w:t>qualified retirement plan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1</w:t>
            </w:r>
          </w:p>
        </w:tc>
        <w:tc>
          <w:tcPr>
            <w:tcW w:w="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9"/>
        </w:trPr>
        <w:tc>
          <w:tcPr>
            <w:tcW w:w="1980" w:type="dxa"/>
            <w:vAlign w:val="bottom"/>
          </w:tcPr>
          <w:p>
            <w:pPr>
              <w:ind w:left="220"/>
              <w:spacing w:after="0"/>
              <w:rPr>
                <w:sz w:val="20"/>
                <w:szCs w:val="20"/>
                <w:color w:val="auto"/>
              </w:rPr>
            </w:pPr>
            <w:r>
              <w:rPr>
                <w:rFonts w:ascii="Arial" w:cs="Arial" w:eastAsia="Arial" w:hAnsi="Arial"/>
                <w:sz w:val="16"/>
                <w:szCs w:val="16"/>
                <w:color w:val="auto"/>
              </w:rPr>
              <w:t>assets</w:t>
            </w:r>
          </w:p>
        </w:tc>
        <w:tc>
          <w:tcPr>
            <w:tcW w:w="1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Bonnie Option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3</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Level</w:t>
            </w:r>
          </w:p>
        </w:tc>
        <w:tc>
          <w:tcPr>
            <w:tcW w:w="54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440"/>
              <w:spacing w:after="0"/>
              <w:rPr>
                <w:sz w:val="20"/>
                <w:szCs w:val="20"/>
                <w:color w:val="auto"/>
              </w:rPr>
            </w:pPr>
            <w:r>
              <w:rPr>
                <w:rFonts w:ascii="Arial" w:cs="Arial" w:eastAsia="Arial" w:hAnsi="Arial"/>
                <w:sz w:val="16"/>
                <w:szCs w:val="16"/>
                <w:color w:val="auto"/>
              </w:rPr>
              <w:t>Debt instruments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640"/>
              <w:spacing w:after="0" w:line="169" w:lineRule="exact"/>
              <w:rPr>
                <w:sz w:val="20"/>
                <w:szCs w:val="20"/>
                <w:color w:val="auto"/>
              </w:rPr>
            </w:pPr>
            <w:r>
              <w:rPr>
                <w:rFonts w:ascii="Arial" w:cs="Arial" w:eastAsia="Arial" w:hAnsi="Arial"/>
                <w:sz w:val="16"/>
                <w:szCs w:val="16"/>
                <w:color w:val="auto"/>
              </w:rPr>
              <w:t>Credit facilities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6"/>
                <w:szCs w:val="16"/>
                <w:color w:val="auto"/>
              </w:rPr>
              <w:t>Level</w:t>
            </w: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revolving loans</w:t>
            </w:r>
          </w:p>
        </w:tc>
        <w:tc>
          <w:tcPr>
            <w:tcW w:w="1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80" w:type="dxa"/>
            <w:vAlign w:val="bottom"/>
          </w:tcPr>
          <w:p>
            <w:pPr>
              <w:ind w:left="640"/>
              <w:spacing w:after="0" w:line="166" w:lineRule="exact"/>
              <w:rPr>
                <w:sz w:val="20"/>
                <w:szCs w:val="20"/>
                <w:color w:val="auto"/>
              </w:rPr>
            </w:pPr>
            <w:r>
              <w:rPr>
                <w:rFonts w:ascii="Arial" w:cs="Arial" w:eastAsia="Arial" w:hAnsi="Arial"/>
                <w:sz w:val="16"/>
                <w:szCs w:val="16"/>
                <w:color w:val="auto"/>
              </w:rPr>
              <w:t>Credit facilities –</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tcPr>
          <w:p>
            <w:pPr>
              <w:ind w:left="280"/>
              <w:spacing w:after="0" w:line="166" w:lineRule="exact"/>
              <w:rPr>
                <w:sz w:val="20"/>
                <w:szCs w:val="20"/>
                <w:color w:val="auto"/>
              </w:rPr>
            </w:pPr>
            <w:r>
              <w:rPr>
                <w:rFonts w:ascii="Arial" w:cs="Arial" w:eastAsia="Arial" w:hAnsi="Arial"/>
                <w:sz w:val="16"/>
                <w:szCs w:val="16"/>
                <w:color w:val="auto"/>
              </w:rPr>
              <w:t>Level</w:t>
            </w: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09"/>
        </w:trPr>
        <w:tc>
          <w:tcPr>
            <w:tcW w:w="1980" w:type="dxa"/>
            <w:vAlign w:val="bottom"/>
          </w:tcPr>
          <w:p>
            <w:pPr>
              <w:ind w:left="220"/>
              <w:spacing w:after="0"/>
              <w:rPr>
                <w:sz w:val="20"/>
                <w:szCs w:val="20"/>
                <w:color w:val="auto"/>
              </w:rPr>
            </w:pPr>
            <w:r>
              <w:rPr>
                <w:rFonts w:ascii="Arial" w:cs="Arial" w:eastAsia="Arial" w:hAnsi="Arial"/>
                <w:sz w:val="16"/>
                <w:szCs w:val="16"/>
                <w:color w:val="auto"/>
              </w:rPr>
              <w:t>term loans</w:t>
            </w:r>
          </w:p>
        </w:tc>
        <w:tc>
          <w:tcPr>
            <w:tcW w:w="1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640"/>
              <w:spacing w:after="0" w:line="169" w:lineRule="exact"/>
              <w:rPr>
                <w:sz w:val="20"/>
                <w:szCs w:val="20"/>
                <w:color w:val="auto"/>
              </w:rPr>
            </w:pPr>
            <w:r>
              <w:rPr>
                <w:rFonts w:ascii="Arial" w:cs="Arial" w:eastAsia="Arial" w:hAnsi="Arial"/>
                <w:sz w:val="16"/>
                <w:szCs w:val="16"/>
                <w:color w:val="auto"/>
              </w:rPr>
              <w:t>Senior Notes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6"/>
                <w:szCs w:val="16"/>
                <w:color w:val="auto"/>
              </w:rPr>
              <w:t>Level</w:t>
            </w: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4.000%</w:t>
            </w:r>
          </w:p>
        </w:tc>
        <w:tc>
          <w:tcPr>
            <w:tcW w:w="1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80" w:type="dxa"/>
            <w:vAlign w:val="bottom"/>
          </w:tcPr>
          <w:p>
            <w:pPr>
              <w:ind w:left="640"/>
              <w:spacing w:after="0" w:line="166" w:lineRule="exact"/>
              <w:rPr>
                <w:sz w:val="20"/>
                <w:szCs w:val="20"/>
                <w:color w:val="auto"/>
              </w:rPr>
            </w:pPr>
            <w:r>
              <w:rPr>
                <w:rFonts w:ascii="Arial" w:cs="Arial" w:eastAsia="Arial" w:hAnsi="Arial"/>
                <w:sz w:val="16"/>
                <w:szCs w:val="16"/>
                <w:color w:val="auto"/>
              </w:rPr>
              <w:t>Senior Notes –</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tcPr>
          <w:p>
            <w:pPr>
              <w:ind w:left="280"/>
              <w:spacing w:after="0" w:line="166" w:lineRule="exact"/>
              <w:rPr>
                <w:sz w:val="20"/>
                <w:szCs w:val="20"/>
                <w:color w:val="auto"/>
              </w:rPr>
            </w:pPr>
            <w:r>
              <w:rPr>
                <w:rFonts w:ascii="Arial" w:cs="Arial" w:eastAsia="Arial" w:hAnsi="Arial"/>
                <w:sz w:val="16"/>
                <w:szCs w:val="16"/>
                <w:color w:val="auto"/>
              </w:rPr>
              <w:t>Level</w:t>
            </w: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476.4</w:t>
            </w:r>
          </w:p>
        </w:tc>
        <w:tc>
          <w:tcPr>
            <w:tcW w:w="0" w:type="dxa"/>
            <w:vAlign w:val="bottom"/>
          </w:tcPr>
          <w:p>
            <w:pPr>
              <w:spacing w:after="0"/>
              <w:rPr>
                <w:sz w:val="1"/>
                <w:szCs w:val="1"/>
                <w:color w:val="auto"/>
              </w:rPr>
            </w:pPr>
          </w:p>
        </w:tc>
      </w:tr>
      <w:tr>
        <w:trPr>
          <w:trHeight w:val="209"/>
        </w:trPr>
        <w:tc>
          <w:tcPr>
            <w:tcW w:w="1980" w:type="dxa"/>
            <w:vAlign w:val="bottom"/>
          </w:tcPr>
          <w:p>
            <w:pPr>
              <w:ind w:left="220"/>
              <w:spacing w:after="0"/>
              <w:rPr>
                <w:sz w:val="20"/>
                <w:szCs w:val="20"/>
                <w:color w:val="auto"/>
              </w:rPr>
            </w:pPr>
            <w:r>
              <w:rPr>
                <w:rFonts w:ascii="Arial" w:cs="Arial" w:eastAsia="Arial" w:hAnsi="Arial"/>
                <w:sz w:val="16"/>
                <w:szCs w:val="16"/>
                <w:color w:val="auto"/>
              </w:rPr>
              <w:t>4.500%</w:t>
            </w:r>
          </w:p>
        </w:tc>
        <w:tc>
          <w:tcPr>
            <w:tcW w:w="1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640"/>
              <w:spacing w:after="0" w:line="169" w:lineRule="exact"/>
              <w:rPr>
                <w:sz w:val="20"/>
                <w:szCs w:val="20"/>
                <w:color w:val="auto"/>
              </w:rPr>
            </w:pPr>
            <w:r>
              <w:rPr>
                <w:rFonts w:ascii="Arial" w:cs="Arial" w:eastAsia="Arial" w:hAnsi="Arial"/>
                <w:sz w:val="16"/>
                <w:szCs w:val="16"/>
                <w:color w:val="auto"/>
              </w:rPr>
              <w:t>Senior Notes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6"/>
                <w:szCs w:val="16"/>
                <w:color w:val="auto"/>
              </w:rPr>
              <w:t>Level</w:t>
            </w: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5.250%</w:t>
            </w:r>
          </w:p>
        </w:tc>
        <w:tc>
          <w:tcPr>
            <w:tcW w:w="1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80" w:type="dxa"/>
            <w:vAlign w:val="bottom"/>
          </w:tcPr>
          <w:p>
            <w:pPr>
              <w:ind w:left="640"/>
              <w:spacing w:after="0" w:line="166" w:lineRule="exact"/>
              <w:rPr>
                <w:sz w:val="20"/>
                <w:szCs w:val="20"/>
                <w:color w:val="auto"/>
              </w:rPr>
            </w:pPr>
            <w:r>
              <w:rPr>
                <w:rFonts w:ascii="Arial" w:cs="Arial" w:eastAsia="Arial" w:hAnsi="Arial"/>
                <w:sz w:val="16"/>
                <w:szCs w:val="16"/>
                <w:color w:val="auto"/>
              </w:rPr>
              <w:t>Receivables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tcPr>
          <w:p>
            <w:pPr>
              <w:ind w:left="280"/>
              <w:spacing w:after="0" w:line="166" w:lineRule="exact"/>
              <w:rPr>
                <w:sz w:val="20"/>
                <w:szCs w:val="20"/>
                <w:color w:val="auto"/>
              </w:rPr>
            </w:pPr>
            <w:r>
              <w:rPr>
                <w:rFonts w:ascii="Arial" w:cs="Arial" w:eastAsia="Arial" w:hAnsi="Arial"/>
                <w:sz w:val="16"/>
                <w:szCs w:val="16"/>
                <w:color w:val="auto"/>
              </w:rPr>
              <w:t>Level</w:t>
            </w:r>
          </w:p>
        </w:tc>
        <w:tc>
          <w:tcPr>
            <w:tcW w:w="5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9"/>
        </w:trPr>
        <w:tc>
          <w:tcPr>
            <w:tcW w:w="1980" w:type="dxa"/>
            <w:vAlign w:val="bottom"/>
          </w:tcPr>
          <w:p>
            <w:pPr>
              <w:ind w:left="220"/>
              <w:spacing w:after="0"/>
              <w:rPr>
                <w:sz w:val="20"/>
                <w:szCs w:val="20"/>
                <w:color w:val="auto"/>
              </w:rPr>
            </w:pPr>
            <w:r>
              <w:rPr>
                <w:rFonts w:ascii="Arial" w:cs="Arial" w:eastAsia="Arial" w:hAnsi="Arial"/>
                <w:sz w:val="16"/>
                <w:szCs w:val="16"/>
                <w:color w:val="auto"/>
              </w:rPr>
              <w:t>facility</w:t>
            </w:r>
          </w:p>
        </w:tc>
        <w:tc>
          <w:tcPr>
            <w:tcW w:w="1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debt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Level</w:t>
            </w:r>
          </w:p>
        </w:tc>
        <w:tc>
          <w:tcPr>
            <w:tcW w:w="5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July 3, 2021, the Company had entered into operating leases that were yet to commence with a combined total expected lease liability of $50.6. From time to time, the Company will sublease portions of its facilities, resulting in sublease income. Sublease income and the related cash flows were not material to the condensed consolidated financial statements for the three and nine months ended July 3, 2021 and June 27, 2020.</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July 3, 2021, the Company’s residual value guarantee would have approximated $4.1.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July 3,</w:t>
            </w:r>
          </w:p>
        </w:tc>
        <w:tc>
          <w:tcPr>
            <w:tcW w:w="440" w:type="dxa"/>
            <w:vAlign w:val="bottom"/>
          </w:tcPr>
          <w:p>
            <w:pPr>
              <w:spacing w:after="0"/>
              <w:rPr>
                <w:sz w:val="14"/>
                <w:szCs w:val="14"/>
                <w:color w:val="auto"/>
              </w:rPr>
            </w:pPr>
          </w:p>
        </w:tc>
        <w:tc>
          <w:tcPr>
            <w:tcW w:w="10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6"/>
              </w:rPr>
              <w:t>June 27,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gridSpan w:val="3"/>
          </w:tcPr>
          <w:p>
            <w:pPr>
              <w:jc w:val="right"/>
              <w:ind w:right="13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28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2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Arial" w:cs="Arial" w:eastAsia="Arial" w:hAnsi="Arial"/>
                <w:sz w:val="18"/>
                <w:szCs w:val="18"/>
                <w:color w:val="auto"/>
              </w:rPr>
              <w:t>Components of lease cost were as follows:</w:t>
            </w: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1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8"/>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July 3,</w:t>
            </w: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89"/>
              </w:rPr>
              <w:t>June 27,</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4"/>
              <w:spacing w:after="0" w:line="135" w:lineRule="exact"/>
              <w:rPr>
                <w:sz w:val="20"/>
                <w:szCs w:val="20"/>
                <w:color w:val="auto"/>
              </w:rPr>
            </w:pPr>
            <w:r>
              <w:rPr>
                <w:rFonts w:ascii="Arial" w:cs="Arial" w:eastAsia="Arial" w:hAnsi="Arial"/>
                <w:sz w:val="14"/>
                <w:szCs w:val="14"/>
                <w:b w:val="1"/>
                <w:bCs w:val="1"/>
                <w:color w:val="auto"/>
                <w:w w:val="91"/>
              </w:rPr>
              <w:t>July 3,</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3"/>
              <w:spacing w:after="0" w:line="135" w:lineRule="exact"/>
              <w:rPr>
                <w:sz w:val="20"/>
                <w:szCs w:val="20"/>
                <w:color w:val="auto"/>
              </w:rPr>
            </w:pPr>
            <w:r>
              <w:rPr>
                <w:rFonts w:ascii="Arial" w:cs="Arial" w:eastAsia="Arial" w:hAnsi="Arial"/>
                <w:sz w:val="14"/>
                <w:szCs w:val="14"/>
                <w:b w:val="1"/>
                <w:bCs w:val="1"/>
                <w:color w:val="auto"/>
              </w:rPr>
              <w:t>June 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28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2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60" w:hanging="652"/>
        <w:spacing w:after="0" w:line="263"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of $16.7 and $44.6 for the three and nine months ended July 3, 2021, respectively, and $11.3 and $34.2 for the three and nine months ended June 27, 2020, respectively. Short-term lease expense is excluded from operating lease cost and is not 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14"/>
              <w:spacing w:after="0" w:line="135"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1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9"/>
              </w:rPr>
              <w:t>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8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9"/>
              </w:rPr>
              <w:t>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72"/>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5"/>
              </w:rPr>
              <w:t>Weighted-average remaining lease term and discount rate for the Company’s leases were as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2"/>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July 3,</w:t>
            </w:r>
          </w:p>
        </w:tc>
        <w:tc>
          <w:tcPr>
            <w:tcW w:w="940" w:type="dxa"/>
            <w:vAlign w:val="bottom"/>
          </w:tcPr>
          <w:p>
            <w:pPr>
              <w:spacing w:after="0"/>
              <w:rPr>
                <w:sz w:val="14"/>
                <w:szCs w:val="14"/>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2021</w:t>
            </w:r>
          </w:p>
        </w:tc>
        <w:tc>
          <w:tcPr>
            <w:tcW w:w="940" w:type="dxa"/>
            <w:vAlign w:val="bottom"/>
            <w:tcBorders>
              <w:bottom w:val="single" w:sz="8" w:color="auto"/>
            </w:tcBorders>
          </w:tcPr>
          <w:p>
            <w:pPr>
              <w:spacing w:after="0"/>
              <w:rPr>
                <w:sz w:val="16"/>
                <w:szCs w:val="16"/>
                <w:color w:val="auto"/>
              </w:rPr>
            </w:pPr>
          </w:p>
        </w:tc>
      </w:tr>
      <w:tr>
        <w:trPr>
          <w:trHeight w:val="21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459"/>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4"/>
              </w:rPr>
              <w:t>Maturities of lease liabilities by fiscal year for the Company’s leases as of July 3, 2021 were as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5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(remainder of the year)</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1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three months ended January 2, 2021, the Company changed its internal organization structure such that AeroGrow is now managed by and reported within the U.S. Consumer segment. Within the U.S. Consumer segment, AeroGrow is integrated into the Company’s overall direct to consumer focus and strategy. AeroGrow was previously managed by and reported within the Hawthorne segment. The prior period amounts have been reclassified to conform to the new organization structure. This change in organization structure resulted in a change in the Company’s reporting units. As a result, goodwill included in impacted reporting units was reallocated using a relative fair value approach, resulting in $15.8 of goodwill reallocated from the Hawthorne segment to the U.S. Consumer segment during the three months ended January 2, 2021.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 the Company completed an assessment of potential goodwill impairment immediately before and after the reallocation and determined that no impairment existed.</w:t>
      </w:r>
    </w:p>
    <w:p>
      <w:pPr>
        <w:spacing w:after="0" w:line="8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6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6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2,828.4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2,371.7</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r>
      <w:tr>
        <w:trPr>
          <w:trHeight w:val="22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648.2</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Profit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6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6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Growing media and mulch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1,011.4</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Controls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29"/>
        </w:trPr>
        <w:tc>
          <w:tcPr>
            <w:tcW w:w="64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Other, primarily gardening</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Lighting</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209.8</w:t>
            </w: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Nutrients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primarily hardware and growing environments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primarily gardening and controls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3,241.3</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6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July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6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3,838.6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2,977.2</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23"/>
        </w:trPr>
        <w:tc>
          <w:tcPr>
            <w:tcW w:w="6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3,241.3</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27" w:name="page28"/>
    <w:bookmarkEnd w:id="2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5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This MD&amp;A should be read in conjunction with “Management’s Discussion and Analysis of Financial Condition and Results of Operations” included in Scotts Miracle-Gro’s Annual Report on Form 10-K for the fiscal year ended September 30, 2020 (the “2020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We are the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within the United States and certain other specified countries. Through our Hawthorne segment, we are the leading manufacturer, marketer and distributor of lighting, nutrients, growing media, growing environments and hardware products for indoor and hydroponic gardening.</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Beginning in fiscal 2015, our Hawthorne segment made a series of key acquisitions and investments, including General Hydroponics, Gavita, Botanicare, Vermicrop, Agrolux and Can-Filters. On June 4, 2018, our Hawthorne segment acquired substantially all of the assets of Sunlight Supply. At the time of the acquisition, Sunlight Supply was a leading developer, manufacturer, marketer and distributor of horticultural, organics, lighting and hydroponic gardening products. Prior to the transaction, Sunlight Supply served as a non-exclusive distributor of our products.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2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developed a strategic initiative to make minority non-equity investments in areas of the cannabis industry not currently pursued in its Hawthorne segment. This initiative is designed to allow the Company to, in the future, participate directly in a larger marketplace as the legal environment changes over time. We are currently engaged with various potential partners to implement this strategy. On August 9, 2021, the Company entered into an agreement to make its initial investment under its strategic minority investment initiative in the form of a $150.0 six-year convertible note issued to the Company by Toronto-based RIV Capital Inc. (TSX: RIV) (OTC: CNPOF), a cannabis investment and acquisition firm currently listed on the Toronto Stock Exchange.</w:t>
      </w:r>
    </w:p>
    <w:p>
      <w:pPr>
        <w:spacing w:after="0" w:line="1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 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2021 is impacted by this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process and, as a result, our first quarter of fiscal 2021 had five additional days and our fourth quarter of fiscal 2021 will have six fewer days compared to the respective quarters of fiscal 2020. In addition, our third quarter of fiscal 2021 began six days later than our third quarter of fiscal 2020 and those six days fell within our peak selling season. This resulted in a decrease in net sales and net income attributable to controlling interest from continuing operations per diluted share of approximately $115.0 and $0.47, respectively, for the three months ended July 3, 2021, compared to the three months ended June 27, 2020, and an increase in net sales and net income attributable to controlling interest from continuing operations per diluted share of approximately $50.0 and $0.18, respectively, for the nine months ended July 3, 2021 compared to the nine months ended June 27, 2020.</w:t>
      </w:r>
    </w:p>
    <w:p>
      <w:pPr>
        <w:jc w:val="center"/>
        <w:ind w:left="6180"/>
        <w:spacing w:after="0" w:line="230" w:lineRule="auto"/>
        <w:rPr>
          <w:sz w:val="20"/>
          <w:szCs w:val="20"/>
          <w:color w:val="auto"/>
        </w:rPr>
      </w:pPr>
      <w:r>
        <w:rPr>
          <w:rFonts w:ascii="Arial" w:cs="Arial" w:eastAsia="Arial" w:hAnsi="Arial"/>
          <w:sz w:val="14"/>
          <w:szCs w:val="14"/>
          <w:b w:val="1"/>
          <w:bCs w:val="1"/>
          <w:color w:val="auto"/>
        </w:rPr>
        <w:t>Percent of Net Sales from Continuing</w:t>
      </w:r>
    </w:p>
    <w:p>
      <w:pPr>
        <w:jc w:val="center"/>
        <w:ind w:left="6220"/>
        <w:spacing w:after="0"/>
        <w:rPr>
          <w:sz w:val="20"/>
          <w:szCs w:val="20"/>
          <w:color w:val="auto"/>
        </w:rPr>
      </w:pPr>
      <w:r>
        <w:rPr>
          <w:rFonts w:ascii="Arial" w:cs="Arial" w:eastAsia="Arial" w:hAnsi="Arial"/>
          <w:sz w:val="14"/>
          <w:szCs w:val="14"/>
          <w:b w:val="1"/>
          <w:bCs w:val="1"/>
          <w:color w:val="auto"/>
        </w:rPr>
        <w:t>Operations by Quarter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24"/>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33.5 %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37.7 %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38.1 %</w:t>
            </w: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21.5 %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15.8 %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16.3 %</w:t>
            </w:r>
          </w:p>
        </w:tc>
      </w:tr>
    </w:tbl>
    <w:p>
      <w:pPr>
        <w:spacing w:after="0" w:line="21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this share repurchase authorization for $48.2. From the effective date of this share repurchase authorization in the fourth quarter of fiscal 2014 through March 28, 2020, Scotts Miracle-Gro repurchased approximately 8.7 million Common Shares for $762.8.</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6, 2020, Scotts Miracle-Gro announced that its Board of Directors authorized the repurchase of up to $750.0 of Common Shares from April 30, 2020 through March 25, 2023. There were no share repurchases under this share repurchase authorization during fiscal 2020. During the three and nine months ended July 3, 2021, Scotts Miracle-Gro repurchased approximately 0.1 million and 0.4 million Common Shares under this share repurchase authorization for $25.0 and $75.6, respectively.</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27, 2020, the Scotts Miracle-Gro Board of Directors approved a special cash dividend of $5.00 per Common Share, which was paid on September 10, 2020 to all shareholders of record at the close of business on August 27, 2020. In addition, on July 27, 2020, the Scotts Miracle-Gro Board of Directors approved an increase in our quarterly cash dividend from $0.58 to $0.62 per Common Share, which was first paid in the fourth quarter of fiscal 2020. On July 30, 2021, the Scotts Miracle-Gro Board of Directors approved an increase in our quarterly cash dividend from $0.62 to $0.66 per Common Share, which will be first paid in the fourth quarter of fiscal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COVID-19 pandemic has had, and continues to have, an impact on financial markets, economic conditions, and portions of our business and industry. 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which has paid out approximately $45.0 since the inception of the COVID-19 pandemic.</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our fiscal quarter ended July 3, 2021, we continued to experience increased demand for many of our products in response to the COVID-19 pandemic compared to periods before the pandemic. The extent to which the COVID-19 pandemic will impact our business, results of operations, financial condition and cash flows in the future will depend on future developments, including the duration, spread and intensity of the pandemic, our continued ability to manufacture and distribute our products, as well as any future government actions affecting consumers and the economy generally, all of which are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uncertain and difficult to predict considering the rapidly evolving landscape. We are not able to predict the impact, if any, that the COVID-19 pandemic may have on the seasonality of our business.</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Although we currently expect to be able to continue operating our business as described above and we intend to continue to work with government authorities and to follow the necessary protocols to maintain the health and safety of our employees, uncertainty resulting from COVID-19 could result in an unforeseen additional disruption to our business, including our global supply chain and retailer network, and/or require us to incur additional operational costs. For additional information on the impacts and our response to the COVID-19 pandemic, refer to “Management’s Discussion and Analysis of Financial Condition and Results of Operations” in Part II, Item 7 of the 2020 Annual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three months ended July 3, 2021 and June 27,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88"/>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63.9</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35.3</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15.9</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29"/>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w:t>
            </w:r>
          </w:p>
        </w:tc>
      </w:tr>
      <w:tr>
        <w:trPr>
          <w:trHeight w:val="230"/>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48"/>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sets forth the components of earnings as a percentage of net sales for the nine months ended July 3, 2021 and June 27,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w:t>
            </w:r>
          </w:p>
        </w:tc>
        <w:tc>
          <w:tcPr>
            <w:tcW w:w="136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88"/>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Net Sales</w:t>
            </w:r>
          </w:p>
        </w:tc>
        <w:tc>
          <w:tcPr>
            <w:tcW w:w="22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6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2,094.9</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64.6</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1,342.8</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1,131.1</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34.9</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17.1</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3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1.9</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15.6</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11.8</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r>
      <w:tr>
        <w:trPr>
          <w:trHeight w:val="21"/>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sales for the three months ended July 3, 2021 were $1,609.7, an increase of 7.8% from net sales of $1,492.7 for the three months ended June 27,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Net sales for the nine months ended July 3, 2021 were $4,187.2, an increase of 29.2% from net sales of $3,241.3 for the nine months ended June 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These changes in net sales were attributable to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92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jc w:val="right"/>
              <w:ind w:right="496"/>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3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4"/>
              </w:rPr>
              <w:t>July 3, 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July 3, 2021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5.4 %</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27.1 %</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Pricing</w:t>
            </w:r>
          </w:p>
        </w:tc>
        <w:tc>
          <w:tcPr>
            <w:tcW w:w="480" w:type="dxa"/>
            <w:vAlign w:val="bottom"/>
          </w:tcPr>
          <w:p>
            <w:pPr>
              <w:ind w:lef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0" w:type="dxa"/>
            <w:vAlign w:val="bottom"/>
          </w:tcPr>
          <w:p>
            <w:pPr>
              <w:jc w:val="right"/>
              <w:ind w:right="136"/>
              <w:spacing w:after="0"/>
              <w:rPr>
                <w:sz w:val="20"/>
                <w:szCs w:val="20"/>
                <w:color w:val="auto"/>
              </w:rPr>
            </w:pPr>
            <w:r>
              <w:rPr>
                <w:rFonts w:ascii="Arial" w:cs="Arial" w:eastAsia="Arial" w:hAnsi="Arial"/>
                <w:sz w:val="18"/>
                <w:szCs w:val="18"/>
                <w:color w:val="auto"/>
              </w:rPr>
              <w:t>1.2</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0.9</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19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1"/>
              </w:rPr>
              <w:t>7.8 %</w:t>
            </w:r>
          </w:p>
        </w:tc>
        <w:tc>
          <w:tcPr>
            <w:tcW w:w="120" w:type="dxa"/>
            <w:vAlign w:val="bottom"/>
          </w:tcPr>
          <w:p>
            <w:pPr>
              <w:spacing w:after="0"/>
              <w:rPr>
                <w:sz w:val="19"/>
                <w:szCs w:val="19"/>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29.2 %</w:t>
            </w:r>
          </w:p>
        </w:tc>
      </w:tr>
      <w:tr>
        <w:trPr>
          <w:trHeight w:val="20"/>
        </w:trPr>
        <w:tc>
          <w:tcPr>
            <w:tcW w:w="6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increase in net sales for the three months ended July 3, 2021 as compared to the three months ended June 27, 2020 was primarily driven by:</w:t>
      </w:r>
    </w:p>
    <w:p>
      <w:pPr>
        <w:spacing w:after="0" w:line="129" w:lineRule="exact"/>
        <w:rPr>
          <w:sz w:val="20"/>
          <w:szCs w:val="20"/>
          <w:color w:val="auto"/>
        </w:rPr>
      </w:pPr>
    </w:p>
    <w:p>
      <w:pPr>
        <w:jc w:val="both"/>
        <w:ind w:left="980" w:hanging="324"/>
        <w:spacing w:after="0" w:line="257" w:lineRule="auto"/>
        <w:tabs>
          <w:tab w:leader="none" w:pos="975" w:val="left"/>
        </w:tabs>
        <w:numPr>
          <w:ilvl w:val="0"/>
          <w:numId w:val="7"/>
        </w:numPr>
        <w:rPr>
          <w:rFonts w:ascii="Arial" w:cs="Arial" w:eastAsia="Arial" w:hAnsi="Arial"/>
          <w:sz w:val="18"/>
          <w:szCs w:val="18"/>
          <w:color w:val="333333"/>
        </w:rPr>
      </w:pPr>
      <w:r>
        <w:rPr>
          <w:rFonts w:ascii="Arial" w:cs="Arial" w:eastAsia="Arial" w:hAnsi="Arial"/>
          <w:sz w:val="18"/>
          <w:szCs w:val="18"/>
          <w:color w:val="auto"/>
        </w:rPr>
        <w:t>increased sales volume driven by lighting, nutrients, growing media, hardware and growing environments products in our Hawthorne segment; increased sales of mulch products in our U.S. Consumer segment; and increased sales in our Other segment; partially offset by decreased sales due to the impact of the fiscal calendar shift which caused our third quarter of fiscal 2021 to begin six days later than our third quarter of fiscal 2020 and those six days occurred during our peak selling season, resulting in a decrease in net sales of approximately $115.0 in our U.S. Consumer and Other segments;</w:t>
      </w:r>
    </w:p>
    <w:p>
      <w:pPr>
        <w:spacing w:after="0" w:line="79" w:lineRule="exact"/>
        <w:rPr>
          <w:rFonts w:ascii="Arial" w:cs="Arial" w:eastAsia="Arial" w:hAnsi="Arial"/>
          <w:sz w:val="18"/>
          <w:szCs w:val="18"/>
          <w:color w:val="333333"/>
        </w:rPr>
      </w:pPr>
    </w:p>
    <w:p>
      <w:pPr>
        <w:ind w:left="980" w:hanging="324"/>
        <w:spacing w:after="0"/>
        <w:tabs>
          <w:tab w:leader="none" w:pos="980" w:val="left"/>
        </w:tabs>
        <w:numPr>
          <w:ilvl w:val="0"/>
          <w:numId w:val="7"/>
        </w:numPr>
        <w:rPr>
          <w:rFonts w:ascii="Arial" w:cs="Arial" w:eastAsia="Arial" w:hAnsi="Arial"/>
          <w:sz w:val="18"/>
          <w:szCs w:val="18"/>
          <w:color w:val="333333"/>
        </w:rPr>
      </w:pPr>
      <w:r>
        <w:rPr>
          <w:rFonts w:ascii="Arial" w:cs="Arial" w:eastAsia="Arial" w:hAnsi="Arial"/>
          <w:sz w:val="18"/>
          <w:szCs w:val="18"/>
          <w:color w:val="auto"/>
        </w:rPr>
        <w:t>increased pricing in our Hawthorne and Other segments, and decreased promotional activity in our U.S. Consumer segment;</w:t>
      </w:r>
    </w:p>
    <w:p>
      <w:pPr>
        <w:spacing w:after="0" w:line="111" w:lineRule="exact"/>
        <w:rPr>
          <w:rFonts w:ascii="Arial" w:cs="Arial" w:eastAsia="Arial" w:hAnsi="Arial"/>
          <w:sz w:val="18"/>
          <w:szCs w:val="18"/>
          <w:color w:val="333333"/>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increase in net sales for the nine months ended July 3, 2021 as compared to the nine months ended June 27, 2020 was primarily driven by:</w:t>
      </w:r>
    </w:p>
    <w:p>
      <w:pPr>
        <w:spacing w:after="0" w:line="129" w:lineRule="exact"/>
        <w:rPr>
          <w:sz w:val="20"/>
          <w:szCs w:val="20"/>
          <w:color w:val="auto"/>
        </w:rPr>
      </w:pPr>
    </w:p>
    <w:p>
      <w:pPr>
        <w:jc w:val="both"/>
        <w:ind w:left="980" w:hanging="324"/>
        <w:spacing w:after="0" w:line="275" w:lineRule="auto"/>
        <w:tabs>
          <w:tab w:leader="none" w:pos="975" w:val="left"/>
        </w:tabs>
        <w:numPr>
          <w:ilvl w:val="0"/>
          <w:numId w:val="8"/>
        </w:numPr>
        <w:rPr>
          <w:rFonts w:ascii="Arial" w:cs="Arial" w:eastAsia="Arial" w:hAnsi="Arial"/>
          <w:sz w:val="17"/>
          <w:szCs w:val="17"/>
          <w:color w:val="333333"/>
        </w:rPr>
      </w:pPr>
      <w:r>
        <w:rPr>
          <w:rFonts w:ascii="Arial" w:cs="Arial" w:eastAsia="Arial" w:hAnsi="Arial"/>
          <w:sz w:val="17"/>
          <w:szCs w:val="17"/>
          <w:color w:val="auto"/>
        </w:rPr>
        <w:t>increased sales volume due to increased consumer demand including impacts of the COVID-19 pandemic and driven by soils, fertilizer, grass seed, mulch, controls, plant food and direct to consumer products in our U.S. Consumer segment; lighting, nutrients, growing media, hardware and growing environments products in our Hawthorne segment; increased sales in our Other segment; and the impact of the fiscal calendar shift which caused our first quarter of fiscal 2021 to have five additional days and our third quarter of fiscal 2021 to end six days later than our third quarter of fiscal 2020, resulting in an increase in net sales of approximately $50.0;</w:t>
      </w:r>
    </w:p>
    <w:p>
      <w:pPr>
        <w:spacing w:after="0" w:line="68" w:lineRule="exact"/>
        <w:rPr>
          <w:rFonts w:ascii="Arial" w:cs="Arial" w:eastAsia="Arial" w:hAnsi="Arial"/>
          <w:sz w:val="17"/>
          <w:szCs w:val="17"/>
          <w:color w:val="333333"/>
        </w:rPr>
      </w:pPr>
    </w:p>
    <w:p>
      <w:pPr>
        <w:ind w:left="980" w:hanging="324"/>
        <w:spacing w:after="0"/>
        <w:tabs>
          <w:tab w:leader="none" w:pos="980" w:val="left"/>
        </w:tabs>
        <w:numPr>
          <w:ilvl w:val="0"/>
          <w:numId w:val="8"/>
        </w:numPr>
        <w:rPr>
          <w:rFonts w:ascii="Arial" w:cs="Arial" w:eastAsia="Arial" w:hAnsi="Arial"/>
          <w:sz w:val="18"/>
          <w:szCs w:val="18"/>
          <w:color w:val="333333"/>
        </w:rPr>
      </w:pPr>
      <w:r>
        <w:rPr>
          <w:rFonts w:ascii="Arial" w:cs="Arial" w:eastAsia="Arial" w:hAnsi="Arial"/>
          <w:sz w:val="18"/>
          <w:szCs w:val="18"/>
          <w:color w:val="auto"/>
        </w:rPr>
        <w:t>increased pricing in our U.S. Consumer, Hawthorne and Other segments;</w:t>
      </w:r>
    </w:p>
    <w:p>
      <w:pPr>
        <w:spacing w:after="0" w:line="111" w:lineRule="exact"/>
        <w:rPr>
          <w:rFonts w:ascii="Arial" w:cs="Arial" w:eastAsia="Arial" w:hAnsi="Arial"/>
          <w:sz w:val="18"/>
          <w:szCs w:val="18"/>
          <w:color w:val="333333"/>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190"/>
              <w:spacing w:after="0" w:line="135"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75"/>
              <w:spacing w:after="0" w:line="135" w:lineRule="exact"/>
              <w:rPr>
                <w:sz w:val="20"/>
                <w:szCs w:val="20"/>
                <w:color w:val="auto"/>
              </w:rPr>
            </w:pPr>
            <w:r>
              <w:rPr>
                <w:rFonts w:ascii="Arial" w:cs="Arial" w:eastAsia="Arial" w:hAnsi="Arial"/>
                <w:sz w:val="14"/>
                <w:szCs w:val="14"/>
                <w:b w:val="1"/>
                <w:bCs w:val="1"/>
                <w:color w:val="auto"/>
              </w:rPr>
              <w:t>June 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06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5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29"/>
        </w:trPr>
        <w:tc>
          <w:tcPr>
            <w:tcW w:w="5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2,094.9</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6960" w:type="dxa"/>
            <w:vAlign w:val="bottom"/>
            <w:gridSpan w:val="4"/>
          </w:tcPr>
          <w:p>
            <w:pPr>
              <w:ind w:left="420"/>
              <w:spacing w:after="0"/>
              <w:rPr>
                <w:sz w:val="20"/>
                <w:szCs w:val="20"/>
                <w:color w:val="auto"/>
              </w:rPr>
            </w:pPr>
            <w:r>
              <w:rPr>
                <w:rFonts w:ascii="Arial" w:cs="Arial" w:eastAsia="Arial" w:hAnsi="Arial"/>
                <w:sz w:val="18"/>
                <w:szCs w:val="18"/>
                <w:color w:val="auto"/>
                <w:w w:val="97"/>
              </w:rPr>
              <w:t>Factors contributing to the change in cost of sales are outlined in the following table: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4"/>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9"/>
              </w:rPr>
              <w:t>July 3, 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July 3, 2021</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113.2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Material cost changes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5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5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160.0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(10.9)</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149.1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three months ended July 3, 2021 as compared to the three months ended June 27, 2020 was primarily driven by:</w:t>
      </w:r>
    </w:p>
    <w:p>
      <w:pPr>
        <w:spacing w:after="0" w:line="14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higher sales volume in our Hawthorne and Other segments, partially offset by lower sales volume in our U.S. Consumer segment;</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material prices in our U.S. Consumer and Hawthorne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weakening of the U.S. dollar relative to the euro and the Canadian dollar; and</w:t>
      </w:r>
    </w:p>
    <w:p>
      <w:pPr>
        <w:spacing w:after="0" w:line="5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a decrease in impairment, restructuring and other charges as a result of lower costs associated with the COVID-19 pandemic.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nine months ended July 3, 2021 as compared to the nine months ended June 27, 2020 was primarily driven by:</w:t>
      </w:r>
    </w:p>
    <w:p>
      <w:pPr>
        <w:spacing w:after="0" w:line="14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material prices in our U.S. Consumer, Hawthorne and Other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34"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percentage of net sales, our gross profit rate was 30.7% and 35.3% for the three months ended July 3, 2021 and June 27, 2020, respectively. As a percentage of net sales, our gross profit rate was 32.1% and 34.9% for the nine months ended July 3, 2021 and June 27, 2020, respectively. Factors contributing to the change in gross profit rate are outlined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500" w:type="dxa"/>
            <w:vAlign w:val="bottom"/>
            <w:gridSpan w:val="2"/>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6360" w:type="dxa"/>
            <w:vAlign w:val="bottom"/>
          </w:tcPr>
          <w:p>
            <w:pPr>
              <w:spacing w:after="0"/>
              <w:rPr>
                <w:sz w:val="16"/>
                <w:szCs w:val="16"/>
                <w:color w:val="auto"/>
              </w:rPr>
            </w:pPr>
          </w:p>
        </w:tc>
        <w:tc>
          <w:tcPr>
            <w:tcW w:w="2500" w:type="dxa"/>
            <w:vAlign w:val="bottom"/>
            <w:gridSpan w:val="2"/>
          </w:tcPr>
          <w:p>
            <w:pPr>
              <w:ind w:left="820"/>
              <w:spacing w:after="0"/>
              <w:rPr>
                <w:sz w:val="20"/>
                <w:szCs w:val="20"/>
                <w:color w:val="auto"/>
              </w:rPr>
            </w:pPr>
            <w:r>
              <w:rPr>
                <w:rFonts w:ascii="Arial" w:cs="Arial" w:eastAsia="Arial" w:hAnsi="Arial"/>
                <w:sz w:val="14"/>
                <w:szCs w:val="14"/>
                <w:b w:val="1"/>
                <w:bCs w:val="1"/>
                <w:color w:val="auto"/>
              </w:rPr>
              <w:t>July 3, 2021</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July 3, 2021</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38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(4.0)%</w:t>
            </w:r>
          </w:p>
        </w:tc>
        <w:tc>
          <w:tcPr>
            <w:tcW w:w="1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(2.0)%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380" w:type="dxa"/>
            <w:vAlign w:val="bottom"/>
          </w:tcPr>
          <w:p>
            <w:pPr>
              <w:ind w:left="18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rPr>
              <w:t>(1.3)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0.5</w:t>
            </w:r>
          </w:p>
        </w:tc>
      </w:tr>
      <w:tr>
        <w:trPr>
          <w:trHeight w:val="223"/>
        </w:trPr>
        <w:tc>
          <w:tcPr>
            <w:tcW w:w="636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w w:val="94"/>
              </w:rPr>
              <w:t>(5.3)%</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w w:val="94"/>
              </w:rPr>
              <w:t>(2.8)%</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(4.6)%</w:t>
            </w:r>
          </w:p>
        </w:tc>
        <w:tc>
          <w:tcPr>
            <w:tcW w:w="120" w:type="dxa"/>
            <w:vAlign w:val="bottom"/>
          </w:tcPr>
          <w:p>
            <w:pPr>
              <w:spacing w:after="0"/>
              <w:rPr>
                <w:sz w:val="19"/>
                <w:szCs w:val="19"/>
                <w:color w:val="auto"/>
              </w:rPr>
            </w:pP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(2.8)%</w:t>
            </w:r>
          </w:p>
        </w:tc>
      </w:tr>
      <w:tr>
        <w:trPr>
          <w:trHeight w:val="20"/>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three months ended July 3, 2021 as compared to the three months ended June 27, 2020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material prices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mix driven by higher sales growth in our Hawthorne segment relative to our U.S. Consumer segment;</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a decrease in impairment, restructuring and other charges as a result of lower costs associated with the COVID-19 pandemic;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333333"/>
        </w:rPr>
      </w:pPr>
      <w:r>
        <w:rPr>
          <w:rFonts w:ascii="Arial" w:cs="Arial" w:eastAsia="Arial" w:hAnsi="Arial"/>
          <w:sz w:val="17"/>
          <w:szCs w:val="17"/>
          <w:color w:val="auto"/>
        </w:rPr>
        <w:t>increased pricing in our Hawthorne and Other segments, and decreased promotional activity in our U.S. Consumer segment; and</w:t>
      </w:r>
    </w:p>
    <w:p>
      <w:pPr>
        <w:spacing w:after="0" w:line="128" w:lineRule="exact"/>
        <w:rPr>
          <w:rFonts w:ascii="Arial" w:cs="Arial" w:eastAsia="Arial" w:hAnsi="Arial"/>
          <w:sz w:val="17"/>
          <w:szCs w:val="17"/>
          <w:color w:val="333333"/>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Hawthorne and Other segments.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nine months ended July 3, 2021 as compared to the nine months ended June 27, 2020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material prices in our U.S. Consumer, Hawthorne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mix driven by higher sales growth in our Hawthorne segment relative to our U.S. Consumer segment;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partially offset by favorable leverage of fixed costs driven by higher sales volume in our U.S. Consumer, Hawthorne and Other segments;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333333"/>
        </w:rPr>
      </w:pPr>
      <w:r>
        <w:rPr>
          <w:rFonts w:ascii="Arial" w:cs="Arial" w:eastAsia="Arial" w:hAnsi="Arial"/>
          <w:sz w:val="18"/>
          <w:szCs w:val="18"/>
          <w:color w:val="auto"/>
        </w:rPr>
        <w:t>increased pricing in our Hawthorne and Other segments, and decreased promotional activity in our U.S. Consumer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5"/>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5"/>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5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23"/>
        </w:trPr>
        <w:tc>
          <w:tcPr>
            <w:tcW w:w="5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decreased $43.6, or 18.3%, during the three months ended July 3, 2021 compared to the three months ended June 27, 2020. Advertising expense decreased $11.0, or 19.8%, during the three months ended July 3, 2021 driven by the timing of media spending in our U.S. Consumer segment, partially offset by increased media spend in our Hawthorne segment. Share-based compensation expense decreased $14.7, or 64.5%, during the three months ended July 3, 2021 due to a more significant increase in the expected payout percentage on long-term performance-based awards during fiscal 2020 as compared to fiscal 2021. Other SG&amp;A decreased $19.8, or 13.9%, during the three months ended July 3, 2021 driven by a decrease in short-term variable cash incentive compensation expense.</w:t>
      </w:r>
    </w:p>
    <w:p>
      <w:pPr>
        <w:spacing w:after="0" w:line="11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SG&amp;A increased $29.2, or 5.3%, during the nine months ended July 3, 2021 compared to the nine months ended June 27, 2020. Advertising expense increased $17.7, or 14.5%, during the nine months ended July 3, 2021 driven by increased media spending in our U.S. Consumer and Hawthorne segments. Share-based compensation expense decreased $7.8, or 18.7%, during the nine months ended July 3, 2021 due to a more significant increase in the expected payout percentage on long-term performance-based awards during fiscal 2020 as compared to fiscal 2021. Other SG&amp;A increased $16.6, or 4.9%, during the nine months ended July 3, 2021 driven by increases in various categories supporting the continued growth of the business including information technology, strategy and people costs, partially offset by a decrease in short-term variable cash incentive compensation expense.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5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July 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June 27,</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060" w:type="dxa"/>
            <w:vAlign w:val="bottom"/>
          </w:tcPr>
          <w:p>
            <w:pPr>
              <w:jc w:val="right"/>
              <w:ind w:right="314"/>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120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Impairment, restructuring and other charges from continuing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w w:val="97"/>
              </w:rPr>
              <w:t>Restructuring and other charges (recoveries), net, from discontinued</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5"/>
                <w:szCs w:val="15"/>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360" w:type="dxa"/>
            <w:vAlign w:val="bottom"/>
          </w:tcPr>
          <w:p>
            <w:pPr>
              <w:spacing w:after="0"/>
              <w:rPr>
                <w:sz w:val="24"/>
                <w:szCs w:val="24"/>
                <w:color w:val="auto"/>
              </w:rPr>
            </w:pPr>
          </w:p>
        </w:tc>
        <w:tc>
          <w:tcPr>
            <w:tcW w:w="1200" w:type="dxa"/>
            <w:vAlign w:val="bottom"/>
            <w:gridSpan w:val="2"/>
          </w:tcPr>
          <w:p>
            <w:pPr>
              <w:jc w:val="right"/>
              <w:ind w:right="762"/>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response to the COVID-19 pandemic, we have implemented additional measures intended to both protect the health and safety of our employees and maintain our ability to provide products to our customers as described in additional detail above under “COVID-19 Response and Impacts.” During the three and nine months ended July 3, 2021, we incurred costs of $1.9 and $26.1, respectively, associated with the COVID-19 pandemic primarily related to premium pay. We incurred costs of $0.8 and $19.8 in our U.S. Consumer segment, $0.5 and $2.4 in our Hawthorne segment and $0.2 and $0.3 in our Other segment in the “Cost of sales—impairment, restructuring and other” line in the Condensed Consolidated Statements of Operations during the three and nine months ended July 3, 2021, respectively. We incurred costs of $0.3 and $3.5 in our U.S. Consumer segment and $0.1 in our Other segment in the “Impairment, restructuring and other” line in the Condensed Consolidated Statements of Operations during the three and nine months ended July 3, 2021, respectively. Since the inception of the COVID-19 pandemic, total costs classified within the “Cost of sales—impairment, restructuring and other” and the “Impairment, restructuring and other” lines in the Condensed Consolidated Statements of Operations are $39.5 for our U.S. Consumer segment, $5.0 for our Hawthorne segment and $1.0 for our Other segment.</w:t>
      </w:r>
    </w:p>
    <w:p>
      <w:pPr>
        <w:spacing w:after="0" w:line="1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and nine months ended June 27, 2020, we incurred costs of $16.5 and $20.3, respectively, associated with the COVID-19 pandemic primarily related to premium pay. We incurred costs of $9.6 and 12.2 in our U.S. Consumer segment, $2.0 and $2.5 in our Hawthorne segment and $0.6 in our Other segment in the “Cost of sales—impairment, restructuring and other” line in the Condensed Consolidated Statements of Operations during the three and nine months ended June 27, 2020, respectively. We incurred costs of $4.2 and $4.9 in our U.S. Consumer segment and $0.1 in our Other segment in the “Impairment, restructuring and other” line in the Condensed Consolidated Statements of Operations during the three and nine months ended June 27, 2020, respectively.</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Costs incurred during the three and nine months ended July 3, 2021 and June 27, 2020 related to Project Catalyst were not material. Costs incurred to date since the inception of Project Catalyst are $24.5 for the Hawthorne segment, $13.9 for our U.S. Consumer segment, $1.3 for our Other segment and $2.8 for Corporate. Additionally, during the three and nine months ended June 27, 2020, we received zero and $2.6, respectively, from the final settlement of escrow funds related to a previous acquisition within the Hawthorne segment that was recognized in the “Impairment, restructuring and other” line in the Condensed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(income) expense is comprised of activities outside our normal business operations, such as royalty income from the licensing of certain of our brand names, foreign exchange transaction gains and losses and gains and losses from the disposition of non-inventory assets. Other (income) expense was $(2.1) and $0.3 for the three months ended July 3, 2021 and June 27, 2020, respectively; and was $(3.4) and $0.4 for the nine months ended July 3, 2021 and June 27, 2020, respectively. The change for the three and nine months ended July 3, 2021 was primarily due to foreign exchange transaction gains and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Income from operations was $302.1 for the three months ended July 3, 2021, an increase of 6.2% compared to $284.5 for the three months ended June 27, 2020; and was $760.2 for the nine months ended July 3, 2021, an increase of 32.1% compared to $575.6 for the nine months ended June 27, 2020. For the three months ended July 3, 2021, the increase was driven by higher net sales, lower SG&amp;A, lower impairment, restructuring and other charges and higher other income, partially offset by a decrease in gross profit rate. For the nine months ended July 3, 2021, the increase was driven by higher net sales and higher other income, partially offset by a decrease in gross profit rate, higher SG&amp;A and higher impairment, restructuring and other charges.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acquired a 50% equity interest in Bonnie Plants, LLC on December 31, 2020. Our interest is accounted for using the equity method of accounting, with our proportionate share of Bonnie Plants, LLC earnings subsequent to December 31, 2020 reflected in the Condensed Consolidated Statements of Operations. Equity in income of Bonnie Plants, LLC was $21.5 and $20.0 for the three and nine months ended July 3, 2021,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Costs related to refinancing were zero and $15.1 for the three and nine months ended June 27, 2020, respectively. These costs were associated with the redemption of our 6.000% Senior Notes due 2023 (the “6.000% Senior Notes”), and are comprised of $12.0 of redemption premium and $3.1 of unamortized bond issuance costs that were written off. Refer to “NOTE 7. DEBT” of the Notes to the Condensed Consolidated Financial Statements (Unaudited) included in this Quarterly Report on Form 10-Q for more information regarding the redemption of the 6.000% Senior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expense was $21.9 for the three months ended July 3, 2021, an increase of 7.9% compared to $20.3 for the three months ended June 27, 2020. The increase was driven by an increase in average borrowings of $311.0, partially offset by a decrease in our weighted average interest rate of 26 basis points. The increase in average borrowings was primarily driven by higher inventory production, capital expenditures and acquisition activity. The decrease in our weighted average interest rate was primarily driven by lower borrowing rates on the Fifth A&amp;R Credit Agreement and the issuance of the 4.000% Senior Notes due 2031 (the “4.000% Senior Notes”).</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expense was $57.3 for the nine months ended July 3, 2021, a decrease of 9.0% compared to $63.0 for the nine months ended June 27, 2020. The decrease was driven by a decrease our weighted average interest rate of 64 basis points, partially offset by an increase in average borrowings of $147.8. The decrease in our weighted average interest rate was driven by lower borrowing rates on the Fifth A&amp;R Credit Agreement and the issuance of the 4.000% Senior Notes. The increase in average borrowings was primarily driven by higher inventory production, capital expenditures and acquisition activity.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non-operating income was $1.2 and $1.9 for the three months ended July 3, 2021 and June 27, 2020, respectively, and was $17.3 and $7.3 for the nine months ended July 3, 2021 and June 27, 2020, respectively.</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December 31, 2020, we acquired a 50% equity interest in Bonnie Plants, LLC in exchange for a cash payment of $100.7, forgiveness of our outstanding loan receivable with AFC and surrender of our options to increase our economic interest in the Bonnie Plants business. Our loan receivable with AFC, which was previously recognized in the “Other assets” line in the Condensed Consolidated Balance Sheets, had a carrying value of $66.4 on December 31, 2020 and we recognized a gain of $12.5 during the three months ended January 2, 2021 to write-up the value of the loan to its closing date fair value of $78.9 in the “Other non-operating income, net” line in the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from Continuing Operations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rates related to continuing operations for the nine months ended July 3, 2021 and June 27, 2020 were 23.5% and 24.2%,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$229.8, or $4.00 per diluted share, for the three months ended July 3, 2021 compared to $204.3, or $3.57 per diluted share, for the three months ended June 27, 2020. The increase was driven by higher net sales, lower SG&amp;A, lower impairment, restructuring and other charges, higher other income and higher equity in income of unconsolidated affiliates, partially offset by a decrease in gross profit rate and higher income tax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Diluted average common shares used in the diluted income per common share calculation for the three months ended July 3, 2021 were 57.4 million, which included dilutive potential Common Shares of 1.6 million. Diluted average common shares used in the diluted income per common share calculation for the three months ended June 27, 2020 were 57.1 million, which included dilutive potential Common Shares of 1.5 million. The increase was primarily the result of the exercise and issuance of share-based compensation awards, partially offset by Common Share repurchase activity.</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$566.0, or $9.90 per diluted share, for the nine months ended July 3, 2021 compared to $382.8, or $6.74 per diluted share, for the nine months ended June 27, 2020. The increase was driven by higher net sales, higher other income, higher equity in income of unconsolidated affiliates, lower interest expense and higher other non-operating income, partially offset by a decrease in gross profit rate, higher SG&amp;A and higher impairment, restructuring and other charges.</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Diluted average common shares used in the diluted income per common share calculation for the nine months ended July 3, 2021 were 57.1 million, which included dilutive potential Common Shares of 1.4 million. Diluted average common shares used in the diluted income per common share calculation for the nine months ended June 27, 2020 were 56.7 million, which included dilutive potential Common Shares of 1.0 million. The increase was primarily the result of the exercise and issuance of share-based compensation awards, partially offset by Common Share repurchase activity.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January 2, 2021, we changed our internal organization structure such that AeroGrow is now managed by and reported within our U.S. Consumer segment. Within our U.S. Consumer segment, AeroGrow is integrated into our overall direct to consumer focus and strategy. AeroGrow was previously managed by and reported within our Hawthorne segment. The prior period amounts have been reclassified to conform to the new organization structure.</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3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6"/>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6"/>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34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685.9</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23"/>
        </w:trPr>
        <w:tc>
          <w:tcPr>
            <w:tcW w:w="34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2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3,241.3</w:t>
            </w:r>
          </w:p>
        </w:tc>
      </w:tr>
      <w:tr>
        <w:trPr>
          <w:trHeight w:val="20"/>
        </w:trPr>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58"/>
        </w:trPr>
        <w:tc>
          <w:tcPr>
            <w:tcW w:w="3480" w:type="dxa"/>
            <w:vAlign w:val="bottom"/>
          </w:tcPr>
          <w:p>
            <w:pPr>
              <w:spacing w:after="0"/>
              <w:rPr>
                <w:sz w:val="24"/>
                <w:szCs w:val="24"/>
                <w:color w:val="auto"/>
              </w:rPr>
            </w:pPr>
          </w:p>
        </w:tc>
        <w:tc>
          <w:tcPr>
            <w:tcW w:w="244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3"/>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3"/>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5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 Segment Profit (Non-GAAP)</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737.2</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Income from continuing operations before income taxes (GAAP)</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U.S. Consumer segment net sales were $1,046.2 in the third quarter of fiscal 2021, a decrease of 4.3% from third quarter of fiscal 2020 net sales of $1,093.0; and were $2,828.4 for the first nine months of fiscal 2021, an increase of 19.3% from the first nine months of fiscal 2020 net sales of $2,371.7. For the third quarter of fiscal 2021, the decrease was driven by the unfavorable impact of volume of 5.0%, partially offset by the favorable impact of decreased promotional activity of 0.8%. The decrease in sales volume for the three months ended July 3, 2021 was driven by the impact of the calendar shift, partially offset by increased sales of mulch. For the nine months ended July 3, 2021, the increase was driven by the favorable impacts of volume, which includes the impact of the calendar shift, and pricing of 18.8% and 0.4%, respectively. The increase in sales volume for the nine months ended July 3, 2021 was driven by soils, fertilizer, grass seed, mulch, controls, plant food and direct to consumer products as well as 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4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U.S. Consumer Segment Profit was $264.4 in the third quarter of fiscal 2021, a decrease of 15.7% from the third quarter of fiscal 2020 Segment Profit of $313.8; and was $745.6 for the first nine months of fiscal 2021, an increase of 15.0% from the first nine months of fiscal 2020 Segment Profit of $648.2. For the three months ended July 3, 2021, the decrease was due to lower net sales and a lower gross profit rate, partially offset by lower SG&amp;A. For the nine months ended July 3, 2021, the increase was due to higher net sales, partially offset by a lower gross profit rate and higher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Hawthorne segment net sales were $421.9 in the third quarter of fiscal 2021, an increase of 47.7% from third quarter of fiscal 2020 net sales of $285.7; and were $1,095.1 for the first nine months of fiscal 2021, an increase of 59.7% from the first nine months of fiscal 2020 net sales of $685.9. For the third quarter of fiscal 2021, the increase was driven by the favorable impacts of volume, pricing and foreign exchange rates of 44.9%, 1.7% and 1.0%, respectively. For the nine months ended July 3, 2021, the increase was driven by the favorable impacts of volume, pricing and foreign exchange rates of 55.4%, 3.3%, 1.0%, respectively. The increase in sales volume for the three and nine months ended July 3, 2021 was driven by lighting, nutrients, growing media, hardware and growing environments products.</w:t>
      </w:r>
    </w:p>
    <w:p>
      <w:pPr>
        <w:spacing w:after="0" w:line="12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Hawthorne Segment Profit was $51.9 in the third quarter of fiscal 2021, an increase of 37.3% from the third quarter of fiscal 2020 Segment Profit of $37.8; and was $133.7 for the first nine months of fiscal 2021, an increase of 80.2% from the first nine months of fiscal 2020 Segment Profit of $74.2. For the three and nine months ended July 3, 2021, the increase was driven by higher net sales, partially offset by a lower gross profit rate and higher SG&amp;A.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segment net sales were $141.6 in the third quarter of fiscal 2021, an increase of 24.2% from third quarter of fiscal 2020 net sales of $114.0; and were $263.7 for the first nine months of fiscal 2021, an increase of 43.5% from the first nine months of fiscal 2020 net sales of $183.7. For the third quarter of fiscal 2021, the increase was driven by the favorable impacts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volume, pricing and foreign exchange rates of 6.9%, 2.8% and 14.5%, respectively. For the nine months ended July 3, 2021, the increase was driven by the favorable impacts of volume, pricing and foreign exchange rates of 27.8%, 3.0% and 12.8%, respectively.</w:t>
      </w:r>
    </w:p>
    <w:p>
      <w:pPr>
        <w:spacing w:after="0" w:line="8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Other Segment Profit was $26.8 in the third quarter of fiscal 2021, an increase of 86.1% from the third quarter of fiscal 2020 Segment Profit of $14.4; and was $44.4 for the first nine months of fiscal 2021, an increase of 200.0% from the first nine months of fiscal 2020 Segment Profit of $14.8. For the three and nine months ended July 3, 2021, the increase was driven by higher net sales and a higher gross profit rate, partially offset by higher SG&amp;A.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Corporate expenses were $31.9 in the third quarter of fiscal 2021, a decrease of 44.8% from third quarter of fiscal 2020 expenses of $57.8; and were $114.6 for the first nine months of fiscal 2021, a decrease of 5.1% from the first nine months of fiscal 2020 expenses of $120.7. For the three and nine months ended July 3, 2021, the decrease was driven by lower short-term variable cash incentive compensation expense and a more significant increase in the expected payout percentage on long-term performance-based awards during fiscal 2020 as compared to fiscal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8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1"/>
              </w:rPr>
              <w:t>July 3,</w:t>
            </w:r>
          </w:p>
        </w:tc>
        <w:tc>
          <w:tcPr>
            <w:tcW w:w="300" w:type="dxa"/>
            <w:vAlign w:val="bottom"/>
          </w:tcPr>
          <w:p>
            <w:pPr>
              <w:spacing w:after="0"/>
              <w:rPr>
                <w:sz w:val="11"/>
                <w:szCs w:val="11"/>
                <w:color w:val="auto"/>
              </w:rPr>
            </w:pPr>
          </w:p>
        </w:tc>
        <w:tc>
          <w:tcPr>
            <w:tcW w:w="120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89"/>
              </w:rPr>
              <w:t>June 27,</w:t>
            </w:r>
          </w:p>
        </w:tc>
      </w:tr>
      <w:tr>
        <w:trPr>
          <w:trHeight w:val="188"/>
        </w:trPr>
        <w:tc>
          <w:tcPr>
            <w:tcW w:w="8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(207.1)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657"/>
              <w:spacing w:after="0"/>
              <w:rPr>
                <w:sz w:val="20"/>
                <w:szCs w:val="20"/>
                <w:color w:val="auto"/>
              </w:rPr>
            </w:pPr>
            <w:r>
              <w:rPr>
                <w:rFonts w:ascii="Arial" w:cs="Arial" w:eastAsia="Arial" w:hAnsi="Arial"/>
                <w:sz w:val="18"/>
                <w:szCs w:val="18"/>
                <w:color w:val="auto"/>
                <w:w w:val="85"/>
              </w:rPr>
              <w:t>42.5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w w:val="94"/>
              </w:rPr>
              <w:t>(211.9)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ind w:left="657"/>
              <w:spacing w:after="0"/>
              <w:rPr>
                <w:sz w:val="20"/>
                <w:szCs w:val="20"/>
                <w:color w:val="auto"/>
              </w:rPr>
            </w:pPr>
            <w:r>
              <w:rPr>
                <w:rFonts w:ascii="Arial" w:cs="Arial" w:eastAsia="Arial" w:hAnsi="Arial"/>
                <w:sz w:val="18"/>
                <w:szCs w:val="18"/>
                <w:color w:val="auto"/>
                <w:w w:val="85"/>
              </w:rPr>
              <w:t>74.4</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93"/>
              </w:rPr>
              <w:t>(87.4)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operating activities totaled $207.1 for the nine months ended July 3, 2021, a decrease of $249.6 as compared to cash provided by operating activities of $42.5 for the nine months ended June 27, 2020. This decrease was driven by higher inventory production, higher short-term variable cash incentive compensation payouts and higher SG&amp;A during the nine months ended July 3, 2021, partially offset by higher net sales and lower interest payments.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Cash used in investing activities totaled $211.9 for the nine months ended July 3, 2021 as compared to cash provided by investing activities of $74.4 for the nine months ended June 27, 2020. Cash used for investments in property, plant and equipment during the first nine months of fiscal 2021 and 2020 was $77.9 and $41.7, respectively. During the nine months ended July 3, 2021, we acquired a 50% equity interest in Bonnie Plants, LLC in exchange for cash payments of $102.3, as well as non-cash investing activities that included forgiveness of our outstanding loan receivable with AFC and surrender of our options to increase our economic interest in the Bonnie Plants business. In addition, during the nine months ended July 3, 2021, we acquired contract and license rights for $20.0 and we paid cash of $10.0 associated with currency forward contracts. During the nine months ended June 27, 2020, we received proceeds of $115.5 from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assets, made a $2.5 loan investment and received cash of $2.9 associated with currency forward contracts.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provided by financing activities totaled $459.6 for the nine months ended July 3, 2021 as compared to cash used in financing activities of $87.4 for the nine months ended June 27, 2020. This increase was driven by the issuance of $500.0 aggregate principal amount of 4.000% Senior Notes, partially offset by net borrowings under our Fifth A&amp;R Credit Facilities (as defined below) of $167.0 during the nine months ended July 3, 2021 as compared to $15.7 during the nine months ended June 27, 2020, the issuance of $450.0 aggregate principal amount of 4.500% Senior Notes and the redemption of all $400.0 aggregate principal amount of 6.000% Senior Notes during the nine months ended June 27, 2020, an increase in repurchases of our Common Shares of $37.9 during the nine months ended July 3, 2021 and payments of $17.4 associated with the acquisition of the remaining outstanding shares of AeroGrow.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equivalents balances of $58.3, $48.3 and $16.6 as of July 3, 2021, June 27, 2020 and September 30, 2020, respectively, included $52.1, $33.0 and $9.4, respectively, held by controlled foreign corporations. As of July 3, 2021, we maintain our assertion of indefinite reinvestment of the earnings of all material foreign subsidiaries.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$2,300.0, comprised of a revolving credit facility of $1,500.0 and a term loan in the original principal amount of $800.0 (the “Fifth A&amp;R Credit Facilities”). The Fifth A&amp;R Credit Agreement is available for issuance of letters of credit up to $75.0 and will terminate on July 5, 2023.</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July 3, 2021, we had letters of credit outstanding in the aggregate principal amount of $19.8 and had $1,201.4 of borrowing availability under the Fifth A&amp;R Credit Agreement. The weighted average interest rates on average borrowings under the Fifth A&amp;R Credit Agreement were 1.8% and 3.4% for the nine months ended July 3, 2021 and June 27, 2020, respectively.</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4.50. Our leverage ratio was 2.19 at July 3, 2021.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July 3, 2021. Our interest coverage ratio was 13.53 for the twelve months ended July 3, 2021. As of July 3, 2021, we were in compliance with these financial covenants.</w:t>
      </w:r>
    </w:p>
    <w:p>
      <w:pPr>
        <w:spacing w:after="0" w:line="9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and repurchases of Common Shares, as long as the leverage ratio resulting from the making of such restricted payments is 4.00 or less. Otherwise, we may make further restricted payments in an aggregate amount for each fiscal year not to exceed $225.0.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2021.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2019, we issued $450.0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23, 2019, we redeemed all of our outstanding 6.000% Senior Notes for a redemption price of $412.5, comprised of $0.5 of accrued and unpaid interest, $12.0 of redemption premium, and $400.0 for outstanding principal amount. The $12.0 redemption premium was recognized in the “Costs related to refinancing” line on the Condensed Consolidated Statements of Operations during the first quarter of fiscal 2020. Additionally, we had $3.1 in unamortized bond issuance costs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associated with the 6.000% Senior Notes, which were written-off during the first quarter of fiscal 2020 and were recognized in the “Costs related to refinancing” line in the Condensed Consolidated Statements of Operations.</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17, 2021, we issued $500.0 aggregate principal amount of 4.000% Senior Notes. The net proceeds of the offering were used to reduce borrowings under the Fifth A&amp;R Credit Facilities. The 4.000% Senior Notes represent general unsecured senior obligations and rank equal in right of payment with the our existing and future unsecured senior debt. The 4.000% Senior Notes have interest payment dates of April 1 and October 1 of each year, commencing October 1, 2021. All of our domestic subsidiaries that serve as guarantors of the 5.250% Senior Notes also serve as guarantors of the 4.000% Senior Notes.</w:t>
      </w:r>
    </w:p>
    <w:p>
      <w:pPr>
        <w:spacing w:after="0" w:line="12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August 10, 2021, we entered into a purchase agreement, pursuant to which we agreed to issue and sell $400.0 aggregate principal amount of 4.375% senior notes due 2032 (the “4.375% Senior Notes”) in a private placement exempt from the registration requirements under the Securities Act of 1933, as amended. We intend to use the net proceeds from the offering to reduce borrowings under the Fifth A&amp;R Credit Facilities and for other general corporate purposes (including acquisitions and other strategic opportunities). The 4.375% Senior Notes will represent general unsecured senior obligations and rank equal in right of payment with our existing and future unsecured senior debt. All of our domestic subsidiaries that serve as guarantors of the 5.250% Senior Notes will also serve as guarantors of the 4.375% Senior Notes. The issuance and sale of the 4.375% Senior Notes is expected to close on August 13, 2021, subject to customary closing conditions.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also maintain a Master Repurchase Agreement (including the annexes thereto, the “Repurchase Agreement”) and a Master Framework Agreement, as amended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 but is expected to be renewed prior to its expiration.</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July 3, 2021 and June 27, 2020, there were zero and $160.0, respectively, in borrowings on receivables pledged as collateral under the Receivables Facility, and the carrying value of the receivables pledged as collateral was zero and $177.8, respectively.</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July 3, 2021, June 27, 2020 and September 30, 2020 had a maximum total U.S. dollar equivalent notional amount of $700.0, $600.0 and $600.0, respectively. The notional amount, effective date, expiration date and rate of each of the swap agreements outstanding at July 3, 2021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860" w:type="dxa"/>
            <w:vAlign w:val="bottom"/>
          </w:tcPr>
          <w:p>
            <w:pPr>
              <w:jc w:val="right"/>
              <w:ind w:right="834"/>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4"/>
              <w:spacing w:after="0"/>
              <w:rPr>
                <w:sz w:val="20"/>
                <w:szCs w:val="20"/>
                <w:color w:val="auto"/>
              </w:rPr>
            </w:pPr>
            <w:r>
              <w:rPr>
                <w:rFonts w:ascii="Arial" w:cs="Arial" w:eastAsia="Arial" w:hAnsi="Arial"/>
                <w:sz w:val="14"/>
                <w:szCs w:val="14"/>
                <w:b w:val="1"/>
                <w:bCs w:val="1"/>
                <w:color w:val="auto"/>
              </w:rPr>
              <w:t>Fixed</w:t>
            </w:r>
          </w:p>
        </w:tc>
      </w:tr>
      <w:tr>
        <w:trPr>
          <w:trHeight w:val="188"/>
        </w:trPr>
        <w:tc>
          <w:tcPr>
            <w:tcW w:w="520" w:type="dxa"/>
            <w:vAlign w:val="bottom"/>
          </w:tcPr>
          <w:p>
            <w:pPr>
              <w:spacing w:after="0"/>
              <w:rPr>
                <w:sz w:val="16"/>
                <w:szCs w:val="16"/>
                <w:color w:val="auto"/>
              </w:rPr>
            </w:pPr>
          </w:p>
        </w:tc>
        <w:tc>
          <w:tcPr>
            <w:tcW w:w="1860" w:type="dxa"/>
            <w:vAlign w:val="bottom"/>
          </w:tcPr>
          <w:p>
            <w:pPr>
              <w:jc w:val="right"/>
              <w:ind w:right="854"/>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4"/>
              <w:spacing w:after="0"/>
              <w:rPr>
                <w:sz w:val="20"/>
                <w:szCs w:val="20"/>
                <w:color w:val="auto"/>
              </w:rPr>
            </w:pPr>
            <w:r>
              <w:rPr>
                <w:rFonts w:ascii="Arial" w:cs="Arial" w:eastAsia="Arial" w:hAnsi="Arial"/>
                <w:sz w:val="14"/>
                <w:szCs w:val="14"/>
                <w:b w:val="1"/>
                <w:bCs w:val="1"/>
                <w:color w:val="auto"/>
              </w:rPr>
              <w:t>Rate</w:t>
            </w:r>
          </w:p>
        </w:tc>
      </w:tr>
      <w:tr>
        <w:trPr>
          <w:trHeight w:val="224"/>
        </w:trPr>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5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5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5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5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5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the 2020 Annual Report, under “ITEM 1A. RISK FACTORS — Our indebtedness could limit our flexibility and adversely affect our financial condition” and “ITEM 1A. RISK FACTORS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5.250% Senior Notes, 4.500% Senior Notes and 4.000% Senior Notes were issued by Scotts Miracle-Gro on December 15, 2016, October 22, 2019 and March 17, 2021, respectively. The 5.250% Senior Notes, 4.500% Senior Notes and 4.000%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0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5.250% Senior Notes, 4.500% Senior Notes and 4.000%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Fifth A&amp;R Credit Agreement, except a release by or as a result of the repayment of the Fifth A&amp;R Credit Agreement; or (vi) if the Guarantor ceases to be a “restricted subsidiary” and the Guarantor is not otherwise required to provide a guarantee of the 5.250% Senior Notes, 4.500% Senior Notes and 4.000% Senior Notes pursuant to the applicable indenture.</w:t>
      </w:r>
    </w:p>
    <w:p>
      <w:pPr>
        <w:spacing w:after="0" w:line="10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foreign subsidiaries and certain of our domestic subsidiaries are not guarantors (collectively, the “Non-Guarantors”) on the 5.250% Senior Notes, 4.500% Senior Notes and 4.000% Senior Notes. Payments on the 5.250% Senior Notes, 4.500% Senior Notes and 4.000%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5.250% Senior Notes, 4.500% Senior Notes and 4.000% Senior Notes are effectively subordinated to all the liabilities of the Non-Guarantors.</w:t>
      </w:r>
    </w:p>
    <w:p>
      <w:pPr>
        <w:spacing w:after="0" w:line="9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5.250% Senior Notes, 4.500% Senior Notes and 4.000% Senior Notes.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5.250% Senior Notes, 4.500% Senior Notes and 4.000% Senior Notes.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5.250% Senior Notes, 4.500% Senior Notes and 4.000% Senior Notes would constitute a preference, fraudulent transfer or conveyances on other grounds. If a guarantee is voided as a fraudulent conveyance or is found to be unenforceable for any other reason, the holders of the 5.250% Senior Notes, 4.500% Senior Notes and 4.000% Senior Notes will not have a claim against the Guarantor.</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8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6"/>
        </w:trPr>
        <w:tc>
          <w:tcPr>
            <w:tcW w:w="7540" w:type="dxa"/>
            <w:vAlign w:val="bottom"/>
          </w:tcPr>
          <w:p>
            <w:pPr>
              <w:spacing w:after="0"/>
              <w:rPr>
                <w:sz w:val="12"/>
                <w:szCs w:val="12"/>
                <w:color w:val="auto"/>
              </w:rPr>
            </w:pPr>
          </w:p>
        </w:tc>
        <w:tc>
          <w:tcPr>
            <w:tcW w:w="1140" w:type="dxa"/>
            <w:vAlign w:val="bottom"/>
          </w:tcPr>
          <w:p>
            <w:pPr>
              <w:jc w:val="center"/>
              <w:ind w:left="582"/>
              <w:spacing w:after="0" w:line="147" w:lineRule="exact"/>
              <w:rPr>
                <w:sz w:val="20"/>
                <w:szCs w:val="20"/>
                <w:color w:val="auto"/>
              </w:rPr>
            </w:pPr>
            <w:r>
              <w:rPr>
                <w:rFonts w:ascii="Arial" w:cs="Arial" w:eastAsia="Arial" w:hAnsi="Arial"/>
                <w:sz w:val="14"/>
                <w:szCs w:val="14"/>
                <w:b w:val="1"/>
                <w:bCs w:val="1"/>
                <w:color w:val="auto"/>
                <w:w w:val="91"/>
              </w:rPr>
              <w:t>July 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76"/>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4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r>
      <w:tr>
        <w:trPr>
          <w:trHeight w:val="229"/>
        </w:trPr>
        <w:tc>
          <w:tcPr>
            <w:tcW w:w="7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2,099.7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1,871.5</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2,367.2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1,697.0</w:t>
            </w:r>
          </w:p>
        </w:tc>
      </w:tr>
    </w:tbl>
    <w:p>
      <w:pPr>
        <w:spacing w:after="0" w:line="7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$42.0 and $24.8,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6"/>
                <w:szCs w:val="16"/>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Year Ended</w:t>
            </w:r>
          </w:p>
        </w:tc>
      </w:tr>
      <w:tr>
        <w:trPr>
          <w:trHeight w:val="134"/>
        </w:trPr>
        <w:tc>
          <w:tcPr>
            <w:tcW w:w="7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17"/>
              <w:spacing w:after="0" w:line="135"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7"/>
              <w:spacing w:after="0" w:line="135" w:lineRule="exact"/>
              <w:rPr>
                <w:sz w:val="20"/>
                <w:szCs w:val="20"/>
                <w:color w:val="auto"/>
              </w:rPr>
            </w:pPr>
            <w:r>
              <w:rPr>
                <w:rFonts w:ascii="Arial" w:cs="Arial" w:eastAsia="Arial" w:hAnsi="Arial"/>
                <w:sz w:val="14"/>
                <w:szCs w:val="14"/>
                <w:b w:val="1"/>
                <w:bCs w:val="1"/>
                <w:color w:val="auto"/>
                <w:w w:val="91"/>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3,773.8</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1,281.4</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bl>
    <w:p>
      <w:pPr>
        <w:spacing w:after="0" w:line="8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intercompany (income) expense from Non-Guarantor subsidiaries of $(25.7) and $6.3,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disclosed in this Quarterly Report on Form 10-Q, there have been no material changes outside of the ordinary course of business in our outstanding contractual obligations since the end of fiscal 2020 and through July 3,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2020 Annual Report, under “ITEM 1. BUSINESS — Regulatory Considerations” and “ITEM 3. LEGAL PROCEEDINGS.”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2020 Annual Report includes additional information about us, our operations, our financial condition, our critical accounting policies and accounting estimates, and should be read in conjunction with this Quarterly Report on Form 10-Q.</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2020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July 3,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July 3, 2021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the 2020 Annual Report. There have been no material changes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risk factors, as of July 3, 2021, have not materially changed from those described in Part I, Item 1A of the 2020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2020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$225.0 million. The Company’s leverage ratio was 2.19 at July 3, 2021.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July 3,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35"/>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Paid per</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4, 2021 through May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33,354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691,455,526</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May 2, 2021 through May 29, 2021</w:t>
            </w:r>
          </w:p>
        </w:tc>
        <w:tc>
          <w:tcPr>
            <w:tcW w:w="1520" w:type="dxa"/>
            <w:vAlign w:val="bottom"/>
          </w:tcPr>
          <w:p>
            <w:pPr>
              <w:jc w:val="right"/>
              <w:spacing w:after="0"/>
              <w:rPr>
                <w:sz w:val="20"/>
                <w:szCs w:val="20"/>
                <w:color w:val="auto"/>
              </w:rPr>
            </w:pPr>
            <w:r>
              <w:rPr>
                <w:rFonts w:ascii="Arial" w:cs="Arial" w:eastAsia="Arial" w:hAnsi="Arial"/>
                <w:sz w:val="16"/>
                <w:szCs w:val="16"/>
                <w:color w:val="auto"/>
              </w:rPr>
              <w:t>35,774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226.81</w:t>
            </w:r>
          </w:p>
        </w:tc>
        <w:tc>
          <w:tcPr>
            <w:tcW w:w="100" w:type="dxa"/>
            <w:vAlign w:val="bottom"/>
          </w:tcPr>
          <w:p>
            <w:pPr>
              <w:spacing w:after="0"/>
              <w:rPr>
                <w:sz w:val="18"/>
                <w:szCs w:val="18"/>
                <w:color w:val="auto"/>
              </w:rPr>
            </w:pP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35,241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683,457,454</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30, 2021 through July 3,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195.73</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46,014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674,449,356</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116,786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217.99</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114,609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86" w:lineRule="auto"/>
        <w:tabs>
          <w:tab w:leader="none" w:pos="6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of the Common Shares purchased during the third fiscal quarter of 2021 were purchased in open market transactions. The total number of Common Shares purchased during this quarter includes 2,177 Common Shares purchased by the trustee of the rabbi trust established by the Company as permitted pursuant to the terms of The Scotts Company LLC Executive Retirement Plan (the “ERP”).</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7"/>
        </w:numPr>
        <w:rPr>
          <w:rFonts w:ascii="Arial" w:cs="Arial" w:eastAsia="Arial" w:hAnsi="Arial"/>
          <w:sz w:val="18"/>
          <w:szCs w:val="18"/>
          <w:color w:val="333333"/>
        </w:rPr>
      </w:pPr>
      <w:r>
        <w:rPr>
          <w:rFonts w:ascii="Arial" w:cs="Arial" w:eastAsia="Arial" w:hAnsi="Arial"/>
          <w:sz w:val="18"/>
          <w:szCs w:val="18"/>
          <w:color w:val="auto"/>
        </w:rPr>
        <w:t>On February 6, 2020, Scotts Miracle-Gro announced that its Board of Directors authorized the repurchase of up to $750.0 million of Common Shares from April 30, 2020 through March 25,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47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60" w:type="dxa"/>
            <w:vAlign w:val="bottom"/>
            <w:gridSpan w:val="19"/>
          </w:tcPr>
          <w:p>
            <w:pPr>
              <w:jc w:val="center"/>
              <w:ind w:left="970"/>
              <w:spacing w:after="0"/>
              <w:rPr>
                <w:sz w:val="20"/>
                <w:szCs w:val="20"/>
                <w:color w:val="auto"/>
              </w:rPr>
            </w:pPr>
            <w:r>
              <w:rPr>
                <w:rFonts w:ascii="Arial" w:cs="Arial" w:eastAsia="Arial" w:hAnsi="Arial"/>
                <w:sz w:val="18"/>
                <w:szCs w:val="18"/>
                <w:color w:val="auto"/>
                <w:w w:val="95"/>
              </w:rPr>
              <w:t>THE SCOTTS MIRACLE-GRO COMPANY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60" w:type="dxa"/>
            <w:vAlign w:val="bottom"/>
            <w:gridSpan w:val="19"/>
          </w:tcPr>
          <w:p>
            <w:pPr>
              <w:jc w:val="center"/>
              <w:ind w:left="990"/>
              <w:spacing w:after="0"/>
              <w:rPr>
                <w:sz w:val="20"/>
                <w:szCs w:val="20"/>
                <w:color w:val="auto"/>
              </w:rPr>
            </w:pPr>
            <w:r>
              <w:rPr>
                <w:rFonts w:ascii="Arial" w:cs="Arial" w:eastAsia="Arial" w:hAnsi="Arial"/>
                <w:sz w:val="18"/>
                <w:szCs w:val="18"/>
                <w:color w:val="auto"/>
                <w:w w:val="94"/>
              </w:rPr>
              <w:t>QUARTERLY REPORT ON FORM 10-Q</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60" w:type="dxa"/>
            <w:vAlign w:val="bottom"/>
            <w:gridSpan w:val="21"/>
          </w:tcPr>
          <w:p>
            <w:pPr>
              <w:jc w:val="center"/>
              <w:ind w:left="170"/>
              <w:spacing w:after="0"/>
              <w:rPr>
                <w:sz w:val="20"/>
                <w:szCs w:val="20"/>
                <w:color w:val="auto"/>
              </w:rPr>
            </w:pPr>
            <w:r>
              <w:rPr>
                <w:rFonts w:ascii="Arial" w:cs="Arial" w:eastAsia="Arial" w:hAnsi="Arial"/>
                <w:sz w:val="18"/>
                <w:szCs w:val="18"/>
                <w:color w:val="auto"/>
                <w:w w:val="94"/>
              </w:rPr>
              <w:t>FOR THE QUARTERLY PERIOD ENDED JULY 3, 2021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18"/>
          </w:tcPr>
          <w:p>
            <w:pPr>
              <w:jc w:val="center"/>
              <w:ind w:right="460"/>
              <w:spacing w:after="0"/>
              <w:rPr>
                <w:sz w:val="20"/>
                <w:szCs w:val="20"/>
                <w:color w:val="auto"/>
              </w:rPr>
            </w:pPr>
            <w:r>
              <w:rPr>
                <w:rFonts w:ascii="Arial" w:cs="Arial" w:eastAsia="Arial" w:hAnsi="Arial"/>
                <w:sz w:val="18"/>
                <w:szCs w:val="18"/>
                <w:color w:val="auto"/>
                <w:w w:val="98"/>
              </w:rPr>
              <w:t>INDEX TO EXHIBITS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Incorporated by Reference</w:t>
            </w:r>
          </w:p>
        </w:tc>
        <w:tc>
          <w:tcPr>
            <w:tcW w:w="120" w:type="dxa"/>
            <w:vAlign w:val="bottom"/>
          </w:tcPr>
          <w:p>
            <w:pPr>
              <w:spacing w:after="0"/>
              <w:rPr>
                <w:sz w:val="22"/>
                <w:szCs w:val="22"/>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60" w:type="dxa"/>
            <w:vAlign w:val="bottom"/>
            <w:gridSpan w:val="19"/>
            <w:vMerge w:val="restart"/>
          </w:tcPr>
          <w:p>
            <w:pPr>
              <w:ind w:left="920"/>
              <w:spacing w:after="0"/>
              <w:rPr>
                <w:sz w:val="20"/>
                <w:szCs w:val="20"/>
                <w:color w:val="auto"/>
              </w:rPr>
            </w:pPr>
            <w:r>
              <w:rPr>
                <w:rFonts w:ascii="Arial" w:cs="Arial" w:eastAsia="Arial" w:hAnsi="Arial"/>
                <w:sz w:val="18"/>
                <w:szCs w:val="18"/>
                <w:color w:val="auto"/>
              </w:rPr>
              <w:t>Description</w:t>
            </w:r>
          </w:p>
        </w:tc>
        <w:tc>
          <w:tcPr>
            <w:tcW w:w="800" w:type="dxa"/>
            <w:vAlign w:val="bottom"/>
            <w:gridSpan w:val="2"/>
            <w:vMerge w:val="restart"/>
          </w:tcPr>
          <w:p>
            <w:pPr>
              <w:ind w:left="140"/>
              <w:spacing w:after="0"/>
              <w:rPr>
                <w:sz w:val="20"/>
                <w:szCs w:val="20"/>
                <w:color w:val="auto"/>
              </w:rPr>
            </w:pPr>
            <w:r>
              <w:rPr>
                <w:rFonts w:ascii="Arial" w:cs="Arial" w:eastAsia="Arial" w:hAnsi="Arial"/>
                <w:sz w:val="18"/>
                <w:szCs w:val="18"/>
                <w:color w:val="auto"/>
              </w:rPr>
              <w:t>Form</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auto"/>
              </w:rPr>
              <w:t>Exhibit</w:t>
            </w: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color w:val="auto"/>
              </w:rPr>
              <w:t>Filing Date</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60" w:type="dxa"/>
            <w:vAlign w:val="bottom"/>
            <w:gridSpan w:val="19"/>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80" w:type="dxa"/>
            <w:vAlign w:val="bottom"/>
            <w:tcBorders>
              <w:top w:val="single" w:sz="8" w:color="auto"/>
            </w:tcBorders>
            <w:gridSpan w:val="20"/>
          </w:tcPr>
          <w:p>
            <w:pPr>
              <w:spacing w:after="0" w:line="182"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Fourth Supplemental Indenture, dated June 24, 2021, by and among The Scotts</w:t>
              </w:r>
            </w:hyperlink>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13"/>
          </w:tcPr>
          <w:p>
            <w:pPr>
              <w:spacing w:after="0" w:line="169" w:lineRule="exact"/>
              <w:rPr>
                <w:rFonts w:ascii="Arial" w:cs="Arial" w:eastAsia="Arial" w:hAnsi="Arial"/>
                <w:sz w:val="18"/>
                <w:szCs w:val="18"/>
                <w:color w:val="0000FF"/>
                <w:w w:val="96"/>
              </w:rPr>
            </w:pPr>
            <w:hyperlink w:anchor="page49">
              <w:r>
                <w:rPr>
                  <w:rFonts w:ascii="Arial" w:cs="Arial" w:eastAsia="Arial" w:hAnsi="Arial"/>
                  <w:sz w:val="18"/>
                  <w:szCs w:val="18"/>
                  <w:color w:val="0000FF"/>
                  <w:w w:val="96"/>
                </w:rPr>
                <w:t>Miracle-Gro Company, the Guarantors (as defined therein) and U.S. Bank</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tcBorders>
            <w:gridSpan w:val="8"/>
          </w:tcPr>
          <w:p>
            <w:pPr>
              <w:spacing w:after="0" w:line="169"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National Association, as trustee, with respect to the 5.250% Senior Notes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21"/>
          </w:tcPr>
          <w:p>
            <w:pPr>
              <w:spacing w:after="0"/>
              <w:rPr>
                <w:rFonts w:ascii="Arial" w:cs="Arial" w:eastAsia="Arial" w:hAnsi="Arial"/>
                <w:sz w:val="18"/>
                <w:szCs w:val="18"/>
                <w:color w:val="0000FF"/>
                <w:w w:val="97"/>
              </w:rPr>
            </w:pPr>
            <w:hyperlink w:anchor="page55">
              <w:r>
                <w:rPr>
                  <w:rFonts w:ascii="Arial" w:cs="Arial" w:eastAsia="Arial" w:hAnsi="Arial"/>
                  <w:sz w:val="18"/>
                  <w:szCs w:val="18"/>
                  <w:color w:val="0000FF"/>
                  <w:w w:val="97"/>
                </w:rPr>
                <w:t>Third Supplemental Indenture, dated June 24, 2021, by and among The Scotts</w:t>
              </w:r>
            </w:hyperlink>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12"/>
          </w:tcPr>
          <w:p>
            <w:pPr>
              <w:spacing w:after="0" w:line="169" w:lineRule="exact"/>
              <w:rPr>
                <w:rFonts w:ascii="Arial" w:cs="Arial" w:eastAsia="Arial" w:hAnsi="Arial"/>
                <w:sz w:val="18"/>
                <w:szCs w:val="18"/>
                <w:color w:val="0000FF"/>
                <w:w w:val="95"/>
              </w:rPr>
            </w:pPr>
            <w:hyperlink w:anchor="page55">
              <w:r>
                <w:rPr>
                  <w:rFonts w:ascii="Arial" w:cs="Arial" w:eastAsia="Arial" w:hAnsi="Arial"/>
                  <w:sz w:val="18"/>
                  <w:szCs w:val="18"/>
                  <w:color w:val="0000FF"/>
                  <w:w w:val="95"/>
                </w:rPr>
                <w:t>Miracle-Gro Company, the Guarantors (as defined therein) and U.S. Bank</w:t>
              </w:r>
            </w:hyperlink>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tcBorders>
            <w:gridSpan w:val="8"/>
          </w:tcPr>
          <w:p>
            <w:pPr>
              <w:spacing w:after="0" w:line="169"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National Association, as trustee, with respect to the 4.500% Senior Notes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21"/>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First Supplemental Indenture, dated as of June 24, 2021, by and among The Scotts</w:t>
              </w:r>
            </w:hyperlink>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Miracle-Gro Company, the Guarantors (as defined therein) and U.S. Bank</w:t>
              </w:r>
            </w:hyperlink>
          </w:p>
        </w:tc>
        <w:tc>
          <w:tcPr>
            <w:tcW w:w="16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National Association, as trustee, with respect to the 4.000% Senior Notes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21"/>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Amendment No. 1, dated August 3, 2021, to Fifth Amended and Restated Credit</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16"/>
          </w:tcPr>
          <w:p>
            <w:pPr>
              <w:spacing w:after="0" w:line="156" w:lineRule="exact"/>
              <w:rPr>
                <w:rFonts w:ascii="Arial" w:cs="Arial" w:eastAsia="Arial" w:hAnsi="Arial"/>
                <w:sz w:val="18"/>
                <w:szCs w:val="18"/>
                <w:color w:val="0000FF"/>
                <w:w w:val="95"/>
              </w:rPr>
            </w:pPr>
            <w:hyperlink w:anchor="page67">
              <w:r>
                <w:rPr>
                  <w:rFonts w:ascii="Arial" w:cs="Arial" w:eastAsia="Arial" w:hAnsi="Arial"/>
                  <w:sz w:val="18"/>
                  <w:szCs w:val="18"/>
                  <w:color w:val="0000FF"/>
                  <w:w w:val="95"/>
                </w:rPr>
                <w:t>Agreement, dated as of July 5, 2018, by and among The Scotts Miracle-Gro</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w:anchor="page67">
              <w:r>
                <w:rPr>
                  <w:rFonts w:ascii="Arial" w:cs="Arial" w:eastAsia="Arial" w:hAnsi="Arial"/>
                  <w:sz w:val="18"/>
                  <w:szCs w:val="18"/>
                  <w:color w:val="0000FF"/>
                  <w:w w:val="94"/>
                </w:rPr>
                <w:t>Company, as a Borrower; the Subsidiary Borrowers (as defined therein);</w:t>
              </w:r>
            </w:hyperlink>
          </w:p>
        </w:tc>
        <w:tc>
          <w:tcPr>
            <w:tcW w:w="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gridSpan w:val="21"/>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JPMorgan Chase Bank, N.A., as Administrative Agent; Wells Fargo Bank,</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National Association, and Mizuho Bank, Ltd. as Co-Syndication Agents;</w:t>
              </w:r>
            </w:hyperlink>
          </w:p>
        </w:tc>
        <w:tc>
          <w:tcPr>
            <w:tcW w:w="740" w:type="dxa"/>
            <w:vAlign w:val="bottom"/>
            <w:gridSpan w:val="12"/>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CoBank,</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w:anchor="page67">
              <w:r>
                <w:rPr>
                  <w:rFonts w:ascii="Arial" w:cs="Arial" w:eastAsia="Arial" w:hAnsi="Arial"/>
                  <w:sz w:val="18"/>
                  <w:szCs w:val="18"/>
                  <w:color w:val="0000FF"/>
                  <w:w w:val="96"/>
                </w:rPr>
                <w:t>ACB, Bank of America, N.A., Fifth Third Bank, Coöperatieve Rabobank U.A.,</w:t>
              </w:r>
            </w:hyperlink>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New York Branch, Sumitomo Mitsui Banking Corporation and TD Bank N.A.,</w:t>
              </w:r>
            </w:hyperlink>
          </w:p>
        </w:tc>
        <w:tc>
          <w:tcPr>
            <w:tcW w:w="380" w:type="dxa"/>
            <w:vAlign w:val="bottom"/>
            <w:gridSpan w:val="7"/>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as</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tcBorders>
            <w:gridSpan w:val="17"/>
          </w:tcPr>
          <w:p>
            <w:pPr>
              <w:spacing w:after="0" w:line="156" w:lineRule="exact"/>
              <w:rPr>
                <w:rFonts w:ascii="Arial" w:cs="Arial" w:eastAsia="Arial" w:hAnsi="Arial"/>
                <w:sz w:val="18"/>
                <w:szCs w:val="18"/>
                <w:color w:val="0000FF"/>
                <w:w w:val="98"/>
              </w:rPr>
            </w:pPr>
            <w:hyperlink w:anchor="page67">
              <w:r>
                <w:rPr>
                  <w:rFonts w:ascii="Arial" w:cs="Arial" w:eastAsia="Arial" w:hAnsi="Arial"/>
                  <w:sz w:val="18"/>
                  <w:szCs w:val="18"/>
                  <w:color w:val="0000FF"/>
                  <w:w w:val="98"/>
                </w:rPr>
                <w:t>Co-Documentation Agents; and the several other banks and other financial</w:t>
              </w:r>
            </w:hyperlink>
          </w:p>
        </w:tc>
        <w:tc>
          <w:tcPr>
            <w:tcW w:w="24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institutions from time to time parties thereto</w:t>
              </w:r>
            </w:hyperlink>
          </w:p>
        </w:tc>
        <w:tc>
          <w:tcPr>
            <w:tcW w:w="2200" w:type="dxa"/>
            <w:vAlign w:val="bottom"/>
            <w:tcBorders>
              <w:top w:val="single" w:sz="8" w:color="0000FF"/>
            </w:tcBorders>
            <w:gridSpan w:val="7"/>
          </w:tcPr>
          <w:p>
            <w:pPr>
              <w:spacing w:after="0"/>
              <w:rPr>
                <w:sz w:val="13"/>
                <w:szCs w:val="13"/>
                <w:color w:val="auto"/>
              </w:rPr>
            </w:pPr>
          </w:p>
        </w:tc>
        <w:tc>
          <w:tcPr>
            <w:tcW w:w="380" w:type="dxa"/>
            <w:vAlign w:val="bottom"/>
            <w:gridSpan w:val="5"/>
          </w:tcPr>
          <w:p>
            <w:pPr>
              <w:spacing w:after="0"/>
              <w:rPr>
                <w:sz w:val="13"/>
                <w:szCs w:val="13"/>
                <w:color w:val="auto"/>
              </w:rPr>
            </w:pPr>
          </w:p>
        </w:tc>
        <w:tc>
          <w:tcPr>
            <w:tcW w:w="340" w:type="dxa"/>
            <w:vAlign w:val="bottom"/>
            <w:gridSpan w:val="6"/>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2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Subsidiaries of The Scotts Miracle-Gro Company</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Borders>
              <w:top w:val="single" w:sz="8" w:color="0000FF"/>
            </w:tcBorders>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Guarantor Subsidiaries</w:t>
              </w:r>
            </w:hyperlink>
          </w:p>
        </w:tc>
        <w:tc>
          <w:tcPr>
            <w:tcW w:w="2540" w:type="dxa"/>
            <w:vAlign w:val="bottom"/>
            <w:gridSpan w:val="17"/>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21"/>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Rule 13a-14(a)/15d-14(a) Certifications (Principal Executive Officer)</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Rule 13a-14(a)/15d-14(a) Certifications (Principal Financial Officer)</w:t>
              </w:r>
            </w:hyperlink>
          </w:p>
        </w:tc>
        <w:tc>
          <w:tcPr>
            <w:tcW w:w="40" w:type="dxa"/>
            <w:vAlign w:val="bottom"/>
            <w:tcBorders>
              <w:top w:val="single" w:sz="8" w:color="0000FF"/>
            </w:tcBorders>
          </w:tcPr>
          <w:p>
            <w:pPr>
              <w:spacing w:after="0"/>
              <w:rPr>
                <w:sz w:val="18"/>
                <w:szCs w:val="18"/>
                <w:color w:val="auto"/>
              </w:rPr>
            </w:pPr>
          </w:p>
        </w:tc>
        <w:tc>
          <w:tcPr>
            <w:tcW w:w="1100" w:type="dxa"/>
            <w:vAlign w:val="bottom"/>
            <w:gridSpan w:val="15"/>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21"/>
          </w:tcPr>
          <w:p>
            <w:pPr>
              <w:spacing w:after="0"/>
              <w:rPr>
                <w:rFonts w:ascii="Arial" w:cs="Arial" w:eastAsia="Arial" w:hAnsi="Arial"/>
                <w:sz w:val="18"/>
                <w:szCs w:val="18"/>
                <w:color w:val="0000FF"/>
                <w:w w:val="97"/>
              </w:rPr>
            </w:pPr>
            <w:hyperlink w:anchor="page85">
              <w:r>
                <w:rPr>
                  <w:rFonts w:ascii="Arial" w:cs="Arial" w:eastAsia="Arial" w:hAnsi="Arial"/>
                  <w:sz w:val="18"/>
                  <w:szCs w:val="18"/>
                  <w:color w:val="0000FF"/>
                  <w:w w:val="97"/>
                </w:rPr>
                <w:t>Section 1350 Certifications (Principal Executive Officer and Principal Financial</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85">
              <w:r>
                <w:rPr>
                  <w:rFonts w:ascii="Arial" w:cs="Arial" w:eastAsia="Arial" w:hAnsi="Arial"/>
                  <w:sz w:val="18"/>
                  <w:szCs w:val="18"/>
                  <w:color w:val="0000FF"/>
                  <w:w w:val="94"/>
                </w:rPr>
                <w:t>Officer)</w:t>
              </w:r>
            </w:hyperlink>
          </w:p>
        </w:tc>
        <w:tc>
          <w:tcPr>
            <w:tcW w:w="5180" w:type="dxa"/>
            <w:vAlign w:val="bottom"/>
            <w:tcBorders>
              <w:top w:val="single" w:sz="8" w:color="0000FF"/>
            </w:tcBorders>
            <w:gridSpan w:val="14"/>
          </w:tcPr>
          <w:p>
            <w:pPr>
              <w:spacing w:after="0"/>
              <w:rPr>
                <w:sz w:val="13"/>
                <w:szCs w:val="13"/>
                <w:color w:val="auto"/>
              </w:rPr>
            </w:pPr>
          </w:p>
        </w:tc>
        <w:tc>
          <w:tcPr>
            <w:tcW w:w="340" w:type="dxa"/>
            <w:vAlign w:val="bottom"/>
            <w:gridSpan w:val="6"/>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08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gridSpan w:val="21"/>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SCOTTS MIRACLE-GRO COMPANY</w:t>
            </w:r>
          </w:p>
        </w:tc>
      </w:tr>
      <w:tr>
        <w:trPr>
          <w:trHeight w:val="499"/>
        </w:trPr>
        <w:tc>
          <w:tcPr>
            <w:tcW w:w="5720" w:type="dxa"/>
            <w:vAlign w:val="bottom"/>
          </w:tcPr>
          <w:p>
            <w:pPr>
              <w:spacing w:after="0"/>
              <w:rPr>
                <w:sz w:val="20"/>
                <w:szCs w:val="20"/>
                <w:color w:val="auto"/>
              </w:rPr>
            </w:pPr>
            <w:r>
              <w:rPr>
                <w:rFonts w:ascii="Arial" w:cs="Arial" w:eastAsia="Arial" w:hAnsi="Arial"/>
                <w:sz w:val="18"/>
                <w:szCs w:val="18"/>
                <w:color w:val="auto"/>
              </w:rPr>
              <w:t>Date: August 11, 2021</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CORY J. MILLER</w:t>
            </w:r>
          </w:p>
        </w:tc>
      </w:tr>
      <w:tr>
        <w:trPr>
          <w:trHeight w:val="222"/>
        </w:trPr>
        <w:tc>
          <w:tcPr>
            <w:tcW w:w="5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Senior Vice President and 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996950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825500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5.250% Senior Notes due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FOURTH SUPPLEMENTAL INDENTURE DATED AS OF</w:t>
      </w: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June 24, 2021</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December 15, 2016</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1207135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FOURTH SUPPLEMENTAL INDENTURE</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FOURTH SUPPLEMENTAL INDENTURE, dated as of June 24, 2021 (this “</w:t>
      </w:r>
      <w:r>
        <w:rPr>
          <w:rFonts w:ascii="Arial" w:cs="Arial" w:eastAsia="Arial" w:hAnsi="Arial"/>
          <w:sz w:val="22"/>
          <w:szCs w:val="22"/>
          <w:b w:val="1"/>
          <w:bCs w:val="1"/>
          <w:i w:val="1"/>
          <w:iCs w:val="1"/>
          <w:color w:val="auto"/>
        </w:rPr>
        <w:t>Fourth Supplemental Indenture</w:t>
      </w:r>
      <w:r>
        <w:rPr>
          <w:rFonts w:ascii="Arial" w:cs="Arial" w:eastAsia="Arial" w:hAnsi="Arial"/>
          <w:sz w:val="22"/>
          <w:szCs w:val="22"/>
          <w:color w:val="auto"/>
        </w:rPr>
        <w:t>”), is by and among The Scotts Miracle-Gro Company, an Ohio corporation (such corporation and any successor,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existing Guarantors (as defined in the Indenture referred to herein) (the “</w:t>
      </w:r>
      <w:r>
        <w:rPr>
          <w:rFonts w:ascii="Arial" w:cs="Arial" w:eastAsia="Arial" w:hAnsi="Arial"/>
          <w:sz w:val="22"/>
          <w:szCs w:val="22"/>
          <w:b w:val="1"/>
          <w:bCs w:val="1"/>
          <w:i w:val="1"/>
          <w:iCs w:val="1"/>
          <w:color w:val="auto"/>
        </w:rPr>
        <w:t>Existing Guarantors</w:t>
      </w:r>
      <w:r>
        <w:rPr>
          <w:rFonts w:ascii="Arial" w:cs="Arial" w:eastAsia="Arial" w:hAnsi="Arial"/>
          <w:sz w:val="22"/>
          <w:szCs w:val="22"/>
          <w:color w:val="auto"/>
        </w:rPr>
        <w:t>”), The Hawthorne Collective, Inc., an Ohio corporation (the “</w:t>
      </w:r>
      <w:r>
        <w:rPr>
          <w:rFonts w:ascii="Arial" w:cs="Arial" w:eastAsia="Arial" w:hAnsi="Arial"/>
          <w:sz w:val="22"/>
          <w:szCs w:val="22"/>
          <w:b w:val="1"/>
          <w:bCs w:val="1"/>
          <w:i w:val="1"/>
          <w:iCs w:val="1"/>
          <w:color w:val="auto"/>
        </w:rPr>
        <w:t>New Guarantor</w:t>
      </w:r>
      <w:r>
        <w:rPr>
          <w:rFonts w:ascii="Arial" w:cs="Arial" w:eastAsia="Arial" w:hAnsi="Arial"/>
          <w:sz w:val="22"/>
          <w:szCs w:val="22"/>
          <w:color w:val="auto"/>
        </w:rPr>
        <w:t>”), and U.S. Bank National Association, a national banking association, as trustee under the Indenture referred to herein (such corporation and any successor,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The New Guarantor and the Existing Guarantors are sometimes referred to collectively herein as the “</w:t>
      </w:r>
      <w:r>
        <w:rPr>
          <w:rFonts w:ascii="Arial" w:cs="Arial" w:eastAsia="Arial" w:hAnsi="Arial"/>
          <w:sz w:val="22"/>
          <w:szCs w:val="22"/>
          <w:b w:val="1"/>
          <w:bCs w:val="1"/>
          <w:i w:val="1"/>
          <w:iCs w:val="1"/>
          <w:color w:val="auto"/>
        </w:rPr>
        <w:t>Guarantors</w:t>
      </w:r>
      <w:r>
        <w:rPr>
          <w:rFonts w:ascii="Arial" w:cs="Arial" w:eastAsia="Arial" w:hAnsi="Arial"/>
          <w:sz w:val="22"/>
          <w:szCs w:val="22"/>
          <w:color w:val="auto"/>
        </w:rPr>
        <w:t>,” or individually as a “</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Capitalized terms not otherwise defined in this Fourth Supplemental Indenture will have the meanings given to them in the Indenture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the Company, the Existing Guarantors and the Trustee are parties to an indenture, dated as of December 15, 2016, as supplemented by that First Supplemental Indenture, dated as of July 17, 2018, as further supplemented by that Second Supplemental Indenture, dated as of March 24, 2020, and as further supplemented by that Third Supplemental Indenture, dated as of March 29, 2021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relating to the Company’s 5.250% Senior Notes due 2026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Fourth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240"/>
          </w:cols>
          <w:pgMar w:left="320" w:top="1422" w:right="339" w:bottom="1440" w:gutter="0" w:footer="0" w:header="0"/>
        </w:sectPr>
      </w:pPr>
    </w:p>
    <w:bookmarkStart w:id="50" w:name="page51"/>
    <w:bookmarkEnd w:id="50"/>
    <w:p>
      <w:pPr>
        <w:ind w:firstLine="656"/>
        <w:spacing w:after="0" w:line="263" w:lineRule="auto"/>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Effect of Fourth Supplemental Indenture</w:t>
      </w:r>
      <w:r>
        <w:rPr>
          <w:rFonts w:ascii="Arial" w:cs="Arial" w:eastAsia="Arial" w:hAnsi="Arial"/>
          <w:sz w:val="22"/>
          <w:szCs w:val="22"/>
          <w:color w:val="auto"/>
        </w:rPr>
        <w:t>. Except as amended by this Fourth Supplemental Indenture, the terms and provisions of the Indenture shall remain in full force and effect.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FOURTH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The parties may sign any number of copies of this Fourth Supplemental Indenture. Each signed copy shall be an original, but all of them together represent the same agreement. This Fourth Supplemental Indenture may be executed in multiple counterparts which, when taken together, shall constitute one instrument.</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Fourth Supplemental Indenture. This Fourth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1" w:name="page52"/>
    <w:bookmarkEnd w:id="51"/>
    <w:p>
      <w:pPr>
        <w:ind w:right="20" w:firstLine="648"/>
        <w:spacing w:after="0" w:line="263" w:lineRule="auto"/>
        <w:rPr>
          <w:sz w:val="20"/>
          <w:szCs w:val="20"/>
          <w:color w:val="auto"/>
        </w:rPr>
      </w:pPr>
      <w:r>
        <w:rPr>
          <w:rFonts w:ascii="Arial" w:cs="Arial" w:eastAsia="Arial" w:hAnsi="Arial"/>
          <w:sz w:val="22"/>
          <w:szCs w:val="22"/>
          <w:color w:val="auto"/>
        </w:rPr>
        <w:t>IN WITNESS WHEREOF, the parties hereto have caused this Fourth Supplemental Indenture to be duly executed and delivered all as of the day and year first above written.</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COMPANY:</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THE SCOTTS MIRACLE-GRO COMPANY</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LEONARD R. ESSEX</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NEW GUARANTOR:</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HAWTHORNE COLLECTIVE, INC.</w:t>
      </w:r>
    </w:p>
    <w:p>
      <w:pPr>
        <w:spacing w:after="0" w:line="301"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15240</wp:posOffset>
            </wp:positionV>
            <wp:extent cx="35229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Albert J. Messina</w:t>
      </w:r>
    </w:p>
    <w:p>
      <w:pPr>
        <w:spacing w:after="0" w:line="71"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EXISTING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AEROGROW INTERNATIONAL,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HYPONEX CORPORATION</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MIRACLE-GRO LAWN PRODUCTS,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ROD MCLELLAN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SANFORD SCIENTIFIC,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LIVE GOODS HOLDINGS,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MANUFACTURING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PROFESSIONAL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TEMECULA OPERATIONS,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 GROWING MEDIA,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SMGM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SCOTTS COMPANY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1868 VENTURES LLC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LEONARD R. ESSEX</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240"/>
          </w:cols>
          <w:pgMar w:left="320" w:top="1428" w:right="339" w:bottom="1440" w:gutter="0" w:footer="0" w:header="0"/>
          <w:type w:val="continuous"/>
        </w:sectPr>
      </w:pPr>
    </w:p>
    <w:bookmarkStart w:id="52" w:name="page53"/>
    <w:bookmarkEnd w:id="52"/>
    <w:p>
      <w:pPr>
        <w:spacing w:after="0" w:line="5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HAWTHORNE HYDROPONICS LLC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THE HAWTHORNE GARDENING COMPANY</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HGCI, INC.</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OMS INVESTMENTS,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SWISS FARMS PRODUCTS,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344"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344"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LEONARD R. ESSEX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15240</wp:posOffset>
            </wp:positionV>
            <wp:extent cx="3522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Leonard R. Essex</w:t>
      </w:r>
    </w:p>
    <w:p>
      <w:pPr>
        <w:spacing w:after="0" w:line="71"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31"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TRUSTEE:</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U.S. BANK NATIONAL ASSOCIATION</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KATHERINE ESBER</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Katherine Esber</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10120"/>
          </w:cols>
          <w:pgMar w:left="144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996950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825500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4.500% Senior Notes due 2029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THIRD SUPPLEMENTAL INDENTURE DATED AS OF</w:t>
      </w: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June 24, 2021</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October 22, 2019</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1207135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9"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THIRD SUPPLEMENTAL INDENTURE</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THIRD SUPPLEMENTAL INDENTURE, dated as of June 24, 2021 (this “</w:t>
      </w:r>
      <w:r>
        <w:rPr>
          <w:rFonts w:ascii="Arial" w:cs="Arial" w:eastAsia="Arial" w:hAnsi="Arial"/>
          <w:sz w:val="22"/>
          <w:szCs w:val="22"/>
          <w:b w:val="1"/>
          <w:bCs w:val="1"/>
          <w:i w:val="1"/>
          <w:iCs w:val="1"/>
          <w:color w:val="auto"/>
        </w:rPr>
        <w:t>Third Supplemental Indenture</w:t>
      </w:r>
      <w:r>
        <w:rPr>
          <w:rFonts w:ascii="Arial" w:cs="Arial" w:eastAsia="Arial" w:hAnsi="Arial"/>
          <w:sz w:val="22"/>
          <w:szCs w:val="22"/>
          <w:color w:val="auto"/>
        </w:rPr>
        <w:t>”), is by and among The Scotts Miracle-Gro Company, an Ohio corporation (such corporation and any successor,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existing Guarantors (as defined in the Indenture referred to herein) (the “</w:t>
      </w:r>
      <w:r>
        <w:rPr>
          <w:rFonts w:ascii="Arial" w:cs="Arial" w:eastAsia="Arial" w:hAnsi="Arial"/>
          <w:sz w:val="22"/>
          <w:szCs w:val="22"/>
          <w:b w:val="1"/>
          <w:bCs w:val="1"/>
          <w:i w:val="1"/>
          <w:iCs w:val="1"/>
          <w:color w:val="auto"/>
        </w:rPr>
        <w:t>Existing Guarantors</w:t>
      </w:r>
      <w:r>
        <w:rPr>
          <w:rFonts w:ascii="Arial" w:cs="Arial" w:eastAsia="Arial" w:hAnsi="Arial"/>
          <w:sz w:val="22"/>
          <w:szCs w:val="22"/>
          <w:color w:val="auto"/>
        </w:rPr>
        <w:t>”), The Hawthorne Collective, Inc., an Ohio corporation (“</w:t>
      </w:r>
      <w:r>
        <w:rPr>
          <w:rFonts w:ascii="Arial" w:cs="Arial" w:eastAsia="Arial" w:hAnsi="Arial"/>
          <w:sz w:val="22"/>
          <w:szCs w:val="22"/>
          <w:b w:val="1"/>
          <w:bCs w:val="1"/>
          <w:i w:val="1"/>
          <w:iCs w:val="1"/>
          <w:color w:val="auto"/>
        </w:rPr>
        <w:t>New Guarantor</w:t>
      </w:r>
      <w:r>
        <w:rPr>
          <w:rFonts w:ascii="Arial" w:cs="Arial" w:eastAsia="Arial" w:hAnsi="Arial"/>
          <w:sz w:val="22"/>
          <w:szCs w:val="22"/>
          <w:color w:val="auto"/>
        </w:rPr>
        <w:t>”), and U.S. Bank National Association, a national banking association, as trustee under the Indenture referred to herein (such corporation and any successor,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The New Guarantor and the Existing Guarantors are sometimes referred to collectively herein as the “</w:t>
      </w:r>
      <w:r>
        <w:rPr>
          <w:rFonts w:ascii="Arial" w:cs="Arial" w:eastAsia="Arial" w:hAnsi="Arial"/>
          <w:sz w:val="22"/>
          <w:szCs w:val="22"/>
          <w:b w:val="1"/>
          <w:bCs w:val="1"/>
          <w:i w:val="1"/>
          <w:iCs w:val="1"/>
          <w:color w:val="auto"/>
        </w:rPr>
        <w:t>Guarantors</w:t>
      </w:r>
      <w:r>
        <w:rPr>
          <w:rFonts w:ascii="Arial" w:cs="Arial" w:eastAsia="Arial" w:hAnsi="Arial"/>
          <w:sz w:val="22"/>
          <w:szCs w:val="22"/>
          <w:color w:val="auto"/>
        </w:rPr>
        <w:t>,” or individually as a “</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Capitalized terms not otherwise defined in this Third Supplemental Indenture will have the meanings given to them in the Indenture (as defined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October 22, 2019, as supplemented by that First Supplemental Indenture, dated as of March 24, 2020, as further supplemented by that Second Supplemental Indenture, dated as of March 29, 2021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4.500% Senior Notes due 2029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Third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240"/>
          </w:cols>
          <w:pgMar w:left="320" w:top="1422" w:right="339" w:bottom="1440" w:gutter="0" w:footer="0" w:header="0"/>
        </w:sectPr>
      </w:pPr>
    </w:p>
    <w:bookmarkStart w:id="56" w:name="page57"/>
    <w:bookmarkEnd w:id="56"/>
    <w:p>
      <w:pPr>
        <w:ind w:firstLine="656"/>
        <w:spacing w:after="0" w:line="263"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Effect of Third Supplemental Indenture</w:t>
      </w:r>
      <w:r>
        <w:rPr>
          <w:rFonts w:ascii="Arial" w:cs="Arial" w:eastAsia="Arial" w:hAnsi="Arial"/>
          <w:sz w:val="22"/>
          <w:szCs w:val="22"/>
          <w:color w:val="auto"/>
        </w:rPr>
        <w:t>. Except as amended by this Third Supplemental Indenture, the terms and provisions of the Indenture shall remain in full force and effect.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THIRD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Third Supplemental Indenture. Each signed copy shall be an original, but all of them together represent the same agreement. This Third Supplemental Indenture may be executed in multiple counterparts which, when taken together, shall constitute one instrument.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Third Supplemental Indenture. This Third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7" w:name="page58"/>
    <w:bookmarkEnd w:id="57"/>
    <w:p>
      <w:pPr>
        <w:ind w:right="20" w:firstLine="648"/>
        <w:spacing w:after="0" w:line="263" w:lineRule="auto"/>
        <w:rPr>
          <w:sz w:val="20"/>
          <w:szCs w:val="20"/>
          <w:color w:val="auto"/>
        </w:rPr>
      </w:pPr>
      <w:r>
        <w:rPr>
          <w:rFonts w:ascii="Arial" w:cs="Arial" w:eastAsia="Arial" w:hAnsi="Arial"/>
          <w:sz w:val="22"/>
          <w:szCs w:val="22"/>
          <w:color w:val="auto"/>
        </w:rPr>
        <w:t>IN WITNESS WHEREOF, the parties hereto have caused this Third Supplemental Indenture to be duly executed and delivered all as of the day and year first above written.</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COMPANY:</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THE SCOTTS MIRACLE-GRO COMPANY</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LEONARD R. ESSEX</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NEW GUARANTOR:</w:t>
      </w:r>
    </w:p>
    <w:p>
      <w:pPr>
        <w:spacing w:after="0" w:line="6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HAWTHORNE COLLECTIVE, INC.</w:t>
      </w:r>
    </w:p>
    <w:p>
      <w:pPr>
        <w:spacing w:after="0" w:line="316"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15240</wp:posOffset>
            </wp:positionV>
            <wp:extent cx="3522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8"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Albert J. Messina</w:t>
      </w:r>
    </w:p>
    <w:p>
      <w:pPr>
        <w:spacing w:after="0" w:line="71"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EXISTING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AEROGROW INTERNATIONAL,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HYPONEX CORPORATION</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MIRACLE-GRO LAWN PRODUCTS,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ROD MCLELLAN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SANFORD SCIENTIFIC,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LIVE GOODS HOLDINGS,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MANUFACTURING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PROFESSIONAL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TEMECULA OPERATIONS,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 GROWING MEDIA,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SMGM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SCOTTS COMPANY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1868 VENTURES LLC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LEONARD R. ESSEX</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240"/>
          </w:cols>
          <w:pgMar w:left="320" w:top="1428" w:right="339" w:bottom="1440" w:gutter="0" w:footer="0" w:header="0"/>
          <w:type w:val="continuous"/>
        </w:sectPr>
      </w:pPr>
    </w:p>
    <w:bookmarkStart w:id="58" w:name="page59"/>
    <w:bookmarkEnd w:id="58"/>
    <w:p>
      <w:pPr>
        <w:spacing w:after="0" w:line="5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HAWTHORNE HYDROPONICS LLC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THE HAWTHORNE GARDENING COMPANY</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HGCI, INC.</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OMS INVESTMENTS,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SWISS FARMS PRODUCTS,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344"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344"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LEONARD R. ESSEX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15240</wp:posOffset>
            </wp:positionV>
            <wp:extent cx="3522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Leonard R. Essex</w:t>
      </w:r>
    </w:p>
    <w:p>
      <w:pPr>
        <w:spacing w:after="0" w:line="71"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10120"/>
          </w:cols>
          <w:pgMar w:left="1440" w:top="1440" w:right="339" w:bottom="1440" w:gutter="0" w:footer="0" w:header="0"/>
        </w:sectPr>
      </w:pPr>
    </w:p>
    <w:bookmarkStart w:id="59" w:name="page60"/>
    <w:bookmarkEnd w:id="59"/>
    <w:p>
      <w:pPr>
        <w:spacing w:after="0" w:line="31"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TRUSTEE:</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U.S. BANK NATIONAL ASSOCIATION</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KATHERINE ESBER</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Katherine Esber</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10120"/>
          </w:cols>
          <w:pgMar w:left="1440" w:top="144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996950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825500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4.000% Senior Notes due 2031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FIRST SUPPLEMENTAL INDENTURE DATED AS OF</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June 24, 2021</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March 17, 2021</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1207135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6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FIRST SUPPLEMENTAL INDENTURE, dated as of June 24, 2021 (this “</w:t>
      </w:r>
      <w:r>
        <w:rPr>
          <w:rFonts w:ascii="Arial" w:cs="Arial" w:eastAsia="Arial" w:hAnsi="Arial"/>
          <w:sz w:val="22"/>
          <w:szCs w:val="22"/>
          <w:b w:val="1"/>
          <w:bCs w:val="1"/>
          <w:i w:val="1"/>
          <w:iCs w:val="1"/>
          <w:color w:val="auto"/>
        </w:rPr>
        <w:t>First Supplemental Indenture</w:t>
      </w:r>
      <w:r>
        <w:rPr>
          <w:rFonts w:ascii="Arial" w:cs="Arial" w:eastAsia="Arial" w:hAnsi="Arial"/>
          <w:sz w:val="22"/>
          <w:szCs w:val="22"/>
          <w:color w:val="auto"/>
        </w:rPr>
        <w:t>”), is by and among The Scotts Miracle-Gro Company, an Ohio corporation (such corporation and any successor,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existing Guarantors (as defined in the Indenture referred to herein) (the “</w:t>
      </w:r>
      <w:r>
        <w:rPr>
          <w:rFonts w:ascii="Arial" w:cs="Arial" w:eastAsia="Arial" w:hAnsi="Arial"/>
          <w:sz w:val="22"/>
          <w:szCs w:val="22"/>
          <w:b w:val="1"/>
          <w:bCs w:val="1"/>
          <w:i w:val="1"/>
          <w:iCs w:val="1"/>
          <w:color w:val="auto"/>
        </w:rPr>
        <w:t>Existing Guarantors</w:t>
      </w:r>
      <w:r>
        <w:rPr>
          <w:rFonts w:ascii="Arial" w:cs="Arial" w:eastAsia="Arial" w:hAnsi="Arial"/>
          <w:sz w:val="22"/>
          <w:szCs w:val="22"/>
          <w:color w:val="auto"/>
        </w:rPr>
        <w:t>”), The Hawthorne Collective, Inc., an Ohio corporation (“</w:t>
      </w:r>
      <w:r>
        <w:rPr>
          <w:rFonts w:ascii="Arial" w:cs="Arial" w:eastAsia="Arial" w:hAnsi="Arial"/>
          <w:sz w:val="22"/>
          <w:szCs w:val="22"/>
          <w:b w:val="1"/>
          <w:bCs w:val="1"/>
          <w:i w:val="1"/>
          <w:iCs w:val="1"/>
          <w:color w:val="auto"/>
        </w:rPr>
        <w:t>New Guarantor</w:t>
      </w:r>
      <w:r>
        <w:rPr>
          <w:rFonts w:ascii="Arial" w:cs="Arial" w:eastAsia="Arial" w:hAnsi="Arial"/>
          <w:sz w:val="22"/>
          <w:szCs w:val="22"/>
          <w:color w:val="auto"/>
        </w:rPr>
        <w:t>”), and U.S. Bank National Association, a national banking association, as trustee under the Indenture referred to herein (such corporation and any successor,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The New Guarantor and the Existing Guarantors are sometimes referred to collectively herein as the “</w:t>
      </w:r>
      <w:r>
        <w:rPr>
          <w:rFonts w:ascii="Arial" w:cs="Arial" w:eastAsia="Arial" w:hAnsi="Arial"/>
          <w:sz w:val="22"/>
          <w:szCs w:val="22"/>
          <w:b w:val="1"/>
          <w:bCs w:val="1"/>
          <w:i w:val="1"/>
          <w:iCs w:val="1"/>
          <w:color w:val="auto"/>
        </w:rPr>
        <w:t>Guarantors</w:t>
      </w:r>
      <w:r>
        <w:rPr>
          <w:rFonts w:ascii="Arial" w:cs="Arial" w:eastAsia="Arial" w:hAnsi="Arial"/>
          <w:sz w:val="22"/>
          <w:szCs w:val="22"/>
          <w:color w:val="auto"/>
        </w:rPr>
        <w:t>,” or individually as a “</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Capitalized terms not otherwise defined in this First Supplemental Indenture will have the meanings given to them in the Indenture (as defined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March 17, 2021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4.000% Senior Notes due 2031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First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pacing w:after="0" w:line="149" w:lineRule="exact"/>
        <w:rPr>
          <w:rFonts w:ascii="Arial" w:cs="Arial" w:eastAsia="Arial" w:hAnsi="Arial"/>
          <w:sz w:val="19"/>
          <w:szCs w:val="19"/>
          <w:color w:val="auto"/>
        </w:rPr>
      </w:pPr>
    </w:p>
    <w:p>
      <w:pPr>
        <w:ind w:right="20" w:firstLine="656"/>
        <w:spacing w:after="0" w:line="263"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Effect of First Supplemental Indenture</w:t>
      </w:r>
      <w:r>
        <w:rPr>
          <w:rFonts w:ascii="Arial" w:cs="Arial" w:eastAsia="Arial" w:hAnsi="Arial"/>
          <w:sz w:val="22"/>
          <w:szCs w:val="22"/>
          <w:color w:val="auto"/>
        </w:rPr>
        <w:t>. Except as amended by this First Supplemental Indenture, the terms and provisions of the Indenture shall remain in full force and effect.</w:t>
      </w:r>
    </w:p>
    <w:p>
      <w:pPr>
        <w:sectPr>
          <w:pgSz w:w="11900" w:h="16838" w:orient="portrait"/>
          <w:cols w:equalWidth="0" w:num="1">
            <w:col w:w="11240"/>
          </w:cols>
          <w:pgMar w:left="320" w:top="1422" w:right="339" w:bottom="1440" w:gutter="0" w:footer="0" w:header="0"/>
        </w:sectPr>
      </w:pPr>
    </w:p>
    <w:bookmarkStart w:id="62" w:name="page63"/>
    <w:bookmarkEnd w:id="62"/>
    <w:p>
      <w:pPr>
        <w:jc w:val="both"/>
        <w:ind w:firstLine="656"/>
        <w:spacing w:after="0" w:line="250"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FIRST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First Supplemental Indenture. Each signed copy shall be an original, but all of them together represent the same agreement. This First Supplemental Indenture may be executed in multiple counterparts which, when taken together, shall constitute one instrument.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First Supplemental Indenture. This First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3" w:name="page64"/>
    <w:bookmarkEnd w:id="63"/>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and delivered all as of the day and year first above written.</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COMPANY:</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THE SCOTTS MIRACLE-GRO COMPANY</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LEONARD R. ESSEX</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NEW GUARANTOR:</w:t>
      </w:r>
    </w:p>
    <w:p>
      <w:pPr>
        <w:spacing w:after="0" w:line="6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HAWTHORNE COLLECTIVE, INC.</w:t>
      </w:r>
    </w:p>
    <w:p>
      <w:pPr>
        <w:spacing w:after="0" w:line="316"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ALBERT J.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15240</wp:posOffset>
            </wp:positionV>
            <wp:extent cx="3522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Albert J. Messina</w:t>
      </w:r>
    </w:p>
    <w:p>
      <w:pPr>
        <w:spacing w:after="0" w:line="71" w:lineRule="exact"/>
        <w:rPr>
          <w:sz w:val="20"/>
          <w:szCs w:val="20"/>
          <w:color w:val="auto"/>
        </w:rPr>
      </w:pPr>
    </w:p>
    <w:p>
      <w:pPr>
        <w:ind w:left="4680"/>
        <w:spacing w:after="0"/>
        <w:tabs>
          <w:tab w:leader="none" w:pos="5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EXISTING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AEROGROW INTERNATIONAL,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HYPONEX CORPORATION</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MIRACLE-GRO LAWN PRODUCTS,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ROD MCLELLAN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SANFORD SCIENTIFIC,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LIVE GOODS HOLDINGS,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MANUFACTURING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PROFESSIONAL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TEMECULA OPERATIONS,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 GROWING MEDIA,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SMGM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SCOTTS COMPANY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1868 VENTURES LLC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LEONARD R. ESSEX</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240"/>
          </w:cols>
          <w:pgMar w:left="320" w:top="1428" w:right="339" w:bottom="1440" w:gutter="0" w:footer="0" w:header="0"/>
          <w:type w:val="continuous"/>
        </w:sectPr>
      </w:pPr>
    </w:p>
    <w:bookmarkStart w:id="64" w:name="page65"/>
    <w:bookmarkEnd w:id="64"/>
    <w:p>
      <w:pPr>
        <w:spacing w:after="0" w:line="5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HAWTHORNE HYDROPONICS LLC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THE HAWTHORNE GARDENING COMPANY</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HGCI, INC.</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OMS INVESTMENTS,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SWISS FARMS PRODUCTS,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344"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344"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LEONARD R. ESSEX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15240</wp:posOffset>
            </wp:positionV>
            <wp:extent cx="3522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Leonard R. Essex</w:t>
      </w:r>
    </w:p>
    <w:p>
      <w:pPr>
        <w:spacing w:after="0" w:line="71"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10120"/>
          </w:cols>
          <w:pgMar w:left="1440" w:top="1440" w:right="339" w:bottom="1440" w:gutter="0" w:footer="0" w:header="0"/>
        </w:sectPr>
      </w:pPr>
    </w:p>
    <w:bookmarkStart w:id="65" w:name="page66"/>
    <w:bookmarkEnd w:id="65"/>
    <w:p>
      <w:pPr>
        <w:spacing w:after="0" w:line="31"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TRUSTEE:</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U.S. BANK NATIONAL ASSOCIATION</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KATHERINE ESBER</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Katherine Esber</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10120"/>
          </w:cols>
          <w:pgMar w:left="1440" w:top="144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3,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FIFTH AMENDED AND RESTATED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July 5, 2018</w:t>
      </w:r>
    </w:p>
    <w:p>
      <w:pPr>
        <w:spacing w:after="0" w:line="22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August 3, 2021 by and among The Scotts Miracle-Gro Company, an Ohio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Scotts Company LLC, an Ohio limited liability company, Scotts Canada Ltd., a company organized under the laws of Canada (each together with the Company and the other Subsidiary Borrowers, the “</w:t>
      </w:r>
      <w:r>
        <w:rPr>
          <w:rFonts w:ascii="Arial" w:cs="Arial" w:eastAsia="Arial" w:hAnsi="Arial"/>
          <w:sz w:val="16"/>
          <w:szCs w:val="16"/>
          <w:u w:val="single" w:color="auto"/>
          <w:color w:val="auto"/>
        </w:rPr>
        <w:t>Borrowers</w:t>
      </w:r>
      <w:r>
        <w:rPr>
          <w:rFonts w:ascii="Arial" w:cs="Arial" w:eastAsia="Arial" w:hAnsi="Arial"/>
          <w:sz w:val="16"/>
          <w:szCs w:val="16"/>
          <w:color w:val="auto"/>
        </w:rPr>
        <w:t>”), the financial institutions listed on the signature pages hereof and JPMorgan Chase Bank, N.A., as Administrative Agent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under that certain Fifth Amended and Restated Credit Agreement dated as of July 5, 2018 by and among the Borrowers, the Lenders and the Administrative Agent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6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the Company has requested that the requisite Lenders and the Administrative Agent agree to a certain amendment to the Credit Agreement;</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the Borrowers, the Lenders party hereto and the Administrative Agent have agreed to amend the Credit Agreement on the terms and conditions set forth herein;</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Administrative Agent hereby agree to enter into this Amendment.</w:t>
      </w:r>
    </w:p>
    <w:p>
      <w:pPr>
        <w:spacing w:after="0" w:line="210" w:lineRule="exact"/>
        <w:rPr>
          <w:sz w:val="20"/>
          <w:szCs w:val="20"/>
          <w:color w:val="auto"/>
        </w:rPr>
      </w:pPr>
    </w:p>
    <w:p>
      <w:pPr>
        <w:ind w:right="20" w:firstLine="1304"/>
        <w:spacing w:after="0" w:line="246" w:lineRule="auto"/>
        <w:tabs>
          <w:tab w:leader="none" w:pos="152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Amendment to the Credit Agreement</w:t>
      </w:r>
      <w:r>
        <w:rPr>
          <w:rFonts w:ascii="Arial" w:cs="Arial" w:eastAsia="Arial" w:hAnsi="Arial"/>
          <w:sz w:val="20"/>
          <w:szCs w:val="20"/>
          <w:color w:val="auto"/>
        </w:rPr>
        <w:t xml:space="preserve">. Effective as of the date of satisfaction of the conditions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parties hereto agree that the Credit Agreement is hereby amended as follows:</w:t>
      </w:r>
    </w:p>
    <w:p>
      <w:pPr>
        <w:spacing w:after="0" w:line="204" w:lineRule="exact"/>
        <w:rPr>
          <w:sz w:val="20"/>
          <w:szCs w:val="20"/>
          <w:color w:val="auto"/>
        </w:rPr>
      </w:pPr>
    </w:p>
    <w:p>
      <w:pPr>
        <w:ind w:firstLine="1304"/>
        <w:spacing w:after="0" w:line="246" w:lineRule="auto"/>
        <w:tabs>
          <w:tab w:leader="none" w:pos="157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Section 6.04(e)</w:t>
      </w:r>
      <w:r>
        <w:rPr>
          <w:rFonts w:ascii="Arial" w:cs="Arial" w:eastAsia="Arial" w:hAnsi="Arial"/>
          <w:sz w:val="20"/>
          <w:szCs w:val="20"/>
          <w:color w:val="auto"/>
        </w:rPr>
        <w:t xml:space="preserve"> of the Credit Agreement is hereby amended by replacing the words “and other investments” appearing therein with the words “and other loans, advances and investments”.</w:t>
      </w:r>
    </w:p>
    <w:p>
      <w:pPr>
        <w:spacing w:after="0" w:line="204" w:lineRule="exact"/>
        <w:rPr>
          <w:sz w:val="20"/>
          <w:szCs w:val="20"/>
          <w:color w:val="auto"/>
        </w:rPr>
      </w:pPr>
    </w:p>
    <w:p>
      <w:pPr>
        <w:jc w:val="both"/>
        <w:ind w:firstLine="1304"/>
        <w:spacing w:after="0" w:line="256" w:lineRule="auto"/>
        <w:tabs>
          <w:tab w:leader="none" w:pos="154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xml:space="preserve">. The effectiveness of this Amendment is subject to the conditions precedent that the Administrative Agent shall have received (i) counterparts of this Amendment duly executed by the Borrowers, the Required Lenders and the Administrative Agent, (ii) counterparts of the Consent and Reaffirmation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duly executed by the Loan Parties and</w:t>
      </w:r>
    </w:p>
    <w:p>
      <w:pPr>
        <w:spacing w:after="0" w:line="1" w:lineRule="exact"/>
        <w:rPr>
          <w:rFonts w:ascii="Arial" w:cs="Arial" w:eastAsia="Arial" w:hAnsi="Arial"/>
          <w:sz w:val="18"/>
          <w:szCs w:val="18"/>
          <w:color w:val="auto"/>
        </w:rPr>
      </w:pPr>
    </w:p>
    <w:p>
      <w:pPr>
        <w:jc w:val="both"/>
        <w:ind w:firstLine="8"/>
        <w:spacing w:after="0" w:line="231" w:lineRule="auto"/>
        <w:tabs>
          <w:tab w:leader="none" w:pos="3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payment and/or reimbursement of the Administrative Agent’s and its affiliates’ reasonable and documented out-of-pocket fees and expenses (including, to the extent invoiced, reasonable fees and expenses of counsel for the Administrative Agent) in connection with the Loan Documents.</w:t>
      </w:r>
    </w:p>
    <w:p>
      <w:pPr>
        <w:spacing w:after="0" w:line="210" w:lineRule="exact"/>
        <w:rPr>
          <w:rFonts w:ascii="Arial" w:cs="Arial" w:eastAsia="Arial" w:hAnsi="Arial"/>
          <w:sz w:val="20"/>
          <w:szCs w:val="20"/>
          <w:color w:val="auto"/>
        </w:rPr>
      </w:pPr>
    </w:p>
    <w:p>
      <w:pPr>
        <w:ind w:left="1500" w:hanging="196"/>
        <w:spacing w:after="0"/>
        <w:tabs>
          <w:tab w:leader="none" w:pos="15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Borrowers</w:t>
      </w:r>
      <w:r>
        <w:rPr>
          <w:rFonts w:ascii="Arial" w:cs="Arial" w:eastAsia="Arial" w:hAnsi="Arial"/>
          <w:sz w:val="20"/>
          <w:szCs w:val="20"/>
          <w:color w:val="auto"/>
        </w:rPr>
        <w:t>. Each Borrower hereby represents and warrants as follows:</w:t>
      </w:r>
    </w:p>
    <w:p>
      <w:pPr>
        <w:spacing w:after="0" w:line="229" w:lineRule="exact"/>
        <w:rPr>
          <w:sz w:val="20"/>
          <w:szCs w:val="20"/>
          <w:color w:val="auto"/>
        </w:rPr>
      </w:pPr>
    </w:p>
    <w:p>
      <w:pPr>
        <w:jc w:val="both"/>
        <w:ind w:firstLine="1304"/>
        <w:spacing w:after="0" w:line="248" w:lineRule="auto"/>
        <w:tabs>
          <w:tab w:leader="none" w:pos="1578"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This Amendment and the Credit Agreement as modified hereby constitute legal, valid and binding obligations of such Borrower, enforceable against such Borrower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ectPr>
          <w:pgSz w:w="11900" w:h="16838" w:orient="portrait"/>
          <w:cols w:equalWidth="0" w:num="1">
            <w:col w:w="11240"/>
          </w:cols>
          <w:pgMar w:left="320" w:top="355" w:right="339" w:bottom="1440" w:gutter="0" w:footer="0" w:header="0"/>
        </w:sectPr>
      </w:pPr>
    </w:p>
    <w:bookmarkStart w:id="67" w:name="page68"/>
    <w:bookmarkEnd w:id="67"/>
    <w:p>
      <w:pPr>
        <w:jc w:val="both"/>
        <w:ind w:firstLine="1304"/>
        <w:spacing w:after="0" w:line="244" w:lineRule="auto"/>
        <w:tabs>
          <w:tab w:leader="none" w:pos="159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 of the date hereof and after giving effect to the terms of this Amendment, (i) no Event of Default or Default has occurred and is continuing and (ii) the representations and warranties of such Borrower set forth in the Credit Agreement, as amended hereby, are true and correct in all material respects (or, in the case of any representation or warranty qualified by materiality or Material Adverse Effect, in all respects), except to the extent such representations and warranties specifically refer to an earlier date (in which case such representations and warranties shall be true and correct in all material respects (or, in the case of any representation or warranty qualified by materiality or Material Adverse Effect, in all respects) as of such earlier date).</w:t>
      </w:r>
    </w:p>
    <w:p>
      <w:pPr>
        <w:spacing w:after="0" w:line="206" w:lineRule="exact"/>
        <w:rPr>
          <w:sz w:val="20"/>
          <w:szCs w:val="20"/>
          <w:color w:val="auto"/>
        </w:rPr>
      </w:pPr>
    </w:p>
    <w:p>
      <w:pPr>
        <w:ind w:left="1500" w:hanging="196"/>
        <w:spacing w:after="0"/>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29" w:lineRule="exact"/>
        <w:rPr>
          <w:sz w:val="20"/>
          <w:szCs w:val="20"/>
          <w:color w:val="auto"/>
        </w:rPr>
      </w:pPr>
    </w:p>
    <w:p>
      <w:pPr>
        <w:ind w:right="20" w:firstLine="1304"/>
        <w:spacing w:after="0" w:line="246" w:lineRule="auto"/>
        <w:tabs>
          <w:tab w:leader="none" w:pos="1592" w:val="left"/>
        </w:tabs>
        <w:numPr>
          <w:ilvl w:val="0"/>
          <w:numId w:val="31"/>
        </w:numPr>
        <w:rPr>
          <w:rFonts w:ascii="Arial" w:cs="Arial" w:eastAsia="Arial" w:hAnsi="Arial"/>
          <w:sz w:val="20"/>
          <w:szCs w:val="20"/>
          <w:color w:val="auto"/>
        </w:rPr>
      </w:pPr>
      <w:r>
        <w:rPr>
          <w:rFonts w:ascii="Arial" w:cs="Arial" w:eastAsia="Arial" w:hAnsi="Arial"/>
          <w:sz w:val="20"/>
          <w:szCs w:val="20"/>
          <w:color w:val="auto"/>
        </w:rPr>
        <w:t>Upon the effectiveness hereof, each reference to the Credit Agreement in the Credit Agreement or any other Loan Document shall mean and be a reference to the Credit Agreement as amended hereby.</w:t>
      </w:r>
    </w:p>
    <w:p>
      <w:pPr>
        <w:spacing w:after="0" w:line="203" w:lineRule="exact"/>
        <w:rPr>
          <w:rFonts w:ascii="Arial" w:cs="Arial" w:eastAsia="Arial" w:hAnsi="Arial"/>
          <w:sz w:val="20"/>
          <w:szCs w:val="20"/>
          <w:color w:val="auto"/>
        </w:rPr>
      </w:pPr>
    </w:p>
    <w:p>
      <w:pPr>
        <w:ind w:firstLine="1304"/>
        <w:spacing w:after="0" w:line="246" w:lineRule="auto"/>
        <w:tabs>
          <w:tab w:leader="none" w:pos="1603" w:val="left"/>
        </w:tabs>
        <w:numPr>
          <w:ilvl w:val="0"/>
          <w:numId w:val="31"/>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203" w:lineRule="exact"/>
        <w:rPr>
          <w:rFonts w:ascii="Arial" w:cs="Arial" w:eastAsia="Arial" w:hAnsi="Arial"/>
          <w:sz w:val="20"/>
          <w:szCs w:val="20"/>
          <w:color w:val="auto"/>
        </w:rPr>
      </w:pPr>
    </w:p>
    <w:p>
      <w:pPr>
        <w:jc w:val="both"/>
        <w:ind w:firstLine="1304"/>
        <w:spacing w:after="0" w:line="237" w:lineRule="auto"/>
        <w:tabs>
          <w:tab w:leader="none" w:pos="1565"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209" w:lineRule="exact"/>
        <w:rPr>
          <w:rFonts w:ascii="Arial" w:cs="Arial" w:eastAsia="Arial" w:hAnsi="Arial"/>
          <w:sz w:val="20"/>
          <w:szCs w:val="20"/>
          <w:color w:val="auto"/>
        </w:rPr>
      </w:pPr>
    </w:p>
    <w:p>
      <w:pPr>
        <w:ind w:left="1580" w:hanging="276"/>
        <w:spacing w:after="0"/>
        <w:tabs>
          <w:tab w:leader="none" w:pos="1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 New</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13" w:lineRule="exact"/>
        <w:rPr>
          <w:sz w:val="20"/>
          <w:szCs w:val="20"/>
          <w:color w:val="auto"/>
        </w:rPr>
      </w:pPr>
    </w:p>
    <w:p>
      <w:pPr>
        <w:ind w:firstLine="1304"/>
        <w:spacing w:after="0" w:line="246" w:lineRule="auto"/>
        <w:tabs>
          <w:tab w:leader="none" w:pos="1521"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203" w:lineRule="exact"/>
        <w:rPr>
          <w:rFonts w:ascii="Arial" w:cs="Arial" w:eastAsia="Arial" w:hAnsi="Arial"/>
          <w:sz w:val="20"/>
          <w:szCs w:val="20"/>
          <w:color w:val="auto"/>
        </w:rPr>
      </w:pPr>
    </w:p>
    <w:p>
      <w:pPr>
        <w:jc w:val="both"/>
        <w:ind w:firstLine="1304"/>
        <w:spacing w:after="0" w:line="257" w:lineRule="auto"/>
        <w:tabs>
          <w:tab w:leader="none" w:pos="153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92" w:right="339" w:bottom="1440" w:gutter="0" w:footer="0" w:header="0"/>
        </w:sectPr>
      </w:pPr>
    </w:p>
    <w:bookmarkStart w:id="68" w:name="page69"/>
    <w:bookmarkEnd w:id="68"/>
    <w:p>
      <w:pPr>
        <w:ind w:firstLine="1296"/>
        <w:spacing w:after="0" w:line="246"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25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THE SCOTTS MIRACLE-GRO COMPANY,</w:t>
      </w:r>
    </w:p>
    <w:p>
      <w:pPr>
        <w:spacing w:after="0" w:line="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spacing w:after="0" w:line="364" w:lineRule="exact"/>
        <w:rPr>
          <w:sz w:val="20"/>
          <w:szCs w:val="20"/>
          <w:color w:val="auto"/>
        </w:rPr>
      </w:pPr>
    </w:p>
    <w:tbl>
      <w:tblPr>
        <w:tblLayout w:type="fixed"/>
        <w:tblInd w:w="62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19" w:lineRule="auto"/>
        <w:rPr>
          <w:sz w:val="20"/>
          <w:szCs w:val="20"/>
          <w:color w:val="auto"/>
        </w:rPr>
      </w:pPr>
      <w:r>
        <w:rPr>
          <w:rFonts w:ascii="Arial" w:cs="Arial" w:eastAsia="Arial" w:hAnsi="Arial"/>
          <w:sz w:val="18"/>
          <w:szCs w:val="18"/>
          <w:color w:val="auto"/>
        </w:rPr>
        <w:t>Fifth Amended and Restated Credit Agreement dated as of July 5, 2018</w:t>
      </w:r>
    </w:p>
    <w:p>
      <w:pPr>
        <w:jc w:val="center"/>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11240"/>
          </w:cols>
          <w:pgMar w:left="320" w:top="1419" w:right="339" w:bottom="1440" w:gutter="0" w:footer="0" w:header="0"/>
        </w:sectPr>
      </w:pPr>
    </w:p>
    <w:bookmarkStart w:id="69" w:name="page70"/>
    <w:bookmarkEnd w:id="69"/>
    <w:p>
      <w:pPr>
        <w:spacing w:after="0" w:line="3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THE SCOTTS COMPANY LLC,</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38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SCOTTS CANADA LTD.,</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37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HYPONEX CORPORATION,</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384"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SCOTTS MANUFACTURING COMPANY, as a Subsidiary</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38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SCOTTS TEMECULA OPERATIONS, LLC, as a Subsidiary</w:t>
      </w:r>
    </w:p>
    <w:p>
      <w:pPr>
        <w:spacing w:after="0" w:line="2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type w:val="continuous"/>
        </w:sectPr>
      </w:pPr>
    </w:p>
    <w:bookmarkStart w:id="70" w:name="page71"/>
    <w:bookmarkEnd w:id="70"/>
    <w:p>
      <w:pPr>
        <w:spacing w:after="0" w:line="3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SMG GROWING MEDIA, INC.,</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sectPr>
      </w:pPr>
    </w:p>
    <w:bookmarkStart w:id="71" w:name="page72"/>
    <w:bookmarkEnd w:id="71"/>
    <w:p>
      <w:pPr>
        <w:spacing w:after="0" w:line="200" w:lineRule="exact"/>
        <w:rPr>
          <w:sz w:val="20"/>
          <w:szCs w:val="20"/>
          <w:color w:val="auto"/>
        </w:rPr>
      </w:pPr>
    </w:p>
    <w:p>
      <w:pPr>
        <w:spacing w:after="0" w:line="31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JPMORGAN CHASE BANK, N.A.,</w:t>
      </w:r>
    </w:p>
    <w:p>
      <w:pPr>
        <w:ind w:left="5120"/>
        <w:spacing w:after="0" w:line="227" w:lineRule="auto"/>
        <w:rPr>
          <w:sz w:val="20"/>
          <w:szCs w:val="20"/>
          <w:color w:val="auto"/>
        </w:rPr>
      </w:pPr>
      <w:r>
        <w:rPr>
          <w:rFonts w:ascii="Arial" w:cs="Arial" w:eastAsia="Arial" w:hAnsi="Arial"/>
          <w:sz w:val="20"/>
          <w:szCs w:val="20"/>
          <w:color w:val="auto"/>
        </w:rPr>
        <w:t>individually as a Lender, as the Swingline Lender, as an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Issuing Bank and as Administrative Agent</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RYAN BAKER</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Ryan Baker</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7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BBVA USA f/k/a COMPASS BANK,</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RAY</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Steve Ray</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Executive Director</w:t>
            </w:r>
          </w:p>
        </w:tc>
      </w:tr>
    </w:tbl>
    <w:p>
      <w:pPr>
        <w:spacing w:after="0" w:line="35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BMO HARRIS BANK, N.A.,</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DOUGLAS 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19050</wp:posOffset>
            </wp:positionV>
            <wp:extent cx="26485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20"/>
          <w:szCs w:val="20"/>
          <w:color w:val="auto"/>
        </w:rPr>
        <w:t>Name:</w:t>
        <w:tab/>
        <w:t>Douglas Steen</w:t>
      </w:r>
    </w:p>
    <w:p>
      <w:pPr>
        <w:spacing w:after="0" w:line="40"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20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BANK OF AMERICA, N.A.,</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NICHOLAS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19050</wp:posOffset>
            </wp:positionV>
            <wp:extent cx="26485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20"/>
          <w:szCs w:val="20"/>
          <w:color w:val="auto"/>
        </w:rPr>
        <w:t>Name:</w:t>
        <w:tab/>
        <w:t>Nicholas Cheng</w:t>
      </w:r>
    </w:p>
    <w:p>
      <w:pPr>
        <w:spacing w:after="0" w:line="40"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20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COBANK, ACB,</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JAMES J. TRANKLE</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James J. Trankle</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type w:val="continuous"/>
        </w:sectPr>
      </w:pPr>
    </w:p>
    <w:bookmarkStart w:id="72" w:name="page73"/>
    <w:bookmarkEnd w:id="72"/>
    <w:p>
      <w:pPr>
        <w:spacing w:after="0" w:line="27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FIFTH THIRD BANK, NATIONAL ASSOCIATION,</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BRIAN J. MOELLER</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Brian J. Moeller</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37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Flushing Bank,</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LISA ARCHINOW</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Lisa Archinow</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GREENSTONE FARM CREDIT SERVICES, FLCA,</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KYLE HERNANDEZ</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Kyle Hernandez</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Capital Markets Lending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sectPr>
      </w:pPr>
    </w:p>
    <w:bookmarkStart w:id="73" w:name="page74"/>
    <w:bookmarkEnd w:id="73"/>
    <w:p>
      <w:pPr>
        <w:spacing w:after="0" w:line="3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GOLDMAN SACHS LENDING PARTNERS LLC,</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DAN MARTIS</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Dan Martis</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37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HSBC BANK USA, NATIONAL ASSOCIATION,</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37"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KYLE PATTERSON</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Kyle Patterson</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35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THE NORTHERN TRUST COMPANY,</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JOHN DI LEGGE</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John Di Legge</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37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TD BANK, N.A.,</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37"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LEVI</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Steve Levi</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37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TRISTATE CAPITAL BANK,</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ELLEN FRANK</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Ellen Frank</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type w:val="continuous"/>
        </w:sectPr>
      </w:pPr>
    </w:p>
    <w:bookmarkStart w:id="74" w:name="page75"/>
    <w:bookmarkEnd w:id="74"/>
    <w:p>
      <w:pPr>
        <w:spacing w:after="0" w:line="33"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U.S. BANK, NATIONAL ASSOCIATION,</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JEFFREY HERNANDEZ</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Jeffrey Hernandez</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WELLS FARGO BANK, NATIONAL ASSOCIATION,</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individually as a Lender and as an Issuing Bank</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MARK HOLM</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Mark Holm</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COÖPERATIEVE RABOBANK U.A., NEW YORK</w:t>
      </w:r>
    </w:p>
    <w:p>
      <w:pPr>
        <w:ind w:left="5120"/>
        <w:spacing w:after="0" w:line="227" w:lineRule="auto"/>
        <w:rPr>
          <w:sz w:val="20"/>
          <w:szCs w:val="20"/>
          <w:color w:val="auto"/>
        </w:rPr>
      </w:pPr>
      <w:r>
        <w:rPr>
          <w:rFonts w:ascii="Arial" w:cs="Arial" w:eastAsia="Arial" w:hAnsi="Arial"/>
          <w:sz w:val="20"/>
          <w:szCs w:val="20"/>
          <w:color w:val="auto"/>
        </w:rPr>
        <w:t>BRANCH,</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4" w:lineRule="exact"/>
        <w:rPr>
          <w:sz w:val="20"/>
          <w:szCs w:val="20"/>
          <w:color w:val="auto"/>
        </w:rPr>
      </w:pPr>
    </w:p>
    <w:tbl>
      <w:tblPr>
        <w:tblLayout w:type="fixed"/>
        <w:tblInd w:w="5120"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GRAFF</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Robert Graff</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Managing Director</w:t>
            </w:r>
          </w:p>
        </w:tc>
      </w:tr>
      <w:tr>
        <w:trPr>
          <w:trHeight w:val="806"/>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JEFF BLISS</w:t>
            </w:r>
          </w:p>
        </w:tc>
      </w:tr>
      <w:tr>
        <w:trPr>
          <w:trHeight w:val="254"/>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Jeff Bliss</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and Reaffirmation</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Each of the undersigned hereby acknowledges receipt of a copy of the foregoing Amendment No. 1 to the Fifth Amended and Restated Credit Agreement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5, 2018, by and among The Scotts Miracle-Gro Company, an Ohio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Scotts Company LLC, an Ohio limited liability company, Scotts Canada Ltd., a company organized under the laws of Canada (each together with the Company and the other Subsidiary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which Amendment No. 1 is dated as of August 3, 2021 and is by and among the Borrowers, the financial institutions listed on the signature pages thereof and the Administrative Agent (the “</w:t>
      </w:r>
      <w:r>
        <w:rPr>
          <w:rFonts w:ascii="Arial" w:cs="Arial" w:eastAsia="Arial" w:hAnsi="Arial"/>
          <w:sz w:val="18"/>
          <w:szCs w:val="18"/>
          <w:u w:val="single" w:color="auto"/>
          <w:color w:val="auto"/>
        </w:rPr>
        <w:t>Amendment</w:t>
      </w:r>
      <w:r>
        <w:rPr>
          <w:rFonts w:ascii="Arial" w:cs="Arial" w:eastAsia="Arial" w:hAnsi="Arial"/>
          <w:sz w:val="18"/>
          <w:szCs w:val="18"/>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Collateral Agreement and any other Loan Document executed by it and acknowledges and agrees that the Collateral Agreement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8"/>
          <w:szCs w:val="18"/>
          <w:color w:val="auto"/>
        </w:rPr>
        <w:t>‑</w:t>
      </w:r>
      <w:r>
        <w:rPr>
          <w:rFonts w:ascii="Arial" w:cs="Arial" w:eastAsia="Arial" w:hAnsi="Arial"/>
          <w:sz w:val="18"/>
          <w:szCs w:val="18"/>
          <w:color w:val="auto"/>
        </w:rPr>
        <w:t>referenced documents shall be a reference to the Credit Agreement as so modified by the Amendment and as the same may from time to time hereafter be amended, modified or restated.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August 3,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IN WITNESS WHEREOF, this Consent and Reaffirmation has been duly executed and delivered as of the day and year above written.</w:t>
      </w:r>
    </w:p>
    <w:p>
      <w:pPr>
        <w:spacing w:after="0" w:line="200" w:lineRule="exact"/>
        <w:rPr>
          <w:sz w:val="20"/>
          <w:szCs w:val="20"/>
          <w:color w:val="auto"/>
        </w:rPr>
      </w:pPr>
    </w:p>
    <w:p>
      <w:pPr>
        <w:spacing w:after="0" w:line="363"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MIRACLE-GRO LAWN PRODUCTS, INC.</w:t>
      </w:r>
    </w:p>
    <w:p>
      <w:pPr>
        <w:spacing w:after="0" w:line="200" w:lineRule="exact"/>
        <w:rPr>
          <w:sz w:val="20"/>
          <w:szCs w:val="20"/>
          <w:color w:val="auto"/>
        </w:rPr>
      </w:pPr>
    </w:p>
    <w:p>
      <w:pPr>
        <w:spacing w:after="0" w:line="286" w:lineRule="exact"/>
        <w:rPr>
          <w:sz w:val="20"/>
          <w:szCs w:val="20"/>
          <w:color w:val="auto"/>
        </w:rPr>
      </w:pPr>
    </w:p>
    <w:tbl>
      <w:tblPr>
        <w:tblLayout w:type="fixed"/>
        <w:tblInd w:w="62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OMS INVESTMENTS, INC.</w:t>
      </w:r>
    </w:p>
    <w:p>
      <w:pPr>
        <w:spacing w:after="0" w:line="200" w:lineRule="exact"/>
        <w:rPr>
          <w:sz w:val="20"/>
          <w:szCs w:val="20"/>
          <w:color w:val="auto"/>
        </w:rPr>
      </w:pPr>
    </w:p>
    <w:p>
      <w:pPr>
        <w:spacing w:after="0" w:line="272" w:lineRule="exact"/>
        <w:rPr>
          <w:sz w:val="20"/>
          <w:szCs w:val="20"/>
          <w:color w:val="auto"/>
        </w:rPr>
      </w:pPr>
    </w:p>
    <w:tbl>
      <w:tblPr>
        <w:tblLayout w:type="fixed"/>
        <w:tblInd w:w="62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GREGORY A. LIENING</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Gregory A. Liening</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President and CEO</w:t>
            </w:r>
          </w:p>
        </w:tc>
      </w:tr>
    </w:tbl>
    <w:p>
      <w:pPr>
        <w:spacing w:after="0" w:line="200" w:lineRule="exact"/>
        <w:rPr>
          <w:sz w:val="20"/>
          <w:szCs w:val="20"/>
          <w:color w:val="auto"/>
        </w:rPr>
      </w:pPr>
    </w:p>
    <w:p>
      <w:pPr>
        <w:spacing w:after="0" w:line="25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SCOTTS PRODUCTS CO.</w:t>
      </w:r>
    </w:p>
    <w:p>
      <w:pPr>
        <w:spacing w:after="0" w:line="200" w:lineRule="exact"/>
        <w:rPr>
          <w:sz w:val="20"/>
          <w:szCs w:val="20"/>
          <w:color w:val="auto"/>
        </w:rPr>
      </w:pPr>
    </w:p>
    <w:p>
      <w:pPr>
        <w:spacing w:after="0" w:line="286" w:lineRule="exact"/>
        <w:rPr>
          <w:sz w:val="20"/>
          <w:szCs w:val="20"/>
          <w:color w:val="auto"/>
        </w:rPr>
      </w:pPr>
    </w:p>
    <w:tbl>
      <w:tblPr>
        <w:tblLayout w:type="fixed"/>
        <w:tblInd w:w="62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SCOTTS PROFESSIONAL PRODUCTS CO.</w:t>
      </w:r>
    </w:p>
    <w:p>
      <w:pPr>
        <w:spacing w:after="0" w:line="200" w:lineRule="exact"/>
        <w:rPr>
          <w:sz w:val="20"/>
          <w:szCs w:val="20"/>
          <w:color w:val="auto"/>
        </w:rPr>
      </w:pPr>
    </w:p>
    <w:p>
      <w:pPr>
        <w:spacing w:after="0" w:line="286" w:lineRule="exact"/>
        <w:rPr>
          <w:sz w:val="20"/>
          <w:szCs w:val="20"/>
          <w:color w:val="auto"/>
        </w:rPr>
      </w:pPr>
    </w:p>
    <w:tbl>
      <w:tblPr>
        <w:tblLayout w:type="fixed"/>
        <w:tblInd w:w="62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SCOTTS-SIERRA INVESTMENTS LLC</w:t>
      </w:r>
    </w:p>
    <w:p>
      <w:pPr>
        <w:spacing w:after="0" w:line="200" w:lineRule="exact"/>
        <w:rPr>
          <w:sz w:val="20"/>
          <w:szCs w:val="20"/>
          <w:color w:val="auto"/>
        </w:rPr>
      </w:pPr>
    </w:p>
    <w:p>
      <w:pPr>
        <w:spacing w:after="0" w:line="286" w:lineRule="exact"/>
        <w:rPr>
          <w:sz w:val="20"/>
          <w:szCs w:val="20"/>
          <w:color w:val="auto"/>
        </w:rPr>
      </w:pPr>
    </w:p>
    <w:tbl>
      <w:tblPr>
        <w:tblLayout w:type="fixed"/>
        <w:tblInd w:w="62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and Reaffirmation to Amendment No. 1 to</w:t>
      </w:r>
    </w:p>
    <w:p>
      <w:pPr>
        <w:jc w:val="center"/>
        <w:spacing w:after="0" w:line="219" w:lineRule="auto"/>
        <w:rPr>
          <w:sz w:val="20"/>
          <w:szCs w:val="20"/>
          <w:color w:val="auto"/>
        </w:rPr>
      </w:pPr>
      <w:r>
        <w:rPr>
          <w:rFonts w:ascii="Arial" w:cs="Arial" w:eastAsia="Arial" w:hAnsi="Arial"/>
          <w:sz w:val="18"/>
          <w:szCs w:val="18"/>
          <w:color w:val="auto"/>
        </w:rPr>
        <w:t>Fifth Amended and Restated Credit Agreement dated as of July 5, 2018</w:t>
      </w:r>
    </w:p>
    <w:p>
      <w:pPr>
        <w:jc w:val="center"/>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11240"/>
          </w:cols>
          <w:pgMar w:left="320" w:top="1419" w:right="339" w:bottom="1440" w:gutter="0" w:footer="0" w:header="0"/>
        </w:sectPr>
      </w:pPr>
    </w:p>
    <w:bookmarkStart w:id="77" w:name="page78"/>
    <w:bookmarkEnd w:id="77"/>
    <w:p>
      <w:pPr>
        <w:spacing w:after="0" w:line="3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SWISS FARMS PRODUCTS, INC.</w:t>
      </w:r>
    </w:p>
    <w:p>
      <w:pPr>
        <w:spacing w:after="0" w:line="200" w:lineRule="exact"/>
        <w:rPr>
          <w:sz w:val="20"/>
          <w:szCs w:val="20"/>
          <w:color w:val="auto"/>
        </w:rPr>
      </w:pPr>
    </w:p>
    <w:p>
      <w:pPr>
        <w:spacing w:after="0" w:line="272"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GREGORY A. LIENING</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Gregory A. Liening</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President and CEO</w:t>
            </w:r>
          </w:p>
        </w:tc>
      </w:tr>
    </w:tbl>
    <w:p>
      <w:pPr>
        <w:spacing w:after="0" w:line="200" w:lineRule="exact"/>
        <w:rPr>
          <w:sz w:val="20"/>
          <w:szCs w:val="20"/>
          <w:color w:val="auto"/>
        </w:rPr>
      </w:pPr>
    </w:p>
    <w:p>
      <w:pPr>
        <w:spacing w:after="0" w:line="37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SANFORD SCIENTIFIC, INC.</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ROD MCLELLAN COMPANY</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SMGM LLC</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GENSOURCE, INC.</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HAWTHORNE HYDROPONICS LLC</w:t>
      </w:r>
    </w:p>
    <w:p>
      <w:pPr>
        <w:spacing w:after="0" w:line="200" w:lineRule="exact"/>
        <w:rPr>
          <w:sz w:val="20"/>
          <w:szCs w:val="20"/>
          <w:color w:val="auto"/>
        </w:rPr>
      </w:pPr>
    </w:p>
    <w:p>
      <w:pPr>
        <w:spacing w:after="0" w:line="272"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ALBERT J. MESSINA</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Albert J. Messina</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Consent and Reaffirmation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type w:val="continuous"/>
        </w:sectPr>
      </w:pPr>
    </w:p>
    <w:bookmarkStart w:id="78" w:name="page79"/>
    <w:bookmarkEnd w:id="78"/>
    <w:p>
      <w:pPr>
        <w:spacing w:after="0" w:line="33"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HGCI, INC.</w:t>
      </w:r>
    </w:p>
    <w:p>
      <w:pPr>
        <w:spacing w:after="0" w:line="200" w:lineRule="exact"/>
        <w:rPr>
          <w:sz w:val="20"/>
          <w:szCs w:val="20"/>
          <w:color w:val="auto"/>
        </w:rPr>
      </w:pPr>
    </w:p>
    <w:p>
      <w:pPr>
        <w:spacing w:after="0" w:line="272"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GREGORY A. LIENING</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Gregory A. Liening</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THE HAWTHORNE GARDENING COMPANY</w:t>
      </w:r>
    </w:p>
    <w:p>
      <w:pPr>
        <w:spacing w:after="0" w:line="200" w:lineRule="exact"/>
        <w:rPr>
          <w:sz w:val="20"/>
          <w:szCs w:val="20"/>
          <w:color w:val="auto"/>
        </w:rPr>
      </w:pPr>
    </w:p>
    <w:p>
      <w:pPr>
        <w:spacing w:after="0" w:line="272"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ALBERT J. MESSINA</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Albert J. Messina</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1868 VENTURES LLC</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SCOTTS LIVE GOODS HOLDINGS, INC.</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AEROGROW INTERNATIONAL, INC.</w:t>
      </w:r>
    </w:p>
    <w:p>
      <w:pPr>
        <w:spacing w:after="0" w:line="200" w:lineRule="exact"/>
        <w:rPr>
          <w:sz w:val="20"/>
          <w:szCs w:val="20"/>
          <w:color w:val="auto"/>
        </w:rPr>
      </w:pPr>
    </w:p>
    <w:p>
      <w:pPr>
        <w:spacing w:after="0" w:line="286"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LEONARD R. ESSEX</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Leonard R. Essex</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THE HAWTHORNE COLLECTIVE, INC.</w:t>
      </w:r>
    </w:p>
    <w:p>
      <w:pPr>
        <w:spacing w:after="0" w:line="200" w:lineRule="exact"/>
        <w:rPr>
          <w:sz w:val="20"/>
          <w:szCs w:val="20"/>
          <w:color w:val="auto"/>
        </w:rPr>
      </w:pPr>
    </w:p>
    <w:p>
      <w:pPr>
        <w:spacing w:after="0" w:line="272"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ALBERT J. MESSINA</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180" w:type="dxa"/>
            <w:vAlign w:val="bottom"/>
          </w:tcPr>
          <w:p>
            <w:pPr>
              <w:ind w:left="20"/>
              <w:spacing w:after="0"/>
              <w:rPr>
                <w:sz w:val="20"/>
                <w:szCs w:val="20"/>
                <w:color w:val="auto"/>
              </w:rPr>
            </w:pPr>
            <w:r>
              <w:rPr>
                <w:rFonts w:ascii="Arial" w:cs="Arial" w:eastAsia="Arial" w:hAnsi="Arial"/>
                <w:sz w:val="20"/>
                <w:szCs w:val="20"/>
                <w:color w:val="auto"/>
              </w:rPr>
              <w:t>Albert J. Messina</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18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920" w:right="3040"/>
        <w:spacing w:after="0" w:line="235" w:lineRule="auto"/>
        <w:rPr>
          <w:sz w:val="20"/>
          <w:szCs w:val="20"/>
          <w:color w:val="auto"/>
        </w:rPr>
      </w:pPr>
      <w:r>
        <w:rPr>
          <w:rFonts w:ascii="Arial" w:cs="Arial" w:eastAsia="Arial" w:hAnsi="Arial"/>
          <w:sz w:val="18"/>
          <w:szCs w:val="18"/>
          <w:color w:val="auto"/>
        </w:rPr>
        <w:t>Signature Page to Consent and Reaffirmation to Amendment No. 1 to Fifth Amended and Restated Credit Agreement dated as of July 5, 2018 The Scotts Miracle-Gro Company</w:t>
      </w:r>
    </w:p>
    <w:p>
      <w:pPr>
        <w:sectPr>
          <w:pgSz w:w="11900" w:h="16838" w:orient="portrait"/>
          <w:cols w:equalWidth="0" w:num="1">
            <w:col w:w="10120"/>
          </w:cols>
          <w:pgMar w:left="1440" w:top="1440" w:right="3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Directly owned subsidiaries, as of July 3, 2021,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8720" w:type="dxa"/>
            <w:vAlign w:val="bottom"/>
            <w:gridSpan w:val="2"/>
            <w:vMerge w:val="continue"/>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22"/>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5"/>
        </w:trPr>
        <w:tc>
          <w:tcPr>
            <w:tcW w:w="8720" w:type="dxa"/>
            <w:vAlign w:val="bottom"/>
            <w:gridSpan w:val="2"/>
          </w:tcPr>
          <w:p>
            <w:pPr>
              <w:ind w:left="160"/>
              <w:spacing w:after="0" w:line="235" w:lineRule="exact"/>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69"/>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183" w:lineRule="auto"/>
        <w:tabs>
          <w:tab w:leader="none" w:pos="1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1"/>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50"/>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71"/>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69"/>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04"/>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183" w:lineRule="auto"/>
        <w:tabs>
          <w:tab w:leader="none" w:pos="10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6" w:lineRule="auto"/>
        <w:tabs>
          <w:tab w:leader="none" w:pos="10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333333"/>
        </w:rPr>
        <w:t>The following subsidiaries of The Scotts Miracle-Gro Company (the "Company") were, as of July 3, 2021, guarantors of the Company's 5.250% Senior Notes due 2026, 4.500% Senior Notes due 2029 and 4.000% Senior Notes due 2031: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22"/>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60" w:type="dxa"/>
            <w:vAlign w:val="bottom"/>
          </w:tcPr>
          <w:p>
            <w:pPr>
              <w:spacing w:after="0"/>
              <w:rPr>
                <w:sz w:val="19"/>
                <w:szCs w:val="19"/>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AeroGrow International,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Collective,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3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3, 2021;</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August 11, 2021</w:t>
            </w:r>
          </w:p>
        </w:tc>
        <w:tc>
          <w:tcPr>
            <w:tcW w:w="6860" w:type="dxa"/>
            <w:vAlign w:val="bottom"/>
            <w:gridSpan w:val="2"/>
          </w:tcPr>
          <w:p>
            <w:pPr>
              <w:ind w:left="1600"/>
              <w:spacing w:after="0"/>
              <w:rPr>
                <w:sz w:val="20"/>
                <w:szCs w:val="20"/>
                <w:color w:val="auto"/>
              </w:rPr>
            </w:pPr>
            <w:r>
              <w:rPr>
                <w:rFonts w:ascii="Arial" w:cs="Arial" w:eastAsia="Arial" w:hAnsi="Arial"/>
                <w:sz w:val="18"/>
                <w:szCs w:val="18"/>
                <w:color w:val="auto"/>
              </w:rPr>
              <w:t>By:    /s/ JAMES HAGEDORN</w:t>
            </w:r>
          </w:p>
        </w:tc>
      </w:tr>
      <w:tr>
        <w:trPr>
          <w:trHeight w:val="222"/>
        </w:trPr>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Printed Name: James Hagedorn</w:t>
            </w:r>
          </w:p>
        </w:tc>
      </w:tr>
      <w:tr>
        <w:trPr>
          <w:trHeight w:val="230"/>
        </w:trPr>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Title: Chief Executive Officer and Chairman of the Board</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5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3, 2021;</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11, 2021</w:t>
            </w:r>
          </w:p>
        </w:tc>
        <w:tc>
          <w:tcPr>
            <w:tcW w:w="2080" w:type="dxa"/>
            <w:vAlign w:val="bottom"/>
          </w:tcPr>
          <w:p>
            <w:pPr>
              <w:ind w:left="16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CORY J. MILLER</w:t>
            </w:r>
          </w:p>
        </w:tc>
      </w:tr>
      <w:tr>
        <w:trPr>
          <w:trHeight w:val="222"/>
        </w:trPr>
        <w:tc>
          <w:tcPr>
            <w:tcW w:w="3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w w:val="99"/>
              </w:rPr>
              <w:t>Title: Senior Vice President and Interim Chief Financial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left="100"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July 3, 2021 as filed with the Securities and Exchange Commission on the date hereof (the “Report”), the undersigned James Hagedorn, Chief Executive Officer and Chairman of the Board of the Company, and Cory J. Miller, Senior Vice President and Interim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440" w:hanging="3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760" w:right="280" w:hanging="652"/>
        <w:spacing w:after="0" w:line="273" w:lineRule="auto"/>
        <w:tabs>
          <w:tab w:leader="none" w:pos="4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/s/ CORY J. MILLER</w:t>
            </w:r>
          </w:p>
        </w:tc>
      </w:tr>
      <w:tr>
        <w:trPr>
          <w:trHeight w:val="20"/>
        </w:trPr>
        <w:tc>
          <w:tcPr>
            <w:tcW w:w="10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nted Name: 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le: Chief Executive Officer and Chairman of the Board</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Title: Senior Vice President and Interim Chief Financial Officer</w:t>
            </w: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rPr>
              <w:t>gust 11, 2021</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August 11, 2021</w:t>
            </w:r>
          </w:p>
        </w:tc>
      </w:tr>
    </w:tbl>
    <w:p>
      <w:pPr>
        <w:spacing w:after="0" w:line="283" w:lineRule="exact"/>
        <w:rPr>
          <w:sz w:val="20"/>
          <w:szCs w:val="20"/>
          <w:color w:val="auto"/>
        </w:rPr>
      </w:pPr>
    </w:p>
    <w:p>
      <w:pPr>
        <w:ind w:left="780" w:right="40" w:hanging="654"/>
        <w:spacing w:after="0" w:line="226"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340"/>
      </w:cols>
      <w:pgMar w:left="2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3"/>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3"/>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4"/>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Roman"/>
      <w:start w:val="1"/>
    </w:lvl>
    <w:lvl w:ilvl="1">
      <w:lvlJc w:val="left"/>
      <w:lvlText w:val="%2."/>
      <w:numFmt w:val="decimal"/>
      <w:start w:val="2"/>
    </w:lvl>
  </w:abstractNum>
  <w:abstractNum w:abstractNumId="26">
    <w:nsid w:val="3006C83E"/>
    <w:multiLevelType w:val="hybridMultilevel"/>
    <w:lvl w:ilvl="0">
      <w:lvlJc w:val="left"/>
      <w:lvlText w:val="(%1)"/>
      <w:numFmt w:val="lowerRoman"/>
      <w:start w:val="3"/>
    </w:lvl>
    <w:lvl w:ilvl="1">
      <w:lvlJc w:val="left"/>
      <w:lvlText w:val="%2."/>
      <w:numFmt w:val="decimal"/>
      <w:start w:val="3"/>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decimal"/>
      <w:start w:val="4"/>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decimal"/>
      <w:start w:val="6"/>
    </w:lvl>
  </w:abstractNum>
  <w:abstractNum w:abstractNumId="32">
    <w:nsid w:val="3804823E"/>
    <w:multiLevelType w:val="hybridMultilevel"/>
    <w:lvl w:ilvl="0">
      <w:lvlJc w:val="left"/>
      <w:lvlText w:val="1"/>
      <w:numFmt w:val="bullet"/>
      <w:start w:val="1"/>
    </w:lvl>
  </w:abstractNum>
  <w:abstractNum w:abstractNumId="33">
    <w:nsid w:val="77465F01"/>
    <w:multiLevelType w:val="hybridMultilevel"/>
    <w:lvl w:ilvl="0">
      <w:lvlJc w:val="left"/>
      <w:lvlText w:val="2"/>
      <w:numFmt w:val="bullet"/>
      <w:start w:val="1"/>
    </w:lvl>
  </w:abstractNum>
  <w:abstractNum w:abstractNumId="34">
    <w:nsid w:val="7724C67E"/>
    <w:multiLevelType w:val="hybridMultilevel"/>
    <w:lvl w:ilvl="0">
      <w:lvlJc w:val="left"/>
      <w:lvlText w:val="3"/>
      <w:numFmt w:val="bullet"/>
      <w:start w:val="1"/>
    </w:lvl>
  </w:abstractNum>
  <w:abstractNum w:abstractNumId="35">
    <w:nsid w:val="5C482A97"/>
    <w:multiLevelType w:val="hybridMultilevel"/>
    <w:lvl w:ilvl="0">
      <w:lvlJc w:val="left"/>
      <w:lvlText w:val="4"/>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2021-08-11T16:13:56Z</dcterms:created>
  <dcterms:modified xsi:type="dcterms:W3CDTF">2021-08-11T16:13:56Z</dcterms:modified>
</cp:coreProperties>
</file>