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680"/>
        <w:spacing w:after="0"/>
        <w:rPr>
          <w:sz w:val="20"/>
          <w:szCs w:val="20"/>
          <w:color w:val="auto"/>
        </w:rPr>
      </w:pPr>
      <w:r>
        <w:rPr>
          <w:rFonts w:ascii="Times New Roman" w:cs="Times New Roman" w:eastAsia="Times New Roman" w:hAnsi="Times New Roman"/>
          <w:sz w:val="17"/>
          <w:szCs w:val="17"/>
          <w:color w:val="auto"/>
        </w:rPr>
        <w:t>As filed with the Securities and Exchange Commission on February 13, 2026</w:t>
      </w:r>
    </w:p>
    <w:p>
      <w:pPr>
        <w:spacing w:after="0" w:line="39" w:lineRule="exact"/>
        <w:rPr>
          <w:sz w:val="24"/>
          <w:szCs w:val="24"/>
          <w:color w:val="auto"/>
        </w:rPr>
      </w:pPr>
    </w:p>
    <w:p>
      <w:pPr>
        <w:ind w:left="8680"/>
        <w:spacing w:after="0"/>
        <w:rPr>
          <w:sz w:val="20"/>
          <w:szCs w:val="20"/>
          <w:color w:val="auto"/>
        </w:rPr>
      </w:pPr>
      <w:r>
        <w:rPr>
          <w:rFonts w:ascii="Times New Roman" w:cs="Times New Roman" w:eastAsia="Times New Roman" w:hAnsi="Times New Roman"/>
          <w:sz w:val="18"/>
          <w:szCs w:val="18"/>
          <w:color w:val="auto"/>
        </w:rPr>
        <w:t>Registration No. 333 -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14"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THE SCOTTS MIRACLE-GRO COMPANY</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18" w:lineRule="exact"/>
        <w:rPr>
          <w:sz w:val="24"/>
          <w:szCs w:val="24"/>
          <w:color w:val="auto"/>
        </w:rPr>
      </w:pPr>
    </w:p>
    <w:tbl>
      <w:tblPr>
        <w:tblLayout w:type="fixed"/>
        <w:tblInd w:w="420" w:type="dxa"/>
        <w:tblCellMar>
          <w:top w:w="0" w:type="dxa"/>
          <w:left w:w="0" w:type="dxa"/>
          <w:bottom w:w="0" w:type="dxa"/>
          <w:right w:w="0" w:type="dxa"/>
        </w:tblCellMar>
      </w:tblPr>
      <w:tr>
        <w:trPr>
          <w:trHeight w:val="207"/>
        </w:trPr>
        <w:tc>
          <w:tcPr>
            <w:tcW w:w="6120" w:type="dxa"/>
            <w:vAlign w:val="bottom"/>
          </w:tcPr>
          <w:p>
            <w:pPr>
              <w:jc w:val="center"/>
              <w:ind w:right="893"/>
              <w:spacing w:after="0"/>
              <w:rPr>
                <w:sz w:val="20"/>
                <w:szCs w:val="20"/>
                <w:color w:val="auto"/>
              </w:rPr>
            </w:pPr>
            <w:r>
              <w:rPr>
                <w:rFonts w:ascii="Times New Roman" w:cs="Times New Roman" w:eastAsia="Times New Roman" w:hAnsi="Times New Roman"/>
                <w:sz w:val="18"/>
                <w:szCs w:val="18"/>
                <w:b w:val="1"/>
                <w:bCs w:val="1"/>
                <w:color w:val="auto"/>
                <w:w w:val="99"/>
              </w:rPr>
              <w:t>Ohio</w:t>
            </w:r>
          </w:p>
        </w:tc>
        <w:tc>
          <w:tcPr>
            <w:tcW w:w="2920" w:type="dxa"/>
            <w:vAlign w:val="bottom"/>
          </w:tcPr>
          <w:p>
            <w:pPr>
              <w:jc w:val="right"/>
              <w:ind w:right="1312"/>
              <w:spacing w:after="0"/>
              <w:rPr>
                <w:sz w:val="20"/>
                <w:szCs w:val="20"/>
                <w:color w:val="auto"/>
              </w:rPr>
            </w:pPr>
            <w:r>
              <w:rPr>
                <w:rFonts w:ascii="Times New Roman" w:cs="Times New Roman" w:eastAsia="Times New Roman" w:hAnsi="Times New Roman"/>
                <w:sz w:val="18"/>
                <w:szCs w:val="18"/>
                <w:b w:val="1"/>
                <w:bCs w:val="1"/>
                <w:color w:val="auto"/>
              </w:rPr>
              <w:t>31-1414921</w:t>
            </w:r>
          </w:p>
        </w:tc>
      </w:tr>
      <w:tr>
        <w:trPr>
          <w:trHeight w:val="139"/>
        </w:trPr>
        <w:tc>
          <w:tcPr>
            <w:tcW w:w="6120" w:type="dxa"/>
            <w:vAlign w:val="bottom"/>
          </w:tcPr>
          <w:p>
            <w:pPr>
              <w:jc w:val="center"/>
              <w:ind w:right="893"/>
              <w:spacing w:after="0" w:line="13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920" w:type="dxa"/>
            <w:vAlign w:val="bottom"/>
          </w:tcPr>
          <w:p>
            <w:pPr>
              <w:jc w:val="center"/>
              <w:ind w:right="592"/>
              <w:spacing w:after="0" w:line="13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6120" w:type="dxa"/>
            <w:vAlign w:val="bottom"/>
          </w:tcPr>
          <w:p>
            <w:pPr>
              <w:jc w:val="center"/>
              <w:ind w:right="853"/>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920" w:type="dxa"/>
            <w:vAlign w:val="bottom"/>
          </w:tcPr>
          <w:p>
            <w:pPr>
              <w:spacing w:after="0"/>
              <w:rPr>
                <w:sz w:val="16"/>
                <w:szCs w:val="16"/>
                <w:color w:val="auto"/>
              </w:rPr>
            </w:pPr>
          </w:p>
        </w:tc>
      </w:tr>
      <w:tr>
        <w:trPr>
          <w:trHeight w:val="298"/>
        </w:trPr>
        <w:tc>
          <w:tcPr>
            <w:tcW w:w="6120" w:type="dxa"/>
            <w:vAlign w:val="bottom"/>
          </w:tcPr>
          <w:p>
            <w:pPr>
              <w:jc w:val="center"/>
              <w:ind w:left="4193"/>
              <w:spacing w:after="0"/>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2920" w:type="dxa"/>
            <w:vAlign w:val="bottom"/>
          </w:tcPr>
          <w:p>
            <w:pPr>
              <w:spacing w:after="0"/>
              <w:rPr>
                <w:sz w:val="24"/>
                <w:szCs w:val="24"/>
                <w:color w:val="auto"/>
              </w:rPr>
            </w:pPr>
          </w:p>
        </w:tc>
      </w:tr>
      <w:tr>
        <w:trPr>
          <w:trHeight w:val="224"/>
        </w:trPr>
        <w:tc>
          <w:tcPr>
            <w:tcW w:w="6120" w:type="dxa"/>
            <w:vAlign w:val="bottom"/>
          </w:tcPr>
          <w:p>
            <w:pPr>
              <w:jc w:val="center"/>
              <w:ind w:left="4213"/>
              <w:spacing w:after="0"/>
              <w:rPr>
                <w:sz w:val="20"/>
                <w:szCs w:val="20"/>
                <w:color w:val="auto"/>
              </w:rPr>
            </w:pPr>
            <w:r>
              <w:rPr>
                <w:rFonts w:ascii="Times New Roman" w:cs="Times New Roman" w:eastAsia="Times New Roman" w:hAnsi="Times New Roman"/>
                <w:sz w:val="18"/>
                <w:szCs w:val="18"/>
                <w:b w:val="1"/>
                <w:bCs w:val="1"/>
                <w:color w:val="auto"/>
                <w:w w:val="99"/>
              </w:rPr>
              <w:t>Marysville, Ohio 43041</w:t>
            </w:r>
          </w:p>
        </w:tc>
        <w:tc>
          <w:tcPr>
            <w:tcW w:w="2920" w:type="dxa"/>
            <w:vAlign w:val="bottom"/>
          </w:tcPr>
          <w:p>
            <w:pPr>
              <w:spacing w:after="0"/>
              <w:rPr>
                <w:sz w:val="19"/>
                <w:szCs w:val="19"/>
                <w:color w:val="auto"/>
              </w:rPr>
            </w:pPr>
          </w:p>
        </w:tc>
      </w:tr>
      <w:tr>
        <w:trPr>
          <w:trHeight w:val="198"/>
        </w:trPr>
        <w:tc>
          <w:tcPr>
            <w:tcW w:w="9040" w:type="dxa"/>
            <w:vAlign w:val="bottom"/>
            <w:gridSpan w:val="2"/>
          </w:tcPr>
          <w:p>
            <w:pPr>
              <w:jc w:val="center"/>
              <w:ind w:left="1273"/>
              <w:spacing w:after="0"/>
              <w:rPr>
                <w:sz w:val="20"/>
                <w:szCs w:val="20"/>
                <w:color w:val="auto"/>
              </w:rPr>
            </w:pPr>
            <w:r>
              <w:rPr>
                <w:rFonts w:ascii="Times New Roman" w:cs="Times New Roman" w:eastAsia="Times New Roman" w:hAnsi="Times New Roman"/>
                <w:sz w:val="16"/>
                <w:szCs w:val="16"/>
                <w:color w:val="auto"/>
              </w:rPr>
              <w:t>(Address of Principal Executive Offices)</w:t>
            </w:r>
          </w:p>
        </w:tc>
      </w:tr>
      <w:tr>
        <w:trPr>
          <w:trHeight w:val="216"/>
        </w:trPr>
        <w:tc>
          <w:tcPr>
            <w:tcW w:w="9040" w:type="dxa"/>
            <w:vAlign w:val="bottom"/>
            <w:gridSpan w:val="2"/>
          </w:tcPr>
          <w:p>
            <w:pPr>
              <w:jc w:val="center"/>
              <w:ind w:left="1273"/>
              <w:spacing w:after="0"/>
              <w:rPr>
                <w:sz w:val="20"/>
                <w:szCs w:val="20"/>
                <w:color w:val="auto"/>
              </w:rPr>
            </w:pPr>
            <w:r>
              <w:rPr>
                <w:rFonts w:ascii="Times New Roman" w:cs="Times New Roman" w:eastAsia="Times New Roman" w:hAnsi="Times New Roman"/>
                <w:sz w:val="18"/>
                <w:szCs w:val="18"/>
                <w:color w:val="auto"/>
                <w:w w:val="99"/>
              </w:rPr>
              <w:t>____________________________________________</w:t>
            </w:r>
          </w:p>
        </w:tc>
      </w:tr>
      <w:tr>
        <w:trPr>
          <w:trHeight w:val="261"/>
        </w:trPr>
        <w:tc>
          <w:tcPr>
            <w:tcW w:w="9040" w:type="dxa"/>
            <w:vAlign w:val="bottom"/>
            <w:gridSpan w:val="2"/>
          </w:tcPr>
          <w:p>
            <w:pPr>
              <w:jc w:val="center"/>
              <w:ind w:left="1273"/>
              <w:spacing w:after="0"/>
              <w:rPr>
                <w:sz w:val="20"/>
                <w:szCs w:val="20"/>
                <w:color w:val="auto"/>
              </w:rPr>
            </w:pPr>
            <w:r>
              <w:rPr>
                <w:rFonts w:ascii="Times New Roman" w:cs="Times New Roman" w:eastAsia="Times New Roman" w:hAnsi="Times New Roman"/>
                <w:sz w:val="22"/>
                <w:szCs w:val="22"/>
                <w:b w:val="1"/>
                <w:bCs w:val="1"/>
                <w:color w:val="auto"/>
                <w:w w:val="97"/>
              </w:rPr>
              <w:t>THE SCOTTS MIRACLE-GRO COMPANY LONG-TERM INCENTIVE PLAN</w:t>
            </w:r>
          </w:p>
        </w:tc>
      </w:tr>
      <w:tr>
        <w:trPr>
          <w:trHeight w:val="185"/>
        </w:trPr>
        <w:tc>
          <w:tcPr>
            <w:tcW w:w="6120" w:type="dxa"/>
            <w:vAlign w:val="bottom"/>
          </w:tcPr>
          <w:p>
            <w:pPr>
              <w:jc w:val="center"/>
              <w:ind w:left="4193"/>
              <w:spacing w:after="0"/>
              <w:rPr>
                <w:sz w:val="20"/>
                <w:szCs w:val="20"/>
                <w:color w:val="auto"/>
              </w:rPr>
            </w:pPr>
            <w:r>
              <w:rPr>
                <w:rFonts w:ascii="Times New Roman" w:cs="Times New Roman" w:eastAsia="Times New Roman" w:hAnsi="Times New Roman"/>
                <w:sz w:val="16"/>
                <w:szCs w:val="16"/>
                <w:color w:val="auto"/>
              </w:rPr>
              <w:t>(Full title of the plan)</w:t>
            </w:r>
          </w:p>
        </w:tc>
        <w:tc>
          <w:tcPr>
            <w:tcW w:w="2920" w:type="dxa"/>
            <w:vAlign w:val="bottom"/>
          </w:tcPr>
          <w:p>
            <w:pPr>
              <w:spacing w:after="0"/>
              <w:rPr>
                <w:sz w:val="16"/>
                <w:szCs w:val="16"/>
                <w:color w:val="auto"/>
              </w:rPr>
            </w:pPr>
          </w:p>
        </w:tc>
      </w:tr>
      <w:tr>
        <w:trPr>
          <w:trHeight w:val="234"/>
        </w:trPr>
        <w:tc>
          <w:tcPr>
            <w:tcW w:w="9040" w:type="dxa"/>
            <w:vAlign w:val="bottom"/>
            <w:gridSpan w:val="2"/>
          </w:tcPr>
          <w:p>
            <w:pPr>
              <w:jc w:val="center"/>
              <w:ind w:left="1273"/>
              <w:spacing w:after="0"/>
              <w:rPr>
                <w:sz w:val="20"/>
                <w:szCs w:val="20"/>
                <w:color w:val="auto"/>
              </w:rPr>
            </w:pPr>
            <w:r>
              <w:rPr>
                <w:rFonts w:ascii="Times New Roman" w:cs="Times New Roman" w:eastAsia="Times New Roman" w:hAnsi="Times New Roman"/>
                <w:sz w:val="18"/>
                <w:szCs w:val="18"/>
                <w:color w:val="auto"/>
                <w:w w:val="99"/>
              </w:rPr>
              <w:t>____________________________________________</w:t>
            </w:r>
          </w:p>
        </w:tc>
      </w:tr>
      <w:tr>
        <w:trPr>
          <w:trHeight w:val="297"/>
        </w:trPr>
        <w:tc>
          <w:tcPr>
            <w:tcW w:w="6120" w:type="dxa"/>
            <w:vAlign w:val="bottom"/>
          </w:tcPr>
          <w:p>
            <w:pPr>
              <w:jc w:val="center"/>
              <w:ind w:right="1533"/>
              <w:spacing w:after="0"/>
              <w:rPr>
                <w:sz w:val="20"/>
                <w:szCs w:val="20"/>
                <w:color w:val="auto"/>
              </w:rPr>
            </w:pPr>
            <w:r>
              <w:rPr>
                <w:rFonts w:ascii="Times New Roman" w:cs="Times New Roman" w:eastAsia="Times New Roman" w:hAnsi="Times New Roman"/>
                <w:sz w:val="18"/>
                <w:szCs w:val="18"/>
                <w:b w:val="1"/>
                <w:bCs w:val="1"/>
                <w:color w:val="auto"/>
                <w:w w:val="98"/>
              </w:rPr>
              <w:t>Dimiter Todorov, Esq.</w:t>
            </w:r>
          </w:p>
        </w:tc>
        <w:tc>
          <w:tcPr>
            <w:tcW w:w="2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Copy to:</w:t>
            </w:r>
          </w:p>
        </w:tc>
      </w:tr>
      <w:tr>
        <w:trPr>
          <w:trHeight w:val="180"/>
        </w:trPr>
        <w:tc>
          <w:tcPr>
            <w:tcW w:w="6120" w:type="dxa"/>
            <w:vAlign w:val="bottom"/>
          </w:tcPr>
          <w:p>
            <w:pPr>
              <w:jc w:val="center"/>
              <w:ind w:right="1513"/>
              <w:spacing w:after="0" w:line="180" w:lineRule="exact"/>
              <w:rPr>
                <w:sz w:val="20"/>
                <w:szCs w:val="20"/>
                <w:color w:val="auto"/>
              </w:rPr>
            </w:pPr>
            <w:r>
              <w:rPr>
                <w:rFonts w:ascii="Times New Roman" w:cs="Times New Roman" w:eastAsia="Times New Roman" w:hAnsi="Times New Roman"/>
                <w:sz w:val="18"/>
                <w:szCs w:val="18"/>
                <w:b w:val="1"/>
                <w:bCs w:val="1"/>
                <w:color w:val="auto"/>
                <w:w w:val="99"/>
              </w:rPr>
              <w:t>Executive Vice President, Chief Legal Officer &amp; Corporate</w:t>
            </w:r>
          </w:p>
        </w:tc>
        <w:tc>
          <w:tcPr>
            <w:tcW w:w="29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Adam L. Miller, Esq.</w:t>
            </w:r>
          </w:p>
        </w:tc>
      </w:tr>
      <w:tr>
        <w:trPr>
          <w:trHeight w:val="184"/>
        </w:trPr>
        <w:tc>
          <w:tcPr>
            <w:tcW w:w="6120" w:type="dxa"/>
            <w:vAlign w:val="bottom"/>
          </w:tcPr>
          <w:p>
            <w:pPr>
              <w:jc w:val="center"/>
              <w:ind w:right="1533"/>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Secretary</w:t>
            </w:r>
          </w:p>
        </w:tc>
        <w:tc>
          <w:tcPr>
            <w:tcW w:w="2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Vorys, Sater, Seymour and Pease LLP</w:t>
            </w:r>
          </w:p>
        </w:tc>
      </w:tr>
      <w:tr>
        <w:trPr>
          <w:trHeight w:val="175"/>
        </w:trPr>
        <w:tc>
          <w:tcPr>
            <w:tcW w:w="6120" w:type="dxa"/>
            <w:vAlign w:val="bottom"/>
          </w:tcPr>
          <w:p>
            <w:pPr>
              <w:jc w:val="center"/>
              <w:ind w:right="1533"/>
              <w:spacing w:after="0" w:line="176" w:lineRule="exact"/>
              <w:rPr>
                <w:sz w:val="20"/>
                <w:szCs w:val="20"/>
                <w:color w:val="auto"/>
              </w:rPr>
            </w:pPr>
            <w:r>
              <w:rPr>
                <w:rFonts w:ascii="Times New Roman" w:cs="Times New Roman" w:eastAsia="Times New Roman" w:hAnsi="Times New Roman"/>
                <w:sz w:val="18"/>
                <w:szCs w:val="18"/>
                <w:b w:val="1"/>
                <w:bCs w:val="1"/>
                <w:color w:val="auto"/>
              </w:rPr>
              <w:t>The Scotts Miracle-Gro Company</w:t>
            </w:r>
          </w:p>
        </w:tc>
        <w:tc>
          <w:tcPr>
            <w:tcW w:w="29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52 E Gay St.</w:t>
            </w:r>
          </w:p>
        </w:tc>
      </w:tr>
      <w:tr>
        <w:trPr>
          <w:trHeight w:val="180"/>
        </w:trPr>
        <w:tc>
          <w:tcPr>
            <w:tcW w:w="6120" w:type="dxa"/>
            <w:vAlign w:val="bottom"/>
          </w:tcPr>
          <w:p>
            <w:pPr>
              <w:jc w:val="center"/>
              <w:ind w:right="1513"/>
              <w:spacing w:after="0" w:line="180" w:lineRule="exact"/>
              <w:rPr>
                <w:sz w:val="20"/>
                <w:szCs w:val="20"/>
                <w:color w:val="auto"/>
              </w:rPr>
            </w:pPr>
            <w:r>
              <w:rPr>
                <w:rFonts w:ascii="Times New Roman" w:cs="Times New Roman" w:eastAsia="Times New Roman" w:hAnsi="Times New Roman"/>
                <w:sz w:val="18"/>
                <w:szCs w:val="18"/>
                <w:b w:val="1"/>
                <w:bCs w:val="1"/>
                <w:color w:val="auto"/>
                <w:w w:val="98"/>
              </w:rPr>
              <w:t>14111 Scottslawn Road</w:t>
            </w:r>
          </w:p>
        </w:tc>
        <w:tc>
          <w:tcPr>
            <w:tcW w:w="292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Columbus, Ohio 43215</w:t>
            </w:r>
          </w:p>
        </w:tc>
      </w:tr>
      <w:tr>
        <w:trPr>
          <w:trHeight w:val="184"/>
        </w:trPr>
        <w:tc>
          <w:tcPr>
            <w:tcW w:w="6120" w:type="dxa"/>
            <w:vAlign w:val="bottom"/>
          </w:tcPr>
          <w:p>
            <w:pPr>
              <w:jc w:val="center"/>
              <w:ind w:right="1533"/>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Marysville, Ohio 43041</w:t>
            </w:r>
          </w:p>
        </w:tc>
        <w:tc>
          <w:tcPr>
            <w:tcW w:w="29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(614) 464-6400</w:t>
            </w:r>
          </w:p>
        </w:tc>
      </w:tr>
      <w:tr>
        <w:trPr>
          <w:trHeight w:val="238"/>
        </w:trPr>
        <w:tc>
          <w:tcPr>
            <w:tcW w:w="6120" w:type="dxa"/>
            <w:vAlign w:val="bottom"/>
          </w:tcPr>
          <w:p>
            <w:pPr>
              <w:jc w:val="center"/>
              <w:ind w:right="1513"/>
              <w:spacing w:after="0"/>
              <w:rPr>
                <w:sz w:val="20"/>
                <w:szCs w:val="20"/>
                <w:color w:val="auto"/>
              </w:rPr>
            </w:pPr>
            <w:r>
              <w:rPr>
                <w:rFonts w:ascii="Times New Roman" w:cs="Times New Roman" w:eastAsia="Times New Roman" w:hAnsi="Times New Roman"/>
                <w:sz w:val="18"/>
                <w:szCs w:val="18"/>
                <w:b w:val="1"/>
                <w:bCs w:val="1"/>
                <w:color w:val="auto"/>
                <w:w w:val="99"/>
              </w:rPr>
              <w:t>(937) 644-0011</w:t>
            </w:r>
          </w:p>
        </w:tc>
        <w:tc>
          <w:tcPr>
            <w:tcW w:w="2920" w:type="dxa"/>
            <w:vAlign w:val="bottom"/>
          </w:tcPr>
          <w:p>
            <w:pPr>
              <w:spacing w:after="0"/>
              <w:rPr>
                <w:sz w:val="20"/>
                <w:szCs w:val="20"/>
                <w:color w:val="auto"/>
              </w:rPr>
            </w:pPr>
          </w:p>
        </w:tc>
      </w:tr>
      <w:tr>
        <w:trPr>
          <w:trHeight w:val="261"/>
        </w:trPr>
        <w:tc>
          <w:tcPr>
            <w:tcW w:w="9040" w:type="dxa"/>
            <w:vAlign w:val="bottom"/>
            <w:gridSpan w:val="2"/>
          </w:tcPr>
          <w:p>
            <w:pPr>
              <w:jc w:val="center"/>
              <w:ind w:left="1273"/>
              <w:spacing w:after="0"/>
              <w:rPr>
                <w:sz w:val="20"/>
                <w:szCs w:val="20"/>
                <w:color w:val="auto"/>
              </w:rPr>
            </w:pPr>
            <w:r>
              <w:rPr>
                <w:rFonts w:ascii="Times New Roman" w:cs="Times New Roman" w:eastAsia="Times New Roman" w:hAnsi="Times New Roman"/>
                <w:sz w:val="16"/>
                <w:szCs w:val="16"/>
                <w:color w:val="auto"/>
              </w:rPr>
              <w:t>(Name, address, including zip code, and telephone number,</w:t>
            </w:r>
          </w:p>
        </w:tc>
      </w:tr>
      <w:tr>
        <w:trPr>
          <w:trHeight w:val="189"/>
        </w:trPr>
        <w:tc>
          <w:tcPr>
            <w:tcW w:w="9040" w:type="dxa"/>
            <w:vAlign w:val="bottom"/>
            <w:gridSpan w:val="2"/>
          </w:tcPr>
          <w:p>
            <w:pPr>
              <w:jc w:val="center"/>
              <w:ind w:left="1293"/>
              <w:spacing w:after="0"/>
              <w:rPr>
                <w:sz w:val="20"/>
                <w:szCs w:val="20"/>
                <w:color w:val="auto"/>
              </w:rPr>
            </w:pPr>
            <w:r>
              <w:rPr>
                <w:rFonts w:ascii="Times New Roman" w:cs="Times New Roman" w:eastAsia="Times New Roman" w:hAnsi="Times New Roman"/>
                <w:sz w:val="16"/>
                <w:szCs w:val="16"/>
                <w:color w:val="auto"/>
              </w:rPr>
              <w:t>including area code, of agent for service)</w:t>
            </w:r>
          </w:p>
        </w:tc>
      </w:tr>
      <w:tr>
        <w:trPr>
          <w:trHeight w:val="210"/>
        </w:trPr>
        <w:tc>
          <w:tcPr>
            <w:tcW w:w="9040" w:type="dxa"/>
            <w:vAlign w:val="bottom"/>
            <w:gridSpan w:val="2"/>
          </w:tcPr>
          <w:p>
            <w:pPr>
              <w:jc w:val="center"/>
              <w:ind w:left="1273"/>
              <w:spacing w:after="0"/>
              <w:rPr>
                <w:sz w:val="20"/>
                <w:szCs w:val="20"/>
                <w:color w:val="auto"/>
              </w:rPr>
            </w:pPr>
            <w:r>
              <w:rPr>
                <w:rFonts w:ascii="Times New Roman" w:cs="Times New Roman" w:eastAsia="Times New Roman" w:hAnsi="Times New Roman"/>
                <w:sz w:val="16"/>
                <w:szCs w:val="16"/>
                <w:color w:val="auto"/>
              </w:rPr>
              <w:t>__________________________________</w:t>
            </w:r>
          </w:p>
        </w:tc>
      </w:tr>
    </w:tbl>
    <w:p>
      <w:pPr>
        <w:ind w:right="340"/>
        <w:spacing w:after="0" w:line="25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180"/>
        <w:spacing w:after="0"/>
        <w:tabs>
          <w:tab w:leader="none" w:pos="1960" w:val="left"/>
          <w:tab w:leader="none" w:pos="2660" w:val="left"/>
          <w:tab w:leader="none" w:pos="440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Arial" w:cs="Arial" w:eastAsia="Arial" w:hAnsi="Arial"/>
          <w:sz w:val="13"/>
          <w:szCs w:val="13"/>
          <w:b w:val="1"/>
          <w:bCs w:val="1"/>
          <w:color w:val="auto"/>
        </w:rPr>
        <w:t>S</w:t>
      </w:r>
      <w:r>
        <w:rPr>
          <w:sz w:val="20"/>
          <w:szCs w:val="20"/>
          <w:color w:val="auto"/>
        </w:rPr>
        <w:tab/>
      </w:r>
      <w:r>
        <w:rPr>
          <w:rFonts w:ascii="Times New Roman" w:cs="Times New Roman" w:eastAsia="Times New Roman" w:hAnsi="Times New Roman"/>
          <w:sz w:val="18"/>
          <w:szCs w:val="18"/>
          <w:color w:val="auto"/>
        </w:rPr>
        <w:t>Accelerated filer</w:t>
      </w:r>
      <w:r>
        <w:rPr>
          <w:sz w:val="20"/>
          <w:szCs w:val="20"/>
          <w:color w:val="auto"/>
        </w:rPr>
        <w:tab/>
      </w:r>
      <w:r>
        <w:rPr>
          <w:rFonts w:ascii="Arial" w:cs="Arial" w:eastAsia="Arial" w:hAnsi="Arial"/>
          <w:sz w:val="13"/>
          <w:szCs w:val="13"/>
          <w:b w:val="1"/>
          <w:bCs w:val="1"/>
          <w:color w:val="auto"/>
        </w:rPr>
        <w:t>£</w:t>
      </w:r>
    </w:p>
    <w:p>
      <w:pPr>
        <w:spacing w:after="0" w:line="9" w:lineRule="exact"/>
        <w:rPr>
          <w:sz w:val="24"/>
          <w:szCs w:val="24"/>
          <w:color w:val="auto"/>
        </w:rPr>
      </w:pPr>
    </w:p>
    <w:p>
      <w:pPr>
        <w:ind w:left="180"/>
        <w:spacing w:after="0"/>
        <w:tabs>
          <w:tab w:leader="none" w:pos="1880" w:val="left"/>
          <w:tab w:leader="none" w:pos="2580" w:val="left"/>
          <w:tab w:leader="none" w:pos="4720" w:val="left"/>
        </w:tabs>
        <w:rPr>
          <w:sz w:val="20"/>
          <w:szCs w:val="20"/>
          <w:color w:val="auto"/>
        </w:rPr>
      </w:pPr>
      <w:r>
        <w:rPr>
          <w:rFonts w:ascii="Times New Roman" w:cs="Times New Roman" w:eastAsia="Times New Roman" w:hAnsi="Times New Roman"/>
          <w:sz w:val="18"/>
          <w:szCs w:val="18"/>
          <w:color w:val="auto"/>
        </w:rPr>
        <w:t>Non-accelerated filer</w:t>
      </w:r>
      <w:r>
        <w:rPr>
          <w:sz w:val="20"/>
          <w:szCs w:val="20"/>
          <w:color w:val="auto"/>
        </w:rPr>
        <w:tab/>
      </w:r>
      <w:r>
        <w:rPr>
          <w:rFonts w:ascii="Arial" w:cs="Arial" w:eastAsia="Arial" w:hAnsi="Arial"/>
          <w:sz w:val="13"/>
          <w:szCs w:val="13"/>
          <w:b w:val="1"/>
          <w:bCs w:val="1"/>
          <w:color w:val="auto"/>
        </w:rPr>
        <w:t>£</w:t>
      </w:r>
      <w:r>
        <w:rPr>
          <w:sz w:val="20"/>
          <w:szCs w:val="20"/>
          <w:color w:val="auto"/>
        </w:rPr>
        <w:tab/>
      </w:r>
      <w:r>
        <w:rPr>
          <w:rFonts w:ascii="Times New Roman" w:cs="Times New Roman" w:eastAsia="Times New Roman" w:hAnsi="Times New Roman"/>
          <w:sz w:val="18"/>
          <w:szCs w:val="18"/>
          <w:color w:val="auto"/>
        </w:rPr>
        <w:t>Smaller reporting company</w:t>
      </w:r>
      <w:r>
        <w:rPr>
          <w:sz w:val="20"/>
          <w:szCs w:val="20"/>
          <w:color w:val="auto"/>
        </w:rPr>
        <w:tab/>
      </w:r>
      <w:r>
        <w:rPr>
          <w:rFonts w:ascii="Arial" w:cs="Arial" w:eastAsia="Arial" w:hAnsi="Arial"/>
          <w:sz w:val="13"/>
          <w:szCs w:val="13"/>
          <w:b w:val="1"/>
          <w:bCs w:val="1"/>
          <w:color w:val="auto"/>
        </w:rPr>
        <w:t>£</w:t>
      </w:r>
    </w:p>
    <w:p>
      <w:pPr>
        <w:spacing w:after="0" w:line="9" w:lineRule="exact"/>
        <w:rPr>
          <w:sz w:val="24"/>
          <w:szCs w:val="24"/>
          <w:color w:val="auto"/>
        </w:rPr>
      </w:pPr>
    </w:p>
    <w:p>
      <w:pPr>
        <w:jc w:val="center"/>
        <w:ind w:right="-139"/>
        <w:spacing w:after="0"/>
        <w:tabs>
          <w:tab w:leader="none" w:pos="1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Arial" w:cs="Arial" w:eastAsia="Arial" w:hAnsi="Arial"/>
          <w:sz w:val="13"/>
          <w:szCs w:val="13"/>
          <w:b w:val="1"/>
          <w:bCs w:val="1"/>
          <w:color w:val="auto"/>
        </w:rPr>
        <w:t>£</w:t>
      </w:r>
    </w:p>
    <w:p>
      <w:pPr>
        <w:spacing w:after="0" w:line="234"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Arial" w:cs="Arial" w:eastAsia="Arial" w:hAnsi="Arial"/>
          <w:sz w:val="13"/>
          <w:szCs w:val="1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 w:name="page2"/>
    <w:bookmarkEnd w:id="1"/>
    <w:p>
      <w:pPr>
        <w:ind w:left="4380"/>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January 26, 2026, at the 2026 Annual Meeting of Shareholders of The Scotts Miracle-Gro Company (the “Registrant”), the Registrant's shareholders approved an amendment and restatement of The Scotts Miracle-Gro Company Long-Term Incentive Plan (the “Plan”), which is the sixth amendment and restatement of The Scotts Miracle-Gro Company Amended and Restated 2006 Long-Term Incentive Plan. Among other things, the Plan increases the maximum number of common shares, without par value, of the Registrant (the “Common Shares”) available for grant to participants under the Plan by 2,750,000 Common Shares.</w:t>
      </w:r>
    </w:p>
    <w:p>
      <w:pPr>
        <w:spacing w:after="0" w:line="210" w:lineRule="exact"/>
        <w:rPr>
          <w:sz w:val="20"/>
          <w:szCs w:val="20"/>
          <w:color w:val="auto"/>
        </w:rPr>
      </w:pPr>
    </w:p>
    <w:p>
      <w:pPr>
        <w:ind w:right="40" w:firstLine="648"/>
        <w:spacing w:after="0" w:line="255"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Registrant is filing this Registration Statement on Form S-8 (this “Registration Statement”) in order to register under the Securities Act of 1933, as amended (the “Securities Act”), the additional 2,750,000 Common Shares authorized for issuance under the Plan. Certain Common Shares that were previously authorized for issuance under the Plan had not been awarded and remained available for issuance under the Plan as of January 26, 2026 (the “Carryover Shares”). The Carryover Shares were previously registered under the Registrant's Registration Statements on Form S-8 (Registration Nos. </w:t>
      </w:r>
      <w:hyperlink r:id="rId10">
        <w:r>
          <w:rPr>
            <w:rFonts w:ascii="Times New Roman" w:cs="Times New Roman" w:eastAsia="Times New Roman" w:hAnsi="Times New Roman"/>
            <w:sz w:val="18"/>
            <w:szCs w:val="18"/>
            <w:u w:val="single" w:color="auto"/>
            <w:color w:val="0000FF"/>
          </w:rPr>
          <w:t>333-262303</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r:id="rId11">
        <w:r>
          <w:rPr>
            <w:rFonts w:ascii="Times New Roman" w:cs="Times New Roman" w:eastAsia="Times New Roman" w:hAnsi="Times New Roman"/>
            <w:sz w:val="18"/>
            <w:szCs w:val="18"/>
            <w:u w:val="single" w:color="auto"/>
            <w:color w:val="0000FF"/>
          </w:rPr>
          <w:t xml:space="preserve">333-269360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r:id="rId12">
        <w:r>
          <w:rPr>
            <w:rFonts w:ascii="Times New Roman" w:cs="Times New Roman" w:eastAsia="Times New Roman" w:hAnsi="Times New Roman"/>
            <w:sz w:val="18"/>
            <w:szCs w:val="18"/>
            <w:u w:val="single" w:color="auto"/>
            <w:color w:val="0000FF"/>
          </w:rPr>
          <w:t xml:space="preserve">333-276673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 January 24, 2022, January 23, 2023 and January 24, 2024, respectively). Pursuant to General Instruction</w:t>
      </w:r>
      <w:r>
        <w:rPr>
          <w:rFonts w:ascii="Times New Roman" w:cs="Times New Roman" w:eastAsia="Times New Roman" w:hAnsi="Times New Roman"/>
          <w:sz w:val="18"/>
          <w:szCs w:val="18"/>
          <w:color w:val="0000FF"/>
        </w:rPr>
        <w:t xml:space="preserve"> </w:t>
      </w:r>
      <w:hyperlink r:id="rId11">
        <w:r>
          <w:rPr>
            <w:rFonts w:ascii="Times New Roman" w:cs="Times New Roman" w:eastAsia="Times New Roman" w:hAnsi="Times New Roman"/>
            <w:sz w:val="18"/>
            <w:szCs w:val="18"/>
            <w:color w:val="000000"/>
          </w:rPr>
          <w:t xml:space="preserve">E to Form S-8, the contents of the earlier registration statements on Form S-8 (Registration Nos. </w:t>
        </w:r>
        <w:r>
          <w:rPr>
            <w:rFonts w:ascii="Times New Roman" w:cs="Times New Roman" w:eastAsia="Times New Roman" w:hAnsi="Times New Roman"/>
            <w:sz w:val="18"/>
            <w:szCs w:val="18"/>
            <w:u w:val="single" w:color="auto"/>
            <w:color w:val="0000FF"/>
          </w:rPr>
          <w:t>333-131466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333-186187</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333-215774</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333-262303</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333-</w:t>
        </w:r>
      </w:hyperlink>
      <w:hyperlink r:id="rId11">
        <w:r>
          <w:rPr>
            <w:rFonts w:ascii="Times New Roman" w:cs="Times New Roman" w:eastAsia="Times New Roman" w:hAnsi="Times New Roman"/>
            <w:sz w:val="18"/>
            <w:szCs w:val="18"/>
            <w:u w:val="single" w:color="auto"/>
            <w:color w:val="0000FF"/>
          </w:rPr>
          <w:t>269360</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2">
        <w:r>
          <w:rPr>
            <w:rFonts w:ascii="Times New Roman" w:cs="Times New Roman" w:eastAsia="Times New Roman" w:hAnsi="Times New Roman"/>
            <w:sz w:val="18"/>
            <w:szCs w:val="18"/>
            <w:u w:val="single" w:color="auto"/>
            <w:color w:val="0000FF"/>
          </w:rPr>
          <w:t>333-276673</w:t>
        </w:r>
      </w:hyperlink>
      <w:hyperlink r:id="rId11">
        <w:r>
          <w:rPr>
            <w:rFonts w:ascii="Times New Roman" w:cs="Times New Roman" w:eastAsia="Times New Roman" w:hAnsi="Times New Roman"/>
            <w:sz w:val="18"/>
            <w:szCs w:val="18"/>
            <w:color w:val="000000"/>
          </w:rPr>
          <w:t>) relating to the Plan are, as modified hereby, incorporated by reference.</w:t>
        </w:r>
      </w:hyperlink>
    </w:p>
    <w:p>
      <w:pPr>
        <w:spacing w:after="0" w:line="216" w:lineRule="exact"/>
        <w:rPr>
          <w:rFonts w:ascii="Times New Roman" w:cs="Times New Roman" w:eastAsia="Times New Roman" w:hAnsi="Times New Roman"/>
          <w:sz w:val="18"/>
          <w:szCs w:val="18"/>
          <w:color w:val="0000FF"/>
        </w:rPr>
      </w:pPr>
    </w:p>
    <w:p>
      <w:pPr>
        <w:jc w:val="center"/>
        <w:ind w:right="640"/>
        <w:spacing w:after="0"/>
        <w:rPr>
          <w:sz w:val="20"/>
          <w:szCs w:val="20"/>
          <w:color w:val="auto"/>
        </w:rPr>
      </w:pPr>
      <w:r>
        <w:rPr>
          <w:rFonts w:ascii="Times New Roman" w:cs="Times New Roman" w:eastAsia="Times New Roman" w:hAnsi="Times New Roman"/>
          <w:sz w:val="18"/>
          <w:szCs w:val="18"/>
          <w:color w:val="auto"/>
        </w:rPr>
        <w:t>Part I</w:t>
      </w:r>
    </w:p>
    <w:p>
      <w:pPr>
        <w:spacing w:after="0" w:line="252" w:lineRule="exact"/>
        <w:rPr>
          <w:rFonts w:ascii="Times New Roman" w:cs="Times New Roman" w:eastAsia="Times New Roman" w:hAnsi="Times New Roman"/>
          <w:sz w:val="18"/>
          <w:szCs w:val="18"/>
          <w:color w:val="0000FF"/>
        </w:rPr>
      </w:pPr>
    </w:p>
    <w:p>
      <w:pPr>
        <w:ind w:left="2700"/>
        <w:spacing w:after="0"/>
        <w:rPr>
          <w:sz w:val="20"/>
          <w:szCs w:val="20"/>
          <w:color w:val="auto"/>
        </w:rPr>
      </w:pPr>
      <w:r>
        <w:rPr>
          <w:rFonts w:ascii="Times New Roman" w:cs="Times New Roman" w:eastAsia="Times New Roman" w:hAnsi="Times New Roman"/>
          <w:sz w:val="18"/>
          <w:szCs w:val="18"/>
          <w:color w:val="auto"/>
        </w:rPr>
        <w:t>INFORMATION REQUIRED IN THE SECTION 10(a) PROSPECTUS</w:t>
      </w:r>
    </w:p>
    <w:p>
      <w:pPr>
        <w:spacing w:after="0" w:line="252" w:lineRule="exact"/>
        <w:rPr>
          <w:rFonts w:ascii="Times New Roman" w:cs="Times New Roman" w:eastAsia="Times New Roman" w:hAnsi="Times New Roman"/>
          <w:sz w:val="18"/>
          <w:szCs w:val="18"/>
          <w:color w:val="0000FF"/>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Form S-8 will be sent or given to participants in the Plan as specified by Rule 428(b)(1) under the Securities Act. In accordance with the instructions to Part I of Form S-8, such documents will not be filed with the Securities and Exchange Commission (the “Commission”)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210" w:lineRule="exact"/>
        <w:rPr>
          <w:rFonts w:ascii="Times New Roman" w:cs="Times New Roman" w:eastAsia="Times New Roman" w:hAnsi="Times New Roman"/>
          <w:sz w:val="18"/>
          <w:szCs w:val="18"/>
          <w:color w:val="0000FF"/>
        </w:rPr>
      </w:pPr>
    </w:p>
    <w:p>
      <w:pPr>
        <w:jc w:val="center"/>
        <w:spacing w:after="0"/>
        <w:rPr>
          <w:sz w:val="20"/>
          <w:szCs w:val="20"/>
          <w:color w:val="auto"/>
        </w:rPr>
      </w:pPr>
      <w:r>
        <w:rPr>
          <w:rFonts w:ascii="Times New Roman" w:cs="Times New Roman" w:eastAsia="Times New Roman" w:hAnsi="Times New Roman"/>
          <w:sz w:val="18"/>
          <w:szCs w:val="18"/>
          <w:color w:val="auto"/>
        </w:rPr>
        <w:t>Part II</w:t>
      </w:r>
    </w:p>
    <w:p>
      <w:pPr>
        <w:spacing w:after="0" w:line="252" w:lineRule="exact"/>
        <w:rPr>
          <w:rFonts w:ascii="Times New Roman" w:cs="Times New Roman" w:eastAsia="Times New Roman" w:hAnsi="Times New Roman"/>
          <w:sz w:val="18"/>
          <w:szCs w:val="18"/>
          <w:color w:val="0000FF"/>
        </w:rPr>
      </w:pPr>
    </w:p>
    <w:p>
      <w:pPr>
        <w:ind w:left="2680"/>
        <w:spacing w:after="0"/>
        <w:rPr>
          <w:sz w:val="20"/>
          <w:szCs w:val="20"/>
          <w:color w:val="auto"/>
        </w:rPr>
      </w:pPr>
      <w:r>
        <w:rPr>
          <w:rFonts w:ascii="Times New Roman" w:cs="Times New Roman" w:eastAsia="Times New Roman" w:hAnsi="Times New Roman"/>
          <w:sz w:val="18"/>
          <w:szCs w:val="18"/>
          <w:color w:val="auto"/>
        </w:rPr>
        <w:t>INFORMATION REQUIRED IN THE REGISTRATION STATEMENT</w:t>
      </w:r>
    </w:p>
    <w:p>
      <w:pPr>
        <w:spacing w:after="0" w:line="252" w:lineRule="exact"/>
        <w:rPr>
          <w:rFonts w:ascii="Times New Roman" w:cs="Times New Roman" w:eastAsia="Times New Roman" w:hAnsi="Times New Roman"/>
          <w:sz w:val="18"/>
          <w:szCs w:val="18"/>
          <w:color w:val="0000FF"/>
        </w:rPr>
      </w:pPr>
    </w:p>
    <w:p>
      <w:pPr>
        <w:spacing w:after="0"/>
        <w:rPr>
          <w:sz w:val="20"/>
          <w:szCs w:val="20"/>
          <w:color w:val="auto"/>
        </w:rPr>
      </w:pPr>
      <w:r>
        <w:rPr>
          <w:rFonts w:ascii="Times New Roman" w:cs="Times New Roman" w:eastAsia="Times New Roman" w:hAnsi="Times New Roman"/>
          <w:sz w:val="18"/>
          <w:szCs w:val="18"/>
          <w:u w:val="single" w:color="auto"/>
          <w:color w:val="auto"/>
        </w:rPr>
        <w:t>Item 3. Incorporation of Documents by Reference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0000FF"/>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Commission allows the Registrant to “incorporate by reference” into this Registration Statement information that the Registrant files with the Commission. This means that the Registrant may disclose important information to you by referring you to those documents. The information incorporated by reference is considered a part of this Registration Statement. The following documents, filed by the Registrant with the Commission pursuant to the Securities Exchange Act of 1934, as amended (the “Exchange Act”), shall be deemed to be incorporated by reference into this Registration Statement and made a part hereof:</w:t>
      </w:r>
    </w:p>
    <w:p>
      <w:pPr>
        <w:spacing w:after="0" w:line="210" w:lineRule="exact"/>
        <w:rPr>
          <w:rFonts w:ascii="Times New Roman" w:cs="Times New Roman" w:eastAsia="Times New Roman" w:hAnsi="Times New Roman"/>
          <w:sz w:val="18"/>
          <w:szCs w:val="18"/>
          <w:color w:val="0000FF"/>
        </w:rPr>
      </w:pPr>
    </w:p>
    <w:p>
      <w:pPr>
        <w:ind w:left="1300" w:right="800" w:hanging="644"/>
        <w:spacing w:after="0" w:line="282" w:lineRule="auto"/>
        <w:tabs>
          <w:tab w:leader="none" w:pos="129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Annual Report on Form 10-K of the Registrant for the fiscal year ended September 30, 2025, filed with the Commission on </w:t>
      </w:r>
      <w:hyperlink r:id="rId13">
        <w:r>
          <w:rPr>
            <w:rFonts w:ascii="Times New Roman" w:cs="Times New Roman" w:eastAsia="Times New Roman" w:hAnsi="Times New Roman"/>
            <w:sz w:val="18"/>
            <w:szCs w:val="18"/>
            <w:u w:val="single" w:color="auto"/>
            <w:color w:val="0000FF"/>
          </w:rPr>
          <w:t>November 25, 2025</w:t>
        </w:r>
      </w:hyperlink>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0000FF"/>
        </w:rPr>
      </w:pPr>
    </w:p>
    <w:p>
      <w:pPr>
        <w:ind w:left="1300" w:right="300" w:hanging="644"/>
        <w:spacing w:after="0" w:line="282" w:lineRule="auto"/>
        <w:tabs>
          <w:tab w:leader="none" w:pos="1295" w:val="left"/>
        </w:tabs>
        <w:numPr>
          <w:ilvl w:val="0"/>
          <w:numId w:val="1"/>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Quarterly Report on Form 10-Q of the Registrant for the quarterly period ended December 27, 2025 filed with the Commission on </w:t>
      </w:r>
      <w:hyperlink r:id="rId14">
        <w:r>
          <w:rPr>
            <w:rFonts w:ascii="Times New Roman" w:cs="Times New Roman" w:eastAsia="Times New Roman" w:hAnsi="Times New Roman"/>
            <w:sz w:val="18"/>
            <w:szCs w:val="18"/>
            <w:u w:val="single" w:color="auto"/>
            <w:color w:val="0000FF"/>
          </w:rPr>
          <w:t>February 4, 2026</w:t>
        </w:r>
      </w:hyperlink>
      <w:r>
        <w:rPr>
          <w:rFonts w:ascii="Times New Roman" w:cs="Times New Roman" w:eastAsia="Times New Roman" w:hAnsi="Times New Roman"/>
          <w:sz w:val="18"/>
          <w:szCs w:val="18"/>
          <w:color w:val="000000"/>
        </w:rPr>
        <w:t>;</w:t>
      </w:r>
    </w:p>
    <w:p>
      <w:pPr>
        <w:spacing w:after="0" w:line="188" w:lineRule="exact"/>
        <w:rPr>
          <w:rFonts w:ascii="Times New Roman" w:cs="Times New Roman" w:eastAsia="Times New Roman" w:hAnsi="Times New Roman"/>
          <w:sz w:val="18"/>
          <w:szCs w:val="18"/>
          <w:color w:val="0000FF"/>
        </w:rPr>
      </w:pPr>
    </w:p>
    <w:p>
      <w:pPr>
        <w:ind w:left="1300" w:right="160" w:hanging="644"/>
        <w:spacing w:after="0" w:line="282" w:lineRule="auto"/>
        <w:tabs>
          <w:tab w:leader="none" w:pos="1295" w:val="left"/>
        </w:tabs>
        <w:numPr>
          <w:ilvl w:val="0"/>
          <w:numId w:val="1"/>
        </w:numPr>
        <w:rPr>
          <w:rFonts w:ascii="Times New Roman" w:cs="Times New Roman" w:eastAsia="Times New Roman" w:hAnsi="Times New Roman"/>
          <w:sz w:val="18"/>
          <w:szCs w:val="18"/>
          <w:color w:val="0000FF"/>
        </w:rPr>
      </w:pPr>
      <w:hyperlink r:id="rId15">
        <w:r>
          <w:rPr>
            <w:rFonts w:ascii="Times New Roman" w:cs="Times New Roman" w:eastAsia="Times New Roman" w:hAnsi="Times New Roman"/>
            <w:sz w:val="18"/>
            <w:szCs w:val="18"/>
            <w:color w:val="auto"/>
          </w:rPr>
          <w:t xml:space="preserve">the Current Reports on Form 8-K filed by the Registrant with the Commission on </w:t>
        </w:r>
        <w:r>
          <w:rPr>
            <w:rFonts w:ascii="Times New Roman" w:cs="Times New Roman" w:eastAsia="Times New Roman" w:hAnsi="Times New Roman"/>
            <w:sz w:val="18"/>
            <w:szCs w:val="18"/>
            <w:u w:val="single" w:color="auto"/>
            <w:color w:val="0000FF"/>
          </w:rPr>
          <w:t>November 12,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November 24,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January 28,</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16">
        <w:r>
          <w:rPr>
            <w:rFonts w:ascii="Times New Roman" w:cs="Times New Roman" w:eastAsia="Times New Roman" w:hAnsi="Times New Roman"/>
            <w:sz w:val="18"/>
            <w:szCs w:val="18"/>
            <w:u w:val="single" w:color="auto"/>
            <w:color w:val="0000FF"/>
          </w:rPr>
          <w:t>January 29, 2026</w:t>
        </w:r>
      </w:hyperlink>
      <w:hyperlink r:id="rId15">
        <w:r>
          <w:rPr>
            <w:rFonts w:ascii="Times New Roman" w:cs="Times New Roman" w:eastAsia="Times New Roman" w:hAnsi="Times New Roman"/>
            <w:sz w:val="18"/>
            <w:szCs w:val="18"/>
            <w:color w:val="000000"/>
          </w:rPr>
          <w:t>;</w:t>
        </w:r>
      </w:hyperlink>
    </w:p>
    <w:p>
      <w:pPr>
        <w:sectPr>
          <w:pgSz w:w="11900" w:h="16838" w:orient="portrait"/>
          <w:cols w:equalWidth="0" w:num="1">
            <w:col w:w="11240"/>
          </w:cols>
          <w:pgMar w:left="320" w:top="1417" w:right="339" w:bottom="1440" w:gutter="0" w:footer="0" w:header="0"/>
        </w:sectPr>
      </w:pPr>
    </w:p>
    <w:bookmarkStart w:id="2" w:name="page3"/>
    <w:bookmarkEnd w:id="2"/>
    <w:p>
      <w:pPr>
        <w:ind w:left="1300" w:hanging="644"/>
        <w:spacing w:after="0" w:line="266" w:lineRule="auto"/>
        <w:tabs>
          <w:tab w:leader="none" w:pos="12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Common Shares contained in Exhibit 4.6 to the Annual Report on Form 10-K of the Registrant for the fiscal year ended September 30, 2025, filed with the Commission on </w:t>
      </w:r>
      <w:hyperlink r:id="rId17">
        <w:r>
          <w:rPr>
            <w:rFonts w:ascii="Times New Roman" w:cs="Times New Roman" w:eastAsia="Times New Roman" w:hAnsi="Times New Roman"/>
            <w:sz w:val="18"/>
            <w:szCs w:val="18"/>
            <w:u w:val="single" w:color="auto"/>
            <w:color w:val="0000FF"/>
          </w:rPr>
          <w:t>November 25, 2025</w:t>
        </w:r>
      </w:hyperlink>
      <w:r>
        <w:rPr>
          <w:rFonts w:ascii="Times New Roman" w:cs="Times New Roman" w:eastAsia="Times New Roman" w:hAnsi="Times New Roman"/>
          <w:sz w:val="18"/>
          <w:szCs w:val="18"/>
          <w:color w:val="auto"/>
        </w:rPr>
        <w:t>, together with any subsequent amendments or reports filed with the Commission for the purpose of updating such description; and</w:t>
      </w:r>
    </w:p>
    <w:p>
      <w:pPr>
        <w:spacing w:after="0" w:line="202" w:lineRule="exact"/>
        <w:rPr>
          <w:rFonts w:ascii="Times New Roman" w:cs="Times New Roman" w:eastAsia="Times New Roman" w:hAnsi="Times New Roman"/>
          <w:sz w:val="18"/>
          <w:szCs w:val="18"/>
          <w:color w:val="auto"/>
        </w:rPr>
      </w:pPr>
    </w:p>
    <w:p>
      <w:pPr>
        <w:ind w:left="1300" w:right="60" w:hanging="644"/>
        <w:spacing w:after="0" w:line="266" w:lineRule="auto"/>
        <w:tabs>
          <w:tab w:leader="none" w:pos="1295" w:val="left"/>
        </w:tabs>
        <w:numPr>
          <w:ilvl w:val="0"/>
          <w:numId w:val="2"/>
        </w:numPr>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the definitive proxy statement on Schedule 14A filed by the Registrant with respect to its 2026 annual meeting of shareholders filed on </w:t>
      </w:r>
      <w:hyperlink r:id="rId18">
        <w:r>
          <w:rPr>
            <w:rFonts w:ascii="Times New Roman" w:cs="Times New Roman" w:eastAsia="Times New Roman" w:hAnsi="Times New Roman"/>
            <w:sz w:val="18"/>
            <w:szCs w:val="18"/>
            <w:u w:val="single" w:color="auto"/>
            <w:color w:val="0000FF"/>
          </w:rPr>
          <w:t>December 17, 2025</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(but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only to the extent that any sections of the proxy statement are incorporated into our Annual Report on Form 10-K for the year ended September 30, 2025).</w:t>
      </w:r>
    </w:p>
    <w:p>
      <w:pPr>
        <w:spacing w:after="0" w:line="189" w:lineRule="exact"/>
        <w:rPr>
          <w:rFonts w:ascii="Times New Roman" w:cs="Times New Roman" w:eastAsia="Times New Roman" w:hAnsi="Times New Roman"/>
          <w:sz w:val="18"/>
          <w:szCs w:val="18"/>
          <w:color w:val="auto"/>
        </w:rPr>
      </w:pPr>
    </w:p>
    <w:p>
      <w:pPr>
        <w:ind w:right="20" w:firstLine="648"/>
        <w:spacing w:after="0" w:line="241" w:lineRule="auto"/>
        <w:rPr>
          <w:sz w:val="20"/>
          <w:szCs w:val="20"/>
          <w:color w:val="auto"/>
        </w:rPr>
      </w:pPr>
      <w:r>
        <w:rPr>
          <w:rFonts w:ascii="Times New Roman" w:cs="Times New Roman" w:eastAsia="Times New Roman" w:hAnsi="Times New Roman"/>
          <w:sz w:val="18"/>
          <w:szCs w:val="18"/>
          <w:color w:val="auto"/>
        </w:rPr>
        <w:t>All documents which may be filed by the Registrant with the Commission pursuant to Section 13(a), Section 13(c), Section 14 or Section 15(d) of the Exchange Act subsequent to the date of this Registration Statement and prior to the filing of a post-effective amendment which indicates that all securities offered under the Plan pursuant to this Registration Statement have been sold or which deregisters all securities then remaining unsold, shall also be deemed to be incorporated by reference in this Registration Statement and made a part hereof from the date of filing of such documents. To the extent that any information contained in any Current Report on Form 8-K, or any exhibit thereto, was or is furnished to, rather than filed with, the Commission in accordance with the Commission’s rules, such information or exhibit is specifically not incorporated by reference into this Registration Statement.</w:t>
      </w:r>
    </w:p>
    <w:p>
      <w:pPr>
        <w:spacing w:after="0" w:line="211" w:lineRule="exact"/>
        <w:rPr>
          <w:rFonts w:ascii="Times New Roman" w:cs="Times New Roman" w:eastAsia="Times New Roman" w:hAnsi="Times New Roman"/>
          <w:sz w:val="18"/>
          <w:szCs w:val="18"/>
          <w:color w:val="auto"/>
        </w:rPr>
      </w:pPr>
    </w:p>
    <w:p>
      <w:pPr>
        <w:ind w:firstLine="648"/>
        <w:spacing w:after="0" w:line="239"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in this Registration Statement by reference, or contained in this Registration Statement, shall be deemed to be modified or superseded for purposes of this Registration Statement to the extent that a statement contained in any subsequently filed document which also is or is deemed to be incorporated by reference in this Registration Statement modifies or supersedes such earlier statement. Any such statement so modified or superseded shall not be deemed, except as so modified or superseded, to constitute a part of this Registration Statement.</w:t>
      </w:r>
    </w:p>
    <w:p>
      <w:pPr>
        <w:spacing w:after="0" w:line="225" w:lineRule="exact"/>
        <w:rPr>
          <w:rFonts w:ascii="Times New Roman" w:cs="Times New Roman" w:eastAsia="Times New Roman" w:hAnsi="Times New Roman"/>
          <w:sz w:val="18"/>
          <w:szCs w:val="18"/>
          <w:color w:val="auto"/>
        </w:rPr>
      </w:pPr>
    </w:p>
    <w:p>
      <w:pPr>
        <w:jc w:val="center"/>
        <w:ind w:right="8760"/>
        <w:spacing w:after="0"/>
        <w:rPr>
          <w:sz w:val="20"/>
          <w:szCs w:val="20"/>
          <w:color w:val="auto"/>
        </w:rPr>
      </w:pPr>
      <w:r>
        <w:rPr>
          <w:rFonts w:ascii="Times New Roman" w:cs="Times New Roman" w:eastAsia="Times New Roman" w:hAnsi="Times New Roman"/>
          <w:sz w:val="18"/>
          <w:szCs w:val="18"/>
          <w:u w:val="single" w:color="auto"/>
          <w:color w:val="auto"/>
        </w:rPr>
        <w:t>Item 4. Description of Securities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Interests of Named Experts and Counsel</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Certain legal matters with respect to the validity of the Common Shares registered hereby have been passed upon for the Registrant by Dimiter Todorov, Executive Vice President, Chief Legal Officer &amp; Corporate Secretary of the Registrant. Mr. Todorov owns, and/or has options to acquire pursuant to the Registrant’s employee benefit plans, an aggregate of less than 1% of the outstanding Common Shares of the Registrant.</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Indemnification of Directors and Officers</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Articles of Incorporation of the Registrant do not address indemnification.</w:t>
      </w:r>
    </w:p>
    <w:p>
      <w:pPr>
        <w:spacing w:after="0" w:line="252" w:lineRule="exact"/>
        <w:rPr>
          <w:rFonts w:ascii="Times New Roman" w:cs="Times New Roman" w:eastAsia="Times New Roman" w:hAnsi="Times New Roman"/>
          <w:sz w:val="18"/>
          <w:szCs w:val="18"/>
          <w:color w:val="auto"/>
        </w:rPr>
      </w:pPr>
    </w:p>
    <w:p>
      <w:pPr>
        <w:ind w:right="180" w:firstLine="583"/>
        <w:spacing w:after="0" w:line="261" w:lineRule="auto"/>
        <w:rPr>
          <w:sz w:val="20"/>
          <w:szCs w:val="20"/>
          <w:color w:val="auto"/>
        </w:rPr>
      </w:pPr>
      <w:r>
        <w:rPr>
          <w:rFonts w:ascii="Times New Roman" w:cs="Times New Roman" w:eastAsia="Times New Roman" w:hAnsi="Times New Roman"/>
          <w:sz w:val="18"/>
          <w:szCs w:val="18"/>
          <w:color w:val="auto"/>
        </w:rPr>
        <w:t>Article Five of the Code of Regulations of the Registrant requires the corporation to indemnify its directors and officers, or any person serving at the request of the corporation as a director, officer or manager of another entity, to the fullest extent permitted under the Ohio General Corporation Law (“OGCL”), provided that the corporation shall not make such indemnification if a determination is made that the director or officer did not meet the applicable standard of conduct.</w:t>
      </w:r>
    </w:p>
    <w:p>
      <w:pPr>
        <w:spacing w:after="0" w:line="207" w:lineRule="exact"/>
        <w:rPr>
          <w:rFonts w:ascii="Times New Roman" w:cs="Times New Roman" w:eastAsia="Times New Roman" w:hAnsi="Times New Roman"/>
          <w:sz w:val="18"/>
          <w:szCs w:val="18"/>
          <w:color w:val="auto"/>
        </w:rPr>
      </w:pPr>
    </w:p>
    <w:p>
      <w:pPr>
        <w:ind w:firstLine="583"/>
        <w:spacing w:after="0" w:line="261" w:lineRule="auto"/>
        <w:rPr>
          <w:sz w:val="20"/>
          <w:szCs w:val="20"/>
          <w:color w:val="auto"/>
        </w:rPr>
      </w:pPr>
      <w:r>
        <w:rPr>
          <w:rFonts w:ascii="Times New Roman" w:cs="Times New Roman" w:eastAsia="Times New Roman" w:hAnsi="Times New Roman"/>
          <w:sz w:val="18"/>
          <w:szCs w:val="18"/>
          <w:color w:val="auto"/>
        </w:rPr>
        <w:t>Article Five of the Code of Regulations of the Registrant also permits the corporation to purchase and maintain insurance or furnish similar protection, including trust funds, letters of credit or self-insurance, for or on behalf of any person who is or was a director or officer of the corporation, or is serving at the request of the corporation as a director or officer of another entity, whether or not the corporation would have the obligation or power to indemnify such person against such liability under Article Five of the Code of Regulations.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44"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00"/>
          </w:cols>
          <w:pgMar w:left="320" w:top="1417" w:right="379" w:bottom="1440" w:gutter="0" w:footer="0" w:header="0"/>
        </w:sectPr>
      </w:pPr>
    </w:p>
    <w:bookmarkStart w:id="3" w:name="page4"/>
    <w:bookmarkEnd w:id="3"/>
    <w:p>
      <w:pPr>
        <w:ind w:right="40" w:firstLine="583"/>
        <w:spacing w:after="0" w:line="252" w:lineRule="auto"/>
        <w:rPr>
          <w:sz w:val="20"/>
          <w:szCs w:val="20"/>
          <w:color w:val="auto"/>
        </w:rPr>
      </w:pPr>
      <w:r>
        <w:rPr>
          <w:rFonts w:ascii="Times New Roman" w:cs="Times New Roman" w:eastAsia="Times New Roman" w:hAnsi="Times New Roman"/>
          <w:sz w:val="18"/>
          <w:szCs w:val="18"/>
          <w:color w:val="auto"/>
        </w:rPr>
        <w:t>Section 1701.13(E) of the OGCL permits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or officer or serving at the request of the corporation as a director or officer of another entity against expenses, judgments, fines and amounts paid in settlement actually and reasonably incurred by the director or officer in connection with the suit, action or proceeding if (i) the director or officer acted in good faith and in a manner the director or officer reasonably believed to be in or not opposed to the best interests of the corporation, and (ii) with respect to any criminal action or proceeding, the director or officer had no reasonable cause to believe the director’s or officer’s conduct was unlawful. In the case of an action by or in the right of the corporation, however, such indemnification may only apply to expenses actually and reasonably incurred by the person in connection with the defense or settlement of such action and no such indemnification may be made if either (a) the director or officer has been adjudged to be liable for negligence or misconduct in the performance of the director’s or officer’s duty to the corporation, unless and only to the extent that the court in which the proceeding was brought determines that the director or officer is fairly and reasonably entitled to indemnification for such expenses as the court deems proper, or (b) the only liability asserted against a director in a proceeding relates to the director’s approval of an impermissible dividend, distribution, redemption or loan. The OGCL further provides that to the extent a director or officer has been successful on the merits or otherwise in defense of any action, suit or proceeding referred to above, the corporation must indemnify the director or officer against expenses actually and reasonably incurred by the director or officer in connection with the action, suit or proceeding.</w:t>
      </w:r>
    </w:p>
    <w:p>
      <w:pPr>
        <w:spacing w:after="0" w:line="223" w:lineRule="exact"/>
        <w:rPr>
          <w:sz w:val="20"/>
          <w:szCs w:val="20"/>
          <w:color w:val="auto"/>
        </w:rPr>
      </w:pPr>
    </w:p>
    <w:p>
      <w:pPr>
        <w:ind w:right="60" w:firstLine="583"/>
        <w:spacing w:after="0" w:line="266" w:lineRule="auto"/>
        <w:rPr>
          <w:sz w:val="20"/>
          <w:szCs w:val="20"/>
          <w:color w:val="auto"/>
        </w:rPr>
      </w:pPr>
      <w:r>
        <w:rPr>
          <w:rFonts w:ascii="Times New Roman" w:cs="Times New Roman" w:eastAsia="Times New Roman" w:hAnsi="Times New Roman"/>
          <w:sz w:val="18"/>
          <w:szCs w:val="18"/>
          <w:color w:val="auto"/>
        </w:rPr>
        <w:t>Section 1701.13(E) of the OGCL permits a corporation to pay expenses (including attorneys’ fees) incurred by a director, officer, employee or agent as they are incurred, in advance of the final disposition of the action, suit or proceeding, as authorized by the corporation’s directors and upon receipt of an undertaking by such person to repay such amount if it is ultimately determined that such person is not entitled to indemnification.</w:t>
      </w:r>
    </w:p>
    <w:p>
      <w:pPr>
        <w:spacing w:after="0" w:line="203" w:lineRule="exact"/>
        <w:rPr>
          <w:sz w:val="20"/>
          <w:szCs w:val="20"/>
          <w:color w:val="auto"/>
        </w:rPr>
      </w:pPr>
    </w:p>
    <w:p>
      <w:pPr>
        <w:ind w:right="100" w:firstLine="583"/>
        <w:spacing w:after="0" w:line="258" w:lineRule="auto"/>
        <w:rPr>
          <w:sz w:val="20"/>
          <w:szCs w:val="20"/>
          <w:color w:val="auto"/>
        </w:rPr>
      </w:pPr>
      <w:r>
        <w:rPr>
          <w:rFonts w:ascii="Times New Roman" w:cs="Times New Roman" w:eastAsia="Times New Roman" w:hAnsi="Times New Roman"/>
          <w:sz w:val="18"/>
          <w:szCs w:val="18"/>
          <w:color w:val="auto"/>
        </w:rPr>
        <w:t>Section 1701.13(E) of the OGCL states that the indemnification provided thereby is not exclusive of, and is in addition to, any other rights granted to persons seeking indemnification under a corporation’s articles or regulations, any agreement, a vote of the corporation’s shareholders or disinterested directors, or otherwise. In addition, Section 1701.13(E) of the OGCL grants express power to a corporation to purchase and maintain insurance or furnish similar protection, including trust funds, letters of credit and self-insurance, for director, officer, employee or agent liability, regardless of whether that individual is otherwise eligible for indemnification by the corporation.</w:t>
      </w:r>
    </w:p>
    <w:p>
      <w:pPr>
        <w:spacing w:after="0" w:line="210" w:lineRule="exact"/>
        <w:rPr>
          <w:sz w:val="20"/>
          <w:szCs w:val="20"/>
          <w:color w:val="auto"/>
        </w:rPr>
      </w:pPr>
    </w:p>
    <w:p>
      <w:pPr>
        <w:jc w:val="both"/>
        <w:ind w:firstLine="583"/>
        <w:spacing w:after="0" w:line="266" w:lineRule="auto"/>
        <w:rPr>
          <w:sz w:val="20"/>
          <w:szCs w:val="20"/>
          <w:color w:val="auto"/>
        </w:rPr>
      </w:pPr>
      <w:r>
        <w:rPr>
          <w:rFonts w:ascii="Times New Roman" w:cs="Times New Roman" w:eastAsia="Times New Roman" w:hAnsi="Times New Roman"/>
          <w:sz w:val="18"/>
          <w:szCs w:val="18"/>
          <w:color w:val="auto"/>
        </w:rPr>
        <w:t>The OGCL also permits corporations to purchase and maintain insurance on behalf of any director or officer against any liability asserted against such director or officer and incurred by such director or officer in his capacity as a director or officer, whether or not the corporation would have the power to indemnify the director or officer against such liability under the OGCL.</w:t>
      </w:r>
    </w:p>
    <w:p>
      <w:pPr>
        <w:spacing w:after="0" w:line="203" w:lineRule="exact"/>
        <w:rPr>
          <w:sz w:val="20"/>
          <w:szCs w:val="20"/>
          <w:color w:val="auto"/>
        </w:rPr>
      </w:pPr>
    </w:p>
    <w:p>
      <w:pPr>
        <w:ind w:right="300" w:firstLine="583"/>
        <w:spacing w:after="0" w:line="312" w:lineRule="auto"/>
        <w:rPr>
          <w:sz w:val="20"/>
          <w:szCs w:val="20"/>
          <w:color w:val="auto"/>
        </w:rPr>
      </w:pPr>
      <w:r>
        <w:rPr>
          <w:rFonts w:ascii="Times New Roman" w:cs="Times New Roman" w:eastAsia="Times New Roman" w:hAnsi="Times New Roman"/>
          <w:sz w:val="17"/>
          <w:szCs w:val="17"/>
          <w:color w:val="auto"/>
        </w:rPr>
        <w:t>Section 20.19 of the Plan provides for indemnification of individuals who are or who have been members of the Registrant’s Board of Directors (the “Board”), or a committee appointed or designated by the Board to administer the Plan (the “Committee”). Section 20.19 provides as follows:</w:t>
      </w:r>
    </w:p>
    <w:p>
      <w:pPr>
        <w:spacing w:after="0" w:line="167" w:lineRule="exact"/>
        <w:rPr>
          <w:sz w:val="20"/>
          <w:szCs w:val="20"/>
          <w:color w:val="auto"/>
        </w:rPr>
      </w:pPr>
    </w:p>
    <w:p>
      <w:pPr>
        <w:ind w:left="660" w:right="20"/>
        <w:spacing w:after="0" w:line="253" w:lineRule="auto"/>
        <w:rPr>
          <w:sz w:val="20"/>
          <w:szCs w:val="20"/>
          <w:color w:val="auto"/>
        </w:rPr>
      </w:pPr>
      <w:r>
        <w:rPr>
          <w:rFonts w:ascii="Times New Roman" w:cs="Times New Roman" w:eastAsia="Times New Roman" w:hAnsi="Times New Roman"/>
          <w:sz w:val="18"/>
          <w:szCs w:val="18"/>
          <w:color w:val="auto"/>
        </w:rPr>
        <w:t>Subject to requirements of Ohio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 The foregoing right of indemnification shall not be exclusive of any other rights of indemnification to which such individuals may be entitled under the Company’s Articles of Incorporation or Code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17" w:right="339" w:bottom="1440" w:gutter="0" w:footer="0" w:header="0"/>
        </w:sectPr>
      </w:pPr>
    </w:p>
    <w:bookmarkStart w:id="4" w:name="page5"/>
    <w:bookmarkEnd w:id="4"/>
    <w:p>
      <w:pPr>
        <w:ind w:left="660"/>
        <w:spacing w:after="0"/>
        <w:rPr>
          <w:sz w:val="20"/>
          <w:szCs w:val="20"/>
          <w:color w:val="auto"/>
        </w:rPr>
      </w:pPr>
      <w:r>
        <w:rPr>
          <w:rFonts w:ascii="Times New Roman" w:cs="Times New Roman" w:eastAsia="Times New Roman" w:hAnsi="Times New Roman"/>
          <w:sz w:val="18"/>
          <w:szCs w:val="18"/>
          <w:color w:val="auto"/>
        </w:rPr>
        <w:t>Regulations, as a matter of law, or otherwise, or any power that the Company may have to indemnify them or hold them harmless.</w:t>
      </w:r>
    </w:p>
    <w:p>
      <w:pPr>
        <w:spacing w:after="0" w:line="252"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Registrant maintains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the Registrant.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Exemption from Registration Claimed</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Exhibits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A list of exhibits included as part of this Registration Statement is set forth on the Exhibit Index, which immediately precedes the exhibits and is incorporated by reference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Undertakings</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ind w:left="560" w:hanging="552"/>
        <w:spacing w:after="0"/>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52" w:lineRule="exact"/>
        <w:rPr>
          <w:rFonts w:ascii="Times New Roman" w:cs="Times New Roman" w:eastAsia="Times New Roman" w:hAnsi="Times New Roman"/>
          <w:sz w:val="18"/>
          <w:szCs w:val="18"/>
          <w:color w:val="auto"/>
        </w:rPr>
      </w:pPr>
    </w:p>
    <w:p>
      <w:pPr>
        <w:ind w:left="1180" w:hanging="524"/>
        <w:spacing w:after="0"/>
        <w:tabs>
          <w:tab w:leader="none" w:pos="11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52"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52" w:lineRule="exact"/>
        <w:rPr>
          <w:rFonts w:ascii="Times New Roman" w:cs="Times New Roman" w:eastAsia="Times New Roman" w:hAnsi="Times New Roman"/>
          <w:sz w:val="18"/>
          <w:szCs w:val="18"/>
          <w:color w:val="auto"/>
        </w:rPr>
      </w:pPr>
    </w:p>
    <w:p>
      <w:pPr>
        <w:ind w:left="1960" w:hanging="656"/>
        <w:spacing w:after="0" w:line="273" w:lineRule="auto"/>
        <w:tabs>
          <w:tab w:leader="none" w:pos="1888" w:val="left"/>
        </w:tabs>
        <w:numPr>
          <w:ilvl w:val="2"/>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98" w:lineRule="exact"/>
        <w:rPr>
          <w:rFonts w:ascii="Times New Roman" w:cs="Times New Roman" w:eastAsia="Times New Roman" w:hAnsi="Times New Roman"/>
          <w:sz w:val="17"/>
          <w:szCs w:val="17"/>
          <w:color w:val="auto"/>
        </w:rPr>
      </w:pPr>
    </w:p>
    <w:p>
      <w:pPr>
        <w:ind w:left="1960" w:right="760" w:hanging="656"/>
        <w:spacing w:after="0" w:line="282" w:lineRule="auto"/>
        <w:tabs>
          <w:tab w:leader="none" w:pos="1938"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9" w:lineRule="exact"/>
        <w:rPr>
          <w:sz w:val="20"/>
          <w:szCs w:val="20"/>
          <w:color w:val="auto"/>
        </w:rPr>
      </w:pPr>
    </w:p>
    <w:p>
      <w:pPr>
        <w:ind w:left="1300" w:right="420"/>
        <w:spacing w:after="0" w:line="266" w:lineRule="auto"/>
        <w:rPr>
          <w:sz w:val="20"/>
          <w:szCs w:val="20"/>
          <w:color w:val="auto"/>
        </w:rPr>
      </w:pPr>
      <w:r>
        <w:rPr>
          <w:rFonts w:ascii="Times New Roman" w:cs="Times New Roman" w:eastAsia="Times New Roman" w:hAnsi="Times New Roman"/>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w:t>
      </w:r>
    </w:p>
    <w:p>
      <w:pPr>
        <w:spacing w:after="0" w:line="203" w:lineRule="exact"/>
        <w:rPr>
          <w:sz w:val="20"/>
          <w:szCs w:val="20"/>
          <w:color w:val="auto"/>
        </w:rPr>
      </w:pPr>
    </w:p>
    <w:p>
      <w:pPr>
        <w:ind w:left="1300" w:right="40" w:hanging="644"/>
        <w:spacing w:after="0" w:line="266" w:lineRule="auto"/>
        <w:tabs>
          <w:tab w:leader="none" w:pos="10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2"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1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417" w:right="339" w:bottom="1440" w:gutter="0" w:footer="0" w:header="0"/>
        </w:sectPr>
      </w:pPr>
    </w:p>
    <w:bookmarkStart w:id="5" w:name="page6"/>
    <w:bookmarkEnd w:id="5"/>
    <w:p>
      <w:pPr>
        <w:spacing w:after="0" w:line="221" w:lineRule="exact"/>
        <w:rPr>
          <w:sz w:val="20"/>
          <w:szCs w:val="20"/>
          <w:color w:val="auto"/>
        </w:rPr>
      </w:pPr>
    </w:p>
    <w:p>
      <w:pPr>
        <w:ind w:left="652" w:hanging="652"/>
        <w:spacing w:after="0" w:line="258" w:lineRule="auto"/>
        <w:tabs>
          <w:tab w:leader="none" w:pos="39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210" w:lineRule="exact"/>
        <w:rPr>
          <w:rFonts w:ascii="Times New Roman" w:cs="Times New Roman" w:eastAsia="Times New Roman" w:hAnsi="Times New Roman"/>
          <w:sz w:val="18"/>
          <w:szCs w:val="18"/>
          <w:color w:val="auto"/>
        </w:rPr>
      </w:pPr>
    </w:p>
    <w:p>
      <w:pPr>
        <w:ind w:left="652" w:right="60" w:hanging="652"/>
        <w:spacing w:after="0" w:line="254" w:lineRule="auto"/>
        <w:tabs>
          <w:tab w:leader="none" w:pos="3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1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[Remainder of page intentionally left blank; 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12"/>
          </w:cols>
          <w:pgMar w:left="328" w:top="1440" w:right="3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Marysville, State of Ohio, on the 13th day of February, 2026.</w:t>
      </w:r>
    </w:p>
    <w:p>
      <w:pPr>
        <w:spacing w:after="0" w:line="200" w:lineRule="exact"/>
        <w:rPr>
          <w:sz w:val="20"/>
          <w:szCs w:val="20"/>
          <w:color w:val="auto"/>
        </w:rPr>
      </w:pPr>
    </w:p>
    <w:p>
      <w:pPr>
        <w:spacing w:after="0" w:line="24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2639060</wp:posOffset>
            </wp:positionH>
            <wp:positionV relativeFrom="paragraph">
              <wp:posOffset>-7620</wp:posOffset>
            </wp:positionV>
            <wp:extent cx="1651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165100" cy="8890"/>
                    </a:xfrm>
                    <a:prstGeom prst="rect">
                      <a:avLst/>
                    </a:prstGeom>
                    <a:noFill/>
                  </pic:spPr>
                </pic:pic>
              </a:graphicData>
            </a:graphic>
          </wp:anchor>
        </w:drawing>
        <w:drawing>
          <wp:anchor simplePos="0" relativeHeight="251657728" behindDoc="1" locked="0" layoutInCell="0" allowOverlap="1">
            <wp:simplePos x="0" y="0"/>
            <wp:positionH relativeFrom="column">
              <wp:posOffset>3835400</wp:posOffset>
            </wp:positionH>
            <wp:positionV relativeFrom="paragraph">
              <wp:posOffset>-7620</wp:posOffset>
            </wp:positionV>
            <wp:extent cx="114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James Hagedorn</w:t>
      </w:r>
    </w:p>
    <w:p>
      <w:pPr>
        <w:spacing w:after="0" w:line="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Chairman of the Board &amp; Chief Executive Officer</w:t>
      </w: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POWERS OF ATTORNEY</w:t>
      </w:r>
    </w:p>
    <w:p>
      <w:pPr>
        <w:spacing w:after="0" w:line="25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James Hagedorn, Mark J. Scheiwer and Dimiter Todorov and each of them, as his or her true and lawful attorneys-in-fact and agents, each with full power of substitution and resubstitution, to do any and all acts and things in his or her name and on his or her behalf in the capacities indicated below, and to execute any and all instruments for him or her and in his or her name in the capacities indicated below, which said attorneys or agents, or any of them, may deem necessary or advisable to enable the registrant to comply with the Securities Act of 1933, as amended, and any rules, regulations and requirements of the Securities and Exchange Commission, in connection with the filing of this Registration Statement on Form S-8, including specifically but without limitation, power and authority to sign for him or her in his or her name in the capacities indicated below, any and all amendments (including post-effective amendments) to such Registration Statement, and to file the same, with all exhibits thereto and all documents in connection therewith with the Securities and Exchange Commission; and he or she does hereby ratify and confirm all that the said attorneys and agents, or their substitute or substitutes, or any of them, shall do or cause to be done by virtue hereof.</w:t>
      </w:r>
    </w:p>
    <w:p>
      <w:pPr>
        <w:spacing w:after="0" w:line="215"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20" w:top="1417" w:right="379" w:bottom="1440" w:gutter="0" w:footer="0" w:header="0"/>
        </w:sectPr>
      </w:pPr>
    </w:p>
    <w:bookmarkStart w:id="7" w:name="page8"/>
    <w:bookmarkEnd w:id="7"/>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w w:val="98"/>
              </w:rPr>
              <w:t>Signature</w:t>
            </w:r>
          </w:p>
        </w:tc>
        <w:tc>
          <w:tcPr>
            <w:tcW w:w="3560" w:type="dxa"/>
            <w:vAlign w:val="bottom"/>
          </w:tcPr>
          <w:p>
            <w:pPr>
              <w:spacing w:after="0"/>
              <w:rPr>
                <w:sz w:val="17"/>
                <w:szCs w:val="17"/>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Title</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Date</w:t>
            </w:r>
          </w:p>
        </w:tc>
      </w:tr>
      <w:tr>
        <w:trPr>
          <w:trHeight w:val="20"/>
        </w:trPr>
        <w:tc>
          <w:tcPr>
            <w:tcW w:w="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07"/>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JAMES HAGEDORN</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Chairman of the Board &amp; Chief Executive Officer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Hagedorn</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2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 &amp;</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3"/>
        </w:trPr>
        <w:tc>
          <w:tcPr>
            <w:tcW w:w="20" w:type="dxa"/>
            <w:vAlign w:val="bottom"/>
            <w:tcBorders>
              <w:bottom w:val="single" w:sz="8" w:color="auto"/>
            </w:tcBorders>
          </w:tcPr>
          <w:p>
            <w:pPr>
              <w:spacing w:after="0"/>
              <w:rPr>
                <w:sz w:val="21"/>
                <w:szCs w:val="21"/>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J. SCHEIWER</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Chief Accounting Officer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169"/>
        </w:trPr>
        <w:tc>
          <w:tcPr>
            <w:tcW w:w="20" w:type="dxa"/>
            <w:vAlign w:val="bottom"/>
          </w:tcPr>
          <w:p>
            <w:pPr>
              <w:spacing w:after="0"/>
              <w:rPr>
                <w:sz w:val="14"/>
                <w:szCs w:val="14"/>
                <w:color w:val="auto"/>
              </w:rPr>
            </w:pPr>
          </w:p>
        </w:tc>
        <w:tc>
          <w:tcPr>
            <w:tcW w:w="42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auto"/>
              </w:rPr>
              <w:t>Mark J. Scheiwer</w:t>
            </w:r>
          </w:p>
        </w:tc>
        <w:tc>
          <w:tcPr>
            <w:tcW w:w="4260" w:type="dxa"/>
            <w:vAlign w:val="bottom"/>
            <w:gridSpan w:val="3"/>
          </w:tcPr>
          <w:p>
            <w:pPr>
              <w:ind w:left="360"/>
              <w:spacing w:after="0" w:line="169" w:lineRule="exact"/>
              <w:rPr>
                <w:sz w:val="20"/>
                <w:szCs w:val="20"/>
                <w:color w:val="auto"/>
              </w:rPr>
            </w:pPr>
            <w:r>
              <w:rPr>
                <w:rFonts w:ascii="Times New Roman" w:cs="Times New Roman" w:eastAsia="Times New Roman" w:hAnsi="Times New Roman"/>
                <w:sz w:val="18"/>
                <w:szCs w:val="18"/>
                <w:color w:val="auto"/>
              </w:rPr>
              <w:t>(Principal Financial Officer and Principal Accounting</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34"/>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Officer)</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EDITH AVILÉS</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Edith Avilés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ROBERTO CANDELINO</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Roberto Candelino</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DAVID C. EVANS</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C. Evans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589"/>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ADAM HANFT</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Adam Hanft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STEPHEN L. JOHNSON</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 Johnson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D. KINGDON</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D. Kingdon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KATHERINE HAGEDORN LITTLEFIELD</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Katherine Hagedorn Littlefield</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81"/>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NICK MIARITIS</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Nick Miaritis</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 SCOTT MILLER</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Scott Miller</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E. SANDOVAL</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E. Sandoval</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495"/>
        </w:trPr>
        <w:tc>
          <w:tcPr>
            <w:tcW w:w="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PETER E. SHUMLIN</w:t>
            </w:r>
          </w:p>
        </w:tc>
        <w:tc>
          <w:tcPr>
            <w:tcW w:w="426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Director</w:t>
            </w:r>
          </w:p>
        </w:tc>
        <w:tc>
          <w:tcPr>
            <w:tcW w:w="1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8"/>
              </w:rPr>
              <w:t>February 13, 2026</w:t>
            </w:r>
          </w:p>
        </w:tc>
      </w:tr>
      <w:tr>
        <w:trPr>
          <w:trHeight w:val="228"/>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E. Shumlin</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59"/>
          </w:cols>
          <w:pgMar w:left="400" w:top="1440"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7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INDEX TO EXHIBITS</w:t>
            </w:r>
          </w:p>
        </w:tc>
        <w:tc>
          <w:tcPr>
            <w:tcW w:w="4880" w:type="dxa"/>
            <w:vAlign w:val="bottom"/>
            <w:gridSpan w:val="10"/>
          </w:tcPr>
          <w:p>
            <w:pPr>
              <w:spacing w:after="0"/>
              <w:rPr>
                <w:sz w:val="17"/>
                <w:szCs w:val="17"/>
                <w:color w:val="auto"/>
              </w:rPr>
            </w:pPr>
          </w:p>
        </w:tc>
      </w:tr>
      <w:tr>
        <w:trPr>
          <w:trHeight w:val="331"/>
        </w:trPr>
        <w:tc>
          <w:tcPr>
            <w:tcW w:w="1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720" w:type="dxa"/>
            <w:vAlign w:val="bottom"/>
          </w:tcPr>
          <w:p>
            <w:pPr>
              <w:spacing w:after="0"/>
              <w:rPr>
                <w:sz w:val="24"/>
                <w:szCs w:val="24"/>
                <w:color w:val="auto"/>
              </w:rPr>
            </w:pPr>
          </w:p>
        </w:tc>
        <w:tc>
          <w:tcPr>
            <w:tcW w:w="8780" w:type="dxa"/>
            <w:vAlign w:val="bottom"/>
            <w:gridSpan w:val="15"/>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Initial Articles of Incorporation of The Scotts Miracle-Gro Company as filed with the Ohio Secretary of State on</w:t>
              </w:r>
            </w:hyperlink>
          </w:p>
        </w:tc>
      </w:tr>
      <w:tr>
        <w:trPr>
          <w:trHeight w:val="196"/>
        </w:trPr>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10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November 22, 2004, incorporated herein by reference to Exhibit 3.1 to the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of The</w:t>
              </w:r>
            </w:hyperlink>
          </w:p>
        </w:tc>
        <w:tc>
          <w:tcPr>
            <w:tcW w:w="680" w:type="dxa"/>
            <w:vAlign w:val="bottom"/>
            <w:gridSpan w:val="4"/>
          </w:tcPr>
          <w:p>
            <w:pPr>
              <w:spacing w:after="0" w:line="196" w:lineRule="exact"/>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Scotts</w:t>
              </w:r>
            </w:hyperlink>
          </w:p>
        </w:tc>
      </w:tr>
      <w:tr>
        <w:trPr>
          <w:trHeight w:val="196"/>
        </w:trPr>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76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Miracle-Gro Company (the “Registrant”) filed on March 24, 2005</w:t>
              </w:r>
            </w:hyperlink>
          </w:p>
        </w:tc>
        <w:tc>
          <w:tcPr>
            <w:tcW w:w="3700" w:type="dxa"/>
            <w:vAlign w:val="bottom"/>
            <w:tcBorders>
              <w:top w:val="single" w:sz="8" w:color="0000FF"/>
            </w:tcBorders>
            <w:gridSpan w:val="6"/>
          </w:tcPr>
          <w:p>
            <w:pPr>
              <w:spacing w:after="0"/>
              <w:rPr>
                <w:sz w:val="17"/>
                <w:szCs w:val="17"/>
                <w:color w:val="auto"/>
              </w:rPr>
            </w:pPr>
          </w:p>
        </w:tc>
        <w:tc>
          <w:tcPr>
            <w:tcW w:w="320" w:type="dxa"/>
            <w:vAlign w:val="bottom"/>
            <w:gridSpan w:val="3"/>
          </w:tcPr>
          <w:p>
            <w:pPr>
              <w:spacing w:after="0"/>
              <w:rPr>
                <w:sz w:val="17"/>
                <w:szCs w:val="17"/>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720" w:type="dxa"/>
            <w:vAlign w:val="bottom"/>
          </w:tcPr>
          <w:p>
            <w:pPr>
              <w:spacing w:after="0"/>
              <w:rPr>
                <w:sz w:val="24"/>
                <w:szCs w:val="24"/>
                <w:color w:val="auto"/>
              </w:rPr>
            </w:pPr>
          </w:p>
        </w:tc>
        <w:tc>
          <w:tcPr>
            <w:tcW w:w="874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Certificate of Amendment by Shareholders to Articles of Incorporation of The Scotts Miracle-Gro Company as filed with</w:t>
              </w:r>
            </w:hyperlink>
          </w:p>
        </w:tc>
        <w:tc>
          <w:tcPr>
            <w:tcW w:w="40" w:type="dxa"/>
            <w:vAlign w:val="bottom"/>
            <w:gridSpan w:val="2"/>
          </w:tcPr>
          <w:p>
            <w:pPr>
              <w:spacing w:after="0"/>
              <w:rPr>
                <w:sz w:val="24"/>
                <w:szCs w:val="24"/>
                <w:color w:val="auto"/>
              </w:rPr>
            </w:pPr>
          </w:p>
        </w:tc>
      </w:tr>
      <w:tr>
        <w:trPr>
          <w:trHeight w:val="196"/>
        </w:trPr>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780" w:type="dxa"/>
            <w:vAlign w:val="bottom"/>
            <w:gridSpan w:val="15"/>
          </w:tcPr>
          <w:p>
            <w:pPr>
              <w:spacing w:after="0" w:line="196" w:lineRule="exact"/>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the Ohio Secretary of State on March 18, 2005, incorporated herein by reference to Exhibit 3.2 to the Registrant’s Current</w:t>
              </w:r>
            </w:hyperlink>
          </w:p>
        </w:tc>
      </w:tr>
      <w:tr>
        <w:trPr>
          <w:trHeight w:val="196"/>
        </w:trPr>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760" w:type="dxa"/>
            <w:vAlign w:val="bottom"/>
            <w:tcBorders>
              <w:top w:val="single" w:sz="8" w:color="0000FF"/>
            </w:tcBorders>
            <w:gridSpan w:val="14"/>
          </w:tcPr>
          <w:p>
            <w:pPr>
              <w:spacing w:after="0" w:line="196" w:lineRule="exact"/>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March 24, 2005</w:t>
              </w:r>
            </w:hyperlink>
          </w:p>
        </w:tc>
        <w:tc>
          <w:tcPr>
            <w:tcW w:w="20" w:type="dxa"/>
            <w:vAlign w:val="bottom"/>
          </w:tcPr>
          <w:p>
            <w:pPr>
              <w:spacing w:after="0"/>
              <w:rPr>
                <w:sz w:val="17"/>
                <w:szCs w:val="17"/>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5"/>
          </w:tcPr>
          <w:p>
            <w:pPr>
              <w:spacing w:after="0" w:line="20" w:lineRule="exact"/>
              <w:rPr>
                <w:sz w:val="1"/>
                <w:szCs w:val="1"/>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720" w:type="dxa"/>
            <w:vAlign w:val="bottom"/>
          </w:tcPr>
          <w:p>
            <w:pPr>
              <w:spacing w:after="0"/>
              <w:rPr>
                <w:sz w:val="24"/>
                <w:szCs w:val="24"/>
                <w:color w:val="auto"/>
              </w:rPr>
            </w:pPr>
          </w:p>
        </w:tc>
        <w:tc>
          <w:tcPr>
            <w:tcW w:w="8780" w:type="dxa"/>
            <w:vAlign w:val="bottom"/>
            <w:gridSpan w:val="15"/>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Code of Regulations of The Scotts Miracle-Gro Company, incorporated herein by reference to Exhibit 3.3 to the</w:t>
              </w:r>
            </w:hyperlink>
          </w:p>
        </w:tc>
      </w:tr>
      <w:tr>
        <w:trPr>
          <w:trHeight w:val="196"/>
        </w:trPr>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60" w:type="dxa"/>
            <w:vAlign w:val="bottom"/>
            <w:tcBorders>
              <w:top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Registrant’s Current Report on Form 8</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filed on March 24, 2005</w:t>
              </w:r>
            </w:hyperlink>
          </w:p>
        </w:tc>
        <w:tc>
          <w:tcPr>
            <w:tcW w:w="720" w:type="dxa"/>
            <w:vAlign w:val="bottom"/>
            <w:gridSpan w:val="5"/>
          </w:tcPr>
          <w:p>
            <w:pPr>
              <w:spacing w:after="0"/>
              <w:rPr>
                <w:sz w:val="17"/>
                <w:szCs w:val="17"/>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tcPr>
          <w:p>
            <w:pPr>
              <w:spacing w:after="0"/>
              <w:rPr>
                <w:sz w:val="24"/>
                <w:szCs w:val="24"/>
                <w:color w:val="auto"/>
              </w:rPr>
            </w:pPr>
          </w:p>
        </w:tc>
        <w:tc>
          <w:tcPr>
            <w:tcW w:w="47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Opinion of Chief Legal Officer of the Company</w:t>
            </w:r>
          </w:p>
        </w:tc>
        <w:tc>
          <w:tcPr>
            <w:tcW w:w="4020" w:type="dxa"/>
            <w:vAlign w:val="bottom"/>
            <w:gridSpan w:val="9"/>
          </w:tcPr>
          <w:p>
            <w:pPr>
              <w:spacing w:after="0"/>
              <w:rPr>
                <w:sz w:val="24"/>
                <w:szCs w:val="24"/>
                <w:color w:val="auto"/>
              </w:rPr>
            </w:pPr>
          </w:p>
        </w:tc>
      </w:tr>
      <w:tr>
        <w:trPr>
          <w:trHeight w:val="20"/>
        </w:trPr>
        <w:tc>
          <w:tcPr>
            <w:tcW w:w="8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40" w:type="dxa"/>
            <w:vAlign w:val="bottom"/>
            <w:gridSpan w:val="4"/>
            <w:shd w:val="clear" w:color="auto" w:fill="0000FF"/>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720" w:type="dxa"/>
            <w:vAlign w:val="bottom"/>
          </w:tcPr>
          <w:p>
            <w:pPr>
              <w:spacing w:after="0"/>
              <w:rPr>
                <w:sz w:val="24"/>
                <w:szCs w:val="24"/>
                <w:color w:val="auto"/>
              </w:rPr>
            </w:pPr>
          </w:p>
        </w:tc>
        <w:tc>
          <w:tcPr>
            <w:tcW w:w="77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The Scotts Miracle-Gro Company Long-Term Incentive Plan, as amended and restated on January 26, 2026</w:t>
            </w:r>
          </w:p>
        </w:tc>
        <w:tc>
          <w:tcPr>
            <w:tcW w:w="1040" w:type="dxa"/>
            <w:vAlign w:val="bottom"/>
            <w:gridSpan w:val="6"/>
          </w:tcPr>
          <w:p>
            <w:pPr>
              <w:spacing w:after="0"/>
              <w:rPr>
                <w:sz w:val="24"/>
                <w:szCs w:val="24"/>
                <w:color w:val="auto"/>
              </w:rPr>
            </w:pPr>
          </w:p>
        </w:tc>
      </w:tr>
      <w:tr>
        <w:trPr>
          <w:trHeight w:val="250"/>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720" w:type="dxa"/>
            <w:vAlign w:val="bottom"/>
          </w:tcPr>
          <w:p>
            <w:pPr>
              <w:spacing w:after="0"/>
              <w:rPr>
                <w:sz w:val="21"/>
                <w:szCs w:val="21"/>
                <w:color w:val="auto"/>
              </w:rPr>
            </w:pPr>
          </w:p>
        </w:tc>
        <w:tc>
          <w:tcPr>
            <w:tcW w:w="59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Consent of Deloitte &amp; Touche LLP, independent registered public accounting firm</w:t>
            </w:r>
          </w:p>
        </w:tc>
        <w:tc>
          <w:tcPr>
            <w:tcW w:w="2860" w:type="dxa"/>
            <w:vAlign w:val="bottom"/>
            <w:gridSpan w:val="7"/>
          </w:tcPr>
          <w:p>
            <w:pPr>
              <w:spacing w:after="0"/>
              <w:rPr>
                <w:sz w:val="21"/>
                <w:szCs w:val="21"/>
                <w:color w:val="auto"/>
              </w:rPr>
            </w:pPr>
          </w:p>
        </w:tc>
      </w:tr>
      <w:tr>
        <w:trPr>
          <w:trHeight w:val="466"/>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23.2</w:t>
            </w:r>
          </w:p>
        </w:tc>
        <w:tc>
          <w:tcPr>
            <w:tcW w:w="720" w:type="dxa"/>
            <w:vAlign w:val="bottom"/>
          </w:tcPr>
          <w:p>
            <w:pPr>
              <w:spacing w:after="0"/>
              <w:rPr>
                <w:sz w:val="24"/>
                <w:szCs w:val="24"/>
                <w:color w:val="auto"/>
              </w:rPr>
            </w:pPr>
          </w:p>
        </w:tc>
        <w:tc>
          <w:tcPr>
            <w:tcW w:w="52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Consent of Chief Legal Officer of the Company (included in Exhibit 5.1)</w:t>
            </w:r>
          </w:p>
        </w:tc>
        <w:tc>
          <w:tcPr>
            <w:tcW w:w="3520" w:type="dxa"/>
            <w:vAlign w:val="bottom"/>
            <w:gridSpan w:val="8"/>
          </w:tcPr>
          <w:p>
            <w:pPr>
              <w:spacing w:after="0"/>
              <w:rPr>
                <w:sz w:val="24"/>
                <w:szCs w:val="24"/>
                <w:color w:val="auto"/>
              </w:rPr>
            </w:pPr>
          </w:p>
        </w:tc>
      </w:tr>
      <w:tr>
        <w:trPr>
          <w:trHeight w:val="507"/>
        </w:trPr>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24.1</w:t>
            </w:r>
          </w:p>
        </w:tc>
        <w:tc>
          <w:tcPr>
            <w:tcW w:w="720" w:type="dxa"/>
            <w:vAlign w:val="bottom"/>
          </w:tcPr>
          <w:p>
            <w:pPr>
              <w:spacing w:after="0"/>
              <w:rPr>
                <w:sz w:val="24"/>
                <w:szCs w:val="24"/>
                <w:color w:val="auto"/>
              </w:rPr>
            </w:pPr>
          </w:p>
        </w:tc>
        <w:tc>
          <w:tcPr>
            <w:tcW w:w="878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Powers of Attorney (included on signature pages of Registration Statement)</w:t>
            </w:r>
          </w:p>
        </w:tc>
      </w:tr>
    </w:tbl>
    <w:p>
      <w:pPr>
        <w:spacing w:after="0" w:line="252" w:lineRule="exact"/>
        <w:rPr>
          <w:sz w:val="20"/>
          <w:szCs w:val="20"/>
          <w:color w:val="auto"/>
        </w:rPr>
      </w:pPr>
    </w:p>
    <w:p>
      <w:pPr>
        <w:ind w:left="1560" w:hanging="1273"/>
        <w:spacing w:after="0"/>
        <w:tabs>
          <w:tab w:leader="none" w:pos="15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Calculation of Filing Fee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320"/>
          </w:cols>
          <w:pgMar w:left="1020" w:top="1404" w:right="5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107</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Calculation of Filing Fee Table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S-8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Table 1: Newly Registered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063740" cy="1303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extLst>
                    </a:blip>
                    <a:srcRect/>
                    <a:stretch>
                      <a:fillRect/>
                    </a:stretch>
                  </pic:blipFill>
                  <pic:spPr bwMode="auto">
                    <a:xfrm>
                      <a:off x="0" y="0"/>
                      <a:ext cx="7063740" cy="1303020"/>
                    </a:xfrm>
                    <a:prstGeom prst="rect">
                      <a:avLst/>
                    </a:prstGeom>
                    <a:noFill/>
                  </pic:spPr>
                </pic:pic>
              </a:graphicData>
            </a:graphic>
          </wp:anchor>
        </w:drawing>
      </w:r>
    </w:p>
    <w:p>
      <w:pPr>
        <w:spacing w:after="0" w:line="282"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Proposed</w:t>
            </w:r>
          </w:p>
        </w:tc>
        <w:tc>
          <w:tcPr>
            <w:tcW w:w="1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1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Maximum</w:t>
            </w:r>
          </w:p>
        </w:tc>
        <w:tc>
          <w:tcPr>
            <w:tcW w:w="17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76"/>
        </w:trPr>
        <w:tc>
          <w:tcPr>
            <w:tcW w:w="1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320" w:type="dxa"/>
            <w:vAlign w:val="bottom"/>
          </w:tcPr>
          <w:p>
            <w:pPr>
              <w:jc w:val="center"/>
              <w:ind w:left="59"/>
              <w:spacing w:after="0" w:line="175" w:lineRule="exact"/>
              <w:rPr>
                <w:sz w:val="20"/>
                <w:szCs w:val="20"/>
                <w:color w:val="auto"/>
              </w:rPr>
            </w:pPr>
            <w:r>
              <w:rPr>
                <w:rFonts w:ascii="Times New Roman" w:cs="Times New Roman" w:eastAsia="Times New Roman" w:hAnsi="Times New Roman"/>
                <w:sz w:val="16"/>
                <w:szCs w:val="16"/>
                <w:color w:val="auto"/>
              </w:rPr>
              <w:t>Fee Calculation</w:t>
            </w:r>
          </w:p>
        </w:tc>
        <w:tc>
          <w:tcPr>
            <w:tcW w:w="106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Amount</w:t>
            </w: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rPr>
              <w:t>Offering Price Per</w:t>
            </w:r>
          </w:p>
        </w:tc>
        <w:tc>
          <w:tcPr>
            <w:tcW w:w="1740" w:type="dxa"/>
            <w:vAlign w:val="bottom"/>
          </w:tcPr>
          <w:p>
            <w:pPr>
              <w:jc w:val="center"/>
              <w:ind w:right="99"/>
              <w:spacing w:after="0" w:line="175" w:lineRule="exact"/>
              <w:rPr>
                <w:sz w:val="20"/>
                <w:szCs w:val="20"/>
                <w:color w:val="auto"/>
              </w:rPr>
            </w:pPr>
            <w:r>
              <w:rPr>
                <w:rFonts w:ascii="Times New Roman" w:cs="Times New Roman" w:eastAsia="Times New Roman" w:hAnsi="Times New Roman"/>
                <w:sz w:val="16"/>
                <w:szCs w:val="16"/>
                <w:color w:val="auto"/>
              </w:rPr>
              <w:t>Maximum Aggregate</w:t>
            </w:r>
          </w:p>
        </w:tc>
        <w:tc>
          <w:tcPr>
            <w:tcW w:w="1080" w:type="dxa"/>
            <w:vAlign w:val="bottom"/>
          </w:tcPr>
          <w:p>
            <w:pPr>
              <w:spacing w:after="0"/>
              <w:rPr>
                <w:sz w:val="15"/>
                <w:szCs w:val="15"/>
                <w:color w:val="auto"/>
              </w:rPr>
            </w:pPr>
          </w:p>
        </w:tc>
        <w:tc>
          <w:tcPr>
            <w:tcW w:w="1320" w:type="dxa"/>
            <w:vAlign w:val="bottom"/>
          </w:tcPr>
          <w:p>
            <w:pPr>
              <w:jc w:val="center"/>
              <w:ind w:left="159"/>
              <w:spacing w:after="0" w:line="175" w:lineRule="exact"/>
              <w:rPr>
                <w:sz w:val="20"/>
                <w:szCs w:val="20"/>
                <w:color w:val="auto"/>
              </w:rPr>
            </w:pPr>
            <w:r>
              <w:rPr>
                <w:rFonts w:ascii="Times New Roman" w:cs="Times New Roman" w:eastAsia="Times New Roman" w:hAnsi="Times New Roman"/>
                <w:sz w:val="16"/>
                <w:szCs w:val="16"/>
                <w:color w:val="auto"/>
              </w:rPr>
              <w:t>Amount of</w:t>
            </w:r>
          </w:p>
        </w:tc>
      </w:tr>
      <w:tr>
        <w:trPr>
          <w:trHeight w:val="224"/>
        </w:trPr>
        <w:tc>
          <w:tcPr>
            <w:tcW w:w="1180" w:type="dxa"/>
            <w:vAlign w:val="bottom"/>
          </w:tcPr>
          <w:p>
            <w:pPr>
              <w:spacing w:after="0"/>
              <w:rPr>
                <w:sz w:val="20"/>
                <w:szCs w:val="20"/>
                <w:color w:val="auto"/>
              </w:rPr>
            </w:pPr>
            <w:r>
              <w:rPr>
                <w:rFonts w:ascii="Times New Roman" w:cs="Times New Roman" w:eastAsia="Times New Roman" w:hAnsi="Times New Roman"/>
                <w:sz w:val="16"/>
                <w:szCs w:val="16"/>
                <w:color w:val="auto"/>
              </w:rPr>
              <w:t>Security Type</w:t>
            </w:r>
          </w:p>
        </w:tc>
        <w:tc>
          <w:tcPr>
            <w:tcW w:w="1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Security Class Title</w:t>
            </w:r>
          </w:p>
        </w:tc>
        <w:tc>
          <w:tcPr>
            <w:tcW w:w="1320" w:type="dxa"/>
            <w:vAlign w:val="bottom"/>
          </w:tcPr>
          <w:p>
            <w:pPr>
              <w:jc w:val="center"/>
              <w:ind w:left="39"/>
              <w:spacing w:after="0"/>
              <w:rPr>
                <w:sz w:val="20"/>
                <w:szCs w:val="20"/>
                <w:color w:val="auto"/>
              </w:rPr>
            </w:pPr>
            <w:r>
              <w:rPr>
                <w:rFonts w:ascii="Times New Roman" w:cs="Times New Roman" w:eastAsia="Times New Roman" w:hAnsi="Times New Roman"/>
                <w:sz w:val="16"/>
                <w:szCs w:val="16"/>
                <w:color w:val="auto"/>
              </w:rPr>
              <w:t>Rule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Registered(1)</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Share(2)</w:t>
            </w:r>
          </w:p>
        </w:tc>
        <w:tc>
          <w:tcPr>
            <w:tcW w:w="174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Offering Price(2)</w:t>
            </w:r>
          </w:p>
        </w:tc>
        <w:tc>
          <w:tcPr>
            <w:tcW w:w="1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Fee Rate</w:t>
            </w:r>
          </w:p>
        </w:tc>
        <w:tc>
          <w:tcPr>
            <w:tcW w:w="1320" w:type="dxa"/>
            <w:vAlign w:val="bottom"/>
          </w:tcPr>
          <w:p>
            <w:pPr>
              <w:jc w:val="center"/>
              <w:ind w:left="159"/>
              <w:spacing w:after="0"/>
              <w:rPr>
                <w:sz w:val="20"/>
                <w:szCs w:val="20"/>
                <w:color w:val="auto"/>
              </w:rPr>
            </w:pPr>
            <w:r>
              <w:rPr>
                <w:rFonts w:ascii="Times New Roman" w:cs="Times New Roman" w:eastAsia="Times New Roman" w:hAnsi="Times New Roman"/>
                <w:sz w:val="16"/>
                <w:szCs w:val="16"/>
                <w:color w:val="auto"/>
              </w:rPr>
              <w:t>Registration Fee</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Equity</w:t>
            </w:r>
          </w:p>
        </w:tc>
        <w:tc>
          <w:tcPr>
            <w:tcW w:w="25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Common Shares, without par</w:t>
            </w:r>
          </w:p>
        </w:tc>
        <w:tc>
          <w:tcPr>
            <w:tcW w:w="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457(h)</w:t>
            </w: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2,750,000</w:t>
            </w:r>
          </w:p>
        </w:tc>
        <w:tc>
          <w:tcPr>
            <w:tcW w:w="11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$65.70</w:t>
            </w: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$180,675,000.00</w:t>
            </w:r>
          </w:p>
        </w:tc>
        <w:tc>
          <w:tcPr>
            <w:tcW w:w="13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0.00013810</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$24,951.22</w:t>
            </w:r>
          </w:p>
        </w:tc>
      </w:tr>
      <w:tr>
        <w:trPr>
          <w:trHeight w:val="210"/>
        </w:trPr>
        <w:tc>
          <w:tcPr>
            <w:tcW w:w="1080" w:type="dxa"/>
            <w:vAlign w:val="bottom"/>
          </w:tcPr>
          <w:p>
            <w:pPr>
              <w:spacing w:after="0"/>
              <w:rPr>
                <w:sz w:val="18"/>
                <w:szCs w:val="18"/>
                <w:color w:val="auto"/>
              </w:rPr>
            </w:pPr>
          </w:p>
        </w:tc>
        <w:tc>
          <w:tcPr>
            <w:tcW w:w="250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w w:val="97"/>
              </w:rPr>
              <w:t>value</w:t>
            </w:r>
          </w:p>
        </w:tc>
        <w:tc>
          <w:tcPr>
            <w:tcW w:w="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33"/>
        </w:trPr>
        <w:tc>
          <w:tcPr>
            <w:tcW w:w="108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8"/>
        </w:trPr>
        <w:tc>
          <w:tcPr>
            <w:tcW w:w="1080" w:type="dxa"/>
            <w:vAlign w:val="bottom"/>
          </w:tcPr>
          <w:p>
            <w:pPr>
              <w:spacing w:after="0"/>
              <w:rPr>
                <w:sz w:val="19"/>
                <w:szCs w:val="19"/>
                <w:color w:val="auto"/>
              </w:rPr>
            </w:pPr>
          </w:p>
        </w:tc>
        <w:tc>
          <w:tcPr>
            <w:tcW w:w="25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Total Offering Amounts</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$180,675,000.00</w:t>
            </w:r>
          </w:p>
        </w:tc>
        <w:tc>
          <w:tcPr>
            <w:tcW w:w="13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$24,951.22</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8"/>
        </w:trPr>
        <w:tc>
          <w:tcPr>
            <w:tcW w:w="1080" w:type="dxa"/>
            <w:vAlign w:val="bottom"/>
          </w:tcPr>
          <w:p>
            <w:pPr>
              <w:spacing w:after="0"/>
              <w:rPr>
                <w:sz w:val="19"/>
                <w:szCs w:val="19"/>
                <w:color w:val="auto"/>
              </w:rPr>
            </w:pPr>
          </w:p>
        </w:tc>
        <w:tc>
          <w:tcPr>
            <w:tcW w:w="250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rPr>
              <w:t>Total Fee Offsets</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22"/>
        </w:trPr>
        <w:tc>
          <w:tcPr>
            <w:tcW w:w="10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8"/>
        </w:trPr>
        <w:tc>
          <w:tcPr>
            <w:tcW w:w="1080" w:type="dxa"/>
            <w:vAlign w:val="bottom"/>
          </w:tcPr>
          <w:p>
            <w:pPr>
              <w:spacing w:after="0"/>
              <w:rPr>
                <w:sz w:val="19"/>
                <w:szCs w:val="19"/>
                <w:color w:val="auto"/>
              </w:rPr>
            </w:pPr>
          </w:p>
        </w:tc>
        <w:tc>
          <w:tcPr>
            <w:tcW w:w="250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Net Fee Due</w:t>
            </w:r>
          </w:p>
        </w:tc>
        <w:tc>
          <w:tcPr>
            <w:tcW w:w="7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$24,951.22</w:t>
            </w:r>
          </w:p>
        </w:tc>
      </w:tr>
    </w:tbl>
    <w:p>
      <w:pPr>
        <w:spacing w:after="0" w:line="112" w:lineRule="exact"/>
        <w:rPr>
          <w:sz w:val="20"/>
          <w:szCs w:val="20"/>
          <w:color w:val="auto"/>
        </w:rPr>
      </w:pPr>
    </w:p>
    <w:p>
      <w:pPr>
        <w:ind w:left="500" w:right="40" w:hanging="492"/>
        <w:spacing w:after="0" w:line="255" w:lineRule="auto"/>
        <w:tabs>
          <w:tab w:leader="none" w:pos="36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Represents an increase in the number of common shares, without par value (the “Common Shares”), of The Scotts Miracle-Gro Company (the “Registrant”) that may be issued under The Scotts Miracle-Gro Company Long-Term Incentive Plan, as amended and restated effective January 26, 2026 (the “Plan”). These Common Shares are in addition to the Common Shares which were previously authorized for issuance under the Plan and which had not been awarded and remained unissued as of January 26, 2026. In addition, pursuant to Rule 416(a) under the Securities Act of 1933, as amended, this Registration Statement also covers an indeterminate number of additional Common Shares that may become issuable under the terms of the Plan to prevent dilution resulting from any stock split, stock dividend, recapitalization or other similar transaction affecting the Common Shares.</w:t>
      </w:r>
    </w:p>
    <w:p>
      <w:pPr>
        <w:spacing w:after="0" w:line="215" w:lineRule="exact"/>
        <w:rPr>
          <w:rFonts w:ascii="Times New Roman" w:cs="Times New Roman" w:eastAsia="Times New Roman" w:hAnsi="Times New Roman"/>
          <w:sz w:val="16"/>
          <w:szCs w:val="16"/>
          <w:color w:val="auto"/>
        </w:rPr>
      </w:pPr>
    </w:p>
    <w:p>
      <w:pPr>
        <w:ind w:left="500" w:right="180" w:hanging="492"/>
        <w:spacing w:after="0" w:line="266" w:lineRule="auto"/>
        <w:tabs>
          <w:tab w:leader="none" w:pos="365"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Estimated solely for the purpose of calculating the aggregate offering price and the registration fee pursuant to Rules 457(c) and 457(h) promulgated under the Securities Act, as amended, and computed on the basis of $65.70, which is the average of the high and low sales prices for a Common Share as reported on the New York Stock Exchange on February 6, 2026.</w:t>
      </w:r>
    </w:p>
    <w:p>
      <w:pPr>
        <w:sectPr>
          <w:pgSz w:w="11900" w:h="16838" w:orient="portrait"/>
          <w:cols w:equalWidth="0" w:num="1">
            <w:col w:w="11240"/>
          </w:cols>
          <w:pgMar w:left="320" w:top="60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[LOGO]</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Exhibit 5.1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February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Scotts Miracle-Gro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14111 Scottslawn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Marysville, Ohio 43041</w:t>
      </w:r>
    </w:p>
    <w:p>
      <w:pPr>
        <w:spacing w:after="0" w:line="207" w:lineRule="exact"/>
        <w:rPr>
          <w:sz w:val="20"/>
          <w:szCs w:val="20"/>
          <w:color w:val="auto"/>
        </w:rPr>
      </w:pPr>
    </w:p>
    <w:p>
      <w:pPr>
        <w:ind w:left="660"/>
        <w:spacing w:after="0"/>
        <w:tabs>
          <w:tab w:leader="none" w:pos="106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The Scotts Miracle-Gro Company Registration Statement on Form S-8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8" w:lineRule="exact"/>
        <w:rPr>
          <w:sz w:val="20"/>
          <w:szCs w:val="20"/>
          <w:color w:val="auto"/>
        </w:rPr>
      </w:pPr>
    </w:p>
    <w:p>
      <w:pPr>
        <w:ind w:right="220" w:firstLine="648"/>
        <w:spacing w:after="0" w:line="243" w:lineRule="auto"/>
        <w:rPr>
          <w:sz w:val="20"/>
          <w:szCs w:val="20"/>
          <w:color w:val="auto"/>
        </w:rPr>
      </w:pPr>
      <w:r>
        <w:rPr>
          <w:rFonts w:ascii="Times New Roman" w:cs="Times New Roman" w:eastAsia="Times New Roman" w:hAnsi="Times New Roman"/>
          <w:sz w:val="18"/>
          <w:szCs w:val="18"/>
          <w:color w:val="auto"/>
        </w:rPr>
        <w:t>I am the Chief Legal Officer of The Scotts Miracle-Gro Company, an Ohio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have represented the Company in connection with the Registration Statement on Form S-8 of the Company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to be filed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on the date hereof, relating to the registration of 2,750,000 common shares, without par value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of the Company, issuable pursuant to The Scotts Miracle-Gro Company Long-Term Incentive Plan, as amended and restated effective January 26, 2026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 have examined originals or copies, certified or otherwise identified to my satisfaction, of such documents, corporate records, certificates of public officials and other instruments as I have deemed necessary for the purposes of rendering this opinion. In my examination, I have assumed the genuineness of all signatures, the legal capacity and competency of all natural persons, the authenticity of all documents submitted to me as originals and the conformity to original documents of all documents submitted to me as copies.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Based upon the foregoing and subject to the assumptions, qualifications and limitations set forth herein, I am of the opinion that the shares of Common Stock described above, when issued and sold in accordance with the terms set forth in the Plan and against payment therefor, and when the Registration Statement has become effective under the Securities Act, will be validly issued, fully paid and non-assessable.</w:t>
      </w:r>
    </w:p>
    <w:p>
      <w:pPr>
        <w:spacing w:after="0" w:line="20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 express no opinion as to the laws of any jurisdiction other than any published constitutions, treaties, laws, rules or regulations or judicial or administrative decisions of the State of Ohio.</w:t>
      </w:r>
    </w:p>
    <w:p>
      <w:pPr>
        <w:spacing w:after="0" w:line="18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I hereby consent to the filing of this opinion as an exhibit to the Registration Statement and to the use of my name in the Prospectus and any supplement thereto forming a part of the Registration Statement under the caption “Legal Matters.” In giving this consent, I do not thereby admit that I am within the category of persons whose consent is required under Section 7 of the Securities Act and the rules and regulations of the Commission thereunder.</w:t>
      </w:r>
    </w:p>
    <w:p>
      <w:pPr>
        <w:spacing w:after="0" w:line="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DIMITER TODOROV</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Dimiter Todorov</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Executive Vice President, Chief Legal Officer &amp; Corporate Secretary</w:t>
      </w:r>
    </w:p>
    <w:p>
      <w:pPr>
        <w:sectPr>
          <w:pgSz w:w="11900" w:h="16838" w:orient="portrait"/>
          <w:cols w:equalWidth="0" w:num="1">
            <w:col w:w="11240"/>
          </w:cols>
          <w:pgMar w:left="320" w:top="607" w:right="339" w:bottom="1440" w:gutter="0" w:footer="0" w:header="0"/>
        </w:sectPr>
      </w:pPr>
    </w:p>
    <w:bookmarkStart w:id="11" w:name="page12"/>
    <w:bookmarkEnd w:id="11"/>
    <w:p>
      <w:pPr>
        <w:ind w:left="10360"/>
        <w:spacing w:after="0"/>
        <w:rPr>
          <w:sz w:val="20"/>
          <w:szCs w:val="20"/>
          <w:color w:val="auto"/>
        </w:rPr>
      </w:pPr>
      <w:r>
        <w:rPr>
          <w:rFonts w:ascii="Times New Roman" w:cs="Times New Roman" w:eastAsia="Times New Roman" w:hAnsi="Times New Roman"/>
          <w:sz w:val="17"/>
          <w:szCs w:val="17"/>
          <w:u w:val="single" w:color="auto"/>
          <w:color w:val="auto"/>
        </w:rPr>
        <w:t>Exhibit 10.1</w:t>
      </w:r>
    </w:p>
    <w:p>
      <w:pPr>
        <w:spacing w:after="0" w:line="32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THE SCOTTS MIRACLE-GRO COMPANY</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LONG-TERM INCENTIVE PLAN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JANUARY 26, 2026)</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Establishment, Purpose, and Duration</w:t>
      </w:r>
    </w:p>
    <w:p>
      <w:pPr>
        <w:spacing w:after="0" w:line="25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i w:val="1"/>
          <w:iCs w:val="1"/>
          <w:color w:val="auto"/>
        </w:rPr>
        <w:t>Establishment.</w:t>
      </w:r>
      <w:r>
        <w:rPr>
          <w:rFonts w:ascii="Times New Roman" w:cs="Times New Roman" w:eastAsia="Times New Roman" w:hAnsi="Times New Roman"/>
          <w:sz w:val="18"/>
          <w:szCs w:val="18"/>
          <w:color w:val="auto"/>
        </w:rPr>
        <w:t xml:space="preserve"> This Plan, an incentive compensation plan, was established by The Scotts Miracle-Gro Company. This Plan was originally effective on January 26, 2006, was amended and restated effective as of October 30, 2007, January 20, 2010, January 17, 2013, January 27, 2017, January 24, 2022, January 23, 2023, January 22, 2024 and is hereby further amended and restated effective as of January 26, 2026 (the “Effective Date”), as set forth in this document. This Plan shall remain in effect as provided in Section 1.3 hereof.</w:t>
      </w:r>
    </w:p>
    <w:p>
      <w:pPr>
        <w:spacing w:after="0" w:line="20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Plan permits the grant of Nonqualified Stock Options, Incentive Stock Options, Stock Appreciation Rights, Restricted Stock, Restricted Stock Units, Performance Shares, Performance Units and Other Stock-Based Awards. Awards granted under the Plan prior to the Effective Date shall continue to be governed by the applicable Award Agreements and the terms of the Plan without giving effect to the changes made pursuant to this amendment and restatement, and the Committee shall administer such Awards in accordance with the Plan without giving effect to changes made pursuant to this amendment and restatement.</w:t>
      </w:r>
    </w:p>
    <w:p>
      <w:pPr>
        <w:spacing w:after="0" w:line="208"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i w:val="1"/>
          <w:iCs w:val="1"/>
          <w:color w:val="auto"/>
        </w:rPr>
        <w:t>Purpose of this Plan.</w:t>
      </w:r>
      <w:r>
        <w:rPr>
          <w:rFonts w:ascii="Times New Roman" w:cs="Times New Roman" w:eastAsia="Times New Roman" w:hAnsi="Times New Roman"/>
          <w:sz w:val="18"/>
          <w:szCs w:val="18"/>
          <w:color w:val="auto"/>
        </w:rPr>
        <w:t xml:space="preserve"> The purpose of this Plan is to provide a means whereby Employees, Directors and Third-Party Service Providers develop a sense of proprietorship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able individuals to become Employees or serve as Directors or Third-Party Service Providers and to provide a means whereby those individuals upon whom the responsibilities of the successful administration and management of the Company are of importance, can acquire and maintain stock ownership, thereby strengthening their concern for the welfare of the Company.</w:t>
      </w:r>
    </w:p>
    <w:p>
      <w:pPr>
        <w:spacing w:after="0" w:line="209"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i w:val="1"/>
          <w:iCs w:val="1"/>
          <w:color w:val="auto"/>
        </w:rPr>
        <w:t>Duration of this Plan.</w:t>
      </w:r>
      <w:r>
        <w:rPr>
          <w:rFonts w:ascii="Times New Roman" w:cs="Times New Roman" w:eastAsia="Times New Roman" w:hAnsi="Times New Roman"/>
          <w:sz w:val="18"/>
          <w:szCs w:val="18"/>
          <w:color w:val="auto"/>
        </w:rPr>
        <w:t xml:space="preserve"> Unless sooner terminated as provided herein, this Plan shall terminate on January 23, 2032. After this Plan is terminated, no Awards may be granted but Awards previously granted shall remain outstanding in accordance with their applicable terms and conditions and this Plan’s terms and conditions.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5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Whenever used in this Plan, the following terms shall have the meanings set forth below, and when the meaning is intended, the initial letter of the word shall be capitalized.</w:t>
      </w:r>
    </w:p>
    <w:p>
      <w:pPr>
        <w:spacing w:after="0" w:line="187"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i w:val="1"/>
          <w:iCs w:val="1"/>
          <w:color w:val="auto"/>
        </w:rPr>
        <w:t>“Affiliate”</w:t>
      </w:r>
      <w:r>
        <w:rPr>
          <w:rFonts w:ascii="Times New Roman" w:cs="Times New Roman" w:eastAsia="Times New Roman" w:hAnsi="Times New Roman"/>
          <w:sz w:val="18"/>
          <w:szCs w:val="18"/>
          <w:color w:val="auto"/>
        </w:rPr>
        <w:t xml:space="preserve"> shall mean any corporation or other entity (including, but not limited to, a partnership or a limited liability company), that is affiliated with the Company through stock or equity ownership or otherwise, and is designated as an Affiliate for purposes of this Plan by the Committee.</w:t>
      </w:r>
    </w:p>
    <w:p>
      <w:pPr>
        <w:spacing w:after="0" w:line="185" w:lineRule="exact"/>
        <w:rPr>
          <w:sz w:val="20"/>
          <w:szCs w:val="20"/>
          <w:color w:val="auto"/>
        </w:rPr>
      </w:pPr>
    </w:p>
    <w:p>
      <w:pPr>
        <w:ind w:right="2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i w:val="1"/>
          <w:iCs w:val="1"/>
          <w:color w:val="auto"/>
        </w:rPr>
        <w:t>“Award”</w:t>
      </w:r>
      <w:r>
        <w:rPr>
          <w:rFonts w:ascii="Times New Roman" w:cs="Times New Roman" w:eastAsia="Times New Roman" w:hAnsi="Times New Roman"/>
          <w:sz w:val="18"/>
          <w:szCs w:val="18"/>
          <w:color w:val="auto"/>
        </w:rPr>
        <w:t xml:space="preserve"> means, individually or collectively, a grant under this Plan of Nonqualified Stock Options, Incentive Stock Options, SARs, Restricted Stock, Restricted Stock Units, Performance Shares, Performance Units or Other Stock-Based Awards, in each case subject to the terms of this Plan.</w:t>
      </w:r>
    </w:p>
    <w:p>
      <w:pPr>
        <w:spacing w:after="0" w:line="200"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xml:space="preserve"> means either (i) a written agreement entered into by the Company and a Participant setting forth the terms and provisions applicable to an Award granted under this Plan or (ii) a written or electronic statement issued by the Company to a Participant describing the terms and provisions of such Award, including in each case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210"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i w:val="1"/>
          <w:iCs w:val="1"/>
          <w:color w:val="auto"/>
        </w:rPr>
        <w:t>“Beneficial Owner”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“Beneficial Ownership”</w:t>
      </w:r>
      <w:r>
        <w:rPr>
          <w:rFonts w:ascii="Times New Roman" w:cs="Times New Roman" w:eastAsia="Times New Roman" w:hAnsi="Times New Roman"/>
          <w:sz w:val="18"/>
          <w:szCs w:val="18"/>
          <w:color w:val="auto"/>
        </w:rPr>
        <w:t xml:space="preserve"> shall have the meaning ascribed to such term in Rule 13d-3 of the General Rules and Regulations under the Exchange Act.</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391" w:right="339" w:bottom="1440" w:gutter="0" w:footer="0" w:header="0"/>
        </w:sectPr>
      </w:pPr>
    </w:p>
    <w:bookmarkStart w:id="12" w:name="page13"/>
    <w:bookmarkEnd w:id="12"/>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i w:val="1"/>
          <w:iCs w:val="1"/>
          <w:color w:val="auto"/>
        </w:rPr>
        <w:t xml:space="preserve">“Board”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“Board of Directors” </w:t>
      </w:r>
      <w:r>
        <w:rPr>
          <w:rFonts w:ascii="Times New Roman" w:cs="Times New Roman" w:eastAsia="Times New Roman" w:hAnsi="Times New Roman"/>
          <w:sz w:val="17"/>
          <w:szCs w:val="17"/>
          <w:color w:val="auto"/>
        </w:rPr>
        <w:t>means the Board of Directors of the Company.</w:t>
      </w:r>
    </w:p>
    <w:p>
      <w:pPr>
        <w:spacing w:after="0" w:line="252"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i w:val="1"/>
          <w:iCs w:val="1"/>
          <w:color w:val="auto"/>
        </w:rPr>
        <w:t xml:space="preserve">“Cause” </w:t>
      </w:r>
      <w:r>
        <w:rPr>
          <w:rFonts w:ascii="Times New Roman" w:cs="Times New Roman" w:eastAsia="Times New Roman" w:hAnsi="Times New Roman"/>
          <w:sz w:val="17"/>
          <w:szCs w:val="17"/>
          <w:color w:val="auto"/>
        </w:rPr>
        <w:t>means, unless otherwise specified in an Award Agreement or in an applicable employment agreement between the Company and a</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 with respect to any Participant, that the Participant has:</w:t>
      </w:r>
    </w:p>
    <w:p>
      <w:pPr>
        <w:spacing w:after="0" w:line="234" w:lineRule="exact"/>
        <w:rPr>
          <w:sz w:val="20"/>
          <w:szCs w:val="20"/>
          <w:color w:val="auto"/>
        </w:rPr>
      </w:pPr>
    </w:p>
    <w:p>
      <w:pPr>
        <w:ind w:left="1680" w:hanging="376"/>
        <w:spacing w:after="0"/>
        <w:tabs>
          <w:tab w:leader="none" w:pos="1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willfully and materially breached the terms of any employment agreement between the Participant and the Company;</w:t>
      </w:r>
    </w:p>
    <w:p>
      <w:pPr>
        <w:spacing w:after="0" w:line="252"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in willful misconduct that has materially injured the business of the Company or any Subsidiary or Affiliate;</w:t>
      </w:r>
    </w:p>
    <w:p>
      <w:pPr>
        <w:spacing w:after="0" w:line="252"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willfully committed a material act of fraud or material breach of the Participant’s duty of loyalty to the Company or any Subsidiary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Affiliate;</w:t>
      </w:r>
    </w:p>
    <w:p>
      <w:pPr>
        <w:spacing w:after="0" w:line="234" w:lineRule="exact"/>
        <w:rPr>
          <w:sz w:val="20"/>
          <w:szCs w:val="20"/>
          <w:color w:val="auto"/>
        </w:rPr>
      </w:pPr>
    </w:p>
    <w:p>
      <w:pPr>
        <w:ind w:right="300" w:firstLine="1304"/>
        <w:spacing w:after="0" w:line="266" w:lineRule="auto"/>
        <w:tabs>
          <w:tab w:leader="none" w:pos="168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willfully and continually failed to attempt in good faith to perform the Participant’s duties hereunder (other than any such failure resulting from the Participant’s incapacity due to physical or mental illness), after written notice has been delivered to the Participant by the Company, which notice specifically identifies the manner in which the Participant has not attempted in good faith to perform his duties; or</w:t>
      </w:r>
    </w:p>
    <w:p>
      <w:pPr>
        <w:spacing w:after="0" w:line="200" w:lineRule="exact"/>
        <w:rPr>
          <w:rFonts w:ascii="Times New Roman" w:cs="Times New Roman" w:eastAsia="Times New Roman" w:hAnsi="Times New Roman"/>
          <w:sz w:val="18"/>
          <w:szCs w:val="18"/>
          <w:color w:val="auto"/>
        </w:rPr>
      </w:pPr>
    </w:p>
    <w:p>
      <w:pPr>
        <w:ind w:right="240" w:firstLine="1304"/>
        <w:spacing w:after="0" w:line="284" w:lineRule="auto"/>
        <w:tabs>
          <w:tab w:leader="none" w:pos="16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been convicted, or plead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for the commission of an act or acts constituting a felony under the laws of the United States or any state thereof.</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For purposes of subsections (a) – (d), no act, or failure to act, on the Participant’s part shall be deemed “willful” unless, the Company reasonably determines, in good faith, that it was done, or omitted to be done, by the Participant not in good faith and without reasonable belief that his act, or failure to act, was in the best interest of the Company or any Subsidiary or Affiliate.</w:t>
      </w:r>
    </w:p>
    <w:p>
      <w:pPr>
        <w:spacing w:after="0" w:line="201"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means the occurrence of any of the following:</w:t>
      </w:r>
    </w:p>
    <w:p>
      <w:pPr>
        <w:spacing w:after="0" w:line="254" w:lineRule="exact"/>
        <w:rPr>
          <w:sz w:val="20"/>
          <w:szCs w:val="20"/>
          <w:color w:val="auto"/>
        </w:rPr>
      </w:pPr>
    </w:p>
    <w:p>
      <w:pPr>
        <w:ind w:right="60" w:firstLine="1304"/>
        <w:spacing w:after="0" w:line="266" w:lineRule="auto"/>
        <w:tabs>
          <w:tab w:leader="none" w:pos="167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Board on the Effective Date (“Incumbent Directors”) cease for any reason other than death to constitute at least a majority of the members of the Board, provided that any director whose election, or nomination for election by the Company’s shareholders, was approved by a vote of at least a majority of the then Incumbent Directors also will be treated as an Incumbent Director; or</w:t>
      </w:r>
    </w:p>
    <w:p>
      <w:pPr>
        <w:spacing w:after="0" w:line="202" w:lineRule="exact"/>
        <w:rPr>
          <w:rFonts w:ascii="Times New Roman" w:cs="Times New Roman" w:eastAsia="Times New Roman" w:hAnsi="Times New Roman"/>
          <w:sz w:val="18"/>
          <w:szCs w:val="18"/>
          <w:color w:val="auto"/>
        </w:rPr>
      </w:pPr>
    </w:p>
    <w:p>
      <w:pPr>
        <w:ind w:right="20" w:firstLine="1304"/>
        <w:spacing w:after="0" w:line="261" w:lineRule="auto"/>
        <w:tabs>
          <w:tab w:leader="none" w:pos="16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including a “group” (as such terms are used in Sections 13(d) and 14(d)(2) of the Exchange Act, but excluding the Company, any of its Subsidiaries, any employee benefit plan of the Company or any of its Subsidiaries or Hagedorn Partnership, L.P. or any party related to Hagedorn Partnership, L.P. as determined by the Committee) becomes the Beneficial Owner, directly or indirectly, of securities of the Company representing more than thirty percent (30%) of the combined voting power of the Company’s then outstanding securities; or</w:t>
      </w:r>
    </w:p>
    <w:p>
      <w:pPr>
        <w:spacing w:after="0" w:line="206" w:lineRule="exact"/>
        <w:rPr>
          <w:rFonts w:ascii="Times New Roman" w:cs="Times New Roman" w:eastAsia="Times New Roman" w:hAnsi="Times New Roman"/>
          <w:sz w:val="18"/>
          <w:szCs w:val="18"/>
          <w:color w:val="auto"/>
        </w:rPr>
      </w:pPr>
    </w:p>
    <w:p>
      <w:pPr>
        <w:ind w:firstLine="1304"/>
        <w:spacing w:after="0" w:line="266" w:lineRule="auto"/>
        <w:tabs>
          <w:tab w:leader="none" w:pos="16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Consummation of (i) the merger or other business combination of the Company with or into another entity in which the shareholders of the Company immediately before the effective date of such merger or other business combination own less than fifty percent (50%) of the voting power in such entity; or (ii) the sale or other disposition of all or substantially all of the assets of the Company; or</w:t>
      </w:r>
    </w:p>
    <w:p>
      <w:pPr>
        <w:spacing w:after="0" w:line="202"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by the shareholders of the Company of a plan relating to the liquidation or dissolution of the Company; or</w:t>
      </w:r>
    </w:p>
    <w:p>
      <w:pPr>
        <w:spacing w:after="0" w:line="252" w:lineRule="exact"/>
        <w:rPr>
          <w:rFonts w:ascii="Times New Roman" w:cs="Times New Roman" w:eastAsia="Times New Roman" w:hAnsi="Times New Roman"/>
          <w:sz w:val="18"/>
          <w:szCs w:val="18"/>
          <w:color w:val="auto"/>
        </w:rPr>
      </w:pPr>
    </w:p>
    <w:p>
      <w:pPr>
        <w:ind w:right="40" w:firstLine="1304"/>
        <w:spacing w:after="0" w:line="266" w:lineRule="auto"/>
        <w:tabs>
          <w:tab w:leader="none" w:pos="167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reason, Hagedorn Partnership, L.P. or any party related to Hagedorn Partnership, L.P. as determined by the Committee becomes the Beneficial Owner, directly or indirectly, of securities of the Company representing more than forty-nine percent (49%) of the combined voting power of the Company’s then outstanding securities.</w:t>
      </w:r>
    </w:p>
    <w:p>
      <w:pPr>
        <w:spacing w:after="0" w:line="203"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Committee may provide for a more restrictive definition of Change in Control in an Award Agreement if necessary or appropriate to comply with Code Section 409A or as the Committee deems appropriate.</w:t>
      </w:r>
    </w:p>
    <w:p>
      <w:pPr>
        <w:spacing w:after="0" w:line="189"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an Award that is subject to Code Section 409A will not be paid or settled upon a Change in Control unless the Change in Control also constitutes a “change in control event” under Code Section 409A and Treasury Regulation Section 1.409A-3(i)(5).</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132" w:right="339" w:bottom="1440" w:gutter="0" w:footer="0" w:header="0"/>
        </w:sectPr>
      </w:pPr>
    </w:p>
    <w:bookmarkStart w:id="13" w:name="page14"/>
    <w:bookmarkEnd w:id="13"/>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i w:val="1"/>
          <w:iCs w:val="1"/>
          <w:color w:val="auto"/>
        </w:rPr>
        <w:t>“Change in Control Price”</w:t>
      </w:r>
      <w:r>
        <w:rPr>
          <w:rFonts w:ascii="Times New Roman" w:cs="Times New Roman" w:eastAsia="Times New Roman" w:hAnsi="Times New Roman"/>
          <w:sz w:val="18"/>
          <w:szCs w:val="18"/>
          <w:color w:val="auto"/>
        </w:rPr>
        <w:t xml:space="preserve"> means the price per Share paid in conjunction with any transaction resulting in a Change in Control (as determined in good faith by the Committee if any part of the offered price is payable other than in cash) or, in the case of a Change in Control occurring solely by reason of events not related to a transfer of Shares, the highest Fair Market Value of a Share on any of the thirty (30) consecutive trading days ending on the last trading day before the Change in Control occurs.</w:t>
      </w:r>
    </w:p>
    <w:p>
      <w:pPr>
        <w:spacing w:after="0" w:line="207" w:lineRule="exact"/>
        <w:rPr>
          <w:sz w:val="20"/>
          <w:szCs w:val="20"/>
          <w:color w:val="auto"/>
        </w:rPr>
      </w:pPr>
    </w:p>
    <w:p>
      <w:pPr>
        <w:jc w:val="both"/>
        <w:ind w:right="2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xml:space="preserve"> means the U.S. Internal Revenue Code of 1986, as amended from time to time. For purposes of this Plan, references to sections of the Code shall be deemed to include references to any applicable regulations thereunder and any successor or similar provision, as well as any applicable interpretative guidance issued related thereto.</w:t>
      </w:r>
    </w:p>
    <w:p>
      <w:pPr>
        <w:spacing w:after="0" w:line="20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i w:val="1"/>
          <w:iCs w:val="1"/>
          <w:color w:val="auto"/>
        </w:rPr>
        <w:t>“Committee”</w:t>
      </w:r>
      <w:r>
        <w:rPr>
          <w:rFonts w:ascii="Times New Roman" w:cs="Times New Roman" w:eastAsia="Times New Roman" w:hAnsi="Times New Roman"/>
          <w:sz w:val="18"/>
          <w:szCs w:val="18"/>
          <w:color w:val="auto"/>
        </w:rPr>
        <w:t xml:space="preserve"> means the Compensation and Organization Committee of the Board or a subcommittee thereof, or any other committee designated by the Board to administer this Plan. The members of the Committee shall be appointed from time to time by and shall serve at the discretion of the Board. If the Committee does not exist or cannot function for any reason, the Board may take any action under the Plan that would otherwise be the responsibility of the Committee.</w:t>
      </w:r>
    </w:p>
    <w:p>
      <w:pPr>
        <w:spacing w:after="0" w:line="20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i w:val="1"/>
          <w:iCs w:val="1"/>
          <w:color w:val="auto"/>
        </w:rPr>
        <w:t xml:space="preserve">“Company” </w:t>
      </w:r>
      <w:r>
        <w:rPr>
          <w:rFonts w:ascii="Times New Roman" w:cs="Times New Roman" w:eastAsia="Times New Roman" w:hAnsi="Times New Roman"/>
          <w:sz w:val="17"/>
          <w:szCs w:val="17"/>
          <w:color w:val="auto"/>
        </w:rPr>
        <w:t>means The Scotts Miracle-Gro Company, an Ohio corporation, and any successor thereto as provided in Article 19 herein.</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i w:val="1"/>
          <w:iCs w:val="1"/>
          <w:color w:val="auto"/>
        </w:rPr>
        <w:t xml:space="preserve">“Director” </w:t>
      </w:r>
      <w:r>
        <w:rPr>
          <w:rFonts w:ascii="Times New Roman" w:cs="Times New Roman" w:eastAsia="Times New Roman" w:hAnsi="Times New Roman"/>
          <w:sz w:val="17"/>
          <w:szCs w:val="17"/>
          <w:color w:val="auto"/>
        </w:rPr>
        <w:t>means any individual who is a member of the Board of Directors of the Company.</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7"/>
          <w:szCs w:val="17"/>
          <w:i w:val="1"/>
          <w:iCs w:val="1"/>
          <w:color w:val="auto"/>
        </w:rPr>
        <w:t xml:space="preserve">“Dividend Equivalent” </w:t>
      </w:r>
      <w:r>
        <w:rPr>
          <w:rFonts w:ascii="Times New Roman" w:cs="Times New Roman" w:eastAsia="Times New Roman" w:hAnsi="Times New Roman"/>
          <w:sz w:val="17"/>
          <w:szCs w:val="17"/>
          <w:color w:val="auto"/>
        </w:rPr>
        <w:t>has the meaning set forth in Article 13.</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i w:val="1"/>
          <w:iCs w:val="1"/>
          <w:color w:val="auto"/>
        </w:rPr>
        <w:t xml:space="preserve">“Effective Date” </w:t>
      </w:r>
      <w:r>
        <w:rPr>
          <w:rFonts w:ascii="Times New Roman" w:cs="Times New Roman" w:eastAsia="Times New Roman" w:hAnsi="Times New Roman"/>
          <w:sz w:val="17"/>
          <w:szCs w:val="17"/>
          <w:color w:val="auto"/>
        </w:rPr>
        <w:t>has the meaning set forth in Section 1.1.</w:t>
      </w:r>
    </w:p>
    <w:p>
      <w:pPr>
        <w:spacing w:after="0" w:line="25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i w:val="1"/>
          <w:iCs w:val="1"/>
          <w:color w:val="auto"/>
        </w:rPr>
        <w:t>“Employee”</w:t>
      </w:r>
      <w:r>
        <w:rPr>
          <w:rFonts w:ascii="Times New Roman" w:cs="Times New Roman" w:eastAsia="Times New Roman" w:hAnsi="Times New Roman"/>
          <w:sz w:val="18"/>
          <w:szCs w:val="18"/>
          <w:color w:val="auto"/>
        </w:rPr>
        <w:t xml:space="preserve"> means any individual who performs services for and is designated as an employee of the Company, its Affiliates, and/or its Subsidiaries on the payroll records thereof. An Employee shall not include any individual during any period he or she is classified or treated by the Company, Affiliate and/or Subsidiary as an independent contractor, a consultant or any employee of an employment, consulting or temporary agency or any other entity other than the Company, Affiliate and/or Subsidiary, without regard to whether such individual is subsequently determined to have been, or is subsequently retroactively reclassified as a common-law employee of the Company, Affiliate and/or Subsidiary during such period.</w:t>
      </w:r>
    </w:p>
    <w:p>
      <w:pPr>
        <w:spacing w:after="0" w:line="21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i w:val="1"/>
          <w:iCs w:val="1"/>
          <w:color w:val="auto"/>
        </w:rPr>
        <w:t xml:space="preserve">“Exchange Act” </w:t>
      </w:r>
      <w:r>
        <w:rPr>
          <w:rFonts w:ascii="Times New Roman" w:cs="Times New Roman" w:eastAsia="Times New Roman" w:hAnsi="Times New Roman"/>
          <w:sz w:val="17"/>
          <w:szCs w:val="17"/>
          <w:color w:val="auto"/>
        </w:rPr>
        <w:t>means the Securities Exchange Act of 1934, as amended from time to time, or any successor act thereto.</w:t>
      </w:r>
    </w:p>
    <w:p>
      <w:pPr>
        <w:spacing w:after="0" w:line="25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i w:val="1"/>
          <w:iCs w:val="1"/>
          <w:color w:val="auto"/>
        </w:rPr>
        <w:t>“Fair Market Value”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“FMV”</w:t>
      </w:r>
      <w:r>
        <w:rPr>
          <w:rFonts w:ascii="Times New Roman" w:cs="Times New Roman" w:eastAsia="Times New Roman" w:hAnsi="Times New Roman"/>
          <w:sz w:val="18"/>
          <w:szCs w:val="18"/>
          <w:color w:val="auto"/>
        </w:rPr>
        <w:t xml:space="preserve"> means a price that is based on the opening, closing, actual, high, low or average selling prices of a Share reported on the New York Stock Exchange (“NYSE”) or other established stock exchange (or exchanges) on the applicable date, the preceding trading day, the next succeeding trading day or an average of trading days, as determined by the Committee in its discretion. Unless the Committee determines otherwise, Fair Market Value shall be deemed to be equal to the closing price of a Share on the relevant date if it is a trading day or, if such date is not a trading day, on the next trading day. In the event Shares are not publicly traded at the time a determination of their value is required to be made hereunder</w:t>
      </w:r>
    </w:p>
    <w:p>
      <w:pPr>
        <w:spacing w:after="0" w:line="1" w:lineRule="exact"/>
        <w:rPr>
          <w:sz w:val="20"/>
          <w:szCs w:val="20"/>
          <w:color w:val="auto"/>
        </w:rPr>
      </w:pPr>
    </w:p>
    <w:p>
      <w:pPr>
        <w:ind w:right="120" w:firstLine="8"/>
        <w:spacing w:after="0" w:line="253"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NQSOs, SARs and Awards that are subject to Code Section 409A, “Fair Market Value” shall mean the value as determined by the Committee through the reasonable application of a reasonable valuation method, taking into account all information material to the value of the Company, within the meaning of Code Section 409A and (b) with respect to all other Awards, the determination of “Fair Market Value” shall be made by the Committee in such manner as it deems appropriate. Such definition(s) of FMV shall be specified in each Award Agreement and may differ depending on whether FMV is in reference to the grant, exercise, vesting, settlement or payout of an Award.</w:t>
      </w:r>
    </w:p>
    <w:p>
      <w:pPr>
        <w:spacing w:after="0" w:line="21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7"/>
          <w:szCs w:val="17"/>
          <w:i w:val="1"/>
          <w:iCs w:val="1"/>
          <w:color w:val="auto"/>
        </w:rPr>
        <w:t xml:space="preserve">“Grant Date” </w:t>
      </w:r>
      <w:r>
        <w:rPr>
          <w:rFonts w:ascii="Times New Roman" w:cs="Times New Roman" w:eastAsia="Times New Roman" w:hAnsi="Times New Roman"/>
          <w:sz w:val="17"/>
          <w:szCs w:val="17"/>
          <w:color w:val="auto"/>
        </w:rPr>
        <w:t>means the date an Award is granted to a Participant pursuant to the Plan.</w:t>
      </w:r>
    </w:p>
    <w:p>
      <w:pPr>
        <w:spacing w:after="0" w:line="252"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2.19 </w:t>
      </w:r>
      <w:r>
        <w:rPr>
          <w:rFonts w:ascii="Times New Roman" w:cs="Times New Roman" w:eastAsia="Times New Roman" w:hAnsi="Times New Roman"/>
          <w:sz w:val="18"/>
          <w:szCs w:val="18"/>
          <w:i w:val="1"/>
          <w:iCs w:val="1"/>
          <w:color w:val="auto"/>
        </w:rPr>
        <w:t>“Grant Price”</w:t>
      </w:r>
      <w:r>
        <w:rPr>
          <w:rFonts w:ascii="Times New Roman" w:cs="Times New Roman" w:eastAsia="Times New Roman" w:hAnsi="Times New Roman"/>
          <w:sz w:val="18"/>
          <w:szCs w:val="18"/>
          <w:color w:val="auto"/>
        </w:rPr>
        <w:t xml:space="preserve"> means the price established at the time of grant of a SAR pursuant to Article 7, used to determine whether there is any payment due upon exercise of the SAR.</w:t>
      </w:r>
    </w:p>
    <w:p>
      <w:pPr>
        <w:spacing w:after="0" w:line="185"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2.20 </w:t>
      </w:r>
      <w:r>
        <w:rPr>
          <w:rFonts w:ascii="Times New Roman" w:cs="Times New Roman" w:eastAsia="Times New Roman" w:hAnsi="Times New Roman"/>
          <w:sz w:val="18"/>
          <w:szCs w:val="18"/>
          <w:i w:val="1"/>
          <w:iCs w:val="1"/>
          <w:color w:val="auto"/>
        </w:rPr>
        <w:t>“Incentive Stock Option”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“ISO”</w:t>
      </w:r>
      <w:r>
        <w:rPr>
          <w:rFonts w:ascii="Times New Roman" w:cs="Times New Roman" w:eastAsia="Times New Roman" w:hAnsi="Times New Roman"/>
          <w:sz w:val="18"/>
          <w:szCs w:val="18"/>
          <w:color w:val="auto"/>
        </w:rPr>
        <w:t xml:space="preserve"> means an Option to purchase Shares granted under Article 6 that is designated as an Incentive Stock Option and that is intended to meet the requirements of Code Section 422, or any successor provision.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32" w:right="339" w:bottom="1440" w:gutter="0" w:footer="0" w:header="0"/>
        </w:sectPr>
      </w:pPr>
    </w:p>
    <w:bookmarkStart w:id="14" w:name="page15"/>
    <w:bookmarkEnd w:id="14"/>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2.21 </w:t>
      </w:r>
      <w:r>
        <w:rPr>
          <w:rFonts w:ascii="Times New Roman" w:cs="Times New Roman" w:eastAsia="Times New Roman" w:hAnsi="Times New Roman"/>
          <w:sz w:val="18"/>
          <w:szCs w:val="18"/>
          <w:i w:val="1"/>
          <w:iCs w:val="1"/>
          <w:color w:val="auto"/>
        </w:rPr>
        <w:t>“Insider”</w:t>
      </w:r>
      <w:r>
        <w:rPr>
          <w:rFonts w:ascii="Times New Roman" w:cs="Times New Roman" w:eastAsia="Times New Roman" w:hAnsi="Times New Roman"/>
          <w:sz w:val="18"/>
          <w:szCs w:val="18"/>
          <w:color w:val="auto"/>
        </w:rPr>
        <w:t xml:space="preserve"> shall mean an individual who is, on the relevant date, an officer or Director of the Company, or a more than ten percent (10%) Beneficial Owner of any class of the Company’s equity securities that is registered pursuant to Section 12 of the Exchange Act, as determined by the Board or Committee in accordance with Section 16 of the Exchange Act.</w:t>
      </w:r>
    </w:p>
    <w:p>
      <w:pPr>
        <w:spacing w:after="0" w:line="200"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i w:val="1"/>
          <w:iCs w:val="1"/>
          <w:color w:val="auto"/>
        </w:rPr>
        <w:t xml:space="preserve">“Non-employee Director” </w:t>
      </w:r>
      <w:r>
        <w:rPr>
          <w:rFonts w:ascii="Times New Roman" w:cs="Times New Roman" w:eastAsia="Times New Roman" w:hAnsi="Times New Roman"/>
          <w:sz w:val="17"/>
          <w:szCs w:val="17"/>
          <w:color w:val="auto"/>
        </w:rPr>
        <w:t>means a Director who is not an Employee on the Grant Date.</w:t>
      </w:r>
    </w:p>
    <w:p>
      <w:pPr>
        <w:spacing w:after="0" w:line="252"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i w:val="1"/>
          <w:iCs w:val="1"/>
          <w:color w:val="auto"/>
        </w:rPr>
        <w:t>“Non-employee Director Award”</w:t>
      </w:r>
      <w:r>
        <w:rPr>
          <w:rFonts w:ascii="Times New Roman" w:cs="Times New Roman" w:eastAsia="Times New Roman" w:hAnsi="Times New Roman"/>
          <w:sz w:val="18"/>
          <w:szCs w:val="18"/>
          <w:color w:val="auto"/>
        </w:rPr>
        <w:t xml:space="preserve"> means any Award granted to a Participant who is a Non-employee Director pursuant to such applicable terms, conditions and limitations as the Board or Committee may establish in accordance with this Plan.</w:t>
      </w:r>
    </w:p>
    <w:p>
      <w:pPr>
        <w:spacing w:after="0" w:line="185"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i w:val="1"/>
          <w:iCs w:val="1"/>
          <w:color w:val="auto"/>
        </w:rPr>
        <w:t>“Nonqualified Stock Option”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“NQSO”</w:t>
      </w:r>
      <w:r>
        <w:rPr>
          <w:rFonts w:ascii="Times New Roman" w:cs="Times New Roman" w:eastAsia="Times New Roman" w:hAnsi="Times New Roman"/>
          <w:sz w:val="18"/>
          <w:szCs w:val="18"/>
          <w:color w:val="auto"/>
        </w:rPr>
        <w:t xml:space="preserve"> means an Option that is not intended to meet the requirements of Code Section 422, or that otherwise does not meet such requirements.</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2.25</w:t>
      </w:r>
      <w:r>
        <w:rPr>
          <w:sz w:val="20"/>
          <w:szCs w:val="20"/>
          <w:color w:val="auto"/>
        </w:rPr>
        <w:tab/>
      </w:r>
      <w:r>
        <w:rPr>
          <w:rFonts w:ascii="Times New Roman" w:cs="Times New Roman" w:eastAsia="Times New Roman" w:hAnsi="Times New Roman"/>
          <w:sz w:val="17"/>
          <w:szCs w:val="17"/>
          <w:i w:val="1"/>
          <w:iCs w:val="1"/>
          <w:color w:val="auto"/>
        </w:rPr>
        <w:t xml:space="preserve">“Option” </w:t>
      </w:r>
      <w:r>
        <w:rPr>
          <w:rFonts w:ascii="Times New Roman" w:cs="Times New Roman" w:eastAsia="Times New Roman" w:hAnsi="Times New Roman"/>
          <w:sz w:val="17"/>
          <w:szCs w:val="17"/>
          <w:color w:val="auto"/>
        </w:rPr>
        <w:t>means an Incentive Stock Option or a Nonqualified Stock Option, as described in Article 6.</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2.26</w:t>
      </w:r>
      <w:r>
        <w:rPr>
          <w:sz w:val="20"/>
          <w:szCs w:val="20"/>
          <w:color w:val="auto"/>
        </w:rPr>
        <w:tab/>
      </w:r>
      <w:r>
        <w:rPr>
          <w:rFonts w:ascii="Times New Roman" w:cs="Times New Roman" w:eastAsia="Times New Roman" w:hAnsi="Times New Roman"/>
          <w:sz w:val="17"/>
          <w:szCs w:val="17"/>
          <w:i w:val="1"/>
          <w:iCs w:val="1"/>
          <w:color w:val="auto"/>
        </w:rPr>
        <w:t xml:space="preserve">“Option Price” </w:t>
      </w:r>
      <w:r>
        <w:rPr>
          <w:rFonts w:ascii="Times New Roman" w:cs="Times New Roman" w:eastAsia="Times New Roman" w:hAnsi="Times New Roman"/>
          <w:sz w:val="17"/>
          <w:szCs w:val="17"/>
          <w:color w:val="auto"/>
        </w:rPr>
        <w:t>means the price at which a Share may be purchased by a Participant pursuant to the exercise of an Option.</w:t>
      </w:r>
    </w:p>
    <w:p>
      <w:pPr>
        <w:spacing w:after="0" w:line="252"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2.27 </w:t>
      </w:r>
      <w:r>
        <w:rPr>
          <w:rFonts w:ascii="Times New Roman" w:cs="Times New Roman" w:eastAsia="Times New Roman" w:hAnsi="Times New Roman"/>
          <w:sz w:val="18"/>
          <w:szCs w:val="18"/>
          <w:i w:val="1"/>
          <w:iCs w:val="1"/>
          <w:color w:val="auto"/>
        </w:rPr>
        <w:t>“Other Stock-Based Award”</w:t>
      </w:r>
      <w:r>
        <w:rPr>
          <w:rFonts w:ascii="Times New Roman" w:cs="Times New Roman" w:eastAsia="Times New Roman" w:hAnsi="Times New Roman"/>
          <w:sz w:val="18"/>
          <w:szCs w:val="18"/>
          <w:color w:val="auto"/>
        </w:rPr>
        <w:t xml:space="preserve"> means an equity-based or equity-related Award not otherwise described by the terms of this Plan, granted pursuant to Article 10.</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i w:val="1"/>
          <w:iCs w:val="1"/>
          <w:color w:val="auto"/>
        </w:rPr>
        <w:t xml:space="preserve">“Participant” </w:t>
      </w:r>
      <w:r>
        <w:rPr>
          <w:rFonts w:ascii="Times New Roman" w:cs="Times New Roman" w:eastAsia="Times New Roman" w:hAnsi="Times New Roman"/>
          <w:sz w:val="17"/>
          <w:szCs w:val="17"/>
          <w:color w:val="auto"/>
        </w:rPr>
        <w:t>means any eligible individual as set forth in Article 5 to whom an Award is granted.</w:t>
      </w:r>
    </w:p>
    <w:p>
      <w:pPr>
        <w:spacing w:after="0" w:line="25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2.29 </w:t>
      </w:r>
      <w:r>
        <w:rPr>
          <w:rFonts w:ascii="Times New Roman" w:cs="Times New Roman" w:eastAsia="Times New Roman" w:hAnsi="Times New Roman"/>
          <w:sz w:val="18"/>
          <w:szCs w:val="18"/>
          <w:i w:val="1"/>
          <w:iCs w:val="1"/>
          <w:color w:val="auto"/>
        </w:rPr>
        <w:t>“Performance Goals”</w:t>
      </w:r>
      <w:r>
        <w:rPr>
          <w:rFonts w:ascii="Times New Roman" w:cs="Times New Roman" w:eastAsia="Times New Roman" w:hAnsi="Times New Roman"/>
          <w:sz w:val="18"/>
          <w:szCs w:val="18"/>
          <w:color w:val="auto"/>
        </w:rPr>
        <w:t xml:space="preserve"> shall be established by the Committee, based on one or more of the following criteria or derivations of such criteria or such other criteria as determined by the Committee, including but not limited to the following: net earnings or net income (before or after taxes); earnings per share (basic or diluted); net sales or revenue growth; net operating profit; return measures (including, but not limited to, return on assets, capital, invested capital, investor return, equity, sales, revenue or dividend yield); cash flow (including, but not limited to, operating cash flow, free cash flow, cash flow return on equity and cash flow return on investment); earnings before or after taxes, interest, depreciation and/or amortization; gross or operating margins; productivity ratios; share price (including, but not limited to, growth measures and total shareholder return); expense targets; margins; operating efficiency; market share; customer satisfaction; working capital targets; economic value added or EVA(R) (net operating profit after tax minus the sum of capital multiplied by the cost of capital); developing new products and lines of revenue; reducing operating expenses; developing new markets; meeting completion schedules; developing and managing relationships with regulatory and other governmental agencies; managing cash; managing claims against the Company, including litigation; identifying and completing strategic acquisitions or joint ventures; and debt leverage and/or any other bank covenant ratio. Any Performance Goal(s) may be used to measure the performance of the Company, Subsidiary and/or Affiliate as a whole or any business unit or joint venture of the Company, Subsidiary and/or Affiliate or any combination thereof, as the Committee may deem appropriate, or any of the above Performance Goals as compared to the performance of a group of comparator companies, or published or special index that the Committee, in its sole discretion, deems appropriate. The Committee may provide in any such Award that any evaluation of performance may include or exclude any of the following events that occurs during a Performance Period: (a) asset write-downs, (b) litigation or claim judgments or settlements, (c) the effect of changes in tax laws, accounting principles, or other laws or provisions affecting reported results, (d) any reorganization and restructuring programs, (e) unusual and infrequently occurring items as described in applicable Accounting Principles Board opinions and in management’s discussion and analysis of financial conditions and results of operations appearing in the Company’s annual report to shareholders for the applicable year, (f) acquisitions or divestitures,</w:t>
      </w:r>
    </w:p>
    <w:p>
      <w:pPr>
        <w:spacing w:after="0" w:line="12" w:lineRule="exact"/>
        <w:rPr>
          <w:sz w:val="20"/>
          <w:szCs w:val="20"/>
          <w:color w:val="auto"/>
        </w:rPr>
      </w:pPr>
    </w:p>
    <w:p>
      <w:pPr>
        <w:ind w:right="260" w:firstLine="8"/>
        <w:spacing w:after="0" w:line="260"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gains and losses and (h) other appropriate events. The Committee has the authority to provide for accelerated vesting of any Award based on the achievement of Performance Goals.</w:t>
      </w:r>
    </w:p>
    <w:p>
      <w:pPr>
        <w:spacing w:after="0" w:line="206"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2.30 </w:t>
      </w:r>
      <w:r>
        <w:rPr>
          <w:rFonts w:ascii="Times New Roman" w:cs="Times New Roman" w:eastAsia="Times New Roman" w:hAnsi="Times New Roman"/>
          <w:sz w:val="18"/>
          <w:szCs w:val="18"/>
          <w:i w:val="1"/>
          <w:iCs w:val="1"/>
          <w:color w:val="auto"/>
        </w:rPr>
        <w:t>“Performance Period”</w:t>
      </w:r>
      <w:r>
        <w:rPr>
          <w:rFonts w:ascii="Times New Roman" w:cs="Times New Roman" w:eastAsia="Times New Roman" w:hAnsi="Times New Roman"/>
          <w:sz w:val="18"/>
          <w:szCs w:val="18"/>
          <w:color w:val="auto"/>
        </w:rPr>
        <w:t xml:space="preserve"> means the period of time during which the Performance Goals must be met in order to determine the degree of payout and/or vesting with respect to an Award.</w:t>
      </w:r>
    </w:p>
    <w:p>
      <w:pPr>
        <w:spacing w:after="0" w:line="185"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i w:val="1"/>
          <w:iCs w:val="1"/>
          <w:color w:val="auto"/>
        </w:rPr>
        <w:t>“Performance Share”</w:t>
      </w:r>
      <w:r>
        <w:rPr>
          <w:rFonts w:ascii="Times New Roman" w:cs="Times New Roman" w:eastAsia="Times New Roman" w:hAnsi="Times New Roman"/>
          <w:sz w:val="18"/>
          <w:szCs w:val="18"/>
          <w:color w:val="auto"/>
        </w:rPr>
        <w:t xml:space="preserve"> means an Award under Article 9 herein and subject to the terms of this Plan, denominated in Shares, the value of which at the time it is payable is determined as a function of the extent to which corresponding performance criteria or Performance Goal(s), as applicable, have been achieved.</w:t>
      </w:r>
    </w:p>
    <w:p>
      <w:pPr>
        <w:spacing w:after="0" w:line="200"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i w:val="1"/>
          <w:iCs w:val="1"/>
          <w:color w:val="auto"/>
        </w:rPr>
        <w:t>“Performance Unit”</w:t>
      </w:r>
      <w:r>
        <w:rPr>
          <w:rFonts w:ascii="Times New Roman" w:cs="Times New Roman" w:eastAsia="Times New Roman" w:hAnsi="Times New Roman"/>
          <w:sz w:val="18"/>
          <w:szCs w:val="18"/>
          <w:color w:val="auto"/>
        </w:rPr>
        <w:t xml:space="preserve"> means an Award under Article 9 herein and subject to the terms of this Plan, denominated in units, the value of which at the time it is payable is determined as a function of the extent to which corresponding performance criteria or Performance Goals, as applicable, have been achieved.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889" w:right="339" w:bottom="1440" w:gutter="0" w:footer="0" w:header="0"/>
        </w:sectPr>
      </w:pPr>
    </w:p>
    <w:bookmarkStart w:id="15" w:name="page16"/>
    <w:bookmarkEnd w:id="15"/>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i w:val="1"/>
          <w:iCs w:val="1"/>
          <w:color w:val="auto"/>
        </w:rPr>
        <w:t>“Period of Restriction”</w:t>
      </w:r>
      <w:r>
        <w:rPr>
          <w:rFonts w:ascii="Times New Roman" w:cs="Times New Roman" w:eastAsia="Times New Roman" w:hAnsi="Times New Roman"/>
          <w:sz w:val="18"/>
          <w:szCs w:val="18"/>
          <w:color w:val="auto"/>
        </w:rPr>
        <w:t xml:space="preserve"> means the period when Restricted Stock or Restricted Stock Units are subject to a substantial risk of forfeiture (based on the passage of time, the achievement of Performance Goals or the occurrence of other events as determined by the Committee, in its discretion), as provided in Article 8.</w:t>
      </w:r>
    </w:p>
    <w:p>
      <w:pPr>
        <w:spacing w:after="0" w:line="200"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i w:val="1"/>
          <w:iCs w:val="1"/>
          <w:color w:val="auto"/>
        </w:rPr>
        <w:t>“Person”</w:t>
      </w:r>
      <w:r>
        <w:rPr>
          <w:rFonts w:ascii="Times New Roman" w:cs="Times New Roman" w:eastAsia="Times New Roman" w:hAnsi="Times New Roman"/>
          <w:sz w:val="18"/>
          <w:szCs w:val="18"/>
          <w:color w:val="auto"/>
        </w:rPr>
        <w:t xml:space="preserve"> shall have the meaning ascribed to such term in Section 3(a)(9) of the Exchange Act and used in Sections 13(d) and 14(d) thereof, including a “group” as defined in Section 13(d) thereof.</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2.35</w:t>
      </w:r>
      <w:r>
        <w:rPr>
          <w:sz w:val="20"/>
          <w:szCs w:val="20"/>
          <w:color w:val="auto"/>
        </w:rPr>
        <w:tab/>
      </w:r>
      <w:r>
        <w:rPr>
          <w:rFonts w:ascii="Times New Roman" w:cs="Times New Roman" w:eastAsia="Times New Roman" w:hAnsi="Times New Roman"/>
          <w:sz w:val="17"/>
          <w:szCs w:val="17"/>
          <w:i w:val="1"/>
          <w:iCs w:val="1"/>
          <w:color w:val="auto"/>
        </w:rPr>
        <w:t xml:space="preserve">“Plan” </w:t>
      </w:r>
      <w:r>
        <w:rPr>
          <w:rFonts w:ascii="Times New Roman" w:cs="Times New Roman" w:eastAsia="Times New Roman" w:hAnsi="Times New Roman"/>
          <w:sz w:val="17"/>
          <w:szCs w:val="17"/>
          <w:color w:val="auto"/>
        </w:rPr>
        <w:t>means The Scotts Miracle-Gro Company Long-Term Incentive Plan, as amended and restated from time to time.</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2.36</w:t>
      </w:r>
      <w:r>
        <w:rPr>
          <w:sz w:val="20"/>
          <w:szCs w:val="20"/>
          <w:color w:val="auto"/>
        </w:rPr>
        <w:tab/>
      </w:r>
      <w:r>
        <w:rPr>
          <w:rFonts w:ascii="Times New Roman" w:cs="Times New Roman" w:eastAsia="Times New Roman" w:hAnsi="Times New Roman"/>
          <w:sz w:val="17"/>
          <w:szCs w:val="17"/>
          <w:i w:val="1"/>
          <w:iCs w:val="1"/>
          <w:color w:val="auto"/>
        </w:rPr>
        <w:t xml:space="preserve">“Plan Year” </w:t>
      </w:r>
      <w:r>
        <w:rPr>
          <w:rFonts w:ascii="Times New Roman" w:cs="Times New Roman" w:eastAsia="Times New Roman" w:hAnsi="Times New Roman"/>
          <w:sz w:val="17"/>
          <w:szCs w:val="17"/>
          <w:color w:val="auto"/>
        </w:rPr>
        <w:t>means the Company’s fiscal year.</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2.37</w:t>
      </w:r>
      <w:r>
        <w:rPr>
          <w:sz w:val="20"/>
          <w:szCs w:val="20"/>
          <w:color w:val="auto"/>
        </w:rPr>
        <w:tab/>
      </w: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means an Award granted to a Participant pursuant to Article 8.</w:t>
      </w:r>
    </w:p>
    <w:p>
      <w:pPr>
        <w:spacing w:after="0" w:line="252"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2.38 </w:t>
      </w:r>
      <w:r>
        <w:rPr>
          <w:rFonts w:ascii="Times New Roman" w:cs="Times New Roman" w:eastAsia="Times New Roman" w:hAnsi="Times New Roman"/>
          <w:sz w:val="18"/>
          <w:szCs w:val="18"/>
          <w:i w:val="1"/>
          <w:iCs w:val="1"/>
          <w:color w:val="auto"/>
        </w:rPr>
        <w:t>“Restricted Stock Unit”</w:t>
      </w:r>
      <w:r>
        <w:rPr>
          <w:rFonts w:ascii="Times New Roman" w:cs="Times New Roman" w:eastAsia="Times New Roman" w:hAnsi="Times New Roman"/>
          <w:sz w:val="18"/>
          <w:szCs w:val="18"/>
          <w:color w:val="auto"/>
        </w:rPr>
        <w:t xml:space="preserve"> means an Award granted to a Participant pursuant to Article 8, except no Shares are actually awarded to the Participant on the Grant Date.</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2.39</w:t>
      </w:r>
      <w:r>
        <w:rPr>
          <w:sz w:val="20"/>
          <w:szCs w:val="20"/>
          <w:color w:val="auto"/>
        </w:rPr>
        <w:tab/>
      </w:r>
      <w:r>
        <w:rPr>
          <w:rFonts w:ascii="Times New Roman" w:cs="Times New Roman" w:eastAsia="Times New Roman" w:hAnsi="Times New Roman"/>
          <w:sz w:val="17"/>
          <w:szCs w:val="17"/>
          <w:i w:val="1"/>
          <w:iCs w:val="1"/>
          <w:color w:val="auto"/>
        </w:rPr>
        <w:t xml:space="preserve">“Share” </w:t>
      </w:r>
      <w:r>
        <w:rPr>
          <w:rFonts w:ascii="Times New Roman" w:cs="Times New Roman" w:eastAsia="Times New Roman" w:hAnsi="Times New Roman"/>
          <w:sz w:val="17"/>
          <w:szCs w:val="17"/>
          <w:color w:val="auto"/>
        </w:rPr>
        <w:t>means a common share of the Company, without par value per share.</w:t>
      </w:r>
    </w:p>
    <w:p>
      <w:pPr>
        <w:spacing w:after="0" w:line="252"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2.40</w:t>
      </w:r>
      <w:r>
        <w:rPr>
          <w:sz w:val="20"/>
          <w:szCs w:val="20"/>
          <w:color w:val="auto"/>
        </w:rPr>
        <w:tab/>
      </w:r>
      <w:r>
        <w:rPr>
          <w:rFonts w:ascii="Times New Roman" w:cs="Times New Roman" w:eastAsia="Times New Roman" w:hAnsi="Times New Roman"/>
          <w:sz w:val="17"/>
          <w:szCs w:val="17"/>
          <w:i w:val="1"/>
          <w:iCs w:val="1"/>
          <w:color w:val="auto"/>
        </w:rPr>
        <w:t xml:space="preserve">“Stock Appreciation Right”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“SAR” </w:t>
      </w:r>
      <w:r>
        <w:rPr>
          <w:rFonts w:ascii="Times New Roman" w:cs="Times New Roman" w:eastAsia="Times New Roman" w:hAnsi="Times New Roman"/>
          <w:sz w:val="17"/>
          <w:szCs w:val="17"/>
          <w:color w:val="auto"/>
        </w:rPr>
        <w:t>means an Award granted to a Participant pursuant to Article 7.</w:t>
      </w:r>
    </w:p>
    <w:p>
      <w:pPr>
        <w:spacing w:after="0" w:line="252" w:lineRule="exact"/>
        <w:rPr>
          <w:sz w:val="20"/>
          <w:szCs w:val="20"/>
          <w:color w:val="auto"/>
        </w:rPr>
      </w:pPr>
    </w:p>
    <w:p>
      <w:pPr>
        <w:ind w:righ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2.41 </w:t>
      </w:r>
      <w:r>
        <w:rPr>
          <w:rFonts w:ascii="Times New Roman" w:cs="Times New Roman" w:eastAsia="Times New Roman" w:hAnsi="Times New Roman"/>
          <w:sz w:val="18"/>
          <w:szCs w:val="18"/>
          <w:i w:val="1"/>
          <w:iCs w:val="1"/>
          <w:color w:val="auto"/>
        </w:rPr>
        <w:t>“Subsidiary”</w:t>
      </w:r>
      <w:r>
        <w:rPr>
          <w:rFonts w:ascii="Times New Roman" w:cs="Times New Roman" w:eastAsia="Times New Roman" w:hAnsi="Times New Roman"/>
          <w:sz w:val="18"/>
          <w:szCs w:val="18"/>
          <w:color w:val="auto"/>
        </w:rPr>
        <w:t xml:space="preserve"> means any corporation or other entity, whether domestic or foreign, in which the Company has or obtains, directly or indirectly, a proprietary interest of more than fifty percent (50%) by reason of stock ownership or otherwise.</w:t>
      </w:r>
    </w:p>
    <w:p>
      <w:pPr>
        <w:spacing w:after="0" w:line="185"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 xml:space="preserve">2.42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“Terminate”</w:t>
      </w:r>
      <w:r>
        <w:rPr>
          <w:rFonts w:ascii="Times New Roman" w:cs="Times New Roman" w:eastAsia="Times New Roman" w:hAnsi="Times New Roman"/>
          <w:sz w:val="18"/>
          <w:szCs w:val="18"/>
          <w:color w:val="auto"/>
        </w:rPr>
        <w:t xml:space="preserve"> means: (a) if a Participant is an Employee, cessation of the employee-employer relationship between a Participant and the Company and all Affiliates and Subsidiaries for any reason; (b) if a Participant is a Non-employee Director, termination of the Non-employee Director’s service on the Board for any reason; and (c) if a Participant is a Third-Party Service Provider, termination of the Third-Party Service Provider’s service relationship with the Company and all Affiliates and Subsidiaries for any reason. Notwithstanding the foregoing, with respect to any Award subject to Code Section 409A, any such cessation or termination also must constitute a “separation from service” as defined under Treasury Regulation Section 1.409A-1(h). Effective for Awards granted on or after January 20, 2010, an Award Agreement may specify a different definition of “Termination” or “Terminate,” that will apply to such Award Agreement; provided that no such different definition shall cause the term of the Award to which it relates to extend beyond the maximum possible term for such Award contemplated under the applicable provisions of this Plan and any applicable law, regulation or stock exchange rule.</w:t>
      </w:r>
    </w:p>
    <w:p>
      <w:pPr>
        <w:spacing w:after="0" w:line="215" w:lineRule="exact"/>
        <w:rPr>
          <w:sz w:val="20"/>
          <w:szCs w:val="20"/>
          <w:color w:val="auto"/>
        </w:rPr>
      </w:pPr>
    </w:p>
    <w:p>
      <w:pPr>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2.43 </w:t>
      </w:r>
      <w:r>
        <w:rPr>
          <w:rFonts w:ascii="Times New Roman" w:cs="Times New Roman" w:eastAsia="Times New Roman" w:hAnsi="Times New Roman"/>
          <w:sz w:val="18"/>
          <w:szCs w:val="18"/>
          <w:i w:val="1"/>
          <w:iCs w:val="1"/>
          <w:color w:val="auto"/>
        </w:rPr>
        <w:t>“Third-Party Service Provider”</w:t>
      </w:r>
      <w:r>
        <w:rPr>
          <w:rFonts w:ascii="Times New Roman" w:cs="Times New Roman" w:eastAsia="Times New Roman" w:hAnsi="Times New Roman"/>
          <w:sz w:val="18"/>
          <w:szCs w:val="18"/>
          <w:color w:val="auto"/>
        </w:rPr>
        <w:t xml:space="preserve"> means any consultant, agent, advisor or independent contractor who renders services to the Company, a Subsidiary or an Affiliate that (a) are not in connection with the offer or sale of the Company’s securities in a capital raising transaction, and (b) do not directly or indirectly promote or maintain a market for the Company’s securities.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54"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The Committee shall be responsible for administering this Plan, subject to this Article 3 and the other provisions of this Plan. The Committee shall be comprised, unless otherwise determined by the Board, solely of not less than two members who shall be (i) “non-employee directors” within the meaning of Rule 16b-3(b)(3) (or any successor rule) promulgated under the Exchange Act, and (ii) “independent directors,” as determined in accordance with the independence standards established by the stock exchange on which the Shares are at the time primarily traded. The Committee may employ attorneys, consultants, accountants, agents and other individuals, any of whom may be an Employee, and the Committee, the Company and its officers and Directors shall be entitled to rely upon the advice, opinions or valuations of any such individuals. All actions taken and all interpretations and determinations made by the Committee shall be final and binding upon the Participants, the Company and all other interested individuals. By accepting an Award under this Plan, each Participant agrees to all Committee determinations as described above.</w:t>
      </w:r>
    </w:p>
    <w:p>
      <w:pPr>
        <w:spacing w:after="0" w:line="212"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i w:val="1"/>
          <w:iCs w:val="1"/>
          <w:color w:val="auto"/>
        </w:rPr>
        <w:t>Authority of the Committee.</w:t>
      </w:r>
      <w:r>
        <w:rPr>
          <w:rFonts w:ascii="Times New Roman" w:cs="Times New Roman" w:eastAsia="Times New Roman" w:hAnsi="Times New Roman"/>
          <w:sz w:val="18"/>
          <w:szCs w:val="18"/>
          <w:color w:val="auto"/>
        </w:rPr>
        <w:t xml:space="preserve"> The Committee shall have full and exclusive discretionary power to interpret the terms and the intent of this Plan and any Award Agreement or other agreement or document ancillary to or in connection with</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89" w:right="339" w:bottom="1440" w:gutter="0" w:footer="0" w:header="0"/>
        </w:sectPr>
      </w:pPr>
    </w:p>
    <w:bookmarkStart w:id="16" w:name="page17"/>
    <w:bookmarkEnd w:id="16"/>
    <w:p>
      <w:pPr>
        <w:ind w:right="20"/>
        <w:spacing w:after="0" w:line="255" w:lineRule="auto"/>
        <w:rPr>
          <w:sz w:val="20"/>
          <w:szCs w:val="20"/>
          <w:color w:val="auto"/>
        </w:rPr>
      </w:pPr>
      <w:r>
        <w:rPr>
          <w:rFonts w:ascii="Times New Roman" w:cs="Times New Roman" w:eastAsia="Times New Roman" w:hAnsi="Times New Roman"/>
          <w:sz w:val="18"/>
          <w:szCs w:val="18"/>
          <w:color w:val="auto"/>
        </w:rPr>
        <w:t>this Plan, to determine eligibility for Awards and to adopt such rules, regulations, forms, instruments and guidelines for administering this Plan as the Committee may deem necessary or proper. Such authority shall include, but not be limited to, selecting Award recipients, establishing all Award terms and conditions, including the terms and conditions set forth in Award Agreements and whether the terms of any exercise, vesting or restriction periods will be based upon the achievement of specific Performance Goals, granting Awards as an alternative to or as the form of payment for grants or rights earned or due under compensation plans or arrangements of the Company, construing any provision of the Plan or any Award Agreement, and, subject to Article 17, adopting modifications and amendments to this Plan or any Award Agreement, including without limitation, any that are necessary to comply with the laws of the countries and other jurisdictions in which the Company, its Affiliates and/or its Subsidiaries operate.</w:t>
      </w:r>
    </w:p>
    <w:p>
      <w:pPr>
        <w:spacing w:after="0" w:line="214"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i w:val="1"/>
          <w:iCs w:val="1"/>
          <w:color w:val="auto"/>
        </w:rPr>
        <w:t>Delegation.</w:t>
      </w:r>
      <w:r>
        <w:rPr>
          <w:rFonts w:ascii="Times New Roman" w:cs="Times New Roman" w:eastAsia="Times New Roman" w:hAnsi="Times New Roman"/>
          <w:sz w:val="18"/>
          <w:szCs w:val="18"/>
          <w:color w:val="auto"/>
        </w:rPr>
        <w:t xml:space="preserve"> The Committee may delegate to one or more of its members or to one or more officers of the Company, and/or its Subsidiaries and Affiliates or to one or more agents or advisors such administrative duties or powers as it may deem advisable, and the Committee or any individuals to whom it has delegated duties or powers as aforesaid may employ one or more individuals to render advice with respect to any responsibility the Committee or such individuals may have under this Plan. The Committee may, by resolution, authorize one or more officers of the Company to do one or both of the following on the same basis as can the Committee: (a) designate Employees to be recipients of Awards; (b) determine the size of any such Awards; provided, however, (i) the Committee shall not delegate such responsibilities to any such officer for Awards granted to an Employee who is considered an Insider; (ii) the resolution providing such authorization sets forth the total number of Awards such officer(s) may grant; and (iii) the officer(s) shall report periodically to the Committee regarding the nature and scope of the Awards granted pursuant to the authority delegated. Notwithstanding the foregoing, awards to Non-employee Directors shall be administered and interpreted by the Board.</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5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Shares Subject to this Plan and Maximum Awards</w:t>
      </w:r>
    </w:p>
    <w:p>
      <w:pPr>
        <w:spacing w:after="0" w:line="25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i w:val="1"/>
          <w:iCs w:val="1"/>
          <w:color w:val="auto"/>
        </w:rPr>
        <w:t>Number of Shares Available for Awards.</w:t>
      </w:r>
    </w:p>
    <w:p>
      <w:pPr>
        <w:spacing w:after="0" w:line="254" w:lineRule="exact"/>
        <w:rPr>
          <w:sz w:val="20"/>
          <w:szCs w:val="20"/>
          <w:color w:val="auto"/>
        </w:rPr>
      </w:pPr>
    </w:p>
    <w:p>
      <w:pPr>
        <w:ind w:right="60" w:firstLine="1304"/>
        <w:spacing w:after="0" w:line="256" w:lineRule="auto"/>
        <w:tabs>
          <w:tab w:leader="none" w:pos="16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4.3 herein, the maximum number of Shares that may be issued under the Plan with respect to Awards granted on or after the Effective Date (the “Share Authorization”) is the sum of: (i) two million seven hundred and fifty thousand (2,750,000) Shares, plus (ii) the number of Shares that remained available for Awards under the Plan as of December 1, 2025 (1,473,914), plus (iii) the number of Shares subject to outstanding Awards under the Plan as of December 1, 2025 that terminate, expire or are cancelled, forfeited, exchanged or surrendered without having been exercised, vested or paid under the Plan (3,925,104). The Shares available for issuance under this Plan may be authorized and unissued Shares or treasury Shares.</w:t>
      </w:r>
    </w:p>
    <w:p>
      <w:pPr>
        <w:spacing w:after="0" w:line="214" w:lineRule="exact"/>
        <w:rPr>
          <w:rFonts w:ascii="Times New Roman" w:cs="Times New Roman" w:eastAsia="Times New Roman" w:hAnsi="Times New Roman"/>
          <w:sz w:val="18"/>
          <w:szCs w:val="18"/>
          <w:color w:val="auto"/>
        </w:rPr>
      </w:pPr>
    </w:p>
    <w:p>
      <w:pPr>
        <w:ind w:right="100" w:firstLine="1304"/>
        <w:spacing w:after="0" w:line="261" w:lineRule="auto"/>
        <w:tabs>
          <w:tab w:leader="none" w:pos="16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 4.2, in determining the number of Shares that remain available for issuance to Participants pursuant to Awards granted under this Plan on or after January 26, 2026, the Share Authorization shall be reduced by one Share for each Share covered by an Award. If a Stock Appreciation Right is settled by the issuance of Shares, the Share Authorization shall be reduced by the number of Shares covered by the Stock Appreciation Right rather than the number of Shares issued in settlement of the Stock Appreciation Right.</w:t>
      </w:r>
    </w:p>
    <w:p>
      <w:pPr>
        <w:spacing w:after="0" w:line="206" w:lineRule="exact"/>
        <w:rPr>
          <w:rFonts w:ascii="Times New Roman" w:cs="Times New Roman" w:eastAsia="Times New Roman" w:hAnsi="Times New Roman"/>
          <w:sz w:val="18"/>
          <w:szCs w:val="18"/>
          <w:color w:val="auto"/>
        </w:rPr>
      </w:pPr>
    </w:p>
    <w:p>
      <w:pPr>
        <w:jc w:val="both"/>
        <w:ind w:right="320" w:firstLine="1304"/>
        <w:spacing w:after="0" w:line="266" w:lineRule="auto"/>
        <w:tabs>
          <w:tab w:leader="none" w:pos="167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4.3, the maximum number of Shares of the Share Authorization that may be issued pursuant to the exercise of ISOs granted on or after the Effective Date, shall be four million three hundred twenty thousand nine hundred and sixty-one (4,223,914) Shares.</w:t>
      </w:r>
    </w:p>
    <w:p>
      <w:pPr>
        <w:spacing w:after="0" w:line="202" w:lineRule="exact"/>
        <w:rPr>
          <w:rFonts w:ascii="Times New Roman" w:cs="Times New Roman" w:eastAsia="Times New Roman" w:hAnsi="Times New Roman"/>
          <w:sz w:val="18"/>
          <w:szCs w:val="18"/>
          <w:color w:val="auto"/>
        </w:rPr>
      </w:pPr>
    </w:p>
    <w:p>
      <w:pPr>
        <w:ind w:right="240" w:firstLine="1304"/>
        <w:spacing w:after="0" w:line="266" w:lineRule="auto"/>
        <w:tabs>
          <w:tab w:leader="none" w:pos="16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Grant Date value of Shares subject to Awards granted to a Non-employee Director during any Plan Year, in the Participant’s capacity as a Non-employee Director, shall not exceed $500,000 in total value. For purposes of this limit, the value of such Awards shall be calculated based on the Grant Date fair value of such Awards for financial reporting purposes.</w:t>
      </w:r>
    </w:p>
    <w:p>
      <w:pPr>
        <w:spacing w:after="0" w:line="20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i w:val="1"/>
          <w:iCs w:val="1"/>
          <w:color w:val="auto"/>
        </w:rPr>
        <w:t>Reallocation of Shares.</w:t>
      </w:r>
      <w:r>
        <w:rPr>
          <w:rFonts w:ascii="Times New Roman" w:cs="Times New Roman" w:eastAsia="Times New Roman" w:hAnsi="Times New Roman"/>
          <w:sz w:val="18"/>
          <w:szCs w:val="18"/>
          <w:color w:val="auto"/>
        </w:rPr>
        <w:t xml:space="preserve"> To the extent that Awards terminate by expiration, forfeiture, cancellation or otherwise without the issuance of such Shares, are settled in cash in lieu of Shares or are exchanged with the Committee’s permission, prior to the issuance of Shares, for Awards not involving Shares, then the Shares subject to such Award shall be available again for grant under Section 4.1(a) of this Plan; provided, however, that the number of Shares that shall again be available shall be based on the number of shares that were originally debited from the share reserve with respect to such Award, as applicable. If any Shares are withheld by the Company or are tendered (either actually or by attestation) by a Participant to satisfy any tax withholding obligation with respect to an Award (other than an Option or Stock Appreciation Right), then the Shares so tendered or withheld shall again be available for issuance under the Plan and correspondingly increase the total</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891" w:right="359" w:bottom="1440" w:gutter="0" w:footer="0" w:header="0"/>
        </w:sectPr>
      </w:pPr>
    </w:p>
    <w:bookmarkStart w:id="17" w:name="page18"/>
    <w:bookmarkEnd w:id="17"/>
    <w:p>
      <w:pPr>
        <w:ind w:right="20"/>
        <w:spacing w:after="0" w:line="255" w:lineRule="auto"/>
        <w:rPr>
          <w:sz w:val="20"/>
          <w:szCs w:val="20"/>
          <w:color w:val="auto"/>
        </w:rPr>
      </w:pPr>
      <w:r>
        <w:rPr>
          <w:rFonts w:ascii="Times New Roman" w:cs="Times New Roman" w:eastAsia="Times New Roman" w:hAnsi="Times New Roman"/>
          <w:sz w:val="18"/>
          <w:szCs w:val="18"/>
          <w:color w:val="auto"/>
        </w:rPr>
        <w:t>number of Shares available for issuance under Section 4.1(a) of the Plan based on the number of shares that were originally debited from the share reserve with respect to such Award, as applicable. Notwithstanding anything to the contrary in this Section 4.2, the following Shares will not again become available for issuance under the Plan: (i) any Shares which would have been issued upon any exercise of an Option but for the fact that the exercise price was paid by a “net exercise” or any Shares tendered (either actually or by attestation) by a Participant in payment of the exercise price of an Option; (ii) any Shares withheld by the Company or Shares tendered (either actually or by attestation) by a Participant to satisfy any tax withholding obligation with respect to an Option or a Stock Appreciation Right (but not other Awards); (iii) Shares covered by a Stock Appreciation Right that are not issued in connection with the stock settlement upon its exercise; or (iv) Shares that are repurchased by the Company using Option exercise proceeds.</w:t>
      </w:r>
    </w:p>
    <w:p>
      <w:pPr>
        <w:spacing w:after="0" w:line="214"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i w:val="1"/>
          <w:iCs w:val="1"/>
          <w:color w:val="auto"/>
        </w:rPr>
        <w:t>Adjustments in Authorized Shares.</w:t>
      </w:r>
      <w:r>
        <w:rPr>
          <w:rFonts w:ascii="Times New Roman" w:cs="Times New Roman" w:eastAsia="Times New Roman" w:hAnsi="Times New Roman"/>
          <w:sz w:val="18"/>
          <w:szCs w:val="18"/>
          <w:color w:val="auto"/>
        </w:rPr>
        <w:t xml:space="preserve"> In the event of any corporate event or transaction (including, but not limited to,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 kind, or other like change in capital structure, number of outstanding Shares or distribution (other than normal cash dividends) to shareholders of the Company, or any similar corporate event or transaction, the Committee, in its sole discretion, in order to prevent dilution or enlargement of Participants’ rights under this Plan, shall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w:t>
      </w:r>
    </w:p>
    <w:p>
      <w:pPr>
        <w:spacing w:after="0" w:line="21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applicable Performance Periods. The determination of the Committee as to the foregoing adjustments, if any, shall be conclusive and binding on Participants under this Plan.</w:t>
      </w:r>
    </w:p>
    <w:p>
      <w:pPr>
        <w:spacing w:after="0" w:line="207"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Section 4.3, an adjustment to an Option or SAR shall be made only to the extent such adjustment complies with the requirements of Code Section 409A.</w:t>
      </w:r>
    </w:p>
    <w:p>
      <w:pPr>
        <w:spacing w:after="0" w:line="18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Article 17 and notwithstanding anything else herein to the contrary, without affecting the number of Shares reserved or available hereunder, the Committee may authorize the issuance or assumption of benefits under this Plan in connection with any merger, consolidation, acquisition of property or stock or reorganization upon such terms and conditions as it may deem appropriate (including, but not limited to, a conversion of equity awards into Awards under this Plan in a manner consistent with paragraph 53 of FASB Interpretation No. 44), subject to compliance with the rules under Code Sections 409A, 422 and 424, as and where applicable.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254"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Individuals eligible to participate in this Plan include all Employees, Directors and Third-Party Service Providers.</w:t>
      </w:r>
    </w:p>
    <w:p>
      <w:pPr>
        <w:spacing w:after="0" w:line="252" w:lineRule="exact"/>
        <w:rPr>
          <w:sz w:val="20"/>
          <w:szCs w:val="20"/>
          <w:color w:val="auto"/>
        </w:rPr>
      </w:pPr>
    </w:p>
    <w:p>
      <w:pPr>
        <w:jc w:val="both"/>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i w:val="1"/>
          <w:iCs w:val="1"/>
          <w:color w:val="auto"/>
        </w:rPr>
        <w:t>Actual Participation.</w:t>
      </w:r>
      <w:r>
        <w:rPr>
          <w:rFonts w:ascii="Times New Roman" w:cs="Times New Roman" w:eastAsia="Times New Roman" w:hAnsi="Times New Roman"/>
          <w:sz w:val="18"/>
          <w:szCs w:val="18"/>
          <w:color w:val="auto"/>
        </w:rPr>
        <w:t xml:space="preserve"> Subject to the provisions of this Plan, the Committee may, from time to time, select from all eligible individuals, those individuals to whom Awards shall be granted and shall determine, in its sole discretion, the nature of, any and all terms permissible by law, and the amount of, each Award.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54" w:lineRule="exact"/>
        <w:rPr>
          <w:sz w:val="20"/>
          <w:szCs w:val="20"/>
          <w:color w:val="auto"/>
        </w:rPr>
      </w:pPr>
    </w:p>
    <w:p>
      <w:pPr>
        <w:jc w:val="both"/>
        <w:ind w:right="3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i w:val="1"/>
          <w:iCs w:val="1"/>
          <w:color w:val="auto"/>
        </w:rPr>
        <w:t>Grant of Options.</w:t>
      </w:r>
      <w:r>
        <w:rPr>
          <w:rFonts w:ascii="Times New Roman" w:cs="Times New Roman" w:eastAsia="Times New Roman" w:hAnsi="Times New Roman"/>
          <w:sz w:val="18"/>
          <w:szCs w:val="18"/>
          <w:color w:val="auto"/>
        </w:rPr>
        <w:t xml:space="preserve"> Subject to the terms and provisions of this Plan, Options may be granted to Participants in such number, and upon such terms, and at any time and from time to time as shall be determined by the Committee, in its sole discretion; provided that ISOs may be granted only to eligible Employees of the Company or of any parent or subsidiary corporation (as permitted under Code Sections 422 and 424).</w:t>
      </w:r>
    </w:p>
    <w:p>
      <w:pPr>
        <w:spacing w:after="0" w:line="20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xml:space="preserve"> Each Option grant shall be evidenced by an Award Agreement that shall specify the Option Price, the maximum duration of the Option, the number of Shares to which the Option pertains, the conditions upon which the Option shall become vested and exercisable, including, without limitation, whether Options will vest based upon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91" w:right="339" w:bottom="1440" w:gutter="0" w:footer="0" w:header="0"/>
        </w:sectPr>
      </w:pPr>
    </w:p>
    <w:bookmarkStart w:id="18" w:name="page19"/>
    <w:bookmarkEnd w:id="18"/>
    <w:p>
      <w:pPr>
        <w:ind w:right="200"/>
        <w:spacing w:after="0" w:line="282" w:lineRule="auto"/>
        <w:rPr>
          <w:sz w:val="20"/>
          <w:szCs w:val="20"/>
          <w:color w:val="auto"/>
        </w:rPr>
      </w:pPr>
      <w:r>
        <w:rPr>
          <w:rFonts w:ascii="Times New Roman" w:cs="Times New Roman" w:eastAsia="Times New Roman" w:hAnsi="Times New Roman"/>
          <w:sz w:val="18"/>
          <w:szCs w:val="18"/>
          <w:color w:val="auto"/>
        </w:rPr>
        <w:t>achievement of specific Performance Goals and such other provisions as the Committee shall determine which are not inconsistent with the terms of this Plan. The Award Agreement also shall specify whether the Option is intended to be an ISO or a NQSO.</w:t>
      </w:r>
    </w:p>
    <w:p>
      <w:pPr>
        <w:spacing w:after="0" w:line="187"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i w:val="1"/>
          <w:iCs w:val="1"/>
          <w:color w:val="auto"/>
        </w:rPr>
        <w:t>Option Price.</w:t>
      </w:r>
      <w:r>
        <w:rPr>
          <w:rFonts w:ascii="Times New Roman" w:cs="Times New Roman" w:eastAsia="Times New Roman" w:hAnsi="Times New Roman"/>
          <w:sz w:val="18"/>
          <w:szCs w:val="18"/>
          <w:color w:val="auto"/>
        </w:rPr>
        <w:t xml:space="preserve"> The Option Price for each grant of an Option under this Plan shall be determined by the Committee in its sole discretion and shall be specified in the Award Agreement; provided, however, the Option Price must be at least equal to one hundred percent (100%) of the FMV of the Shares as determined on the Grant Date; provided, further, however, that the Option Price must be at least equal to one hundred and ten percent (110%) of the FMV of a Share on the Grant Date with respect to any ISO issued to a Participant who, on the Grant Date, owns (as defined in Code Section 424(d)) stock possessing more than ten percent (10%) of the total combined voting power of all classes of stock of the Company or of its subsidiary corporation (as defined in Code Section 424(f)) (a “10% Shareholder”).</w:t>
      </w:r>
    </w:p>
    <w:p>
      <w:pPr>
        <w:spacing w:after="0" w:line="209" w:lineRule="exact"/>
        <w:rPr>
          <w:sz w:val="20"/>
          <w:szCs w:val="20"/>
          <w:color w:val="auto"/>
        </w:rPr>
      </w:pPr>
    </w:p>
    <w:p>
      <w:pPr>
        <w:ind w:right="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i w:val="1"/>
          <w:iCs w:val="1"/>
          <w:color w:val="auto"/>
        </w:rPr>
        <w:t>Term of Options.</w:t>
      </w:r>
      <w:r>
        <w:rPr>
          <w:rFonts w:ascii="Times New Roman" w:cs="Times New Roman" w:eastAsia="Times New Roman" w:hAnsi="Times New Roman"/>
          <w:sz w:val="18"/>
          <w:szCs w:val="18"/>
          <w:color w:val="auto"/>
        </w:rPr>
        <w:t xml:space="preserve"> Each Option granted to a Participant shall expire at such time as the Committee shall determine at the time of grant; provided, however, no Option shall be exercisable later than the day before the tenth (10th) anniversary of the Grant Date; provided, further, however, that no ISO granted to a 10% Shareholder shall be exercisable later than the day before the fifth (5th) anniversary of its Grant Date.</w:t>
      </w:r>
    </w:p>
    <w:p>
      <w:pPr>
        <w:spacing w:after="0" w:line="20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xml:space="preserve"> Options granted under this Article 6 shall be exercisable at such times and be subject to such restrictions and conditions as the Committee shall in each instance approve, which terms and restrictions need not be the same for each grant or for each Participant. Notwithstanding anything in this Plan to the contrary, to the extent that the aggregate FMV of the Shares (determined as of the Grant Date of the applicable ISO) with respect to which ISOs are exercisable for the first time by a Participant during any calendar year under all plans of the Company and its subsidiary corporations (as defined in Code Section 424(f)) exceeds $100,000, such Options shall be treated as Nonqualified Stock Options.</w:t>
      </w:r>
    </w:p>
    <w:p>
      <w:pPr>
        <w:spacing w:after="0" w:line="21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6.6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xml:space="preserve"> Options granted under this Article 6 shall be exercised by the delivery of a notice of exercise to the Company or an agent designated by the Company in a form specified or accepted by the Committee, or by complying with any alternative procedures which may be authorized by the Committee, setting forth the number of Shares with respect to which the Option is to be exercised, accompanied by full payment for the Shares.</w:t>
      </w:r>
    </w:p>
    <w:p>
      <w:pPr>
        <w:spacing w:after="0" w:line="20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A condition of the issuance of the Shares as to which an Option shall be exercised shall be the payment of the Option Price. The Option Price of any Option shall be payable to the Company in full either: (a) in cash or its equivalent; (b) by tendering (either by actual delivery or attestation) previously acquired Shares having an aggregate Fair Market Value at the time of exercise equal to the Option Price (provided that except as otherwise determined by the Committee, the Shares that are tendered must have been held by the Participant for at least six (6) months (or such other period, if any, as the Committee may permit) prior to their tender to satisfy the Option Price if acquired under this Plan or any other compensation plan maintained by the Company or have been purchased on the open market); (c) by a cashless (broker-assisted) exercise; (d) by a combination of (a), (b) and/or (c); or (e) any other method approved or accepted by the Committee in its sole discretion, including by the withholding of Shares subject to the exercisable Option, which have a Fair Market Value on the date of exercise equal to the Option Price, if permitted by the Committee.</w:t>
      </w:r>
    </w:p>
    <w:p>
      <w:pPr>
        <w:spacing w:after="0" w:line="21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Subject to any governing rules or regulations, as soon as practicable after receipt of written notification of exercise and full payment (including satisfaction of any applicable tax withholding), the Company shall deliver to the Participant evidence of book entry Shares, or upon the Participant’s request, Share certificates in an appropriate amount based upon the number of Shares purchased under the Option(s).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Unless otherwise determined by the Committee, all payments under all of the methods indicated above shall be paid in United States dollars.</w:t>
      </w:r>
    </w:p>
    <w:p>
      <w:pPr>
        <w:spacing w:after="0" w:line="250"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i w:val="1"/>
          <w:iCs w:val="1"/>
          <w:color w:val="auto"/>
        </w:rPr>
        <w:t>Restrictions on Share Transferability.</w:t>
      </w:r>
      <w:r>
        <w:rPr>
          <w:rFonts w:ascii="Times New Roman" w:cs="Times New Roman" w:eastAsia="Times New Roman" w:hAnsi="Times New Roman"/>
          <w:sz w:val="18"/>
          <w:szCs w:val="18"/>
          <w:color w:val="auto"/>
        </w:rPr>
        <w:t xml:space="preserve"> The Committee may impose such restrictions on any Shares acquired pursuant to the exercise of an Option granted under this Article 6 as it may deem advisable, including, without limitation, minimum holding period requirements, restrictions under applicable federal securities laws, under the requirements of any stock exchange or market upon which such Shares are then listed and/or traded, or under any blue sky or state securities laws applicable to such Shares.</w:t>
      </w:r>
    </w:p>
    <w:p>
      <w:pPr>
        <w:spacing w:after="0" w:line="207"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i w:val="1"/>
          <w:iCs w:val="1"/>
          <w:color w:val="auto"/>
        </w:rPr>
        <w:t>Termination of Employment or Service.</w:t>
      </w:r>
      <w:r>
        <w:rPr>
          <w:rFonts w:ascii="Times New Roman" w:cs="Times New Roman" w:eastAsia="Times New Roman" w:hAnsi="Times New Roman"/>
          <w:sz w:val="18"/>
          <w:szCs w:val="18"/>
          <w:color w:val="auto"/>
        </w:rPr>
        <w:t xml:space="preserve"> Each Participant’s Award Agreement shall set forth the extent to which the Participant shall have the right to exercise the Option following the Participant’s Termination. Such provisions shall be determined in the sole discretion of the Committee, shall be included in the Award Agreement entered into with each</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20" w:top="89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Participant, need not be uniform among all Options issued pursuant to this Article 6, and may reflect distinctions based on the reasons for Termination.</w:t>
      </w:r>
    </w:p>
    <w:p>
      <w:pPr>
        <w:spacing w:after="0" w:line="25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i w:val="1"/>
          <w:iCs w:val="1"/>
          <w:color w:val="auto"/>
        </w:rPr>
        <w:t>Notification of Disqualifying Disposition.</w:t>
      </w:r>
      <w:r>
        <w:rPr>
          <w:rFonts w:ascii="Times New Roman" w:cs="Times New Roman" w:eastAsia="Times New Roman" w:hAnsi="Times New Roman"/>
          <w:sz w:val="18"/>
          <w:szCs w:val="18"/>
          <w:color w:val="auto"/>
        </w:rPr>
        <w:t xml:space="preserve"> If any Participant shall make any disposition of Shares issued pursuant to the exercise of an ISO under the circumstances described in Code Section 421(b) (relating to certain disqualifying dispositions), such Participant shall notify the Company of such disposition within ten (10) calendar days thereof.</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54"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i w:val="1"/>
          <w:iCs w:val="1"/>
          <w:color w:val="auto"/>
        </w:rPr>
        <w:t>Grant of SARs.</w:t>
      </w:r>
      <w:r>
        <w:rPr>
          <w:rFonts w:ascii="Times New Roman" w:cs="Times New Roman" w:eastAsia="Times New Roman" w:hAnsi="Times New Roman"/>
          <w:sz w:val="18"/>
          <w:szCs w:val="18"/>
          <w:color w:val="auto"/>
        </w:rPr>
        <w:t xml:space="preserve"> Subject to the terms and conditions of this Plan, SARs may be granted to Participants at any time and from time to time as shall be determined by the Committee.</w:t>
      </w:r>
    </w:p>
    <w:p>
      <w:pPr>
        <w:spacing w:after="0" w:line="18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Subject to the terms and conditions of this Plan, the Committee shall have complete discretion in determining the number of SARs granted to each Participant and, consistent with the provisions of this Plan, in determining the terms and conditions pertaining to such SARs, including, without limitation, whether SARs will vest based upon the achievement of specific Performance Goals.</w:t>
      </w:r>
    </w:p>
    <w:p>
      <w:pPr>
        <w:spacing w:after="0" w:line="203"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Grant Price for each grant of a SAR shall be determined by the Committee and shall be specified in the Award Agreement; provided, however, the Grant Price on the Grant Date must be at least equal to one hundred percent (100%) of the FMV of the Shares as determined on the Grant Date.</w:t>
      </w:r>
    </w:p>
    <w:p>
      <w:pPr>
        <w:spacing w:after="0" w:line="201"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i w:val="1"/>
          <w:iCs w:val="1"/>
          <w:color w:val="auto"/>
        </w:rPr>
        <w:t>SAR Agreement.</w:t>
      </w:r>
      <w:r>
        <w:rPr>
          <w:rFonts w:ascii="Times New Roman" w:cs="Times New Roman" w:eastAsia="Times New Roman" w:hAnsi="Times New Roman"/>
          <w:sz w:val="18"/>
          <w:szCs w:val="18"/>
          <w:color w:val="auto"/>
        </w:rPr>
        <w:t xml:space="preserve"> Each SAR Award shall be evidenced by an Award Agreement that shall specify the Grant Price, the term of the SAR, and such other provisions as the Committee shall determine.</w:t>
      </w:r>
    </w:p>
    <w:p>
      <w:pPr>
        <w:spacing w:after="0" w:line="18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i w:val="1"/>
          <w:iCs w:val="1"/>
          <w:color w:val="auto"/>
        </w:rPr>
        <w:t>Term of SAR.</w:t>
      </w:r>
      <w:r>
        <w:rPr>
          <w:rFonts w:ascii="Times New Roman" w:cs="Times New Roman" w:eastAsia="Times New Roman" w:hAnsi="Times New Roman"/>
          <w:sz w:val="18"/>
          <w:szCs w:val="18"/>
          <w:color w:val="auto"/>
        </w:rPr>
        <w:t xml:space="preserve"> The term of a SAR granted under this Plan shall be determined by the Committee, in its sole discretion, and no SAR shall be exercisable later than the tenth (10th) anniversary date of its Grant Date</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i w:val="1"/>
          <w:iCs w:val="1"/>
          <w:color w:val="auto"/>
        </w:rPr>
        <w:t xml:space="preserve">Exercise of SARs. </w:t>
      </w:r>
      <w:r>
        <w:rPr>
          <w:rFonts w:ascii="Times New Roman" w:cs="Times New Roman" w:eastAsia="Times New Roman" w:hAnsi="Times New Roman"/>
          <w:sz w:val="17"/>
          <w:szCs w:val="17"/>
          <w:color w:val="auto"/>
        </w:rPr>
        <w:t>SARs may be exercised upon whatever terms and conditions the Committee, in its sole discretion, imposes.</w:t>
      </w:r>
    </w:p>
    <w:p>
      <w:pPr>
        <w:spacing w:after="0" w:line="252" w:lineRule="exact"/>
        <w:rPr>
          <w:sz w:val="20"/>
          <w:szCs w:val="20"/>
          <w:color w:val="auto"/>
        </w:rPr>
      </w:pPr>
    </w:p>
    <w:p>
      <w:pPr>
        <w:ind w:right="7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i w:val="1"/>
          <w:iCs w:val="1"/>
          <w:color w:val="auto"/>
        </w:rPr>
        <w:t>Settlement of SARs.</w:t>
      </w:r>
      <w:r>
        <w:rPr>
          <w:rFonts w:ascii="Times New Roman" w:cs="Times New Roman" w:eastAsia="Times New Roman" w:hAnsi="Times New Roman"/>
          <w:sz w:val="18"/>
          <w:szCs w:val="18"/>
          <w:color w:val="auto"/>
        </w:rPr>
        <w:t xml:space="preserve"> Upon the exercise of a SAR, a Participant shall be entitled to receive payment from the Company in an amount determined by multiplying:</w:t>
      </w:r>
    </w:p>
    <w:p>
      <w:pPr>
        <w:spacing w:after="0" w:line="187" w:lineRule="exact"/>
        <w:rPr>
          <w:sz w:val="20"/>
          <w:szCs w:val="20"/>
          <w:color w:val="auto"/>
        </w:rPr>
      </w:pPr>
    </w:p>
    <w:p>
      <w:pPr>
        <w:ind w:left="1680" w:hanging="376"/>
        <w:spacing w:after="0"/>
        <w:tabs>
          <w:tab w:leader="none" w:pos="1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a Share on the date of exercise over the Grant Price; by</w:t>
      </w:r>
    </w:p>
    <w:p>
      <w:pPr>
        <w:spacing w:after="0" w:line="252"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SAR is exercised.</w:t>
      </w:r>
    </w:p>
    <w:p>
      <w:pPr>
        <w:spacing w:after="0" w:line="252"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At the discretion of the Committee, the payment upon SAR exercise may be in cash, Shares or any combination thereof, or in any other manner approved by the Committee in its sole discretion. The Committee’s determination regarding the form of SAR payout may be set forth in the Award Agreement pertaining to the grant of the SAR.</w:t>
      </w:r>
    </w:p>
    <w:p>
      <w:pPr>
        <w:spacing w:after="0" w:line="20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i w:val="1"/>
          <w:iCs w:val="1"/>
          <w:color w:val="auto"/>
        </w:rPr>
        <w:t>Termination of Employment or Service.</w:t>
      </w:r>
      <w:r>
        <w:rPr>
          <w:rFonts w:ascii="Times New Roman" w:cs="Times New Roman" w:eastAsia="Times New Roman" w:hAnsi="Times New Roman"/>
          <w:sz w:val="18"/>
          <w:szCs w:val="18"/>
          <w:color w:val="auto"/>
        </w:rPr>
        <w:t xml:space="preserve"> Each Award Agreement shall set forth the extent to which the Participant shall have the right to exercise the SAR following the Participant’s Termination. Such provisions shall be determined in the sole discretion of the Committee, shall be included in the Award Agreement entered into with Participants, need not be uniform among all SARs issued pursuant to this Plan and may reflect distinctions based on the reasons for Termination.</w:t>
      </w:r>
    </w:p>
    <w:p>
      <w:pPr>
        <w:spacing w:after="0" w:line="207" w:lineRule="exact"/>
        <w:rPr>
          <w:sz w:val="20"/>
          <w:szCs w:val="20"/>
          <w:color w:val="auto"/>
        </w:rPr>
      </w:pPr>
    </w:p>
    <w:p>
      <w:pPr>
        <w:ind w:right="280" w:firstLine="648"/>
        <w:spacing w:after="0" w:line="267"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i w:val="1"/>
          <w:iCs w:val="1"/>
          <w:color w:val="auto"/>
        </w:rPr>
        <w:t>Other Restrictions.</w:t>
      </w:r>
      <w:r>
        <w:rPr>
          <w:rFonts w:ascii="Times New Roman" w:cs="Times New Roman" w:eastAsia="Times New Roman" w:hAnsi="Times New Roman"/>
          <w:sz w:val="18"/>
          <w:szCs w:val="18"/>
          <w:color w:val="auto"/>
        </w:rPr>
        <w:t xml:space="preserve"> The Committee shall impose such other conditions and/or restrictions on any Shares received upon exercise of a SAR granted pursuant to this Plan as it may deem advisable or desirable. These restrictions may include, but shall not be limited to, a requirement that the Participant hold the Shares received upon exercise of a SAR for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20"/>
          </w:cols>
          <w:pgMar w:left="320" w:top="891" w:right="35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54"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i w:val="1"/>
          <w:iCs w:val="1"/>
          <w:color w:val="auto"/>
        </w:rPr>
        <w:t>Grant of Restricted Stock or Restricted Stock Units.</w:t>
      </w:r>
      <w:r>
        <w:rPr>
          <w:rFonts w:ascii="Times New Roman" w:cs="Times New Roman" w:eastAsia="Times New Roman" w:hAnsi="Times New Roman"/>
          <w:sz w:val="18"/>
          <w:szCs w:val="18"/>
          <w:color w:val="auto"/>
        </w:rPr>
        <w:t xml:space="preserve"> Subject to the terms and provisions of this Plan or an Award Agreement, the Committee, at any time and from time to time, may grant Shares of Restricted Stock and/or Restricted Stock Units to Participants in such amounts as the Committee shall determine. Restricted Stock Units shall be similar to Restricted Stock except that no Shares are actually awarded to the Participant on the Grant Date.</w:t>
      </w:r>
    </w:p>
    <w:p>
      <w:pPr>
        <w:spacing w:after="0" w:line="200"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i w:val="1"/>
          <w:iCs w:val="1"/>
          <w:color w:val="auto"/>
        </w:rPr>
        <w:t>Restricted Stock or Restricted Stock Unit Agreement.</w:t>
      </w:r>
      <w:r>
        <w:rPr>
          <w:rFonts w:ascii="Times New Roman" w:cs="Times New Roman" w:eastAsia="Times New Roman" w:hAnsi="Times New Roman"/>
          <w:sz w:val="18"/>
          <w:szCs w:val="18"/>
          <w:color w:val="auto"/>
        </w:rPr>
        <w:t xml:space="preserve"> Each Restricted Stock and/or Restricted Stock Unit grant shall be evidenced by an Award Agreement that shall specify the Period(s) of Restriction, the number of Shares of Restricted Stock or the number of Restricted Stock Units granted and such other provisions as the Committee shall determine.</w:t>
      </w:r>
    </w:p>
    <w:p>
      <w:pPr>
        <w:spacing w:after="0" w:line="200"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i w:val="1"/>
          <w:iCs w:val="1"/>
          <w:color w:val="auto"/>
        </w:rPr>
        <w:t>Other Restrictions.</w:t>
      </w:r>
      <w:r>
        <w:rPr>
          <w:rFonts w:ascii="Times New Roman" w:cs="Times New Roman" w:eastAsia="Times New Roman" w:hAnsi="Times New Roman"/>
          <w:sz w:val="18"/>
          <w:szCs w:val="18"/>
          <w:color w:val="auto"/>
        </w:rPr>
        <w:t xml:space="preserve"> The Committee shall impose such other conditions and/or restrictions on any Shares of Restricted Stock or Restricted Stock Units granted pursuant to this Plan as it may deem advisable, including, without limitation, a requirement that Participants pay a stipulated purchase price for each Share of Restricted Stock or each Restricted Stock Unit, whether Shares of Restricted Stock and/or Restricted Stock Units will vest based upon the achievement of specific Performance Goals, time-based restrictions on vesting following the attainment of the Performance Goals, time-based restrictions and/or restrictions under applicable laws or under the requirements of any stock exchange or market upon which such Shares are listed or traded, or holding requirements or sale restrictions placed on the Shares by the Company upon vesting of such Restricted Stock or Restricted Stock Units.</w:t>
      </w:r>
    </w:p>
    <w:p>
      <w:pPr>
        <w:spacing w:after="0" w:line="211"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To the extent deemed appropriate by the Committee, the Company may retain the certificates representing Shares of Restricted Stock in the Company’s possession until such time as all conditions and/or restrictions applicable to such Shares have been satisfied or lapse.</w:t>
      </w:r>
    </w:p>
    <w:p>
      <w:pPr>
        <w:spacing w:after="0" w:line="18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Article 8,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 and Restricted Stock Units shall be paid in cash, Shares or a combination of cash and Shares as the Committee, in its sole discretion shall determine.</w:t>
      </w:r>
    </w:p>
    <w:p>
      <w:pPr>
        <w:spacing w:after="0" w:line="205" w:lineRule="exact"/>
        <w:rPr>
          <w:sz w:val="20"/>
          <w:szCs w:val="20"/>
          <w:color w:val="auto"/>
        </w:rPr>
      </w:pPr>
    </w:p>
    <w:p>
      <w:pPr>
        <w:jc w:val="center"/>
        <w:ind w:right="100"/>
        <w:spacing w:after="0"/>
        <w:tabs>
          <w:tab w:leader="none" w:pos="160" w:val="left"/>
        </w:tabs>
        <w:rPr>
          <w:sz w:val="20"/>
          <w:szCs w:val="20"/>
          <w:color w:val="auto"/>
        </w:rPr>
      </w:pPr>
      <w:r>
        <w:rPr>
          <w:rFonts w:ascii="Times New Roman" w:cs="Times New Roman" w:eastAsia="Times New Roman" w:hAnsi="Times New Roman"/>
          <w:sz w:val="18"/>
          <w:szCs w:val="18"/>
          <w:color w:val="auto"/>
        </w:rPr>
        <w:t>8.4</w:t>
      </w:r>
      <w:r>
        <w:rPr>
          <w:sz w:val="20"/>
          <w:szCs w:val="20"/>
          <w:color w:val="auto"/>
        </w:rPr>
        <w:tab/>
      </w:r>
      <w:r>
        <w:rPr>
          <w:rFonts w:ascii="Times New Roman" w:cs="Times New Roman" w:eastAsia="Times New Roman" w:hAnsi="Times New Roman"/>
          <w:sz w:val="17"/>
          <w:szCs w:val="17"/>
          <w:i w:val="1"/>
          <w:iCs w:val="1"/>
          <w:color w:val="auto"/>
        </w:rPr>
        <w:t xml:space="preserve">Certificate Legend. </w:t>
      </w:r>
      <w:r>
        <w:rPr>
          <w:rFonts w:ascii="Times New Roman" w:cs="Times New Roman" w:eastAsia="Times New Roman" w:hAnsi="Times New Roman"/>
          <w:sz w:val="17"/>
          <w:szCs w:val="17"/>
          <w:color w:val="auto"/>
        </w:rPr>
        <w:t>In addition to any legends placed on certificates pursuant to Section 8.3, each certificate representing Shares of</w:t>
      </w:r>
    </w:p>
    <w:p>
      <w:pPr>
        <w:spacing w:after="0" w:line="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Restricted Stock granted pursuant to this Plan may bear a legend such as the following or as otherwise determined by the Committee in its sole discretion:</w:t>
      </w:r>
    </w:p>
    <w:p>
      <w:pPr>
        <w:spacing w:after="0" w:line="234"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sale or transfer of the common shares of The Scotts Miracle-Gro Company represented by this certificate, whether voluntary, involuntary or by operation of law, is subject to certain restrictions on transfer as set forth in The Scotts Miracle-Gro Company Long-Term Incentive Plan, and in the associated Award Agreement. A copy of this Plan and such Award Agreement will be provided by The Scotts Miracle-Gro Company, without charge, within five (5) days after receipt of a written request therefor.</w:t>
      </w:r>
    </w:p>
    <w:p>
      <w:pPr>
        <w:spacing w:after="0" w:line="20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xml:space="preserve"> Unless otherwise determined by the Committee and set forth in a Participant’s Award Agreement, to the extent permitted or required by law, as determined by the Committee, Participants holding Shares of Restricted Stock granted hereunder may be granted the right to exercise full voting rights with respect to those Shares during the Period of Restriction. A Participant shall have no voting rights with respect to any Restricted Stock Units granted hereunder.</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i w:val="1"/>
          <w:iCs w:val="1"/>
          <w:color w:val="auto"/>
        </w:rPr>
        <w:t>Termination of Employment or Service.</w:t>
      </w:r>
      <w:r>
        <w:rPr>
          <w:rFonts w:ascii="Times New Roman" w:cs="Times New Roman" w:eastAsia="Times New Roman" w:hAnsi="Times New Roman"/>
          <w:sz w:val="18"/>
          <w:szCs w:val="18"/>
          <w:color w:val="auto"/>
        </w:rPr>
        <w:t xml:space="preserve"> Each Award Agreement shall set forth the extent to which the Participant shall have the right to retain Restricted Stock and/or Restricted Stock Units following the Participant’s Termination. Such provisions shall be determined in the sole discretion of the Committee, shall be included in the Award Agreement entered into with each Participant, need not be uniform among all Shares of Restricted Stock or Restricted Stock Units issued pursuant to this Plan, and may reflect distinctions based on the reasons for Termination.</w:t>
      </w:r>
    </w:p>
    <w:p>
      <w:pPr>
        <w:spacing w:after="0" w:line="207" w:lineRule="exact"/>
        <w:rPr>
          <w:sz w:val="20"/>
          <w:szCs w:val="20"/>
          <w:color w:val="auto"/>
        </w:rPr>
      </w:pPr>
    </w:p>
    <w:p>
      <w:pPr>
        <w:ind w:right="160" w:firstLine="648"/>
        <w:spacing w:after="0" w:line="290"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i w:val="1"/>
          <w:iCs w:val="1"/>
          <w:color w:val="auto"/>
        </w:rPr>
        <w:t>Section 83(b) Election.</w:t>
      </w:r>
      <w:r>
        <w:rPr>
          <w:rFonts w:ascii="Times New Roman" w:cs="Times New Roman" w:eastAsia="Times New Roman" w:hAnsi="Times New Roman"/>
          <w:sz w:val="17"/>
          <w:szCs w:val="17"/>
          <w:color w:val="auto"/>
        </w:rPr>
        <w:t xml:space="preserve"> The Committee may provide in an Award Agreement that the Award of Restricted Stock is conditioned upon the Participant making or refraining from making an election with respect to the Award under Code Section 83(b). If a Participant makes an election pursuant to Code Section 83(b) concerning a Restricted Stock Award, the Participant shall be required to file promptly a copy of such election with the Company.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887"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Performance Units/Performance Shares</w:t>
      </w:r>
    </w:p>
    <w:p>
      <w:pPr>
        <w:spacing w:after="0" w:line="254"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i w:val="1"/>
          <w:iCs w:val="1"/>
          <w:color w:val="auto"/>
        </w:rPr>
        <w:t>Grant of Performance Units/Performance Shares.</w:t>
      </w:r>
      <w:r>
        <w:rPr>
          <w:rFonts w:ascii="Times New Roman" w:cs="Times New Roman" w:eastAsia="Times New Roman" w:hAnsi="Times New Roman"/>
          <w:sz w:val="18"/>
          <w:szCs w:val="18"/>
          <w:color w:val="auto"/>
        </w:rPr>
        <w:t xml:space="preserve"> Subject to the terms and provisions of this Plan, the Committee, at any time and from time to time, may grant Performance Units and/or Performance Shares to Participants in such amounts and upon such terms as the Committee shall determine.</w:t>
      </w:r>
    </w:p>
    <w:p>
      <w:pPr>
        <w:spacing w:after="0" w:line="18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i w:val="1"/>
          <w:iCs w:val="1"/>
          <w:color w:val="auto"/>
        </w:rPr>
        <w:t>Value of Performance Units/Performance Shares.</w:t>
      </w:r>
      <w:r>
        <w:rPr>
          <w:rFonts w:ascii="Times New Roman" w:cs="Times New Roman" w:eastAsia="Times New Roman" w:hAnsi="Times New Roman"/>
          <w:sz w:val="18"/>
          <w:szCs w:val="18"/>
          <w:color w:val="auto"/>
        </w:rPr>
        <w:t xml:space="preserve"> Each Performance Unit shall have an initial value that is established by the Committee at the Grant Date. Each Performance Share shall have an initial value equal to the Fair Market Value of a Share on the Grant Date. The Committee shall set Performance Goals in its discretion which, depending on the extent to which they are met, will determine the value and/or number of Performance Units/Performance Shares that will be paid out to the Participant.</w:t>
      </w:r>
    </w:p>
    <w:p>
      <w:pPr>
        <w:spacing w:after="0" w:line="20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i w:val="1"/>
          <w:iCs w:val="1"/>
          <w:color w:val="auto"/>
        </w:rPr>
        <w:t>Earning of Performance Units/Performance Shares.</w:t>
      </w:r>
      <w:r>
        <w:rPr>
          <w:rFonts w:ascii="Times New Roman" w:cs="Times New Roman" w:eastAsia="Times New Roman" w:hAnsi="Times New Roman"/>
          <w:sz w:val="18"/>
          <w:szCs w:val="18"/>
          <w:color w:val="auto"/>
        </w:rPr>
        <w:t xml:space="preserve"> Subject to the terms of this Plan, after the applicable Performance Period has ended (unless otherwise specified in the Award Agreement), the holder of Performance Units/Performance Shares shall be entitled to receive payout on the value and number of Performance Units/Performance Shares earned by the Participant over the Performance Period, to be determined as a function of the extent to which the corresponding Performance Goals have been achieved.</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i w:val="1"/>
          <w:iCs w:val="1"/>
          <w:color w:val="auto"/>
        </w:rPr>
        <w:t>Form and Timing of Payment of Performance Units/Performance Shares.</w:t>
      </w:r>
      <w:r>
        <w:rPr>
          <w:rFonts w:ascii="Times New Roman" w:cs="Times New Roman" w:eastAsia="Times New Roman" w:hAnsi="Times New Roman"/>
          <w:sz w:val="18"/>
          <w:szCs w:val="18"/>
          <w:color w:val="auto"/>
        </w:rPr>
        <w:t xml:space="preserve"> Payment of earned Performance Units/Performance Shares shall be as determined by the Committee and as evidenced in the Award Agreement. Subject to the terms of this Plan, the Committee, in its sole discretion, may pay earned Performance Units/Performance Shares in the form of cash or in Shares (or in a combination thereof) equal to the value of the earned Performance Units/Performance Shares at the close of the applicable Performance Period, or as soon as practicable after the end of the Performance Period (unless otherwise specified in the Award Agreement). Any Shares may be granted subject to any restrictions deemed appropriate by the Committee. The determination of the Committee with respect to the form of payout of such Awards shall be set forth in the Award Agreement pertaining to the grant of the Award.</w:t>
      </w:r>
    </w:p>
    <w:p>
      <w:pPr>
        <w:spacing w:after="0" w:line="210"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i w:val="1"/>
          <w:iCs w:val="1"/>
          <w:color w:val="auto"/>
        </w:rPr>
        <w:t>Termination of Employment or Service.</w:t>
      </w:r>
      <w:r>
        <w:rPr>
          <w:rFonts w:ascii="Times New Roman" w:cs="Times New Roman" w:eastAsia="Times New Roman" w:hAnsi="Times New Roman"/>
          <w:sz w:val="18"/>
          <w:szCs w:val="18"/>
          <w:color w:val="auto"/>
        </w:rPr>
        <w:t xml:space="preserve"> Each Award Agreement shall set forth the extent to which the Participant shall have the right to retain Performance Units and/or Performance Shares following the Participant’s Termination. Such provisions shall be determined in the sole discretion of the Committee, shall be included in the Award Agreement entered into with each Participant, need not be uniform among all Awards of Performance Units or Performance Shares issued pursuant to this Plan, and may reflect distinctions based on the reasons for Termination.</w:t>
      </w:r>
    </w:p>
    <w:p>
      <w:pPr>
        <w:spacing w:after="0" w:line="20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9.6 Performance Units and Performance Shares shall be transferred or paid to the Participant as determined by the Committee in the applicable Award Agreement, consistent with the requirements of Code Section 409A.</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Stock-Based Awards</w:t>
      </w:r>
    </w:p>
    <w:p>
      <w:pPr>
        <w:spacing w:after="0" w:line="25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xml:space="preserve"> The Committee may grant other types of equity-based or equity-related Awards not otherwise described by the terms of this Plan (including the grant or offer for sale of unrestricted Shares) in such amounts and subject to such terms and conditions, as the Committee shall determine. Such Awards may involve the transfer of actual Shares to Participants, or payment in cash or otherwise of amounts based on the value of Shares and may include, without limitation, Awards designed to comply with or take advantage of the applicable local laws of jurisdictions other than the United States.</w:t>
      </w:r>
    </w:p>
    <w:p>
      <w:pPr>
        <w:spacing w:after="0" w:line="210" w:lineRule="exact"/>
        <w:rPr>
          <w:sz w:val="20"/>
          <w:szCs w:val="20"/>
          <w:color w:val="auto"/>
        </w:rPr>
      </w:pPr>
    </w:p>
    <w:p>
      <w:pPr>
        <w:ind w:righ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i w:val="1"/>
          <w:iCs w:val="1"/>
          <w:color w:val="auto"/>
        </w:rPr>
        <w:t>Value of Other Stock-Based Awards</w:t>
      </w:r>
      <w:r>
        <w:rPr>
          <w:rFonts w:ascii="Times New Roman" w:cs="Times New Roman" w:eastAsia="Times New Roman" w:hAnsi="Times New Roman"/>
          <w:sz w:val="18"/>
          <w:szCs w:val="18"/>
          <w:color w:val="auto"/>
        </w:rPr>
        <w:t>. Each Other Stock-Based Award shall be expressed in terms of Shares or units based on Shares, as determined by the Committee. The Committee may establish Performance Goals in its discretion applicable to Other Stock-Based Awards. If the Committee exercises its discretion to establish Performance Goals, the number and/or value of Other Stock-Based Awards that will be paid out to the Participant will depend on the extent to which the Performance Goals are met.</w:t>
      </w:r>
    </w:p>
    <w:p>
      <w:pPr>
        <w:spacing w:after="0" w:line="207"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Payment of Other Stock-Based Awards.</w:t>
      </w:r>
      <w:r>
        <w:rPr>
          <w:rFonts w:ascii="Times New Roman" w:cs="Times New Roman" w:eastAsia="Times New Roman" w:hAnsi="Times New Roman"/>
          <w:sz w:val="18"/>
          <w:szCs w:val="18"/>
          <w:color w:val="auto"/>
        </w:rPr>
        <w:t xml:space="preserve"> Payment, if any, with respect to an Other Stock-Based Award shall be made in accordance with the terms of the Award, in cash or Shares as the Committee determines and as specified in the Award Agreement.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87" w:right="339" w:bottom="1440" w:gutter="0" w:footer="0" w:header="0"/>
        </w:sectPr>
      </w:pPr>
    </w:p>
    <w:bookmarkStart w:id="22" w:name="page23"/>
    <w:bookmarkEnd w:id="22"/>
    <w:p>
      <w:pPr>
        <w:jc w:val="both"/>
        <w:ind w:right="2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i w:val="1"/>
          <w:iCs w:val="1"/>
          <w:color w:val="auto"/>
        </w:rPr>
        <w:t>Termination of Employment or Service.</w:t>
      </w:r>
      <w:r>
        <w:rPr>
          <w:rFonts w:ascii="Times New Roman" w:cs="Times New Roman" w:eastAsia="Times New Roman" w:hAnsi="Times New Roman"/>
          <w:sz w:val="18"/>
          <w:szCs w:val="18"/>
          <w:color w:val="auto"/>
        </w:rPr>
        <w:t xml:space="preserve"> The Committee shall determine the extent to which the Participant shall have the right to receive Other Stock-Based Awards following the Participant’s Termination. Such provisions shall be determined in the sole discretion of the Committee, shall be included in an agreement entered into with each Participant, need not be uniform among all Awards of Other Stock-Based Awards issued pursuant to the Plan and may reflect distinctions based on the reasons for Termination.</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Transferability of Awards</w:t>
      </w:r>
    </w:p>
    <w:p>
      <w:pPr>
        <w:spacing w:after="0" w:line="254"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i w:val="1"/>
          <w:iCs w:val="1"/>
          <w:color w:val="auto"/>
        </w:rPr>
        <w:t>Transferability.</w:t>
      </w:r>
      <w:r>
        <w:rPr>
          <w:rFonts w:ascii="Times New Roman" w:cs="Times New Roman" w:eastAsia="Times New Roman" w:hAnsi="Times New Roman"/>
          <w:sz w:val="18"/>
          <w:szCs w:val="18"/>
          <w:color w:val="auto"/>
        </w:rPr>
        <w:t xml:space="preserve"> Except as provided in Section 11.2 below, during a Participant’s lifetime, his or her Awards shall be exercisable only by the Participant or the Participant’s legal representative. Awards shall not be transferable other than by will or the laws of descent and distribution; no Awards shall be subject, in whole or in part, to attachment, execution or levy of any kind; and any purported transfer in violation hereof shall be null and void. The Committee may establish such procedures as it deems appropriate for a Participant to designate a beneficiary to whom any amounts payable or Shares issuable in the event of, or following, the Participant’s death, may be provided.</w:t>
      </w:r>
    </w:p>
    <w:p>
      <w:pPr>
        <w:spacing w:after="0" w:line="210" w:lineRule="exact"/>
        <w:rPr>
          <w:sz w:val="20"/>
          <w:szCs w:val="20"/>
          <w:color w:val="auto"/>
        </w:rPr>
      </w:pPr>
    </w:p>
    <w:p>
      <w:pPr>
        <w:ind w:right="1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i w:val="1"/>
          <w:iCs w:val="1"/>
          <w:color w:val="auto"/>
        </w:rPr>
        <w:t>Committee Action.</w:t>
      </w:r>
      <w:r>
        <w:rPr>
          <w:rFonts w:ascii="Times New Roman" w:cs="Times New Roman" w:eastAsia="Times New Roman" w:hAnsi="Times New Roman"/>
          <w:sz w:val="18"/>
          <w:szCs w:val="18"/>
          <w:color w:val="auto"/>
        </w:rPr>
        <w:t xml:space="preserve"> The Committee may, in its discretion, determine that notwithstanding Section 11.1, any or all Awards (other than ISOs) shall be transferable to and exercisable by such transferees, and subject to such terms and conditions, as the Committee may deem appropriate; provided, however, no Award may be transferred for value (as defined in the General Instructions to Form S-8).</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Awards</w:t>
      </w:r>
    </w:p>
    <w:p>
      <w:pPr>
        <w:spacing w:after="0" w:line="25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Board shall determine all Awards to Non-employee Directors. The terms and conditions of any grant to any such Non-employee Director shall be set forth in an Award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Dividends or Dividend Equivalents</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Any Participant selected by the Committee may be granted dividends or Dividend Equivalents based on the dividends declared on Shares that are subject to any Award (other than Options or SARs), to be credited as of dividend payment dates, during the period between the Grant Date and the date the Award becomes payable or as otherwise provided in an Award Agreement, as determined by the Committee; provided, however, that dividends or Dividend Equivalents on Shares shall be payable only when and to the extent that the underlying Awards vest and become payable. Such dividends and Dividend Equivalents shall be converted to cash or additional Shares by such formula and at such time and subject to such limitations as may be determined by the Committee.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Beneficiary Designation</w:t>
      </w:r>
    </w:p>
    <w:p>
      <w:pPr>
        <w:spacing w:after="0" w:line="256"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Each Participant under this Plan may, from time to time, name any beneficiary or beneficiaries (who may be named contingently or successively) to whom any benefit under this Plan is to be paid in case of his death before he receives any or all of such benefit. Each such designation shall revoke all prior designations by the same Participant, shall be in a form prescribed by the Committee and will be effective only when filed by the Participant in writing with the Company during the Participant’s lifetime. In the absence of any such beneficiary designation, benefits remaining unpaid or rights remaining unexercised at the Participant’s death shall be paid to or exercised by the Participant’s spouse, executor, administrator or legal representative in that order.</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of Participants</w:t>
      </w:r>
    </w:p>
    <w:p>
      <w:pPr>
        <w:spacing w:after="0" w:line="25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i w:val="1"/>
          <w:iCs w:val="1"/>
          <w:color w:val="auto"/>
        </w:rPr>
        <w:t>Employment or Service.</w:t>
      </w:r>
      <w:r>
        <w:rPr>
          <w:rFonts w:ascii="Times New Roman" w:cs="Times New Roman" w:eastAsia="Times New Roman" w:hAnsi="Times New Roman"/>
          <w:sz w:val="18"/>
          <w:szCs w:val="18"/>
          <w:color w:val="auto"/>
        </w:rPr>
        <w:t xml:space="preserve"> Nothing in this Plan or an Award Agreement shall interfere with or limit in any way the right of the Company, its Affiliates and/or its Subsidiaries, to Terminate any Participant at any time or for any reason not</w:t>
      </w:r>
    </w:p>
    <w:p>
      <w:pPr>
        <w:sectPr>
          <w:pgSz w:w="11900" w:h="16838" w:orient="portrait"/>
          <w:cols w:equalWidth="0" w:num="1">
            <w:col w:w="11240"/>
          </w:cols>
          <w:pgMar w:left="320" w:top="889"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89" w:right="339" w:bottom="1440" w:gutter="0" w:footer="0" w:header="0"/>
          <w:type w:val="continuous"/>
        </w:sectPr>
      </w:pPr>
    </w:p>
    <w:bookmarkStart w:id="23" w:name="page24"/>
    <w:bookmarkEnd w:id="23"/>
    <w:p>
      <w:pPr>
        <w:ind w:right="220"/>
        <w:spacing w:after="0" w:line="282" w:lineRule="auto"/>
        <w:rPr>
          <w:sz w:val="20"/>
          <w:szCs w:val="20"/>
          <w:color w:val="auto"/>
        </w:rPr>
      </w:pPr>
      <w:r>
        <w:rPr>
          <w:rFonts w:ascii="Times New Roman" w:cs="Times New Roman" w:eastAsia="Times New Roman" w:hAnsi="Times New Roman"/>
          <w:sz w:val="18"/>
          <w:szCs w:val="18"/>
          <w:color w:val="auto"/>
        </w:rPr>
        <w:t>prohibited by law, nor confer upon any Participant any right to continue his employment or service as a Director or Third-Party Service Provider for any specified period of time.</w:t>
      </w:r>
    </w:p>
    <w:p>
      <w:pPr>
        <w:spacing w:after="0" w:line="189" w:lineRule="exact"/>
        <w:rPr>
          <w:sz w:val="20"/>
          <w:szCs w:val="20"/>
          <w:color w:val="auto"/>
        </w:rPr>
      </w:pPr>
    </w:p>
    <w:p>
      <w:pPr>
        <w:ind w:right="320" w:firstLine="648"/>
        <w:spacing w:after="0" w:line="266" w:lineRule="auto"/>
        <w:rPr>
          <w:sz w:val="20"/>
          <w:szCs w:val="20"/>
          <w:color w:val="auto"/>
        </w:rPr>
      </w:pPr>
      <w:r>
        <w:rPr>
          <w:rFonts w:ascii="Times New Roman" w:cs="Times New Roman" w:eastAsia="Times New Roman" w:hAnsi="Times New Roman"/>
          <w:sz w:val="18"/>
          <w:szCs w:val="18"/>
          <w:color w:val="auto"/>
        </w:rPr>
        <w:t>Neither an Award nor any benefits arising under this Plan shall constitute an employment contract with the Company, its Affiliates and/or its Subsidiaries and, accordingly, subject to Articles 3 and 17, this Plan and the benefits hereunder may be terminated at any time in the sole and exclusive discretion of the Committee without giving rise to any liability on the part of the Company, its Affiliates and/or its Subsidiaries.</w:t>
      </w:r>
    </w:p>
    <w:p>
      <w:pPr>
        <w:spacing w:after="0" w:line="201"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i w:val="1"/>
          <w:iCs w:val="1"/>
          <w:color w:val="auto"/>
        </w:rPr>
        <w:t>Participation.</w:t>
      </w:r>
      <w:r>
        <w:rPr>
          <w:rFonts w:ascii="Times New Roman" w:cs="Times New Roman" w:eastAsia="Times New Roman" w:hAnsi="Times New Roman"/>
          <w:sz w:val="18"/>
          <w:szCs w:val="18"/>
          <w:color w:val="auto"/>
        </w:rPr>
        <w:t xml:space="preserve"> No individual shall have the right to be selected to receive an Award under this Plan, or, having been so selected, to be selected to receive a future Award.</w:t>
      </w:r>
    </w:p>
    <w:p>
      <w:pPr>
        <w:spacing w:after="0" w:line="185"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i w:val="1"/>
          <w:iCs w:val="1"/>
          <w:color w:val="auto"/>
        </w:rPr>
        <w:t>Rights as a Shareholder.</w:t>
      </w:r>
      <w:r>
        <w:rPr>
          <w:rFonts w:ascii="Times New Roman" w:cs="Times New Roman" w:eastAsia="Times New Roman" w:hAnsi="Times New Roman"/>
          <w:sz w:val="18"/>
          <w:szCs w:val="18"/>
          <w:color w:val="auto"/>
        </w:rPr>
        <w:t xml:space="preserve"> Except as otherwise provided herein, a Participant shall have none of the rights of a shareholder with respect to Shares covered by any Award until the Participant becomes the record holder of such Shares.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Change in Control</w:t>
      </w:r>
    </w:p>
    <w:p>
      <w:pPr>
        <w:spacing w:after="0" w:line="25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16.1</w:t>
      </w:r>
      <w:r>
        <w:rPr>
          <w:sz w:val="20"/>
          <w:szCs w:val="20"/>
          <w:color w:val="auto"/>
        </w:rPr>
        <w:tab/>
      </w:r>
      <w:r>
        <w:rPr>
          <w:rFonts w:ascii="Times New Roman" w:cs="Times New Roman" w:eastAsia="Times New Roman" w:hAnsi="Times New Roman"/>
          <w:sz w:val="17"/>
          <w:szCs w:val="17"/>
          <w:i w:val="1"/>
          <w:iCs w:val="1"/>
          <w:color w:val="auto"/>
        </w:rPr>
        <w:t xml:space="preserve">Accelerated Vesting and Settlement. </w:t>
      </w:r>
      <w:r>
        <w:rPr>
          <w:rFonts w:ascii="Times New Roman" w:cs="Times New Roman" w:eastAsia="Times New Roman" w:hAnsi="Times New Roman"/>
          <w:sz w:val="17"/>
          <w:szCs w:val="17"/>
          <w:color w:val="auto"/>
        </w:rPr>
        <w:t>Subject to Section 16.2, on the date of any Change in Control:</w:t>
      </w:r>
    </w:p>
    <w:p>
      <w:pPr>
        <w:spacing w:after="0" w:line="254" w:lineRule="exact"/>
        <w:rPr>
          <w:sz w:val="20"/>
          <w:szCs w:val="20"/>
          <w:color w:val="auto"/>
        </w:rPr>
      </w:pPr>
    </w:p>
    <w:p>
      <w:pPr>
        <w:ind w:right="60" w:firstLine="1304"/>
        <w:spacing w:after="0" w:line="255" w:lineRule="auto"/>
        <w:tabs>
          <w:tab w:leader="none" w:pos="167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and SAR (other than Options and SARs of Non-employee Directors) outstanding on the date of a Change in Control (whether or not exercisable) will be cancelled in exchange (i) for cash equal to the excess of the Change in Control Price over the Option Price or Grant Price, as applicable, associated with the cancelled Option or SAR or, (ii) at the Committee’s discretion, for whole Shares with a Fair Market Value equal to the excess of the Change in Control Price over the Option Price or Grant Price, as applicable, associated with the cancelled Option or SAR and the Fair Market Value of any fractional Share will be distributed in cash. However, the Committee, in its sole discretion, may offer the holders of the Options or SARs to be cancelled a reasonable opportunity (not longer than 15 days beginning on the date of the Change in Control) to exercise all their outstanding Options and SARs (whether or not otherwise then exercisable);</w:t>
      </w:r>
    </w:p>
    <w:p>
      <w:pPr>
        <w:spacing w:after="0" w:line="215" w:lineRule="exact"/>
        <w:rPr>
          <w:rFonts w:ascii="Times New Roman" w:cs="Times New Roman" w:eastAsia="Times New Roman" w:hAnsi="Times New Roman"/>
          <w:sz w:val="18"/>
          <w:szCs w:val="18"/>
          <w:color w:val="auto"/>
        </w:rPr>
      </w:pPr>
    </w:p>
    <w:p>
      <w:pPr>
        <w:jc w:val="both"/>
        <w:ind w:right="20" w:firstLine="1304"/>
        <w:spacing w:after="0" w:line="261" w:lineRule="auto"/>
        <w:tabs>
          <w:tab w:leader="none" w:pos="16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an Award Agreement, all performance goals associated with Awards for which Performance Goals have been established will be deemed to have been met on the date of the Change in Control, all Performance Periods accelerated to the date of the Change in Control and all outstanding Awards for which Performance Goals have been established (including those subject to the acceleration described in this subsection) will be distributed in a single lump sum cash payment within thirty (30) days following such Change in Control; and</w:t>
      </w:r>
    </w:p>
    <w:p>
      <w:pPr>
        <w:spacing w:after="0" w:line="206" w:lineRule="exact"/>
        <w:rPr>
          <w:rFonts w:ascii="Times New Roman" w:cs="Times New Roman" w:eastAsia="Times New Roman" w:hAnsi="Times New Roman"/>
          <w:sz w:val="18"/>
          <w:szCs w:val="18"/>
          <w:color w:val="auto"/>
        </w:rPr>
      </w:pPr>
    </w:p>
    <w:p>
      <w:pPr>
        <w:ind w:firstLine="1304"/>
        <w:spacing w:after="0" w:line="258" w:lineRule="auto"/>
        <w:tabs>
          <w:tab w:leader="none" w:pos="16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then-outstanding Awards whose exercisability or vesting depends merely on the satisfaction of a service obligation by a Participant to the Company, Subsidiary or Affiliate (“Service Award”) shall vest in full and be free of restrictions related to the vesting of such Awards. All Service Awards whose vesting is so accelerated will be distributed, if not already held by a Participant and to the extent applicable, (i) in a single lump-sum cash payment within thirty (30) days following such Change in Control based on the Change in Control Price or (ii) at the Committee’s discretion, in the form of whole Shares based on the Change in Control Price.</w:t>
      </w:r>
    </w:p>
    <w:p>
      <w:pPr>
        <w:spacing w:after="0" w:line="20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16.2 </w:t>
      </w:r>
      <w:r>
        <w:rPr>
          <w:rFonts w:ascii="Times New Roman" w:cs="Times New Roman" w:eastAsia="Times New Roman" w:hAnsi="Times New Roman"/>
          <w:sz w:val="18"/>
          <w:szCs w:val="18"/>
          <w:i w:val="1"/>
          <w:iCs w:val="1"/>
          <w:color w:val="auto"/>
        </w:rPr>
        <w:t>Alternative Awards.</w:t>
      </w:r>
      <w:r>
        <w:rPr>
          <w:rFonts w:ascii="Times New Roman" w:cs="Times New Roman" w:eastAsia="Times New Roman" w:hAnsi="Times New Roman"/>
          <w:sz w:val="18"/>
          <w:szCs w:val="18"/>
          <w:color w:val="auto"/>
        </w:rPr>
        <w:t xml:space="preserve"> Section 16.1 will not apply to the extent that the Committee reasonably concludes in good faith before the Change in Control occurs that Awards will be honored or assumed, or new rights will be substituted (collectively, “Alternative Awards”), by the Employee’s employer (or the parent or a subsidiary of that employer), or (if the Company is the surviving company) that the Awards in effect immediately prior to the Change in Control shall continue without change following the Change in Control (“Continued Award”), provided that any Alternative Award or Continued Award must, as applicable:</w:t>
      </w:r>
    </w:p>
    <w:p>
      <w:pPr>
        <w:spacing w:after="0" w:line="212" w:lineRule="exact"/>
        <w:rPr>
          <w:sz w:val="20"/>
          <w:szCs w:val="20"/>
          <w:color w:val="auto"/>
        </w:rPr>
      </w:pPr>
    </w:p>
    <w:p>
      <w:pPr>
        <w:ind w:left="1680" w:hanging="376"/>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based on stock that is (or, within 60 days of the Change in Control, will be) traded on an established securities market;</w:t>
      </w:r>
    </w:p>
    <w:p>
      <w:pPr>
        <w:spacing w:after="0" w:line="252" w:lineRule="exact"/>
        <w:rPr>
          <w:rFonts w:ascii="Times New Roman" w:cs="Times New Roman" w:eastAsia="Times New Roman" w:hAnsi="Times New Roman"/>
          <w:sz w:val="18"/>
          <w:szCs w:val="18"/>
          <w:color w:val="auto"/>
        </w:rPr>
      </w:pPr>
    </w:p>
    <w:p>
      <w:pPr>
        <w:ind w:right="160" w:firstLine="1304"/>
        <w:spacing w:after="0" w:line="266" w:lineRule="auto"/>
        <w:tabs>
          <w:tab w:leader="none" w:pos="168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the Employee with the rights and entitlements substantially equivalent to or better than the rights, terms and conditions of each Award for which it is substituted, including an identical or better exercise or vesting schedule and identical or, in the case of an Award that is not subject to Code Section 409A, better timing and methods of payment;</w:t>
      </w:r>
    </w:p>
    <w:p>
      <w:pPr>
        <w:spacing w:after="0" w:line="202"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substantially equivalent economic value to the Award (determined at the time of the Change in Control) for which it 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substituted; and</w:t>
      </w: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00"/>
          </w:cols>
          <w:pgMar w:left="320" w:top="891" w:right="379" w:bottom="1440" w:gutter="0" w:footer="0" w:header="0"/>
        </w:sectPr>
      </w:pPr>
    </w:p>
    <w:bookmarkStart w:id="24" w:name="page25"/>
    <w:bookmarkEnd w:id="24"/>
    <w:p>
      <w:pPr>
        <w:ind w:firstLine="1304"/>
        <w:spacing w:after="0" w:line="255" w:lineRule="auto"/>
        <w:tabs>
          <w:tab w:leader="none" w:pos="16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if the Employee is involuntarily Terminated without Cause or the Employee constructively Terminates within twenty-four (24) months following the Change in Control, any conditions on the Employee’s rights under, or any restrictions on transfer or exercisability applicable to, each Alternative Award or Continued Award will be waived or lapse. For purposes of this section, a constructive Termination means a Termination by an Employee following a material reduction in the Employee’s compensation or job responsibilities (when compared to the Employee’s compensation and job responsibilities on the date of the Change in Control) or the relocation of the Employee’s principal place of employment to a location at least fifty (50) miles from his or her principal place of employment on the date of the Change in Control (or other location to which the Employee has been reassigned with his or her written consent), in each case without the Employee’s written consent.</w:t>
      </w:r>
    </w:p>
    <w:p>
      <w:pPr>
        <w:spacing w:after="0" w:line="21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no Alternative Award shall be made with respect to an Option or SAR if it would cause the Option or SAR to fail to comply with the requirements of Code Section 409A.</w:t>
      </w:r>
    </w:p>
    <w:p>
      <w:pPr>
        <w:spacing w:after="0" w:line="187"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16.3</w:t>
      </w:r>
      <w:r>
        <w:rPr>
          <w:sz w:val="20"/>
          <w:szCs w:val="20"/>
          <w:color w:val="auto"/>
        </w:rPr>
        <w:tab/>
      </w:r>
      <w:r>
        <w:rPr>
          <w:rFonts w:ascii="Times New Roman" w:cs="Times New Roman" w:eastAsia="Times New Roman" w:hAnsi="Times New Roman"/>
          <w:sz w:val="17"/>
          <w:szCs w:val="17"/>
          <w:i w:val="1"/>
          <w:iCs w:val="1"/>
          <w:color w:val="auto"/>
        </w:rPr>
        <w:t xml:space="preserve">Non-employee Directors’ Awards. </w:t>
      </w:r>
      <w:r>
        <w:rPr>
          <w:rFonts w:ascii="Times New Roman" w:cs="Times New Roman" w:eastAsia="Times New Roman" w:hAnsi="Times New Roman"/>
          <w:sz w:val="17"/>
          <w:szCs w:val="17"/>
          <w:color w:val="auto"/>
        </w:rPr>
        <w:t>Upon a Change in Control, each outstanding:</w:t>
      </w:r>
    </w:p>
    <w:p>
      <w:pPr>
        <w:spacing w:after="0" w:line="254" w:lineRule="exact"/>
        <w:rPr>
          <w:sz w:val="20"/>
          <w:szCs w:val="20"/>
          <w:color w:val="auto"/>
        </w:rPr>
      </w:pPr>
    </w:p>
    <w:p>
      <w:pPr>
        <w:ind w:firstLine="1304"/>
        <w:spacing w:after="0" w:line="253" w:lineRule="auto"/>
        <w:tabs>
          <w:tab w:leader="none" w:pos="167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or SAR held by a Non-employee Director will be cancelled unless (i) the Shares continues to be traded on an established securities market after the Change in Control or (ii) the Non-employee Director continues to be a Board member after the Change in Control. In the situations just described, the Options or SARs held by a Non-employee Director will be unaffected by a Change in Control. Any Options and SARs held by a Non-employee Director to be cancelled under the next preceding sentence will be exchanged (iii) for cash equal to the excess of the Change in Control Price over the Option Price or Grant Price, as applicable, associated with the cancelled Option or SAR held by a Non-employee Director or (iv) at the Board’s discretion, for whole Shares with a Fair Market Value equal to the excess of the Change in Control Price over the Option Price or Grant Price, as applicable, associated with the cancelled Option or SAR held by a Non-employee Director and the Fair Market Value of any fractional Share will be distributed in cash. However, the Board, in its sole discretion, may offer Non-employee Directors holding Options or SARs to be cancelled a reasonable opportunity (not longer than 15 days beginning on the date of the Change in Control) to exercise all their outstanding Options and SARs (whether or not otherwise then exercisable).</w:t>
      </w:r>
    </w:p>
    <w:p>
      <w:pPr>
        <w:spacing w:after="0" w:line="221" w:lineRule="exact"/>
        <w:rPr>
          <w:rFonts w:ascii="Times New Roman" w:cs="Times New Roman" w:eastAsia="Times New Roman" w:hAnsi="Times New Roman"/>
          <w:sz w:val="18"/>
          <w:szCs w:val="18"/>
          <w:color w:val="auto"/>
        </w:rPr>
      </w:pPr>
    </w:p>
    <w:p>
      <w:pPr>
        <w:ind w:right="260" w:firstLine="1304"/>
        <w:spacing w:after="0" w:line="282" w:lineRule="auto"/>
        <w:tabs>
          <w:tab w:leader="none" w:pos="168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or Restricted Stock Unit held by a Non-employee Director will be settled within thirty (30) days following such Change in Control for a lump sum cash payment equal to the Change in Control Price.</w:t>
      </w:r>
    </w:p>
    <w:p>
      <w:pPr>
        <w:spacing w:after="0" w:line="188" w:lineRule="exact"/>
        <w:rPr>
          <w:rFonts w:ascii="Times New Roman" w:cs="Times New Roman" w:eastAsia="Times New Roman" w:hAnsi="Times New Roman"/>
          <w:sz w:val="18"/>
          <w:szCs w:val="18"/>
          <w:color w:val="auto"/>
        </w:rPr>
      </w:pPr>
    </w:p>
    <w:p>
      <w:pPr>
        <w:ind w:right="20" w:firstLine="1304"/>
        <w:spacing w:after="0" w:line="266" w:lineRule="auto"/>
        <w:tabs>
          <w:tab w:leader="none" w:pos="166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types of Awards held by a Non-employee Director will be settled within thirty (30) days following such Change in Control for a lump sum cash payment equal to the Change in Control Price less any amount the Non-employee Director would be required to pay in order for the Award to be exercised or settled, other than any such amount related to taxes.</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17.</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Modification, Suspension and Termination</w:t>
      </w:r>
    </w:p>
    <w:p>
      <w:pPr>
        <w:spacing w:after="0" w:line="254" w:lineRule="exact"/>
        <w:rPr>
          <w:sz w:val="20"/>
          <w:szCs w:val="20"/>
          <w:color w:val="auto"/>
        </w:rPr>
      </w:pPr>
    </w:p>
    <w:p>
      <w:pPr>
        <w:ind w:right="40" w:firstLine="648"/>
        <w:spacing w:after="0" w:line="269" w:lineRule="auto"/>
        <w:rPr>
          <w:sz w:val="20"/>
          <w:szCs w:val="20"/>
          <w:color w:val="auto"/>
        </w:rPr>
      </w:pPr>
      <w:r>
        <w:rPr>
          <w:rFonts w:ascii="Times New Roman" w:cs="Times New Roman" w:eastAsia="Times New Roman" w:hAnsi="Times New Roman"/>
          <w:sz w:val="17"/>
          <w:szCs w:val="17"/>
          <w:color w:val="auto"/>
        </w:rPr>
        <w:t xml:space="preserve">17.1 </w:t>
      </w:r>
      <w:r>
        <w:rPr>
          <w:rFonts w:ascii="Times New Roman" w:cs="Times New Roman" w:eastAsia="Times New Roman" w:hAnsi="Times New Roman"/>
          <w:sz w:val="17"/>
          <w:szCs w:val="17"/>
          <w:i w:val="1"/>
          <w:iCs w:val="1"/>
          <w:color w:val="auto"/>
        </w:rPr>
        <w:t>Amendment, Modification, Suspension and Termination.</w:t>
      </w:r>
      <w:r>
        <w:rPr>
          <w:rFonts w:ascii="Times New Roman" w:cs="Times New Roman" w:eastAsia="Times New Roman" w:hAnsi="Times New Roman"/>
          <w:sz w:val="17"/>
          <w:szCs w:val="17"/>
          <w:color w:val="auto"/>
        </w:rPr>
        <w:t xml:space="preserve"> Subject to Section 17.3, the Committee may, at any time and from time to time, alter, amend, modify, suspend or terminate this Plan and any Award Agreement in whole or in part; provided, however, that except in connection with a corporate transaction involving the Company (including, without limitation, any stock dividend, stock split, extraordinary cash dividend, recapitalization, reorganization, merger, consolidation, split-up, spin-off, combination or exchange of Shares), the Company shall not, without the prior approval of the Company’s shareholders, (i) amend the terms of outstanding Options or SARs to reduce the exercise price of such outstanding Options or SARs, (ii) cancel outstanding Options or SARs in exchange for Options or SARs with an exercise price that is less than the exercise price of the original Options or SARs or</w:t>
      </w:r>
    </w:p>
    <w:p>
      <w:pPr>
        <w:spacing w:after="0" w:line="2" w:lineRule="exact"/>
        <w:rPr>
          <w:sz w:val="20"/>
          <w:szCs w:val="20"/>
          <w:color w:val="auto"/>
        </w:rPr>
      </w:pPr>
    </w:p>
    <w:p>
      <w:pPr>
        <w:jc w:val="both"/>
        <w:ind w:right="720" w:firstLine="8"/>
        <w:spacing w:after="0" w:line="260" w:lineRule="auto"/>
        <w:tabs>
          <w:tab w:leader="none" w:pos="31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outstanding Options or SARs with an exercise price above the current stock price in exchange for cash or other securities. No material amendment of this Plan shall be made without shareholder approval if shareholder approval is required by law, regulation or stock exchange rule.</w:t>
      </w:r>
    </w:p>
    <w:p>
      <w:pPr>
        <w:spacing w:after="0" w:line="206"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17.2 </w:t>
      </w:r>
      <w:r>
        <w:rPr>
          <w:rFonts w:ascii="Times New Roman" w:cs="Times New Roman" w:eastAsia="Times New Roman" w:hAnsi="Times New Roman"/>
          <w:sz w:val="18"/>
          <w:szCs w:val="18"/>
          <w:i w:val="1"/>
          <w:iCs w:val="1"/>
          <w:color w:val="auto"/>
        </w:rPr>
        <w:t>Adjustment of Awards Upon the Occurrence of Certain Unusual and Infrequently Occurring Events.</w:t>
      </w:r>
      <w:r>
        <w:rPr>
          <w:rFonts w:ascii="Times New Roman" w:cs="Times New Roman" w:eastAsia="Times New Roman" w:hAnsi="Times New Roman"/>
          <w:sz w:val="18"/>
          <w:szCs w:val="18"/>
          <w:color w:val="auto"/>
        </w:rPr>
        <w:t xml:space="preserve"> The Committee may make adjustments in the terms and conditions of, and the criteria included in, Awards in recognition of unusual or infrequently occurring events (including, without limitation, the events described in Section 4.3 hereof)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this Plan. The determination of the Committee as to the foregoing adjustments, if any, shall be conclusive and binding on Participants under this Plan.</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1134" w:right="359" w:bottom="1440" w:gutter="0" w:footer="0" w:header="0"/>
        </w:sectPr>
      </w:pPr>
    </w:p>
    <w:bookmarkStart w:id="25" w:name="page26"/>
    <w:bookmarkEnd w:id="25"/>
    <w:p>
      <w:pPr>
        <w:ind w:right="6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this Section 17.2, an adjustment to an Option or SAR shall be made only to the extent such adjustment complies with the requirements of Code Section 409A.</w:t>
      </w:r>
    </w:p>
    <w:p>
      <w:pPr>
        <w:spacing w:after="0" w:line="187"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17.3 </w:t>
      </w:r>
      <w:r>
        <w:rPr>
          <w:rFonts w:ascii="Times New Roman" w:cs="Times New Roman" w:eastAsia="Times New Roman" w:hAnsi="Times New Roman"/>
          <w:sz w:val="18"/>
          <w:szCs w:val="18"/>
          <w:i w:val="1"/>
          <w:iCs w:val="1"/>
          <w:color w:val="auto"/>
        </w:rPr>
        <w:t>Awards Previously Granted.</w:t>
      </w:r>
      <w:r>
        <w:rPr>
          <w:rFonts w:ascii="Times New Roman" w:cs="Times New Roman" w:eastAsia="Times New Roman" w:hAnsi="Times New Roman"/>
          <w:sz w:val="18"/>
          <w:szCs w:val="18"/>
          <w:color w:val="auto"/>
        </w:rPr>
        <w:t xml:space="preserve"> Notwithstanding any other provision of this Plan to the contrary (other than Section 17.4), no termination, amendment, suspension or modification of this Plan or an Award Agreement shall adversely affect in any material way any Award previously granted under this Plan, without the written consent of the Participant holding such Award.</w:t>
      </w:r>
    </w:p>
    <w:p>
      <w:pPr>
        <w:spacing w:after="0" w:line="200"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 xml:space="preserve">17.4 </w:t>
      </w:r>
      <w:r>
        <w:rPr>
          <w:rFonts w:ascii="Times New Roman" w:cs="Times New Roman" w:eastAsia="Times New Roman" w:hAnsi="Times New Roman"/>
          <w:sz w:val="18"/>
          <w:szCs w:val="18"/>
          <w:i w:val="1"/>
          <w:iCs w:val="1"/>
          <w:color w:val="auto"/>
        </w:rPr>
        <w:t>Amendment to Conform to Law.</w:t>
      </w:r>
      <w:r>
        <w:rPr>
          <w:rFonts w:ascii="Times New Roman" w:cs="Times New Roman" w:eastAsia="Times New Roman" w:hAnsi="Times New Roman"/>
          <w:sz w:val="18"/>
          <w:szCs w:val="18"/>
          <w:color w:val="auto"/>
        </w:rPr>
        <w:t xml:space="preserve"> Notwithstanding any other provision of this Plan to the contrary, the Board may amend the Plan or an Award Agreement, to take effect retroactively or otherwise, as deemed necessary or advisable for the purpose of conforming the Plan or an Award Agreement to any present or future law relating to plans of this or similar nature (including, but not limited to, Code Section 409A), and to the administrative regulations and rulings promulgated thereunder. By accepting an Award under this Plan, each Participant agrees to any amendment made pursuant to this Section 17.4 to any Award granted under the Plan without further consideration or action.</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18.</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5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Company has the right to withhold from any payment of cash or Shares to a Participant or other person under the Plan an amount sufficient to cover any required withholding taxes, including the Participant’s social security and Medicare taxes (FICA) and federal, state, local income tax or such other applicable taxes (“Taxes”) with respect to an Award. The Company may require the payment of any Taxes before issuing any Shares pursuant to an Award. The Committee may, if it deems appropriate in the case of a Participant, withhold such Taxes through a reduction of the number of Shares issued to such Participant, or allow the Participant to elect to cover all or any part of such withholding for Taxes, through a reduction of the number of Shares issued to the Participant or a subsequent return to the Company of Shares held by the Participant, in each case valued in the same manner as used in computing the withholding taxes under the applicable laws.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19.</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Successors</w:t>
      </w:r>
    </w:p>
    <w:p>
      <w:pPr>
        <w:spacing w:after="0" w:line="256"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20.</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54"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i w:val="1"/>
          <w:iCs w:val="1"/>
          <w:color w:val="auto"/>
        </w:rPr>
        <w:t>Forfeiture Events.</w:t>
      </w:r>
    </w:p>
    <w:p>
      <w:pPr>
        <w:spacing w:after="0" w:line="254" w:lineRule="exact"/>
        <w:rPr>
          <w:sz w:val="20"/>
          <w:szCs w:val="20"/>
          <w:color w:val="auto"/>
        </w:rPr>
      </w:pPr>
    </w:p>
    <w:p>
      <w:pPr>
        <w:ind w:right="60" w:firstLine="1304"/>
        <w:spacing w:after="0" w:line="256" w:lineRule="auto"/>
        <w:tabs>
          <w:tab w:leader="none" w:pos="167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Termination for Cause, termination of the Participant’s provision of services to the Company, Affiliate and/or Subsidiary, violation of material Company, Affiliate and/or Subsidiary policies, breach of noncompetition, confidentiality or other restrictive covenants that may apply to the Participant, or other conduct by the Participant that is detrimental to the business or reputation of the Company, its Affiliates and/or its Subsidiaries.</w:t>
      </w:r>
    </w:p>
    <w:p>
      <w:pPr>
        <w:spacing w:after="0" w:line="214" w:lineRule="exact"/>
        <w:rPr>
          <w:rFonts w:ascii="Times New Roman" w:cs="Times New Roman" w:eastAsia="Times New Roman" w:hAnsi="Times New Roman"/>
          <w:sz w:val="18"/>
          <w:szCs w:val="18"/>
          <w:color w:val="auto"/>
        </w:rPr>
      </w:pPr>
    </w:p>
    <w:p>
      <w:pPr>
        <w:ind w:right="140" w:firstLine="1304"/>
        <w:spacing w:after="0" w:line="256" w:lineRule="auto"/>
        <w:tabs>
          <w:tab w:leader="none" w:pos="16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is required to prepare an accounting restatement due to the material noncompliance of the Company, as a result of misconduct, with any financial reporting requirement under the securities laws, if the Participant knowingly or grossly negligently engaged in the misconduct, or knowingly or grossly negligently failed to prevent the misconduct, or if the Participant is one of the individuals subject to automatic forfeiture under Section 304 of the Sarbanes-Oxley Act of 2002, the Participant shall reimburse the Company the amount of any payment in settlement of an Award earned or accrued during the twelve (12)-month period following the first public issuance or filing with the United States Securities and Exchange Commission (whichever first occurs) of the financial document embodying such financial reporting requirement.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891" w:right="359" w:bottom="1440" w:gutter="0" w:footer="0" w:header="0"/>
        </w:sectPr>
      </w:pPr>
    </w:p>
    <w:bookmarkStart w:id="26" w:name="page27"/>
    <w:bookmarkEnd w:id="26"/>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i w:val="1"/>
          <w:iCs w:val="1"/>
          <w:color w:val="auto"/>
        </w:rPr>
        <w:t>Legend.</w:t>
      </w:r>
      <w:r>
        <w:rPr>
          <w:rFonts w:ascii="Times New Roman" w:cs="Times New Roman" w:eastAsia="Times New Roman" w:hAnsi="Times New Roman"/>
          <w:sz w:val="18"/>
          <w:szCs w:val="18"/>
          <w:color w:val="auto"/>
        </w:rPr>
        <w:t xml:space="preserve"> The certificates for Shares may include any legend which the Committee deems appropriate to reflect any restrictions on transfer of such Shares.</w:t>
      </w:r>
    </w:p>
    <w:p>
      <w:pPr>
        <w:spacing w:after="0" w:line="185"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i w:val="1"/>
          <w:iCs w:val="1"/>
          <w:color w:val="auto"/>
        </w:rPr>
        <w:t>Gender and Number.</w:t>
      </w:r>
      <w:r>
        <w:rPr>
          <w:rFonts w:ascii="Times New Roman" w:cs="Times New Roman" w:eastAsia="Times New Roman" w:hAnsi="Times New Roman"/>
          <w:sz w:val="18"/>
          <w:szCs w:val="18"/>
          <w:color w:val="auto"/>
        </w:rPr>
        <w:t xml:space="preserve"> Except where otherwise indicated by the context, any masculine term used herein also shall include the feminine, the plural shall include the singular and the singular shall include the plural.</w:t>
      </w:r>
    </w:p>
    <w:p>
      <w:pPr>
        <w:spacing w:after="0" w:line="185"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In the event any provision of this Plan shall be held illegal or invalid for any reason, the illegality or invalidity shall not affect the remaining parts of this Plan, and this Plan shall be construed and enforced as if the illegal or invalid provision had not been included.</w:t>
      </w:r>
    </w:p>
    <w:p>
      <w:pPr>
        <w:spacing w:after="0" w:line="185"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20.5 </w:t>
      </w:r>
      <w:r>
        <w:rPr>
          <w:rFonts w:ascii="Times New Roman" w:cs="Times New Roman" w:eastAsia="Times New Roman" w:hAnsi="Times New Roman"/>
          <w:sz w:val="18"/>
          <w:szCs w:val="18"/>
          <w:i w:val="1"/>
          <w:iCs w:val="1"/>
          <w:color w:val="auto"/>
        </w:rPr>
        <w:t>Requirements of Law.</w:t>
      </w:r>
      <w:r>
        <w:rPr>
          <w:rFonts w:ascii="Times New Roman" w:cs="Times New Roman" w:eastAsia="Times New Roman" w:hAnsi="Times New Roman"/>
          <w:sz w:val="18"/>
          <w:szCs w:val="18"/>
          <w:color w:val="auto"/>
        </w:rPr>
        <w:t xml:space="preserve"> The granting of Awards and the issuance of Shares under this Plan shall be subject to all applicable laws, rules and regulations, and to such approvals by any governmental agencies or stock exchange as may be required.</w:t>
      </w:r>
    </w:p>
    <w:p>
      <w:pPr>
        <w:spacing w:after="0" w:line="185"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18"/>
          <w:szCs w:val="18"/>
          <w:color w:val="auto"/>
        </w:rPr>
        <w:t>20.6</w:t>
      </w:r>
      <w:r>
        <w:rPr>
          <w:sz w:val="20"/>
          <w:szCs w:val="20"/>
          <w:color w:val="auto"/>
        </w:rPr>
        <w:tab/>
      </w:r>
      <w:r>
        <w:rPr>
          <w:rFonts w:ascii="Times New Roman" w:cs="Times New Roman" w:eastAsia="Times New Roman" w:hAnsi="Times New Roman"/>
          <w:sz w:val="17"/>
          <w:szCs w:val="17"/>
          <w:i w:val="1"/>
          <w:iCs w:val="1"/>
          <w:color w:val="auto"/>
        </w:rPr>
        <w:t xml:space="preserve">Delivery of Title. </w:t>
      </w:r>
      <w:r>
        <w:rPr>
          <w:rFonts w:ascii="Times New Roman" w:cs="Times New Roman" w:eastAsia="Times New Roman" w:hAnsi="Times New Roman"/>
          <w:sz w:val="17"/>
          <w:szCs w:val="17"/>
          <w:color w:val="auto"/>
        </w:rPr>
        <w:t>The Company shall have no obligation to issue or deliver evidence of title for Shares issued under this Plan prior to:</w:t>
      </w:r>
    </w:p>
    <w:p>
      <w:pPr>
        <w:spacing w:after="0" w:line="254" w:lineRule="exact"/>
        <w:rPr>
          <w:sz w:val="20"/>
          <w:szCs w:val="20"/>
          <w:color w:val="auto"/>
        </w:rPr>
      </w:pPr>
    </w:p>
    <w:p>
      <w:pPr>
        <w:ind w:left="1680" w:hanging="376"/>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any approvals from governmental agencies that the Company determines are necessary; and</w:t>
      </w:r>
    </w:p>
    <w:p>
      <w:pPr>
        <w:spacing w:after="0" w:line="252" w:lineRule="exact"/>
        <w:rPr>
          <w:rFonts w:ascii="Times New Roman" w:cs="Times New Roman" w:eastAsia="Times New Roman" w:hAnsi="Times New Roman"/>
          <w:sz w:val="18"/>
          <w:szCs w:val="18"/>
          <w:color w:val="auto"/>
        </w:rPr>
      </w:pPr>
    </w:p>
    <w:p>
      <w:pPr>
        <w:ind w:right="380" w:firstLine="1304"/>
        <w:spacing w:after="0" w:line="282" w:lineRule="auto"/>
        <w:tabs>
          <w:tab w:leader="none" w:pos="168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any registration or other qualification of the Shares under any applicable national or foreign law or ruling of any governmental body that the Company determines to be necessary.</w:t>
      </w:r>
    </w:p>
    <w:p>
      <w:pPr>
        <w:spacing w:after="0" w:line="187"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20.7 </w:t>
      </w:r>
      <w:r>
        <w:rPr>
          <w:rFonts w:ascii="Times New Roman" w:cs="Times New Roman" w:eastAsia="Times New Roman" w:hAnsi="Times New Roman"/>
          <w:sz w:val="18"/>
          <w:szCs w:val="18"/>
          <w:i w:val="1"/>
          <w:iCs w:val="1"/>
          <w:color w:val="auto"/>
        </w:rPr>
        <w:t>Inability to Obtain Authority.</w:t>
      </w:r>
      <w:r>
        <w:rPr>
          <w:rFonts w:ascii="Times New Roman" w:cs="Times New Roman" w:eastAsia="Times New Roman" w:hAnsi="Times New Roman"/>
          <w:sz w:val="18"/>
          <w:szCs w:val="18"/>
          <w:color w:val="auto"/>
        </w:rPr>
        <w:t xml:space="preserve"> The inability of the Company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w:t>
      </w:r>
    </w:p>
    <w:p>
      <w:pPr>
        <w:spacing w:after="0" w:line="200"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20.8 </w:t>
      </w:r>
      <w:r>
        <w:rPr>
          <w:rFonts w:ascii="Times New Roman" w:cs="Times New Roman" w:eastAsia="Times New Roman" w:hAnsi="Times New Roman"/>
          <w:sz w:val="18"/>
          <w:szCs w:val="18"/>
          <w:i w:val="1"/>
          <w:iCs w:val="1"/>
          <w:color w:val="auto"/>
        </w:rPr>
        <w:t>Investment Representations.</w:t>
      </w:r>
      <w:r>
        <w:rPr>
          <w:rFonts w:ascii="Times New Roman" w:cs="Times New Roman" w:eastAsia="Times New Roman" w:hAnsi="Times New Roman"/>
          <w:sz w:val="18"/>
          <w:szCs w:val="18"/>
          <w:color w:val="auto"/>
        </w:rPr>
        <w:t xml:space="preserve"> The Committee may require any individual receiving Shares pursuant to an Award under this Plan to represent and warrant in writing that the individual is acquiring the Shares for investment and without any present intention to sell or distribute such Shares.</w:t>
      </w:r>
    </w:p>
    <w:p>
      <w:pPr>
        <w:spacing w:after="0" w:line="185"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20.9 </w:t>
      </w:r>
      <w:r>
        <w:rPr>
          <w:rFonts w:ascii="Times New Roman" w:cs="Times New Roman" w:eastAsia="Times New Roman" w:hAnsi="Times New Roman"/>
          <w:sz w:val="18"/>
          <w:szCs w:val="18"/>
          <w:i w:val="1"/>
          <w:iCs w:val="1"/>
          <w:color w:val="auto"/>
        </w:rPr>
        <w:t>Employees Based Outside of the United States.</w:t>
      </w:r>
      <w:r>
        <w:rPr>
          <w:rFonts w:ascii="Times New Roman" w:cs="Times New Roman" w:eastAsia="Times New Roman" w:hAnsi="Times New Roman"/>
          <w:sz w:val="18"/>
          <w:szCs w:val="18"/>
          <w:color w:val="auto"/>
        </w:rPr>
        <w:t xml:space="preserve"> Notwithstanding any provision of this Plan to the contrary, in order to comply with the laws in other countries in which the Company, its Affiliates and/or its Subsidiaries operate or have Employees, Directors or Third-Party Service Providers, the Committee, in its sole discretion, shall have the power and authority to:</w:t>
      </w:r>
    </w:p>
    <w:p>
      <w:pPr>
        <w:spacing w:after="0" w:line="202" w:lineRule="exact"/>
        <w:rPr>
          <w:sz w:val="20"/>
          <w:szCs w:val="20"/>
          <w:color w:val="auto"/>
        </w:rPr>
      </w:pPr>
    </w:p>
    <w:p>
      <w:pPr>
        <w:ind w:left="1680" w:hanging="376"/>
        <w:spacing w:after="0"/>
        <w:tabs>
          <w:tab w:leader="none" w:pos="1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Affiliates and Subsidiaries shall be covered by this Plan;</w:t>
      </w:r>
    </w:p>
    <w:p>
      <w:pPr>
        <w:spacing w:after="0" w:line="252" w:lineRule="exact"/>
        <w:rPr>
          <w:rFonts w:ascii="Times New Roman" w:cs="Times New Roman" w:eastAsia="Times New Roman" w:hAnsi="Times New Roman"/>
          <w:sz w:val="18"/>
          <w:szCs w:val="18"/>
          <w:color w:val="auto"/>
        </w:rPr>
      </w:pPr>
    </w:p>
    <w:p>
      <w:pPr>
        <w:ind w:left="1700" w:hanging="396"/>
        <w:spacing w:after="0"/>
        <w:tabs>
          <w:tab w:leader="none" w:pos="17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which Employees, Directors and/or Third-Party Service Providers outside the United States are eligible to participate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w:t>
      </w:r>
    </w:p>
    <w:p>
      <w:pPr>
        <w:spacing w:after="0" w:line="234" w:lineRule="exact"/>
        <w:rPr>
          <w:sz w:val="20"/>
          <w:szCs w:val="20"/>
          <w:color w:val="auto"/>
        </w:rPr>
      </w:pPr>
    </w:p>
    <w:p>
      <w:pPr>
        <w:ind w:right="20" w:firstLine="1304"/>
        <w:spacing w:after="0" w:line="282" w:lineRule="auto"/>
        <w:tabs>
          <w:tab w:leader="none" w:pos="167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terms and conditions of any Award granted to Employees and/or Third-Party Service Providers outside the United States to comply with applicable foreign laws;</w:t>
      </w:r>
    </w:p>
    <w:p>
      <w:pPr>
        <w:spacing w:after="0" w:line="188" w:lineRule="exact"/>
        <w:rPr>
          <w:rFonts w:ascii="Times New Roman" w:cs="Times New Roman" w:eastAsia="Times New Roman" w:hAnsi="Times New Roman"/>
          <w:sz w:val="18"/>
          <w:szCs w:val="18"/>
          <w:color w:val="auto"/>
        </w:rPr>
      </w:pPr>
    </w:p>
    <w:p>
      <w:pPr>
        <w:ind w:right="20" w:firstLine="1304"/>
        <w:spacing w:after="0" w:line="266" w:lineRule="auto"/>
        <w:tabs>
          <w:tab w:leader="none" w:pos="16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subplans and modify exercise procedures and other terms and procedures, to the extent such actions may be necessary or advisable. Any subplans and modifications to Plan terms and procedures established under this Section 20.9 by the Committee shall be attached to this Plan document as appendices; and</w:t>
      </w:r>
    </w:p>
    <w:p>
      <w:pPr>
        <w:spacing w:after="0" w:line="202" w:lineRule="exact"/>
        <w:rPr>
          <w:rFonts w:ascii="Times New Roman" w:cs="Times New Roman" w:eastAsia="Times New Roman" w:hAnsi="Times New Roman"/>
          <w:sz w:val="18"/>
          <w:szCs w:val="18"/>
          <w:color w:val="auto"/>
        </w:rPr>
      </w:pPr>
    </w:p>
    <w:p>
      <w:pPr>
        <w:ind w:right="300" w:firstLine="1304"/>
        <w:spacing w:after="0" w:line="282" w:lineRule="auto"/>
        <w:tabs>
          <w:tab w:leader="none" w:pos="16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action, before or after an Award is made, that it deems advisable to obtain approval or comply with any necessary local government regulatory exemptions or approvals.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Notwithstanding the above, the Committee may not take any actions hereunder, and no Awards shall be granted, that would violate applicable law.</w:t>
      </w:r>
    </w:p>
    <w:p>
      <w:pPr>
        <w:spacing w:after="0" w:line="262"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20.10 </w:t>
      </w:r>
      <w:r>
        <w:rPr>
          <w:rFonts w:ascii="Times New Roman" w:cs="Times New Roman" w:eastAsia="Times New Roman" w:hAnsi="Times New Roman"/>
          <w:sz w:val="18"/>
          <w:szCs w:val="18"/>
          <w:i w:val="1"/>
          <w:iCs w:val="1"/>
          <w:color w:val="auto"/>
        </w:rPr>
        <w:t>Uncertificated Shares.</w:t>
      </w:r>
      <w:r>
        <w:rPr>
          <w:rFonts w:ascii="Times New Roman" w:cs="Times New Roman" w:eastAsia="Times New Roman" w:hAnsi="Times New Roman"/>
          <w:sz w:val="18"/>
          <w:szCs w:val="18"/>
          <w:color w:val="auto"/>
        </w:rPr>
        <w:t xml:space="preserve"> To the extent that this Plan provides for issuance of certificates to reflect the transfer of Shares, the transfer of such Shares may be effected on a noncertificated basis, to the extent not prohibited by applicable law or the rules of any stock exchange.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889" w:right="339" w:bottom="1440" w:gutter="0" w:footer="0" w:header="0"/>
        </w:sectPr>
      </w:pPr>
    </w:p>
    <w:bookmarkStart w:id="27" w:name="page28"/>
    <w:bookmarkEnd w:id="27"/>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20.11 </w:t>
      </w:r>
      <w:r>
        <w:rPr>
          <w:rFonts w:ascii="Times New Roman" w:cs="Times New Roman" w:eastAsia="Times New Roman" w:hAnsi="Times New Roman"/>
          <w:sz w:val="18"/>
          <w:szCs w:val="18"/>
          <w:i w:val="1"/>
          <w:iCs w:val="1"/>
          <w:color w:val="auto"/>
        </w:rPr>
        <w:t>Unfunded Plan.</w:t>
      </w:r>
      <w:r>
        <w:rPr>
          <w:rFonts w:ascii="Times New Roman" w:cs="Times New Roman" w:eastAsia="Times New Roman" w:hAnsi="Times New Roman"/>
          <w:sz w:val="18"/>
          <w:szCs w:val="18"/>
          <w:color w:val="auto"/>
        </w:rPr>
        <w:t xml:space="preserve"> Participants shall have no right, title or interest whatsoever in or to any investments that the Company, and/or its Subsidiaries, and/or its Affiliates may make to aid it in meeting its obligations under this Plan. Nothing contained in this Plan, and no action taken pursuant to its provisions, shall create or be construed to create a trust of any kind, or a fiduciary relationship between the Company and any Participant, beneficiary, legal representative or any other individual. To the extent that any individual acquires a right to receive payments from the Company, its Subsidiaries and/or its Affiliates under this Plan, such right shall be no greater than the right of an unsecured general creditor of the Company, a Subsidiary or an Affiliate, as the case may be. All payments to be made hereunder shall be paid from the general funds of the Company, a Subsidiary or an Affiliate, as the case may be and no special or separate fund shall be established and no segregation of assets shall be made to assure payment of such amounts except as expressly set forth in this Plan.</w:t>
      </w:r>
    </w:p>
    <w:p>
      <w:pPr>
        <w:spacing w:after="0" w:line="212"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 xml:space="preserve">20.12 </w:t>
      </w:r>
      <w:r>
        <w:rPr>
          <w:rFonts w:ascii="Times New Roman" w:cs="Times New Roman" w:eastAsia="Times New Roman" w:hAnsi="Times New Roman"/>
          <w:sz w:val="18"/>
          <w:szCs w:val="18"/>
          <w:i w:val="1"/>
          <w:iCs w:val="1"/>
          <w:color w:val="auto"/>
        </w:rPr>
        <w:t>No Fractional Shares.</w:t>
      </w:r>
      <w:r>
        <w:rPr>
          <w:rFonts w:ascii="Times New Roman" w:cs="Times New Roman" w:eastAsia="Times New Roman" w:hAnsi="Times New Roman"/>
          <w:sz w:val="18"/>
          <w:szCs w:val="18"/>
          <w:color w:val="auto"/>
        </w:rPr>
        <w:t xml:space="preserve"> No fractional Shares shall be issued or delivered pursuant to this Plan or any Award. The Committee shall determine whether cash, Awards or other property shall be issued or paid in lieu of fractional Shares or whether such fractional Shares or any rights thereto shall be forfeited or otherwise eliminated.</w:t>
      </w:r>
    </w:p>
    <w:p>
      <w:pPr>
        <w:spacing w:after="0" w:line="200"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20.13 </w:t>
      </w:r>
      <w:r>
        <w:rPr>
          <w:rFonts w:ascii="Times New Roman" w:cs="Times New Roman" w:eastAsia="Times New Roman" w:hAnsi="Times New Roman"/>
          <w:sz w:val="18"/>
          <w:szCs w:val="18"/>
          <w:i w:val="1"/>
          <w:iCs w:val="1"/>
          <w:color w:val="auto"/>
        </w:rPr>
        <w:t>Retirement and Welfare Plans.</w:t>
      </w:r>
      <w:r>
        <w:rPr>
          <w:rFonts w:ascii="Times New Roman" w:cs="Times New Roman" w:eastAsia="Times New Roman" w:hAnsi="Times New Roman"/>
          <w:sz w:val="18"/>
          <w:szCs w:val="18"/>
          <w:color w:val="auto"/>
        </w:rPr>
        <w:t xml:space="preserve"> Neither Awards made under this Plan nor Shares or cash paid pursuant to such Awards may be included as “compensation” for purposes of computing the benefits payable to any Participant under the Company’s or any Subsidiary’s or Affiliate’s retirement plans (both qualified and non-qualified) or welfare benefit plans unless such other plan expressly provides that such compensation shall be taken into account in computing a Participant’s benefit.</w:t>
      </w:r>
    </w:p>
    <w:p>
      <w:pPr>
        <w:spacing w:after="0" w:line="20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20.14 </w:t>
      </w: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 xml:space="preserve"> This Plan is intended to comply with the requirements of Code Section 409A, to the extent applicable. All Awards shall be construed and administered such that the Award either (i) qualifies for an exemption from the requirements of Code Section 409A or (ii) satisfies the requirements of Code Section 409A. If an Award is subject to Code Section 409A, unless the Agreement specifically provides otherwise: (i) distributions shall only be made in a manner and upon an event permitted under Code Section 409A, (ii) payments to be made upon a termination of employment shall only be made upon a “separation from service” under Code Section 409A, (iii) payments to be made upon a Change in Control shall only be made upon a “change of control event” under Code Section 409A, (iv) each payment shall be treated as a separate payment for purposes of Code Section 409A, and (v) in no event shall a Participant, directly or indirectly, designate the calendar year in which a distribution is made except in accordance with Code Section 409A. Any Award granted under this</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Plan that is subject to Code Section 409A and that is to be distributed to a “specified employee” (as defined below) upon Termination shall be administered so that any distribution with respect to such Award shall be postponed for six months following the date of the Participant’s Termination, if required by Code Section 409A. If a distribution is delayed pursuant to Code Section 409A, the distribution shall be paid within 30 days after the end of the six-month period. If the Participant dies during such six-month period, any postponed amounts shall be paid within 90 days of the Participant’s death. The determination of “specified employees,” including the number and identity of persons considered “specified employees” and the identification date, shall be made by the Committee or its delegate each year in accordance with Code Section 416(i) and the “specified employee” requirements of Code Section 409A. In no event shall the Company have any responsibility or liability if any Award does not meet the applicable requirements of Code Section 409A. Although the Company intends to administer the Plan to prevent taxation under Code Section 409A, the Company does not represent or warrant that the Plan or any Award complies with any provision of federal, state, local or other tax law.</w:t>
      </w:r>
    </w:p>
    <w:p>
      <w:pPr>
        <w:spacing w:after="0" w:line="218"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20.15 </w:t>
      </w:r>
      <w:r>
        <w:rPr>
          <w:rFonts w:ascii="Times New Roman" w:cs="Times New Roman" w:eastAsia="Times New Roman" w:hAnsi="Times New Roman"/>
          <w:sz w:val="18"/>
          <w:szCs w:val="18"/>
          <w:i w:val="1"/>
          <w:iCs w:val="1"/>
          <w:color w:val="auto"/>
        </w:rPr>
        <w:t>Company Policies.</w:t>
      </w:r>
      <w:r>
        <w:rPr>
          <w:rFonts w:ascii="Times New Roman" w:cs="Times New Roman" w:eastAsia="Times New Roman" w:hAnsi="Times New Roman"/>
          <w:sz w:val="18"/>
          <w:szCs w:val="18"/>
          <w:color w:val="auto"/>
        </w:rPr>
        <w:t xml:space="preserve"> All Awards granted under the Plan shall be subject to any applicable Company clawback or recoupment policies, share trading policies and other policies that may be implemented by the Company from time to time.</w:t>
      </w:r>
    </w:p>
    <w:p>
      <w:pPr>
        <w:spacing w:after="0" w:line="185" w:lineRule="exact"/>
        <w:rPr>
          <w:sz w:val="20"/>
          <w:szCs w:val="20"/>
          <w:color w:val="auto"/>
        </w:rPr>
      </w:pPr>
    </w:p>
    <w:p>
      <w:pPr>
        <w:ind w:right="6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20.16 </w:t>
      </w:r>
      <w:r>
        <w:rPr>
          <w:rFonts w:ascii="Times New Roman" w:cs="Times New Roman" w:eastAsia="Times New Roman" w:hAnsi="Times New Roman"/>
          <w:sz w:val="18"/>
          <w:szCs w:val="18"/>
          <w:i w:val="1"/>
          <w:iCs w:val="1"/>
          <w:color w:val="auto"/>
        </w:rPr>
        <w:t>Nonexclusivity of this Plan.</w:t>
      </w:r>
      <w:r>
        <w:rPr>
          <w:rFonts w:ascii="Times New Roman" w:cs="Times New Roman" w:eastAsia="Times New Roman" w:hAnsi="Times New Roman"/>
          <w:sz w:val="18"/>
          <w:szCs w:val="18"/>
          <w:color w:val="auto"/>
        </w:rPr>
        <w:t xml:space="preserve"> The adoption of this Plan shall not be construed as creating any limitations on the power of the Board or Committee to adopt such other compensation arrangements as it may deem desirable for any Participant.</w:t>
      </w:r>
    </w:p>
    <w:p>
      <w:pPr>
        <w:spacing w:after="0" w:line="185" w:lineRule="exact"/>
        <w:rPr>
          <w:sz w:val="20"/>
          <w:szCs w:val="20"/>
          <w:color w:val="auto"/>
        </w:rPr>
      </w:pPr>
    </w:p>
    <w:p>
      <w:pPr>
        <w:jc w:val="both"/>
        <w:ind w:right="42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20.17 </w:t>
      </w:r>
      <w:r>
        <w:rPr>
          <w:rFonts w:ascii="Times New Roman" w:cs="Times New Roman" w:eastAsia="Times New Roman" w:hAnsi="Times New Roman"/>
          <w:sz w:val="18"/>
          <w:szCs w:val="18"/>
          <w:i w:val="1"/>
          <w:iCs w:val="1"/>
          <w:color w:val="auto"/>
        </w:rPr>
        <w:t>No Constraint on Corporate Action.</w:t>
      </w:r>
      <w:r>
        <w:rPr>
          <w:rFonts w:ascii="Times New Roman" w:cs="Times New Roman" w:eastAsia="Times New Roman" w:hAnsi="Times New Roman"/>
          <w:sz w:val="18"/>
          <w:szCs w:val="18"/>
          <w:color w:val="auto"/>
        </w:rPr>
        <w:t xml:space="preserve"> Nothing in this Plan shall be construed to: (i) limit, impair or otherwise affect the Company’s or a Subsidiary’s or an Affiliate’s right or power to make adjustments, reclassifications, reorganizations or changes of its capital or business structure, or to merge or consolidate, or dissolve, liquidate, sell or transfer all or any part of its business or assets; or, (ii) limit the right or power of the Company or a Subsidiary or an Affiliate to take any action which such entity deems to be necessary or appropriate.</w:t>
      </w:r>
    </w:p>
    <w:p>
      <w:pPr>
        <w:spacing w:after="0" w:line="207"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20.18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The Plan and each Award Agreement shall be governed by the laws of the State of Ohio, 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Ohio, to resolve any and all issues that may arise out of or relate to this Plan or any related Award Agreement.</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889" w:right="339" w:bottom="1440" w:gutter="0" w:footer="0" w:header="0"/>
        </w:sectPr>
      </w:pPr>
    </w:p>
    <w:bookmarkStart w:id="28" w:name="page29"/>
    <w:bookmarkEnd w:id="28"/>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xml:space="preserve"> Subject to requirements of Ohio law, each individual who is or shall have been a member of the Board, or a Committee appointed by the Board, or an officer of the Company to whom authority was delegated in accordance with Article 3,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this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his/her own behalf, unless such loss, cost, liability or expense is a result of his/her own willful misconduct or except as expressly provided by statute.</w:t>
      </w:r>
    </w:p>
    <w:p>
      <w:pPr>
        <w:spacing w:after="0" w:line="214"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foregoing right of indemnification shall not be exclusive of any other rights of indemnification to which such individuals may be entitled under the Company’s Articles of Incorporation or Code of Regulations, as a matter of law, or otherwise, or any power that the Company may have to indemnify them or hold them harmless.</w:t>
      </w:r>
    </w:p>
    <w:p>
      <w:pPr>
        <w:spacing w:after="0" w:line="201"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20.20 </w:t>
      </w:r>
      <w:r>
        <w:rPr>
          <w:rFonts w:ascii="Times New Roman" w:cs="Times New Roman" w:eastAsia="Times New Roman" w:hAnsi="Times New Roman"/>
          <w:sz w:val="18"/>
          <w:szCs w:val="18"/>
          <w:i w:val="1"/>
          <w:iCs w:val="1"/>
          <w:color w:val="auto"/>
        </w:rPr>
        <w:t>Controlling Language.</w:t>
      </w:r>
      <w:r>
        <w:rPr>
          <w:rFonts w:ascii="Times New Roman" w:cs="Times New Roman" w:eastAsia="Times New Roman" w:hAnsi="Times New Roman"/>
          <w:sz w:val="18"/>
          <w:szCs w:val="18"/>
          <w:color w:val="auto"/>
        </w:rPr>
        <w:t xml:space="preserve"> Unless otherwise specified herein, in the event of a conflict between the terms of the Plan and the terms of an Award Agreement, the terms of the Plan shall control.</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80"/>
          </w:cols>
          <w:pgMar w:left="320" w:top="889" w:right="3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68021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680210" cy="308610"/>
                    </a:xfrm>
                    <a:prstGeom prst="rect">
                      <a:avLst/>
                    </a:prstGeom>
                    <a:noFill/>
                  </pic:spPr>
                </pic:pic>
              </a:graphicData>
            </a:graphic>
          </wp:anchor>
        </w:drawing>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1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We consent to the incorporation by reference in this Registration Statement on Form S-8 of our reports dated November 25, 2025, relating to the financial statements and financial statement schedules of The Scotts Miracle-Gro Company and subsidiaries (the “Company”), and the effectiveness of the Company’s internal control over financial reporting, appearing in the Annual Report on Form 10-K of the Company for the year ended September 30, 2025.</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Deloitte &amp; Touche LLP</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Columbus, Ohio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February 13, 2026</w:t>
      </w:r>
    </w:p>
    <w:sectPr>
      <w:pgSz w:w="11900" w:h="16838" w:orient="portrait"/>
      <w:cols w:equalWidth="0" w:num="1">
        <w:col w:w="11240"/>
      </w:cols>
      <w:pgMar w:left="320" w:top="7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abstractNum>
  <w:abstractNum w:abstractNumId="3">
    <w:nsid w:val="109CF92E"/>
    <w:multiLevelType w:val="hybridMultilevel"/>
    <w:lvl w:ilvl="0">
      <w:lvlJc w:val="left"/>
      <w:lvlText w:val="(%1)"/>
      <w:numFmt w:val="decimal"/>
      <w:start w:val="2"/>
    </w:lvl>
  </w:abstractNum>
  <w:abstractNum w:abstractNumId="4">
    <w:nsid w:val="DED7263"/>
    <w:multiLevelType w:val="hybridMultilevel"/>
    <w:lvl w:ilvl="0">
      <w:lvlJc w:val="left"/>
      <w:lvlText w:val="(%1)"/>
      <w:numFmt w:val="lowerLetter"/>
      <w:start w:val="2"/>
    </w:lvl>
  </w:abstractNum>
  <w:abstractNum w:abstractNumId="5">
    <w:nsid w:val="7FDCC233"/>
    <w:multiLevelType w:val="hybridMultilevel"/>
    <w:lvl w:ilvl="0">
      <w:lvlJc w:val="left"/>
      <w:lvlText w:val="%1"/>
      <w:numFmt w:val="decimal"/>
      <w:start w:val="107"/>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lowerLetter"/>
      <w:start w:val="1"/>
    </w:lvl>
  </w:abstractNum>
  <w:abstractNum w:abstractNumId="8">
    <w:nsid w:val="6B68079A"/>
    <w:multiLevelType w:val="hybridMultilevel"/>
    <w:lvl w:ilvl="0">
      <w:lvlJc w:val="left"/>
      <w:lvlText w:val="(%1)"/>
      <w:numFmt w:val="lowerLetter"/>
      <w:start w:val="4"/>
    </w:lvl>
  </w:abstractNum>
  <w:abstractNum w:abstractNumId="9">
    <w:nsid w:val="4E6AFB66"/>
    <w:multiLevelType w:val="hybridMultilevel"/>
    <w:lvl w:ilvl="0">
      <w:lvlJc w:val="left"/>
      <w:lvlText w:val="(%1)"/>
      <w:numFmt w:val="lowerLetter"/>
      <w:start w:val="1"/>
    </w:lvl>
  </w:abstractNum>
  <w:abstractNum w:abstractNumId="10">
    <w:nsid w:val="25E45D32"/>
    <w:multiLevelType w:val="hybridMultilevel"/>
    <w:lvl w:ilvl="0">
      <w:lvlJc w:val="left"/>
      <w:lvlText w:val="(%1)"/>
      <w:numFmt w:val="lowerLetter"/>
      <w:start w:val="1"/>
    </w:lvl>
  </w:abstractNum>
  <w:abstractNum w:abstractNumId="11">
    <w:nsid w:val="519B500D"/>
    <w:multiLevelType w:val="hybridMultilevel"/>
    <w:lvl w:ilvl="0">
      <w:lvlJc w:val="left"/>
      <w:lvlText w:val="(%1)"/>
      <w:numFmt w:val="lowerLetter"/>
      <w:start w:val="7"/>
    </w:lvl>
  </w:abstractNum>
  <w:abstractNum w:abstractNumId="12">
    <w:nsid w:val="431BD7B7"/>
    <w:multiLevelType w:val="hybridMultilevel"/>
    <w:lvl w:ilvl="0">
      <w:lvlJc w:val="left"/>
      <w:lvlText w:val="(%1)"/>
      <w:numFmt w:val="lowerLetter"/>
      <w:start w:val="1"/>
    </w:lvl>
  </w:abstractNum>
  <w:abstractNum w:abstractNumId="13">
    <w:nsid w:val="3F2DBA31"/>
    <w:multiLevelType w:val="hybridMultilevel"/>
    <w:lvl w:ilvl="0">
      <w:lvlJc w:val="left"/>
      <w:lvlText w:val="(%1)"/>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lowerLetter"/>
      <w:start w:val="4"/>
    </w:lvl>
  </w:abstractNum>
  <w:abstractNum w:abstractNumId="17">
    <w:nsid w:val="436C6125"/>
    <w:multiLevelType w:val="hybridMultilevel"/>
    <w:lvl w:ilvl="0">
      <w:lvlJc w:val="left"/>
      <w:lvlText w:val="(%1)"/>
      <w:numFmt w:val="lowerLetter"/>
      <w:start w:val="1"/>
    </w:lvl>
  </w:abstractNum>
  <w:abstractNum w:abstractNumId="18">
    <w:nsid w:val="628C895D"/>
    <w:multiLevelType w:val="hybridMultilevel"/>
    <w:lvl w:ilvl="0">
      <w:lvlJc w:val="left"/>
      <w:lvlText w:val="(%1)"/>
      <w:numFmt w:val="lowerRoman"/>
      <w:start w:val="3"/>
    </w:lvl>
  </w:abstractNum>
  <w:abstractNum w:abstractNumId="19">
    <w:nsid w:val="333AB105"/>
    <w:multiLevelType w:val="hybridMultilevel"/>
    <w:lvl w:ilvl="0">
      <w:lvlJc w:val="left"/>
      <w:lvlText w:val="(%1)"/>
      <w:numFmt w:val="lowerLetter"/>
      <w:start w:val="1"/>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4" Type="http://schemas.openxmlformats.org/officeDocument/2006/relationships/image" Target="media/image5.png"/><Relationship Id="rId25" Type="http://schemas.openxmlformats.org/officeDocument/2006/relationships/image" Target="media/image6.jpeg"/><Relationship Id="rId10" Type="http://schemas.openxmlformats.org/officeDocument/2006/relationships/hyperlink" Target="https://www.sec.gov/Archives/edgar/data/825542/000144398422000017/smg2022-01x24sx8registrati.htm" TargetMode="External"/><Relationship Id="rId11" Type="http://schemas.openxmlformats.org/officeDocument/2006/relationships/hyperlink" Target="https://www.sec.gov/Archives/edgar/data/825542/000144398423000012/smg2023-01x23sx8registrati.htm" TargetMode="External"/><Relationship Id="rId12" Type="http://schemas.openxmlformats.org/officeDocument/2006/relationships/hyperlink" Target="https://www.sec.gov/Archives/edgar/data/825542/000144398424000011/smg2024-01x24sx8registrati.htm" TargetMode="External"/><Relationship Id="rId13" Type="http://schemas.openxmlformats.org/officeDocument/2006/relationships/hyperlink" Target="https://www.sec.gov/ix?doc=/Archives/edgar/data/825542/000082554225000022/smg-20250930.htm" TargetMode="External"/><Relationship Id="rId14" Type="http://schemas.openxmlformats.org/officeDocument/2006/relationships/hyperlink" Target="https://www.sec.gov/ix?doc=/Archives/edgar/data/825542/000082554226000008/smg-20251227.htm" TargetMode="External"/><Relationship Id="rId15" Type="http://schemas.openxmlformats.org/officeDocument/2006/relationships/hyperlink" Target="https://www.sec.gov/ix?doc=/Archives/edgar/data/825542/000082554226000003/smg-20260128.htm" TargetMode="External"/><Relationship Id="rId16" Type="http://schemas.openxmlformats.org/officeDocument/2006/relationships/hyperlink" Target="https://www.sec.gov/ix?doc=/Archives/edgar/data/825542/000082554226000005/smg-20260129.htm" TargetMode="External"/><Relationship Id="rId17" Type="http://schemas.openxmlformats.org/officeDocument/2006/relationships/hyperlink" Target="https://www.sec.gov/Archives/edgar/data/825542/000082554225000022/exhibit46smg20250930.htm" TargetMode="External"/><Relationship Id="rId18" Type="http://schemas.openxmlformats.org/officeDocument/2006/relationships/hyperlink" Target="https://www.sec.gov/ix?doc=/Archives/edgar/data/825542/000082554225000029/smg-20251217.htm" TargetMode="External"/><Relationship Id="rId21" Type="http://schemas.openxmlformats.org/officeDocument/2006/relationships/hyperlink" Target="https://www.sec.gov/Archives/edgar/data/825542/000095015205002525/l12922aexv3w1.htm" TargetMode="External"/><Relationship Id="rId22" Type="http://schemas.openxmlformats.org/officeDocument/2006/relationships/hyperlink" Target="https://www.sec.gov/Archives/edgar/data/825542/000095015205002525/l12922aexv3w2.htm" TargetMode="External"/><Relationship Id="rId23" Type="http://schemas.openxmlformats.org/officeDocument/2006/relationships/hyperlink" Target="https://www.sec.gov/Archives/edgar/data/825542/000095015205002525/l12922aexv3w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2026-02-13T10:48:52Z</dcterms:created>
  <dcterms:modified xsi:type="dcterms:W3CDTF">2026-02-13T10:48:52Z</dcterms:modified>
</cp:coreProperties>
</file>