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810186106</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2003</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169"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420"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1" w:lineRule="exact"/>
        <w:rPr>
          <w:sz w:val="20"/>
          <w:szCs w:val="20"/>
          <w:color w:val="auto"/>
        </w:rPr>
      </w:pPr>
    </w:p>
    <w:p>
      <w:pPr>
        <w:ind w:left="1900" w:right="6639" w:hanging="523"/>
        <w:spacing w:after="0" w:line="585"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1,119,940</w:t>
      </w:r>
    </w:p>
    <w:p>
      <w:pPr>
        <w:spacing w:after="0" w:line="1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spacing w:after="0" w:line="1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spacing w:after="0" w:line="2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1,627,900</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6"/>
          <w:szCs w:val="16"/>
          <w:color w:val="auto"/>
        </w:rPr>
        <w:t>1,627,900</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24" w:lineRule="exact"/>
        <w:rPr>
          <w:sz w:val="20"/>
          <w:szCs w:val="20"/>
          <w:color w:val="auto"/>
        </w:rPr>
      </w:pPr>
    </w:p>
    <w:p>
      <w:pPr>
        <w:ind w:left="540" w:right="2519" w:hanging="427"/>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20" w:lineRule="exact"/>
        <w:rPr>
          <w:rFonts w:ascii="Courier New" w:cs="Courier New" w:eastAsia="Courier New" w:hAnsi="Courier New"/>
          <w:sz w:val="18"/>
          <w:szCs w:val="18"/>
          <w:color w:val="auto"/>
        </w:rPr>
      </w:pPr>
    </w:p>
    <w:p>
      <w:pPr>
        <w:ind w:left="540" w:right="4739" w:hanging="427"/>
        <w:spacing w:after="0" w:line="47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 w:lineRule="exact"/>
        <w:rPr>
          <w:rFonts w:ascii="Courier New" w:cs="Courier New" w:eastAsia="Courier New" w:hAnsi="Courier New"/>
          <w:sz w:val="18"/>
          <w:szCs w:val="18"/>
          <w:color w:val="auto"/>
        </w:rPr>
      </w:pPr>
    </w:p>
    <w:p>
      <w:pPr>
        <w:ind w:left="540" w:right="515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810186106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12" w:right="1440" w:bottom="0" w:gutter="0" w:footer="0" w:header="0"/>
          <w:type w:val="continuous"/>
        </w:sectPr>
      </w:pPr>
    </w:p>
    <w:p>
      <w:pPr>
        <w:spacing w:after="0" w:line="2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Scotts Company</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14111 Scottslawn Road</w:t>
      </w:r>
    </w:p>
    <w:p>
      <w:pPr>
        <w:ind w:left="740"/>
        <w:spacing w:after="0"/>
        <w:rPr>
          <w:sz w:val="20"/>
          <w:szCs w:val="20"/>
          <w:color w:val="auto"/>
        </w:rPr>
      </w:pPr>
      <w:r>
        <w:rPr>
          <w:rFonts w:ascii="Courier New" w:cs="Courier New" w:eastAsia="Courier New" w:hAnsi="Courier New"/>
          <w:sz w:val="18"/>
          <w:szCs w:val="18"/>
          <w:color w:val="auto"/>
        </w:rPr>
        <w:t>Marysville, OH 43041</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312" w:right="1440" w:bottom="0" w:gutter="0" w:footer="0" w:header="0"/>
          <w:type w:val="continuous"/>
        </w:sectPr>
      </w:pPr>
    </w:p>
    <w:p>
      <w:pPr>
        <w:spacing w:after="0" w:line="9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1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169"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12" w:right="1440" w:bottom="0" w:gutter="0" w:footer="0" w:header="0"/>
          <w:type w:val="continuous"/>
        </w:sectPr>
      </w:pPr>
    </w:p>
    <w:bookmarkStart w:id="2" w:name="page3"/>
    <w:bookmarkEnd w:id="2"/>
    <w:p>
      <w:pPr>
        <w:spacing w:after="0" w:line="2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810186106</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or 240.13d-2(b) or (c), check whether the person filing is a:</w:t>
      </w:r>
    </w:p>
    <w:p>
      <w:pPr>
        <w:ind w:left="1280" w:right="3039" w:hanging="535"/>
        <w:spacing w:after="0" w:line="309" w:lineRule="auto"/>
        <w:tabs>
          <w:tab w:leader="none" w:pos="15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3 of 5</w:t>
      </w:r>
    </w:p>
    <w:p>
      <w:pPr>
        <w:spacing w:after="0" w:line="201" w:lineRule="exact"/>
        <w:rPr>
          <w:sz w:val="20"/>
          <w:szCs w:val="20"/>
          <w:color w:val="auto"/>
        </w:rPr>
      </w:pPr>
    </w:p>
    <w:p>
      <w:pPr>
        <w:ind w:left="740" w:right="2939"/>
        <w:spacing w:after="0" w:line="278" w:lineRule="auto"/>
        <w:rPr>
          <w:sz w:val="20"/>
          <w:szCs w:val="20"/>
          <w:color w:val="auto"/>
        </w:rPr>
      </w:pPr>
      <w:r>
        <w:rPr>
          <w:rFonts w:ascii="Courier New" w:cs="Courier New" w:eastAsia="Courier New" w:hAnsi="Courier New"/>
          <w:sz w:val="16"/>
          <w:szCs w:val="16"/>
          <w:color w:val="auto"/>
        </w:rPr>
        <w:t>Capital Group International, Inc. ("CGII")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CGII does not have investment power or voting power over any of the securities reported herein. However, by virtue of Rule 13d-3 under the Act, CGII may be deemed to "beneficially own" 1,627,900 shares or 5.1% of the 32,247,000 shares of Common Stock believed to be outstanding.</w:t>
      </w:r>
    </w:p>
    <w:p>
      <w:pPr>
        <w:spacing w:after="0" w:line="200" w:lineRule="exact"/>
        <w:rPr>
          <w:sz w:val="20"/>
          <w:szCs w:val="20"/>
          <w:color w:val="auto"/>
        </w:rPr>
      </w:pPr>
    </w:p>
    <w:p>
      <w:pPr>
        <w:spacing w:after="0" w:line="305"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18"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060" w:right="2739" w:hanging="315"/>
        <w:spacing w:after="0" w:line="26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an investment adviser registered under Section 203 of the Investment Adviser Act of 1940, and a wholly owned subsidiary of Capital Group International, Inc.</w:t>
      </w:r>
    </w:p>
    <w:p>
      <w:pPr>
        <w:spacing w:after="0" w:line="89" w:lineRule="exact"/>
        <w:rPr>
          <w:rFonts w:ascii="Courier New" w:cs="Courier New" w:eastAsia="Courier New" w:hAnsi="Courier New"/>
          <w:sz w:val="18"/>
          <w:szCs w:val="18"/>
          <w:color w:val="auto"/>
        </w:rPr>
      </w:pPr>
    </w:p>
    <w:p>
      <w:pPr>
        <w:ind w:left="1060" w:right="2939" w:hanging="315"/>
        <w:spacing w:after="0" w:line="26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89" w:lineRule="exact"/>
        <w:rPr>
          <w:rFonts w:ascii="Courier New" w:cs="Courier New" w:eastAsia="Courier New" w:hAnsi="Courier New"/>
          <w:sz w:val="18"/>
          <w:szCs w:val="18"/>
          <w:color w:val="auto"/>
        </w:rPr>
      </w:pPr>
    </w:p>
    <w:p>
      <w:pPr>
        <w:ind w:left="1060" w:right="2739" w:hanging="315"/>
        <w:spacing w:after="0" w:line="306"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w:t>
      </w:r>
    </w:p>
    <w:p>
      <w:pPr>
        <w:sectPr>
          <w:pgSz w:w="11900" w:h="16862" w:orient="portrait"/>
          <w:cols w:equalWidth="0" w:num="1">
            <w:col w:w="10219"/>
          </w:cols>
          <w:pgMar w:left="240" w:top="110" w:right="1440" w:bottom="0" w:gutter="0" w:footer="0" w:header="0"/>
        </w:sectPr>
      </w:pPr>
    </w:p>
    <w:bookmarkStart w:id="3" w:name="page4"/>
    <w:bookmarkEnd w:id="3"/>
    <w:p>
      <w:pPr>
        <w:ind w:left="1060" w:right="2839"/>
        <w:spacing w:after="0" w:line="402" w:lineRule="auto"/>
        <w:rPr>
          <w:sz w:val="20"/>
          <w:szCs w:val="20"/>
          <w:color w:val="auto"/>
        </w:rPr>
      </w:pPr>
      <w:r>
        <w:rPr>
          <w:rFonts w:ascii="Courier New" w:cs="Courier New" w:eastAsia="Courier New" w:hAnsi="Courier New"/>
          <w:sz w:val="16"/>
          <w:szCs w:val="16"/>
          <w:color w:val="auto"/>
        </w:rPr>
        <w:t>Commission to The Capital Group Companies, Inc. CISA is a wholly owned subsidiary of Capital Group International, Inc.</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4"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2004</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9"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10" w:right="1440" w:bottom="564" w:gutter="0" w:footer="0" w:header="0"/>
        </w:sectPr>
      </w:pP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Kenneth R. Gorvetzian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Kenneth R. Gorvetzian</w:t>
      </w:r>
    </w:p>
    <w:p>
      <w:pPr>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sectPr>
          <w:pgSz w:w="11900" w:h="16838" w:orient="portrait"/>
          <w:cols w:equalWidth="0" w:num="2">
            <w:col w:w="1160" w:space="420"/>
            <w:col w:w="8639"/>
          </w:cols>
          <w:pgMar w:left="240" w:top="110" w:right="1440" w:bottom="564" w:gutter="0" w:footer="0" w:header="0"/>
          <w:type w:val="continuous"/>
        </w:sectPr>
      </w:pPr>
    </w:p>
    <w:p>
      <w:pPr>
        <w:ind w:left="158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110" w:right="1440" w:bottom="5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10" w:right="1440"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8"/>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Letter"/>
      <w:start w:val="7"/>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2019-12-20T01:39:02Z</dcterms:created>
  <dcterms:modified xsi:type="dcterms:W3CDTF">2019-12-20T01:39:02Z</dcterms:modified>
</cp:coreProperties>
</file>