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UNITED STATES</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8" w:lineRule="auto"/>
        <w:rPr>
          <w:sz w:val="20"/>
          <w:szCs w:val="20"/>
          <w:color w:val="auto"/>
        </w:rPr>
      </w:pPr>
      <w:r>
        <w:rPr>
          <w:rFonts w:ascii="Courier New" w:cs="Courier New" w:eastAsia="Courier New" w:hAnsi="Courier New"/>
          <w:sz w:val="15"/>
          <w:szCs w:val="15"/>
          <w:color w:val="auto"/>
        </w:rPr>
        <w:t>WASHINGTON, D. C. 20549</w:t>
      </w:r>
    </w:p>
    <w:p>
      <w:pPr>
        <w:spacing w:after="0" w:line="167"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800" w:right="3679" w:hanging="790"/>
        <w:spacing w:after="0" w:line="261"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 FOR THE QUARTERLY PERIOD ENDED JUNE 26, 2004</w:t>
      </w:r>
    </w:p>
    <w:p>
      <w:pPr>
        <w:spacing w:after="0" w:line="153"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800" w:right="3579" w:hanging="790"/>
        <w:spacing w:after="0" w:line="234" w:lineRule="auto"/>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FOR THE TRANSITION PERIOD FROM</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 ----------</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1-13292</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8" w:right="1440" w:bottom="1440" w:gutter="0" w:footer="0" w:header="0"/>
        </w:sectPr>
      </w:pP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3140" w:space="720"/>
            <w:col w:w="6379"/>
          </w:cols>
          <w:pgMar w:left="220" w:top="568"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14111 SCOTTSLAWN ROAD, MARYSVILLE, OHIO 43041</w:t>
      </w:r>
    </w:p>
    <w:p>
      <w:pPr>
        <w:jc w:val="center"/>
        <w:ind w:right="3139"/>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(937) 644-0011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NO CHANGE</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(Former Name, Former Address and Former Fiscal Year,</w:t>
      </w:r>
    </w:p>
    <w:p>
      <w:pPr>
        <w:jc w:val="center"/>
        <w:ind w:right="3139"/>
        <w:spacing w:after="0" w:line="238" w:lineRule="auto"/>
        <w:rPr>
          <w:sz w:val="20"/>
          <w:szCs w:val="20"/>
          <w:color w:val="auto"/>
        </w:rPr>
      </w:pPr>
      <w:r>
        <w:rPr>
          <w:rFonts w:ascii="Courier New" w:cs="Courier New" w:eastAsia="Courier New" w:hAnsi="Courier New"/>
          <w:sz w:val="15"/>
          <w:szCs w:val="15"/>
          <w:color w:val="auto"/>
        </w:rPr>
        <w:t>if Changed Since Last Report)</w:t>
      </w:r>
    </w:p>
    <w:p>
      <w:pPr>
        <w:spacing w:after="0" w:line="173"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 Yes [X] No [ ]</w:t>
      </w:r>
    </w:p>
    <w:p>
      <w:pPr>
        <w:spacing w:after="0" w:line="173" w:lineRule="exact"/>
        <w:rPr>
          <w:sz w:val="24"/>
          <w:szCs w:val="24"/>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8" w:right="1440" w:bottom="144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32,742,022</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JULY 27, 2004</w:t>
      </w:r>
    </w:p>
    <w:p>
      <w:pPr>
        <w:spacing w:after="0" w:line="3" w:lineRule="exact"/>
        <w:rPr>
          <w:sz w:val="24"/>
          <w:szCs w:val="24"/>
          <w:color w:val="auto"/>
        </w:rPr>
      </w:pPr>
    </w:p>
    <w:p>
      <w:pPr>
        <w:sectPr>
          <w:pgSz w:w="11900" w:h="16838" w:orient="portrait"/>
          <w:cols w:equalWidth="0" w:num="2">
            <w:col w:w="3840" w:space="720"/>
            <w:col w:w="5679"/>
          </w:cols>
          <w:pgMar w:left="220" w:top="5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Common Shares, voting, no par value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9360" w:type="dxa"/>
            <w:vAlign w:val="bottom"/>
          </w:tcPr>
          <w:p>
            <w:pPr>
              <w:jc w:val="right"/>
              <w:ind w:right="4967"/>
              <w:spacing w:after="0"/>
              <w:rPr>
                <w:sz w:val="20"/>
                <w:szCs w:val="20"/>
                <w:color w:val="auto"/>
              </w:rPr>
            </w:pPr>
            <w:r>
              <w:rPr>
                <w:rFonts w:ascii="Courier New" w:cs="Courier New" w:eastAsia="Courier New" w:hAnsi="Courier New"/>
                <w:sz w:val="15"/>
                <w:szCs w:val="15"/>
                <w:color w:val="auto"/>
              </w:rPr>
              <w:t>THE SCOTTS COMPANY AND SUBSIDIARIES</w:t>
            </w:r>
          </w:p>
        </w:tc>
        <w:tc>
          <w:tcPr>
            <w:tcW w:w="820" w:type="dxa"/>
            <w:vAlign w:val="bottom"/>
          </w:tcPr>
          <w:p>
            <w:pPr>
              <w:spacing w:after="0"/>
              <w:rPr>
                <w:sz w:val="14"/>
                <w:szCs w:val="14"/>
                <w:color w:val="auto"/>
              </w:rPr>
            </w:pPr>
          </w:p>
        </w:tc>
      </w:tr>
      <w:tr>
        <w:trPr>
          <w:trHeight w:val="336"/>
        </w:trPr>
        <w:tc>
          <w:tcPr>
            <w:tcW w:w="760" w:type="dxa"/>
            <w:vAlign w:val="bottom"/>
          </w:tcPr>
          <w:p>
            <w:pPr>
              <w:spacing w:after="0"/>
              <w:rPr>
                <w:sz w:val="24"/>
                <w:szCs w:val="24"/>
                <w:color w:val="auto"/>
              </w:rPr>
            </w:pPr>
          </w:p>
        </w:tc>
        <w:tc>
          <w:tcPr>
            <w:tcW w:w="9360" w:type="dxa"/>
            <w:vAlign w:val="bottom"/>
          </w:tcPr>
          <w:p>
            <w:pPr>
              <w:jc w:val="right"/>
              <w:ind w:right="6267"/>
              <w:spacing w:after="0"/>
              <w:rPr>
                <w:sz w:val="20"/>
                <w:szCs w:val="20"/>
                <w:color w:val="auto"/>
              </w:rPr>
            </w:pPr>
            <w:r>
              <w:rPr>
                <w:rFonts w:ascii="Courier New" w:cs="Courier New" w:eastAsia="Courier New" w:hAnsi="Courier New"/>
                <w:sz w:val="15"/>
                <w:szCs w:val="15"/>
                <w:color w:val="auto"/>
              </w:rPr>
              <w:t>INDEX</w:t>
            </w:r>
          </w:p>
        </w:tc>
        <w:tc>
          <w:tcPr>
            <w:tcW w:w="820" w:type="dxa"/>
            <w:vAlign w:val="bottom"/>
          </w:tcPr>
          <w:p>
            <w:pPr>
              <w:spacing w:after="0"/>
              <w:rPr>
                <w:sz w:val="24"/>
                <w:szCs w:val="24"/>
                <w:color w:val="auto"/>
              </w:rPr>
            </w:pPr>
          </w:p>
        </w:tc>
      </w:tr>
      <w:tr>
        <w:trPr>
          <w:trHeight w:val="673"/>
        </w:trPr>
        <w:tc>
          <w:tcPr>
            <w:tcW w:w="76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68"/>
        </w:trPr>
        <w:tc>
          <w:tcPr>
            <w:tcW w:w="76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12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820" w:type="dxa"/>
            <w:vAlign w:val="bottom"/>
          </w:tcPr>
          <w:p>
            <w:pPr>
              <w:spacing w:after="0"/>
              <w:rPr>
                <w:sz w:val="24"/>
                <w:szCs w:val="24"/>
                <w:color w:val="auto"/>
              </w:rPr>
            </w:pP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w:t>
            </w:r>
          </w:p>
        </w:tc>
        <w:tc>
          <w:tcPr>
            <w:tcW w:w="9360" w:type="dxa"/>
            <w:vAlign w:val="bottom"/>
          </w:tcPr>
          <w:p>
            <w:pPr>
              <w:jc w:val="right"/>
              <w:ind w:right="6447"/>
              <w:spacing w:after="0" w:line="168" w:lineRule="exact"/>
              <w:rPr>
                <w:sz w:val="20"/>
                <w:szCs w:val="20"/>
                <w:color w:val="auto"/>
              </w:rPr>
            </w:pPr>
            <w:r>
              <w:rPr>
                <w:rFonts w:ascii="Courier New" w:cs="Courier New" w:eastAsia="Courier New" w:hAnsi="Courier New"/>
                <w:sz w:val="15"/>
                <w:szCs w:val="15"/>
                <w:color w:val="auto"/>
                <w:w w:val="97"/>
              </w:rPr>
              <w:t>Financial Statements (Unaudited)</w:t>
            </w:r>
          </w:p>
        </w:tc>
        <w:tc>
          <w:tcPr>
            <w:tcW w:w="82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9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Condensed, Consolidated Statements of Operations - Three and nine month  periods ended June 26, 2004</w:t>
            </w:r>
          </w:p>
        </w:tc>
        <w:tc>
          <w:tcPr>
            <w:tcW w:w="82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and  June 28, 2003.....................................................................................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60" w:type="dxa"/>
            <w:vAlign w:val="bottom"/>
          </w:tcPr>
          <w:p>
            <w:pPr>
              <w:spacing w:after="0"/>
              <w:rPr>
                <w:sz w:val="14"/>
                <w:szCs w:val="14"/>
                <w:color w:val="auto"/>
              </w:rPr>
            </w:pPr>
          </w:p>
        </w:tc>
        <w:tc>
          <w:tcPr>
            <w:tcW w:w="9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 Nine month  periods ended June 26, 2004 and June</w:t>
            </w:r>
          </w:p>
        </w:tc>
        <w:tc>
          <w:tcPr>
            <w:tcW w:w="82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28, 2003...............................................................................................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60" w:type="dxa"/>
            <w:vAlign w:val="bottom"/>
          </w:tcPr>
          <w:p>
            <w:pPr>
              <w:spacing w:after="0"/>
              <w:rPr>
                <w:sz w:val="14"/>
                <w:szCs w:val="14"/>
                <w:color w:val="auto"/>
              </w:rPr>
            </w:pP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Condensed, Consolidated Balance Sheets - June 26, 2004,  June 28, 2003 and September 30, 2003...........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0" w:type="dxa"/>
            <w:vAlign w:val="bottom"/>
          </w:tcPr>
          <w:p>
            <w:pPr>
              <w:spacing w:after="0"/>
              <w:rPr>
                <w:sz w:val="14"/>
                <w:szCs w:val="14"/>
                <w:color w:val="auto"/>
              </w:rPr>
            </w:pP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Notes to Condensed, Consolidated Financial Statements....................................................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2.</w:t>
            </w: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Management's Discussion and Analysis of Financial Condition and Results of Operations....................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w:t>
            </w: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Quantitative and Qualitative Disclosures About Market Risk...............................................</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Controls and Procedures..................................................................................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PART II.</w:t>
            </w:r>
          </w:p>
        </w:tc>
        <w:tc>
          <w:tcPr>
            <w:tcW w:w="9360" w:type="dxa"/>
            <w:vAlign w:val="bottom"/>
          </w:tcPr>
          <w:p>
            <w:pPr>
              <w:jc w:val="right"/>
              <w:ind w:right="7767"/>
              <w:spacing w:after="0" w:line="168" w:lineRule="exact"/>
              <w:rPr>
                <w:sz w:val="20"/>
                <w:szCs w:val="20"/>
                <w:color w:val="auto"/>
              </w:rPr>
            </w:pPr>
            <w:r>
              <w:rPr>
                <w:rFonts w:ascii="Courier New" w:cs="Courier New" w:eastAsia="Courier New" w:hAnsi="Courier New"/>
                <w:sz w:val="15"/>
                <w:szCs w:val="15"/>
                <w:color w:val="auto"/>
                <w:w w:val="98"/>
              </w:rPr>
              <w:t>OTHER INFORMATION</w:t>
            </w:r>
          </w:p>
        </w:tc>
        <w:tc>
          <w:tcPr>
            <w:tcW w:w="820" w:type="dxa"/>
            <w:vAlign w:val="bottom"/>
          </w:tcPr>
          <w:p>
            <w:pPr>
              <w:spacing w:after="0"/>
              <w:rPr>
                <w:sz w:val="14"/>
                <w:szCs w:val="14"/>
                <w:color w:val="auto"/>
              </w:rPr>
            </w:pP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w:t>
            </w: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Legal Proceedings........................................................................................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9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Exhibits and Reports on Form 8-K.........................................................................</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0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Signatures........................................................................................................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0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Index to Exhibits.................................................................................................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505"/>
        </w:trPr>
        <w:tc>
          <w:tcPr>
            <w:tcW w:w="760" w:type="dxa"/>
            <w:vAlign w:val="bottom"/>
          </w:tcPr>
          <w:p>
            <w:pPr>
              <w:spacing w:after="0"/>
              <w:rPr>
                <w:sz w:val="24"/>
                <w:szCs w:val="24"/>
                <w:color w:val="auto"/>
              </w:rPr>
            </w:pPr>
          </w:p>
        </w:tc>
        <w:tc>
          <w:tcPr>
            <w:tcW w:w="9360" w:type="dxa"/>
            <w:vAlign w:val="bottom"/>
          </w:tcPr>
          <w:p>
            <w:pPr>
              <w:jc w:val="right"/>
              <w:ind w:right="6447"/>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PART I -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6"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THE SCOTTS COMPANY</w:t>
      </w:r>
    </w:p>
    <w:p>
      <w:pPr>
        <w:jc w:val="center"/>
        <w:ind w:right="430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4200"/>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100" w:type="dxa"/>
        <w:tblCellMar>
          <w:top w:w="0" w:type="dxa"/>
          <w:left w:w="0" w:type="dxa"/>
          <w:bottom w:w="0" w:type="dxa"/>
          <w:right w:w="0" w:type="dxa"/>
        </w:tblCellMar>
      </w:tblPr>
      <w:tr>
        <w:trPr>
          <w:trHeight w:val="168"/>
        </w:trPr>
        <w:tc>
          <w:tcPr>
            <w:tcW w:w="63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(IN MILLIONS EXCEPT PER SHARE AMOUNTS)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6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w w:val="95"/>
              </w:rPr>
              <w:t>THREE MONTHS ENDED</w:t>
            </w:r>
          </w:p>
        </w:tc>
        <w:tc>
          <w:tcPr>
            <w:tcW w:w="340" w:type="dxa"/>
            <w:vAlign w:val="bottom"/>
          </w:tcPr>
          <w:p>
            <w:pPr>
              <w:spacing w:after="0"/>
              <w:rPr>
                <w:sz w:val="24"/>
                <w:szCs w:val="24"/>
                <w:color w:val="auto"/>
              </w:rPr>
            </w:pPr>
          </w:p>
        </w:tc>
        <w:tc>
          <w:tcPr>
            <w:tcW w:w="20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630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4"/>
              </w:rPr>
              <w: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JUNE 26,</w:t>
            </w:r>
          </w:p>
        </w:tc>
        <w:tc>
          <w:tcPr>
            <w:tcW w:w="1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28,</w:t>
            </w:r>
          </w:p>
        </w:tc>
        <w:tc>
          <w:tcPr>
            <w:tcW w:w="13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JUNE 26,</w:t>
            </w:r>
          </w:p>
        </w:tc>
        <w:tc>
          <w:tcPr>
            <w:tcW w:w="10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JUNE 28,</w:t>
            </w:r>
          </w:p>
        </w:tc>
      </w:tr>
      <w:tr>
        <w:trPr>
          <w:trHeight w:val="168"/>
        </w:trPr>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2004</w:t>
            </w:r>
          </w:p>
        </w:tc>
        <w:tc>
          <w:tcPr>
            <w:tcW w:w="360" w:type="dxa"/>
            <w:vAlign w:val="bottom"/>
          </w:tcPr>
          <w:p>
            <w:pPr>
              <w:spacing w:after="0"/>
              <w:rPr>
                <w:sz w:val="14"/>
                <w:szCs w:val="14"/>
                <w:color w:val="auto"/>
              </w:rPr>
            </w:pPr>
          </w:p>
        </w:tc>
        <w:tc>
          <w:tcPr>
            <w:tcW w:w="9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2003</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30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773.7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710.0</w:t>
            </w:r>
          </w:p>
        </w:tc>
        <w:tc>
          <w:tcPr>
            <w:tcW w:w="13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$1,689.1</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$1,567.0</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465.6</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428.6</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1,041.0</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985.3</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630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307.9</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280.8</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647.2</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576.0</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Gross commission earned from marketing agreement.....................</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30.4</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45.7</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21.2</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630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commission from marketing agreement..............................</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23.4</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16.5</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24.5</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Advertising........................................................</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41.7</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38.1</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89.8</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81.7</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94.1</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85.0</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279.3</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243.8</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Selling, general and administrative - lawn service business........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42.3</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Stock-based compensation...........................................</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Restructuring and other charges....................................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Amortization of intangibles........................................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Other income, net..................................................</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630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174.8</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161.0</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248.3</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221.5</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38.1</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Costs related to refinancing.........................................</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44.6</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161.8</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142.8</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165.6</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168.1</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51.6</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62.9</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61.2</w:t>
            </w:r>
          </w:p>
        </w:tc>
      </w:tr>
      <w:tr>
        <w:trPr>
          <w:trHeight w:val="168"/>
        </w:trPr>
        <w:tc>
          <w:tcPr>
            <w:tcW w:w="630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100.3</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102.7</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630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Weighted-average common shares outstanding during the period ........</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32.5</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31.1</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32.2</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Basic earnings per common share......................................</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3.19</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Weighted-average common shares outstanding during the period ........</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33.3</w:t>
            </w:r>
          </w:p>
        </w:tc>
        <w:tc>
          <w:tcPr>
            <w:tcW w:w="3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32.4</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33.2</w:t>
            </w:r>
          </w:p>
        </w:tc>
        <w:tc>
          <w:tcPr>
            <w:tcW w:w="4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Diluted earnings per common share....................................</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3.09</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3.33</w:t>
            </w:r>
          </w:p>
        </w:tc>
      </w:tr>
    </w:tbl>
    <w:p>
      <w:pPr>
        <w:spacing w:after="0" w:line="335"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00"/>
          </w:cols>
          <w:pgMar w:left="220" w:top="617" w:right="379" w:bottom="1440" w:gutter="0" w:footer="0" w:header="0"/>
        </w:sectPr>
      </w:pPr>
    </w:p>
    <w:bookmarkStart w:id="3" w:name="page4"/>
    <w:bookmarkEnd w:id="3"/>
    <w:p>
      <w:pPr>
        <w:jc w:val="center"/>
        <w:ind w:right="3480"/>
        <w:spacing w:after="0"/>
        <w:rPr>
          <w:sz w:val="20"/>
          <w:szCs w:val="20"/>
          <w:color w:val="auto"/>
        </w:rPr>
      </w:pPr>
      <w:r>
        <w:rPr>
          <w:rFonts w:ascii="Courier New" w:cs="Courier New" w:eastAsia="Courier New" w:hAnsi="Courier New"/>
          <w:sz w:val="15"/>
          <w:szCs w:val="15"/>
          <w:color w:val="auto"/>
        </w:rPr>
        <w:t>THE SCOTTS COMPANY</w:t>
      </w:r>
    </w:p>
    <w:p>
      <w:pPr>
        <w:jc w:val="center"/>
        <w:ind w:right="3480"/>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400"/>
        <w:spacing w:after="0" w:line="238" w:lineRule="auto"/>
        <w:rPr>
          <w:sz w:val="20"/>
          <w:szCs w:val="20"/>
          <w:color w:val="auto"/>
        </w:rPr>
      </w:pPr>
      <w:r>
        <w:rPr>
          <w:rFonts w:ascii="Courier New" w:cs="Courier New" w:eastAsia="Courier New" w:hAnsi="Courier New"/>
          <w:sz w:val="15"/>
          <w:szCs w:val="15"/>
          <w:color w:val="auto"/>
        </w:rPr>
        <w:t>(UNAUDITED)</w:t>
      </w:r>
    </w:p>
    <w:p>
      <w:pPr>
        <w:ind w:left="298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8280" w:type="dxa"/>
            <w:vAlign w:val="bottom"/>
          </w:tcPr>
          <w:p>
            <w:pPr>
              <w:spacing w:after="0"/>
              <w:rPr>
                <w:sz w:val="14"/>
                <w:szCs w:val="14"/>
                <w:color w:val="auto"/>
              </w:rPr>
            </w:pPr>
          </w:p>
        </w:tc>
        <w:tc>
          <w:tcPr>
            <w:tcW w:w="2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JUNE 26,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JUNE 28,</w:t>
            </w:r>
          </w:p>
        </w:tc>
      </w:tr>
      <w:tr>
        <w:trPr>
          <w:trHeight w:val="168"/>
        </w:trPr>
        <w:tc>
          <w:tcPr>
            <w:tcW w:w="8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82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 operating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Costs related to refinancing..............................................................</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Stock-based compensation expense..........................................................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Deferred taxes............................................................................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8280" w:type="dxa"/>
            <w:vAlign w:val="bottom"/>
          </w:tcPr>
          <w:p>
            <w:pPr>
              <w:jc w:val="right"/>
              <w:ind w:right="2607"/>
              <w:spacing w:after="0" w:line="168" w:lineRule="exact"/>
              <w:rPr>
                <w:sz w:val="20"/>
                <w:szCs w:val="20"/>
                <w:color w:val="auto"/>
              </w:rPr>
            </w:pPr>
            <w:r>
              <w:rPr>
                <w:rFonts w:ascii="Courier New" w:cs="Courier New" w:eastAsia="Courier New" w:hAnsi="Courier New"/>
                <w:sz w:val="15"/>
                <w:szCs w:val="15"/>
                <w:color w:val="auto"/>
                <w:w w:val="99"/>
              </w:rPr>
              <w:t>Changes in assets and liabilities, net of acquired businesses: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(258.3)</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(258.5)</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Inventories.............................................................................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(59.4)</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102.3</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Accrued taxes and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Restructuring reserves..................................................................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assets............................................................................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Other, net................................................................................</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Investment in property, plant and equipment...............................................</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Investment in acquired businesses, net of cash acquired...................................</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Payments on seller notes..................................................................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(31.6)</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Net borrowings under revolving and bank lines of credit...................................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Proceeds from issuance of term loans - New Credit Agreement...............................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Repayment of term loans - new Credit Agreement............................................</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Repayment of term loans - former Credit Agreement.........................................</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(326.5)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Issuance of 6 5/8% Senior Subordinated Notes..............................................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Redemption of 8 5/8% Senior Subordinated Notes............................................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Financing fees............................................................................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Cash received from the exercise of stock options..........................................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Effect of exchange rate changes on cash...................................................</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Net decrease in cash......................................................................</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Cash and cash equivalents at beginning of period..........................................</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99.7</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Cash and cash equivalents at end of period................................................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w:t>
            </w:r>
          </w:p>
        </w:tc>
      </w:tr>
      <w:tr>
        <w:trPr>
          <w:trHeight w:val="168"/>
        </w:trPr>
        <w:tc>
          <w:tcPr>
            <w:tcW w:w="82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500"/>
          </w:cols>
          <w:pgMar w:left="220" w:top="617" w:right="1179" w:bottom="1440" w:gutter="0" w:footer="0" w:header="0"/>
        </w:sectPr>
      </w:pPr>
    </w:p>
    <w:bookmarkStart w:id="4" w:name="page5"/>
    <w:bookmarkEnd w:id="4"/>
    <w:p>
      <w:pPr>
        <w:jc w:val="center"/>
        <w:ind w:right="4520"/>
        <w:spacing w:after="0"/>
        <w:rPr>
          <w:sz w:val="20"/>
          <w:szCs w:val="20"/>
          <w:color w:val="auto"/>
        </w:rPr>
      </w:pPr>
      <w:r>
        <w:rPr>
          <w:rFonts w:ascii="Courier New" w:cs="Courier New" w:eastAsia="Courier New" w:hAnsi="Courier New"/>
          <w:sz w:val="15"/>
          <w:szCs w:val="15"/>
          <w:color w:val="auto"/>
        </w:rPr>
        <w:t>THE SCOTTS COMPANY</w:t>
      </w:r>
    </w:p>
    <w:p>
      <w:pPr>
        <w:jc w:val="center"/>
        <w:ind w:right="4520"/>
        <w:spacing w:after="0" w:line="237" w:lineRule="auto"/>
        <w:rPr>
          <w:sz w:val="20"/>
          <w:szCs w:val="20"/>
          <w:color w:val="auto"/>
        </w:rPr>
      </w:pPr>
      <w:r>
        <w:rPr>
          <w:rFonts w:ascii="Courier New" w:cs="Courier New" w:eastAsia="Courier New" w:hAnsi="Courier New"/>
          <w:sz w:val="15"/>
          <w:szCs w:val="15"/>
          <w:color w:val="auto"/>
        </w:rPr>
        <w:t>CONDENSED, CONSOLIDATED BALANCE SHEETS</w:t>
      </w:r>
    </w:p>
    <w:p>
      <w:pPr>
        <w:jc w:val="center"/>
        <w:ind w:right="4440"/>
        <w:spacing w:after="0" w:line="238" w:lineRule="auto"/>
        <w:rPr>
          <w:sz w:val="20"/>
          <w:szCs w:val="20"/>
          <w:color w:val="auto"/>
        </w:rPr>
      </w:pPr>
      <w:r>
        <w:rPr>
          <w:rFonts w:ascii="Courier New" w:cs="Courier New" w:eastAsia="Courier New" w:hAnsi="Courier New"/>
          <w:sz w:val="15"/>
          <w:szCs w:val="15"/>
          <w:color w:val="auto"/>
        </w:rPr>
        <w:t>(UNAUDITED)</w:t>
      </w:r>
    </w:p>
    <w:p>
      <w:pPr>
        <w:ind w:left="298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JUNE 26,</w:t>
            </w:r>
          </w:p>
        </w:tc>
        <w:tc>
          <w:tcPr>
            <w:tcW w:w="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JUNE 28,</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16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4"/>
                <w:szCs w:val="24"/>
                <w:color w:val="auto"/>
              </w:rPr>
            </w:pPr>
          </w:p>
        </w:tc>
        <w:tc>
          <w:tcPr>
            <w:tcW w:w="7080" w:type="dxa"/>
            <w:vAlign w:val="bottom"/>
          </w:tcPr>
          <w:p>
            <w:pPr>
              <w:jc w:val="right"/>
              <w:ind w:right="5247"/>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56.6</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155.9</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Accounts receivable, less allowances of $26.3, $26.5 and $20.0, respectively...........</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548.8</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521.1</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290.5</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Inventories, net.......................................................................</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335.5</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323.3</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276.1</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deferred tax asset.............................................................</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60.6</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and other assets...............................................................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current assets.................................................................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1,036.2</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1,019.0</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Property,</w:t>
            </w:r>
          </w:p>
        </w:tc>
        <w:tc>
          <w:tcPr>
            <w:tcW w:w="7080" w:type="dxa"/>
            <w:vAlign w:val="bottom"/>
          </w:tcPr>
          <w:p>
            <w:pPr>
              <w:spacing w:after="0" w:line="168" w:lineRule="exact"/>
              <w:rPr>
                <w:sz w:val="20"/>
                <w:szCs w:val="20"/>
                <w:color w:val="auto"/>
              </w:rPr>
            </w:pPr>
            <w:r>
              <w:rPr>
                <w:rFonts w:ascii="Courier New" w:cs="Courier New" w:eastAsia="Courier New" w:hAnsi="Courier New"/>
                <w:sz w:val="15"/>
                <w:szCs w:val="15"/>
                <w:color w:val="auto"/>
              </w:rPr>
              <w:t>plant and equipment, net of accumulated depreciation of $296.5, $272.4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$270.5,</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respectively...................................................................</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323.0</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341.4</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338.2</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Goodwill.................................................................................</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421.3</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393.4</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406.5</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Intangible assets, net...................................................................</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430.1</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425.8</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429.0</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assets.........................................................................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2,251.7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2,225.0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2,030.3</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4"/>
                <w:szCs w:val="24"/>
                <w:color w:val="auto"/>
              </w:rPr>
            </w:pPr>
          </w:p>
        </w:tc>
        <w:tc>
          <w:tcPr>
            <w:tcW w:w="7080" w:type="dxa"/>
            <w:vAlign w:val="bottom"/>
          </w:tcPr>
          <w:p>
            <w:pPr>
              <w:jc w:val="right"/>
              <w:ind w:right="3507"/>
              <w:spacing w:after="0"/>
              <w:rPr>
                <w:sz w:val="20"/>
                <w:szCs w:val="20"/>
                <w:color w:val="auto"/>
              </w:rPr>
            </w:pPr>
            <w:r>
              <w:rPr>
                <w:rFonts w:ascii="Courier New" w:cs="Courier New" w:eastAsia="Courier New" w:hAnsi="Courier New"/>
                <w:sz w:val="15"/>
                <w:szCs w:val="15"/>
                <w:color w:val="auto"/>
              </w:rPr>
              <w:t>LIABILITIES AND SHAREHOLDERS' EQUITY</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portion of debt................................................................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Accounts payable.......................................................................</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238.0</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225.0</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149.0</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liabilities....................................................................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273.4</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253.6</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234.3</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taxes..........................................................................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80.7</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82.5</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current liabilities............................................................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617.4</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621.8</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Long-term</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debt...........................................................................</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612.0</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754.9</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702.2</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162.2</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131.0</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151.7</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liabilities....................................................................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1,391.6</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1,507.7</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1,302.1</w:t>
            </w:r>
          </w:p>
        </w:tc>
      </w:tr>
      <w:tr>
        <w:trPr>
          <w:trHeight w:val="168"/>
        </w:trPr>
        <w:tc>
          <w:tcPr>
            <w:tcW w:w="7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(notes 3 and 9)</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w:t>
            </w:r>
          </w:p>
        </w:tc>
        <w:tc>
          <w:tcPr>
            <w:tcW w:w="70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no par value per share, $.01 stated value per share, 32.6,</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31.6, and 32.0 shares issued, respectively.........................................</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Deferred compensation - stock awards...................................................</w:t>
            </w:r>
          </w:p>
        </w:tc>
        <w:tc>
          <w:tcPr>
            <w:tcW w:w="2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3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 excess of par value.........................................................</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434.5</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386.6</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398.4</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Retained earnings......................................................................</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501.3</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401.7</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398.6</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Treasury stock.........................................................................</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Accumulated other comprehensive expense................................................</w:t>
            </w:r>
          </w:p>
        </w:tc>
        <w:tc>
          <w:tcPr>
            <w:tcW w:w="2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w:t>
            </w:r>
          </w:p>
        </w:tc>
        <w:tc>
          <w:tcPr>
            <w:tcW w:w="3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shareholders' equity...........................................................</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860.1</w:t>
            </w:r>
          </w:p>
        </w:tc>
        <w:tc>
          <w:tcPr>
            <w:tcW w:w="1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717.3</w:t>
            </w:r>
          </w:p>
        </w:tc>
        <w:tc>
          <w:tcPr>
            <w:tcW w:w="3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728.2</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liabilities and shareholders' equity...........................................</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2,251.7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2,225.0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2,030.3</w:t>
            </w:r>
          </w:p>
        </w:tc>
      </w:tr>
      <w:tr>
        <w:trPr>
          <w:trHeight w:val="168"/>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617" w:right="139" w:bottom="1440" w:gutter="0" w:footer="0" w:header="0"/>
        </w:sectPr>
      </w:pPr>
    </w:p>
    <w:bookmarkStart w:id="5" w:name="page6"/>
    <w:bookmarkEnd w:id="5"/>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4"/>
          <w:szCs w:val="14"/>
          <w:color w:val="auto"/>
        </w:rPr>
        <w:t>The Scotts Company and its subsidiaries (collectively "Scotts" or the "Company") are engaged in the manufacture, marketing and sale of lawn and garden care products. The Company's major customers include home improvement centers, mass merchandisers, large hardware chains, independent hardware stores, nurseries, garden centers, food and drug stores, commercial nurseries and greenhouses, and specialty crop growers. The Company's products are sold primarily in North America and the European Union. We also operate and franchise the Scotts LawnService(R) business which provides lawn and tree and shrub fertilization, insect control and other related services in the United States.</w:t>
      </w:r>
    </w:p>
    <w:p>
      <w:pPr>
        <w:spacing w:after="0" w:line="1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173"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The Company's condensed, consolidated financial statements are unaudited; however, in the opinion of management, these financial statements are presented in accordance with accounting principles generally accepted in the United States of America. The condensed, consolidated financial statements include the accounts of The Scotts Company and all wholly-owned and majority-owned subsidiaries. All material intercompany transactions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Scotts Company's fiscal 2003 Annual Report on Form 10-K.</w:t>
      </w:r>
    </w:p>
    <w:p>
      <w:pPr>
        <w:spacing w:after="0" w:line="32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ADVERTISING</w:t>
      </w:r>
    </w:p>
    <w:p>
      <w:pPr>
        <w:spacing w:after="0" w:line="173"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76"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4"/>
          <w:szCs w:val="14"/>
          <w:color w:val="auto"/>
        </w:rPr>
        <w:t>Scotts LawnService(R) promotes its service offerings primarily through direct response mail campaigns. The external costs associated with these campaigns are deferred and recognized ratably as advertising expense in proportion to revenues over a period not in excess of one year. The costs deferred at June 26, 2004, June 28, 2003 and September 30, 2003 are $2.2 million, $2.0 million and $1.0 million, respectively.</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STOCK-BASED COMPENSATION AWARDS</w:t>
      </w:r>
    </w:p>
    <w:p>
      <w:pPr>
        <w:spacing w:after="0" w:line="173"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Beginning in fiscal 2003, the Company began expensing prospective grants of employee stock-based compensation awards in accordance with Statement of Financial Accounting Standards No. 123, "Accounting for Stock-Based Compensation" as amended by Statement of Financial Accounting Standards No. 148, "Accounting for Stock-Based Compensation -- Transition and Disclosure -- an Amendment of SFAS No. 123". Beginning in fiscal 2003, the fair value of new awards is expensed ratably over the vesting period, which has historically been three years, except for grants to members of the Board of Directors, which have a six month vesting period.</w:t>
      </w:r>
    </w:p>
    <w:p>
      <w:pPr>
        <w:spacing w:after="0" w:line="165"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On March 31, 2004, the Financial Accounting Standards Board (FASB) issued its Exposure Draft, "Share-Based Payment" which is a proposed amendment to SFAS No. 123. Generally, the approach in the Exposure Draft is similar to the approach described in SFAS No. 123. The Exposure Draft would require all share-based payments to employees, including grants of employee stock options, to be recognized in the income statement based on their fair values. Companies would no longer have the option to account for their share-based awards to employees using APB Opinion No. 25 (the intrinsic value model) or SFAS No. 123 (the fair value model). As the Company is accounting for its employee stock-based compensation awards in accordance with SFAS No. 123, the issuance of the proposed amendment is not expected to have a significant effect on the Company's results of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ind w:left="540" w:right="4460"/>
        <w:spacing w:after="0" w:line="236" w:lineRule="auto"/>
        <w:rPr>
          <w:sz w:val="20"/>
          <w:szCs w:val="20"/>
          <w:color w:val="auto"/>
        </w:rPr>
      </w:pPr>
      <w:r>
        <w:rPr>
          <w:rFonts w:ascii="Courier New" w:cs="Courier New" w:eastAsia="Courier New" w:hAnsi="Courier New"/>
          <w:sz w:val="15"/>
          <w:szCs w:val="15"/>
          <w:color w:val="auto"/>
        </w:rPr>
        <w:t>During the first quarter of fiscal 2004, the Company granted 44,000 options and 493,000 stock appreciation rights to officers and other key employees. In the second and third quarters of fiscal 2004, the Company granted 73,500 and 2,750 options, respectively, to members of the Company's Board of Directors. In the first nine months of fiscal 2003, the Company granted 447,500 options and 259,000 stock appreciation rights to officers, key employees and members of the Board of Directors. The exercise price for the option awards and the stated price for the stock appreciation right awards were determined by the closing price of the Company's common shares on the date of grant.</w:t>
      </w:r>
    </w:p>
    <w:p>
      <w:pPr>
        <w:spacing w:after="0" w:line="179" w:lineRule="exact"/>
        <w:rPr>
          <w:sz w:val="20"/>
          <w:szCs w:val="20"/>
          <w:color w:val="auto"/>
        </w:rPr>
      </w:pPr>
    </w:p>
    <w:p>
      <w:pPr>
        <w:ind w:left="540" w:right="4460"/>
        <w:spacing w:after="0" w:line="236" w:lineRule="auto"/>
        <w:rPr>
          <w:sz w:val="20"/>
          <w:szCs w:val="20"/>
          <w:color w:val="auto"/>
        </w:rPr>
      </w:pPr>
      <w:r>
        <w:rPr>
          <w:rFonts w:ascii="Courier New" w:cs="Courier New" w:eastAsia="Courier New" w:hAnsi="Courier New"/>
          <w:sz w:val="15"/>
          <w:szCs w:val="15"/>
          <w:color w:val="auto"/>
        </w:rPr>
        <w:t>The Black-Scholes value of options granted in fiscal 2002 was $10.7 million. The Black-Scholes value of all stock-based compensation grants awarded during all of fiscal 2003 and thus far in fiscal 2004 was $13.1 million and $14.1 million, respectively. Had compensation expense been recognized for stock-based compensation awards granted in periods prior to fiscal 2003 in accordance with the recognition provisions of SFAS No. 123, the Company would have recorded net income and net income per share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FOR THE THREE MONTHS</w:t>
            </w:r>
          </w:p>
        </w:tc>
        <w:tc>
          <w:tcPr>
            <w:tcW w:w="226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FOR THE NINE MONTHS</w:t>
            </w:r>
          </w:p>
        </w:tc>
      </w:tr>
      <w:tr>
        <w:trPr>
          <w:trHeight w:val="168"/>
        </w:trPr>
        <w:tc>
          <w:tcPr>
            <w:tcW w:w="6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40" w:type="dxa"/>
            <w:vAlign w:val="bottom"/>
          </w:tcPr>
          <w:p>
            <w:pPr>
              <w:spacing w:after="0"/>
              <w:rPr>
                <w:sz w:val="14"/>
                <w:szCs w:val="14"/>
                <w:color w:val="auto"/>
              </w:rPr>
            </w:pPr>
          </w:p>
        </w:tc>
        <w:tc>
          <w:tcPr>
            <w:tcW w:w="276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JUNE 26,</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JUNE 28,</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JUNE 26,</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JUNE 28,</w:t>
            </w:r>
          </w:p>
        </w:tc>
      </w:tr>
      <w:tr>
        <w:trPr>
          <w:trHeight w:val="168"/>
        </w:trPr>
        <w:tc>
          <w:tcPr>
            <w:tcW w:w="6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70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2003</w:t>
            </w:r>
          </w:p>
        </w:tc>
        <w:tc>
          <w:tcPr>
            <w:tcW w:w="44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2004</w:t>
            </w:r>
          </w:p>
        </w:tc>
        <w:tc>
          <w:tcPr>
            <w:tcW w:w="2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2003</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 MILLIONS,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rPr>
              <w:t>EXCEPT PER SHARE DATA)</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$ 100.3</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91.2</w:t>
            </w:r>
          </w:p>
        </w:tc>
        <w:tc>
          <w:tcPr>
            <w:tcW w:w="14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$ 102.7</w:t>
            </w:r>
          </w:p>
        </w:tc>
        <w:tc>
          <w:tcPr>
            <w:tcW w:w="8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$ 106.9</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expense included in reported net income, net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tax</w:t>
            </w:r>
          </w:p>
        </w:tc>
        <w:tc>
          <w:tcPr>
            <w:tcW w:w="5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stock-based employee compensation expense determined under fair</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based method for all awards, net of tax</w:t>
            </w:r>
          </w:p>
        </w:tc>
        <w:tc>
          <w:tcPr>
            <w:tcW w:w="5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as adjusted</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99.8</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90.2</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$ 101.2</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$ 103.8</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2.93</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2.81</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 as adjusted:</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2.78</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w:t>
            </w:r>
          </w:p>
        </w:tc>
      </w:tr>
    </w:tbl>
    <w:p>
      <w:pPr>
        <w:spacing w:after="0" w:line="341" w:lineRule="exact"/>
        <w:rPr>
          <w:sz w:val="20"/>
          <w:szCs w:val="20"/>
          <w:color w:val="auto"/>
        </w:rPr>
      </w:pPr>
    </w:p>
    <w:p>
      <w:pPr>
        <w:ind w:left="540" w:right="4720"/>
        <w:spacing w:after="0" w:line="234"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income/loss in future periods.</w:t>
      </w:r>
    </w:p>
    <w:p>
      <w:pPr>
        <w:spacing w:after="0" w:line="173" w:lineRule="exact"/>
        <w:rPr>
          <w:sz w:val="20"/>
          <w:szCs w:val="20"/>
          <w:color w:val="auto"/>
        </w:rPr>
      </w:pPr>
    </w:p>
    <w:p>
      <w:pPr>
        <w:ind w:left="540" w:right="4540"/>
        <w:spacing w:after="0" w:line="235" w:lineRule="auto"/>
        <w:rPr>
          <w:sz w:val="20"/>
          <w:szCs w:val="20"/>
          <w:color w:val="auto"/>
        </w:rPr>
      </w:pPr>
      <w:r>
        <w:rPr>
          <w:rFonts w:ascii="Courier New" w:cs="Courier New" w:eastAsia="Courier New" w:hAnsi="Courier New"/>
          <w:sz w:val="15"/>
          <w:szCs w:val="15"/>
          <w:color w:val="auto"/>
        </w:rPr>
        <w:t>Prior to fiscal 2003, the Company accounted for stock options under APB 25, "Accounting for Stock Issued to Employees" and, as allowable, adopted only the disclosure provisions of SFAS No. 123.</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LONG-LIVED ASSETS</w:t>
      </w:r>
    </w:p>
    <w:p>
      <w:pPr>
        <w:spacing w:after="0" w:line="173" w:lineRule="exact"/>
        <w:rPr>
          <w:sz w:val="20"/>
          <w:szCs w:val="20"/>
          <w:color w:val="auto"/>
        </w:rPr>
      </w:pPr>
    </w:p>
    <w:p>
      <w:pPr>
        <w:ind w:left="540" w:right="4460"/>
        <w:spacing w:after="0" w:line="236" w:lineRule="auto"/>
        <w:rPr>
          <w:sz w:val="20"/>
          <w:szCs w:val="20"/>
          <w:color w:val="auto"/>
        </w:rPr>
      </w:pPr>
      <w:r>
        <w:rPr>
          <w:rFonts w:ascii="Courier New" w:cs="Courier New" w:eastAsia="Courier New" w:hAnsi="Courier New"/>
          <w:sz w:val="15"/>
          <w:szCs w:val="15"/>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75" w:lineRule="exact"/>
        <w:rPr>
          <w:sz w:val="20"/>
          <w:szCs w:val="20"/>
          <w:color w:val="auto"/>
        </w:rPr>
      </w:pPr>
    </w:p>
    <w:p>
      <w:pPr>
        <w:ind w:left="540" w:right="4460"/>
        <w:spacing w:after="0" w:line="236" w:lineRule="auto"/>
        <w:rPr>
          <w:sz w:val="20"/>
          <w:szCs w:val="20"/>
          <w:color w:val="auto"/>
        </w:rPr>
      </w:pPr>
      <w:r>
        <w:rPr>
          <w:rFonts w:ascii="Courier New" w:cs="Courier New" w:eastAsia="Courier New" w:hAnsi="Courier New"/>
          <w:sz w:val="15"/>
          <w:szCs w:val="15"/>
          <w:color w:val="auto"/>
        </w:rPr>
        <w:t>Management also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during the first fiscal quarter. If it is determined that an impairment of intangible assets has occurred, an impairment loss is recognized for the amount by which the carrying value of the asset exceeds its estimated fair value. No impairment charges were recorded thus far during fiscal 2004 or during fiscal 2003.</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EARNINGS PER COMMON SHARE</w:t>
      </w:r>
    </w:p>
    <w:p>
      <w:pPr>
        <w:spacing w:after="0" w:line="173" w:lineRule="exact"/>
        <w:rPr>
          <w:sz w:val="20"/>
          <w:szCs w:val="20"/>
          <w:color w:val="auto"/>
        </w:rPr>
      </w:pPr>
    </w:p>
    <w:p>
      <w:pPr>
        <w:ind w:left="540" w:right="4460"/>
        <w:spacing w:after="0" w:line="255" w:lineRule="auto"/>
        <w:rPr>
          <w:sz w:val="20"/>
          <w:szCs w:val="20"/>
          <w:color w:val="auto"/>
        </w:rPr>
      </w:pPr>
      <w:r>
        <w:rPr>
          <w:rFonts w:ascii="Courier New" w:cs="Courier New" w:eastAsia="Courier New" w:hAnsi="Courier New"/>
          <w:sz w:val="14"/>
          <w:szCs w:val="14"/>
          <w:color w:val="auto"/>
        </w:rPr>
        <w:t>Basic earnings per common share is computed by dividing net income by the weighted average number of common shares outstanding. Diluted earnings per common share is calculated including common stock equivalents pertaining to options, stock appreciation rights and warrants where the exercise price was less than the average market price of the common shares. These common stock equivalents equate to 0.9 million and 1.0 million common shares for the three and nine month periods ended June 26, 2004, respectively, and 1.2 million and 1.4 million common shares for the three and nine month periods ended June 28, 2003.</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460"/>
          </w:cols>
          <w:pgMar w:left="220" w:top="624" w:right="219" w:bottom="1021" w:gutter="0" w:footer="0" w:header="0"/>
        </w:sectPr>
      </w:pPr>
    </w:p>
    <w:bookmarkStart w:id="7" w:name="page8"/>
    <w:bookmarkEnd w:id="7"/>
    <w:p>
      <w:pPr>
        <w:ind w:left="540" w:right="3499"/>
        <w:spacing w:after="0" w:line="256" w:lineRule="auto"/>
        <w:rPr>
          <w:sz w:val="20"/>
          <w:szCs w:val="20"/>
          <w:color w:val="auto"/>
        </w:rPr>
      </w:pPr>
      <w:r>
        <w:rPr>
          <w:rFonts w:ascii="Courier New" w:cs="Courier New" w:eastAsia="Courier New" w:hAnsi="Courier New"/>
          <w:sz w:val="14"/>
          <w:szCs w:val="14"/>
          <w:color w:val="auto"/>
        </w:rPr>
        <w:t>Options to purchase 0.3 million shares for the nine month period ended June 28, 2003, were not included in the computation of diluted earnings per share. These options were excluded from the calculation because the exercise price was greater than the average market price of the common shares in the respective periods, and therefore, were anti-dilutive.</w:t>
      </w:r>
    </w:p>
    <w:p>
      <w:pPr>
        <w:spacing w:after="0" w:line="1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540" w:right="339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left="540" w:right="3579"/>
        <w:spacing w:after="0" w:line="236"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2004 classifications. In particular, a reclassification of trade program liabilities within our International segment was recorded in order to be consistent with the classification used by our North America segment.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DETAIL OF INVENTORIES, NET</w:t>
      </w:r>
    </w:p>
    <w:p>
      <w:pPr>
        <w:spacing w:after="0" w:line="173" w:lineRule="exact"/>
        <w:rPr>
          <w:sz w:val="20"/>
          <w:szCs w:val="20"/>
          <w:color w:val="auto"/>
        </w:rPr>
      </w:pPr>
    </w:p>
    <w:p>
      <w:pPr>
        <w:jc w:val="both"/>
        <w:ind w:left="540" w:right="3399"/>
        <w:spacing w:after="0" w:line="235" w:lineRule="auto"/>
        <w:rPr>
          <w:sz w:val="20"/>
          <w:szCs w:val="20"/>
          <w:color w:val="auto"/>
        </w:rPr>
      </w:pPr>
      <w:r>
        <w:rPr>
          <w:rFonts w:ascii="Courier New" w:cs="Courier New" w:eastAsia="Courier New" w:hAnsi="Courier New"/>
          <w:sz w:val="15"/>
          <w:szCs w:val="15"/>
          <w:color w:val="auto"/>
        </w:rPr>
        <w:t>Inventories, net of provisions for slow moving and obsolete inventory of $23.6 million, $24.3 million, and $22.0 million, respectively, consisted of:</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JUNE 26,</w:t>
            </w:r>
          </w:p>
        </w:tc>
        <w:tc>
          <w:tcPr>
            <w:tcW w:w="36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JUNE 28,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3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3600" w:type="dxa"/>
            <w:vAlign w:val="bottom"/>
          </w:tcPr>
          <w:p>
            <w:pPr>
              <w:spacing w:after="0"/>
              <w:rPr>
                <w:sz w:val="14"/>
                <w:szCs w:val="14"/>
                <w:color w:val="auto"/>
              </w:rPr>
            </w:pPr>
          </w:p>
        </w:tc>
        <w:tc>
          <w:tcPr>
            <w:tcW w:w="13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MILLIONS)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247.9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203.7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74.0</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75.4</w:t>
            </w:r>
          </w:p>
        </w:tc>
        <w:tc>
          <w:tcPr>
            <w:tcW w:w="4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72.4</w:t>
            </w:r>
          </w:p>
        </w:tc>
      </w:tr>
      <w:tr>
        <w:trPr>
          <w:trHeight w:val="168"/>
        </w:trPr>
        <w:tc>
          <w:tcPr>
            <w:tcW w:w="360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323.3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276.1</w:t>
            </w:r>
          </w:p>
        </w:tc>
      </w:tr>
      <w:tr>
        <w:trPr>
          <w:trHeight w:val="168"/>
        </w:trPr>
        <w:tc>
          <w:tcPr>
            <w:tcW w:w="360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MARKETING AGREEMENT</w:t>
      </w:r>
    </w:p>
    <w:p>
      <w:pPr>
        <w:spacing w:after="0" w:line="173"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agreement also requires the Company to make fixed annual payments to</w:t>
      </w:r>
    </w:p>
    <w:p>
      <w:pPr>
        <w:ind w:left="540"/>
        <w:spacing w:after="0" w:line="237" w:lineRule="auto"/>
        <w:rPr>
          <w:sz w:val="20"/>
          <w:szCs w:val="20"/>
          <w:color w:val="auto"/>
        </w:rPr>
      </w:pPr>
      <w:r>
        <w:rPr>
          <w:rFonts w:ascii="Courier New" w:cs="Courier New" w:eastAsia="Courier New" w:hAnsi="Courier New"/>
          <w:sz w:val="15"/>
          <w:szCs w:val="15"/>
          <w:color w:val="auto"/>
        </w:rPr>
        <w:t>Monsanto as a contribution against the overall expenses of the Roundup(R)</w:t>
      </w:r>
    </w:p>
    <w:p>
      <w:pPr>
        <w:ind w:left="540"/>
        <w:spacing w:after="0" w:line="238" w:lineRule="auto"/>
        <w:rPr>
          <w:sz w:val="20"/>
          <w:szCs w:val="20"/>
          <w:color w:val="auto"/>
        </w:rPr>
      </w:pPr>
      <w:r>
        <w:rPr>
          <w:rFonts w:ascii="Courier New" w:cs="Courier New" w:eastAsia="Courier New" w:hAnsi="Courier New"/>
          <w:sz w:val="15"/>
          <w:szCs w:val="15"/>
          <w:color w:val="auto"/>
        </w:rPr>
        <w:t>business. The annual fixed payment is defined as $20 million. However,</w:t>
      </w:r>
    </w:p>
    <w:p>
      <w:pPr>
        <w:ind w:left="540"/>
        <w:spacing w:after="0" w:line="237" w:lineRule="auto"/>
        <w:rPr>
          <w:sz w:val="20"/>
          <w:szCs w:val="20"/>
          <w:color w:val="auto"/>
        </w:rPr>
      </w:pPr>
      <w:r>
        <w:rPr>
          <w:rFonts w:ascii="Courier New" w:cs="Courier New" w:eastAsia="Courier New" w:hAnsi="Courier New"/>
          <w:sz w:val="15"/>
          <w:szCs w:val="15"/>
          <w:color w:val="auto"/>
        </w:rPr>
        <w:t>portions of the annual payments for the first three years of the agreement</w:t>
      </w:r>
    </w:p>
    <w:p>
      <w:pPr>
        <w:ind w:left="540"/>
        <w:spacing w:after="0" w:line="238" w:lineRule="auto"/>
        <w:rPr>
          <w:sz w:val="20"/>
          <w:szCs w:val="20"/>
          <w:color w:val="auto"/>
        </w:rPr>
      </w:pPr>
      <w:r>
        <w:rPr>
          <w:rFonts w:ascii="Courier New" w:cs="Courier New" w:eastAsia="Courier New" w:hAnsi="Courier New"/>
          <w:sz w:val="15"/>
          <w:szCs w:val="15"/>
          <w:color w:val="auto"/>
        </w:rPr>
        <w:t>are deferred. No payment was required for the first year (fiscal 1999), a</w:t>
      </w:r>
    </w:p>
    <w:p>
      <w:pPr>
        <w:ind w:left="540"/>
        <w:spacing w:after="0" w:line="237" w:lineRule="auto"/>
        <w:rPr>
          <w:sz w:val="20"/>
          <w:szCs w:val="20"/>
          <w:color w:val="auto"/>
        </w:rPr>
      </w:pPr>
      <w:r>
        <w:rPr>
          <w:rFonts w:ascii="Courier New" w:cs="Courier New" w:eastAsia="Courier New" w:hAnsi="Courier New"/>
          <w:sz w:val="15"/>
          <w:szCs w:val="15"/>
          <w:color w:val="auto"/>
        </w:rPr>
        <w:t>payment of $5 million was required for the second year and a payment of</w:t>
      </w:r>
    </w:p>
    <w:p>
      <w:pPr>
        <w:ind w:left="540"/>
        <w:spacing w:after="0" w:line="238" w:lineRule="auto"/>
        <w:rPr>
          <w:sz w:val="20"/>
          <w:szCs w:val="20"/>
          <w:color w:val="auto"/>
        </w:rPr>
      </w:pPr>
      <w:r>
        <w:rPr>
          <w:rFonts w:ascii="Courier New" w:cs="Courier New" w:eastAsia="Courier New" w:hAnsi="Courier New"/>
          <w:sz w:val="15"/>
          <w:szCs w:val="15"/>
          <w:color w:val="auto"/>
        </w:rPr>
        <w:t>$15 million was required for the third year so that a total of $40 million</w:t>
      </w:r>
    </w:p>
    <w:p>
      <w:pPr>
        <w:ind w:left="540"/>
        <w:spacing w:after="0" w:line="237" w:lineRule="auto"/>
        <w:rPr>
          <w:sz w:val="20"/>
          <w:szCs w:val="20"/>
          <w:color w:val="auto"/>
        </w:rPr>
      </w:pPr>
      <w:r>
        <w:rPr>
          <w:rFonts w:ascii="Courier New" w:cs="Courier New" w:eastAsia="Courier New" w:hAnsi="Courier New"/>
          <w:sz w:val="15"/>
          <w:szCs w:val="15"/>
          <w:color w:val="auto"/>
        </w:rPr>
        <w:t>of the contribution payments were deferred. Beginning in fiscal 2003, the</w:t>
      </w:r>
    </w:p>
    <w:p>
      <w:pPr>
        <w:ind w:left="540"/>
        <w:spacing w:after="0" w:line="238" w:lineRule="auto"/>
        <w:rPr>
          <w:sz w:val="20"/>
          <w:szCs w:val="20"/>
          <w:color w:val="auto"/>
        </w:rPr>
      </w:pPr>
      <w:r>
        <w:rPr>
          <w:rFonts w:ascii="Courier New" w:cs="Courier New" w:eastAsia="Courier New" w:hAnsi="Courier New"/>
          <w:sz w:val="15"/>
          <w:szCs w:val="15"/>
          <w:color w:val="auto"/>
        </w:rPr>
        <w:t>fifth year of the agreement, the annual payments to Monsanto increased to</w:t>
      </w:r>
    </w:p>
    <w:p>
      <w:pPr>
        <w:ind w:left="540"/>
        <w:spacing w:after="0" w:line="238" w:lineRule="auto"/>
        <w:rPr>
          <w:sz w:val="20"/>
          <w:szCs w:val="20"/>
          <w:color w:val="auto"/>
        </w:rPr>
      </w:pPr>
      <w:r>
        <w:rPr>
          <w:rFonts w:ascii="Courier New" w:cs="Courier New" w:eastAsia="Courier New" w:hAnsi="Courier New"/>
          <w:sz w:val="15"/>
          <w:szCs w:val="15"/>
          <w:color w:val="auto"/>
        </w:rPr>
        <w:t>at least $25 million, which include per annum interest charges at 8%. The</w:t>
      </w:r>
    </w:p>
    <w:p>
      <w:pPr>
        <w:ind w:left="540"/>
        <w:spacing w:after="0" w:line="237" w:lineRule="auto"/>
        <w:rPr>
          <w:sz w:val="20"/>
          <w:szCs w:val="20"/>
          <w:color w:val="auto"/>
        </w:rPr>
      </w:pPr>
      <w:r>
        <w:rPr>
          <w:rFonts w:ascii="Courier New" w:cs="Courier New" w:eastAsia="Courier New" w:hAnsi="Courier New"/>
          <w:sz w:val="15"/>
          <w:szCs w:val="15"/>
          <w:color w:val="auto"/>
        </w:rPr>
        <w:t>annual payments may be increased above $25 million if certain significant</w:t>
      </w:r>
    </w:p>
    <w:p>
      <w:pPr>
        <w:ind w:left="540"/>
        <w:spacing w:after="0" w:line="238" w:lineRule="auto"/>
        <w:rPr>
          <w:sz w:val="20"/>
          <w:szCs w:val="20"/>
          <w:color w:val="auto"/>
        </w:rPr>
      </w:pPr>
      <w:r>
        <w:rPr>
          <w:rFonts w:ascii="Courier New" w:cs="Courier New" w:eastAsia="Courier New" w:hAnsi="Courier New"/>
          <w:sz w:val="15"/>
          <w:szCs w:val="15"/>
          <w:color w:val="auto"/>
        </w:rPr>
        <w:t>earnings targets are exceeded. If all of the deferred contribution amounts</w:t>
      </w:r>
    </w:p>
    <w:p>
      <w:pPr>
        <w:ind w:left="540"/>
        <w:spacing w:after="0" w:line="237" w:lineRule="auto"/>
        <w:rPr>
          <w:sz w:val="20"/>
          <w:szCs w:val="20"/>
          <w:color w:val="auto"/>
        </w:rPr>
      </w:pPr>
      <w:r>
        <w:rPr>
          <w:rFonts w:ascii="Courier New" w:cs="Courier New" w:eastAsia="Courier New" w:hAnsi="Courier New"/>
          <w:sz w:val="15"/>
          <w:szCs w:val="15"/>
          <w:color w:val="auto"/>
        </w:rPr>
        <w:t>are paid prior to 2018, the annual contribution payments revert to $20</w:t>
      </w:r>
    </w:p>
    <w:p>
      <w:pPr>
        <w:ind w:left="540"/>
        <w:spacing w:after="0" w:line="238" w:lineRule="auto"/>
        <w:rPr>
          <w:sz w:val="20"/>
          <w:szCs w:val="20"/>
          <w:color w:val="auto"/>
        </w:rPr>
      </w:pPr>
      <w:r>
        <w:rPr>
          <w:rFonts w:ascii="Courier New" w:cs="Courier New" w:eastAsia="Courier New" w:hAnsi="Courier New"/>
          <w:sz w:val="15"/>
          <w:szCs w:val="15"/>
          <w:color w:val="auto"/>
        </w:rPr>
        <w:t>million. Regardless of whether the deferred contribution amounts are paid,</w:t>
      </w:r>
    </w:p>
    <w:p>
      <w:pPr>
        <w:ind w:left="540"/>
        <w:spacing w:after="0" w:line="237" w:lineRule="auto"/>
        <w:rPr>
          <w:sz w:val="20"/>
          <w:szCs w:val="20"/>
          <w:color w:val="auto"/>
        </w:rPr>
      </w:pPr>
      <w:r>
        <w:rPr>
          <w:rFonts w:ascii="Courier New" w:cs="Courier New" w:eastAsia="Courier New" w:hAnsi="Courier New"/>
          <w:sz w:val="15"/>
          <w:szCs w:val="15"/>
          <w:color w:val="auto"/>
        </w:rPr>
        <w:t>all contribution payments cease entirely in 2018.</w:t>
      </w:r>
    </w:p>
    <w:p>
      <w:pPr>
        <w:spacing w:after="0" w:line="174"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021" w:gutter="0" w:footer="0" w:header="0"/>
        </w:sectPr>
      </w:pPr>
    </w:p>
    <w:bookmarkStart w:id="8" w:name="page9"/>
    <w:bookmarkEnd w:id="8"/>
    <w:p>
      <w:pPr>
        <w:ind w:left="530" w:right="3239"/>
        <w:spacing w:after="0" w:line="237" w:lineRule="auto"/>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75" w:lineRule="exact"/>
        <w:rPr>
          <w:sz w:val="20"/>
          <w:szCs w:val="20"/>
          <w:color w:val="auto"/>
        </w:rPr>
      </w:pPr>
    </w:p>
    <w:p>
      <w:pPr>
        <w:ind w:left="530" w:right="3319"/>
        <w:spacing w:after="0" w:line="255" w:lineRule="auto"/>
        <w:rPr>
          <w:sz w:val="20"/>
          <w:szCs w:val="20"/>
          <w:color w:val="auto"/>
        </w:rPr>
      </w:pPr>
      <w:r>
        <w:rPr>
          <w:rFonts w:ascii="Courier New" w:cs="Courier New" w:eastAsia="Courier New" w:hAnsi="Courier New"/>
          <w:sz w:val="14"/>
          <w:szCs w:val="14"/>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66" w:lineRule="exact"/>
        <w:rPr>
          <w:sz w:val="20"/>
          <w:szCs w:val="20"/>
          <w:color w:val="auto"/>
        </w:rPr>
      </w:pPr>
    </w:p>
    <w:p>
      <w:pPr>
        <w:ind w:left="530" w:right="3239"/>
        <w:spacing w:after="0" w:line="236"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June 26, 2004, contribution payments and related per annum charges of approximately $48.4 million had been deferred under the agreement. This amount is considered a contingent obligation and has not been reflected in the financial statements as of and for the period then ended.</w:t>
      </w:r>
    </w:p>
    <w:p>
      <w:pPr>
        <w:spacing w:after="0" w:line="179" w:lineRule="exact"/>
        <w:rPr>
          <w:sz w:val="20"/>
          <w:szCs w:val="20"/>
          <w:color w:val="auto"/>
        </w:rPr>
      </w:pPr>
    </w:p>
    <w:p>
      <w:pPr>
        <w:ind w:left="530" w:right="3499"/>
        <w:spacing w:after="0" w:line="235"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4" w:lineRule="exact"/>
        <w:rPr>
          <w:sz w:val="20"/>
          <w:szCs w:val="20"/>
          <w:color w:val="auto"/>
        </w:rPr>
      </w:pPr>
    </w:p>
    <w:p>
      <w:pPr>
        <w:ind w:left="530" w:right="3239"/>
        <w:spacing w:after="0" w:line="255"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63" w:lineRule="exact"/>
        <w:rPr>
          <w:sz w:val="20"/>
          <w:szCs w:val="20"/>
          <w:color w:val="auto"/>
        </w:rPr>
      </w:pPr>
    </w:p>
    <w:p>
      <w:pPr>
        <w:ind w:left="530" w:right="3239"/>
        <w:spacing w:after="0" w:line="236"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176" w:lineRule="exact"/>
        <w:rPr>
          <w:sz w:val="20"/>
          <w:szCs w:val="20"/>
          <w:color w:val="auto"/>
        </w:rPr>
      </w:pPr>
    </w:p>
    <w:p>
      <w:pPr>
        <w:ind w:left="530" w:right="7259" w:hanging="530"/>
        <w:spacing w:after="0" w:line="465" w:lineRule="auto"/>
        <w:tabs>
          <w:tab w:leader="none" w:pos="2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FISCAL 2004 CHARGES</w:t>
      </w:r>
    </w:p>
    <w:p>
      <w:pPr>
        <w:spacing w:after="0" w:line="14" w:lineRule="exact"/>
        <w:rPr>
          <w:sz w:val="20"/>
          <w:szCs w:val="20"/>
          <w:color w:val="auto"/>
        </w:rPr>
      </w:pPr>
    </w:p>
    <w:p>
      <w:pPr>
        <w:ind w:left="530" w:right="3239"/>
        <w:spacing w:after="0" w:line="236" w:lineRule="auto"/>
        <w:rPr>
          <w:sz w:val="20"/>
          <w:szCs w:val="20"/>
          <w:color w:val="auto"/>
        </w:rPr>
      </w:pPr>
      <w:r>
        <w:rPr>
          <w:rFonts w:ascii="Courier New" w:cs="Courier New" w:eastAsia="Courier New" w:hAnsi="Courier New"/>
          <w:sz w:val="15"/>
          <w:szCs w:val="15"/>
          <w:color w:val="auto"/>
        </w:rPr>
        <w:t>During the three and nine month periods ended June 26, 2004, the Company recorded $2.6 million and $4.0 million of restructuring and other charges, respectively. Charges related to our North American distribution restructuring were classified as cost of sales in the amount of $0.9 million for the nine months ended June 26, 2004. Charges related to our International Profit Improvement Plan, the restructuring of our International management team and the restructuring of our Global Information Services group amounted to $3.1 million and are classified as selling, general and administrative costs for the nine months ended June 26, 2004.</w:t>
      </w:r>
    </w:p>
    <w:p>
      <w:pPr>
        <w:spacing w:after="0" w:line="17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FISCAL 2003 CHARGES</w:t>
      </w:r>
    </w:p>
    <w:p>
      <w:pPr>
        <w:spacing w:after="0" w:line="173" w:lineRule="exact"/>
        <w:rPr>
          <w:sz w:val="20"/>
          <w:szCs w:val="20"/>
          <w:color w:val="auto"/>
        </w:rPr>
      </w:pPr>
    </w:p>
    <w:p>
      <w:pPr>
        <w:ind w:left="530" w:right="3399"/>
        <w:spacing w:after="0" w:line="235" w:lineRule="auto"/>
        <w:rPr>
          <w:sz w:val="20"/>
          <w:szCs w:val="20"/>
          <w:color w:val="auto"/>
        </w:rPr>
      </w:pPr>
      <w:r>
        <w:rPr>
          <w:rFonts w:ascii="Courier New" w:cs="Courier New" w:eastAsia="Courier New" w:hAnsi="Courier New"/>
          <w:sz w:val="15"/>
          <w:szCs w:val="15"/>
          <w:color w:val="auto"/>
        </w:rPr>
        <w:t>During the three and nine month periods ended June 28, 2003, the Company recorded $1.8 million and $11.2 million of restructuring and other charges, respectively. During the entire fiscal year 2003, the Company recorded $17.1 million of</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4" w:right="1440" w:bottom="517"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5"/>
          <w:szCs w:val="15"/>
          <w:color w:val="auto"/>
        </w:rPr>
        <w:t>restructuring and other charges.</w:t>
      </w:r>
    </w:p>
    <w:p>
      <w:pPr>
        <w:spacing w:after="0" w:line="173" w:lineRule="exact"/>
        <w:rPr>
          <w:sz w:val="20"/>
          <w:szCs w:val="20"/>
          <w:color w:val="auto"/>
        </w:rPr>
      </w:pPr>
    </w:p>
    <w:p>
      <w:pPr>
        <w:ind w:left="540" w:right="4300"/>
        <w:spacing w:after="0" w:line="255" w:lineRule="auto"/>
        <w:rPr>
          <w:sz w:val="20"/>
          <w:szCs w:val="20"/>
          <w:color w:val="auto"/>
        </w:rPr>
      </w:pPr>
      <w:r>
        <w:rPr>
          <w:rFonts w:ascii="Courier New" w:cs="Courier New" w:eastAsia="Courier New" w:hAnsi="Courier New"/>
          <w:sz w:val="14"/>
          <w:szCs w:val="14"/>
          <w:color w:val="auto"/>
        </w:rPr>
        <w:t>Costs of $5.3 million for warehouse lease buyouts and relocation of inventory associated with exiting certain warehouses in North America, as part of improvements to the North American supply chain, and $3.8 million related to a plan to optimize our international supply chain were included in cost of sales. Severance and consulting costs of $5.3 million for the continued European integration efforts that began in the fourth quarter of fiscal 2002, and $2.7 million of administrative facility exit costs in North America were charged to selling, general and administrative expense. The severance costs incurred in fiscal 2003 were related to the reduction of 78 administrative and production employees.</w:t>
      </w:r>
    </w:p>
    <w:p>
      <w:pPr>
        <w:spacing w:after="0" w:line="165" w:lineRule="exact"/>
        <w:rPr>
          <w:sz w:val="20"/>
          <w:szCs w:val="20"/>
          <w:color w:val="auto"/>
        </w:rPr>
      </w:pPr>
    </w:p>
    <w:p>
      <w:pPr>
        <w:ind w:left="540" w:right="4300"/>
        <w:spacing w:after="0" w:line="236" w:lineRule="auto"/>
        <w:rPr>
          <w:sz w:val="20"/>
          <w:szCs w:val="20"/>
          <w:color w:val="auto"/>
        </w:rPr>
      </w:pPr>
      <w:r>
        <w:rPr>
          <w:rFonts w:ascii="Courier New" w:cs="Courier New" w:eastAsia="Courier New" w:hAnsi="Courier New"/>
          <w:sz w:val="15"/>
          <w:szCs w:val="15"/>
          <w:color w:val="auto"/>
        </w:rPr>
        <w:t>The following is a rollforward from September 30, 2003 of the cash portion of the restructuring and other charges. The accrued charges are included in accrued liabilities on the Condensed, Consolidated Balance Sheets. We expect spending against these reserves to be completed by the end of fiscal year 2005.</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3"/>
              </w:rPr>
              <w:t>SEPTEMBER 30,</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JUNE 26,</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DESCRIPTION</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TYPE</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CLASSIFICATION</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BALANCE</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PAYMENT</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ACCRUAL</w:t>
            </w:r>
          </w:p>
        </w:tc>
        <w:tc>
          <w:tcPr>
            <w:tcW w:w="1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 MILLIONS)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Cash</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SG&amp;A</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$ 1.6</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(0.6)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 exit costs</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SG&amp;A and COS</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related costs</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SG&amp;A</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0.6</w:t>
            </w:r>
          </w:p>
        </w:tc>
        <w:tc>
          <w:tcPr>
            <w:tcW w:w="4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cash</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$ 4.5</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(4.5)</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0" w:type="dxa"/>
            <w:vAlign w:val="bottom"/>
          </w:tcPr>
          <w:p>
            <w:pPr>
              <w:spacing w:after="0"/>
              <w:rPr>
                <w:sz w:val="20"/>
                <w:szCs w:val="20"/>
                <w:color w:val="auto"/>
              </w:rPr>
            </w:pPr>
            <w:r>
              <w:rPr>
                <w:rFonts w:ascii="Courier New" w:cs="Courier New" w:eastAsia="Courier New" w:hAnsi="Courier New"/>
                <w:sz w:val="15"/>
                <w:szCs w:val="15"/>
                <w:color w:val="auto"/>
              </w:rPr>
              <w:t>5. LONG-TERM DEBT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7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JUNE 26,</w:t>
            </w:r>
          </w:p>
        </w:tc>
        <w:tc>
          <w:tcPr>
            <w:tcW w:w="180" w:type="dxa"/>
            <w:vAlign w:val="bottom"/>
          </w:tcPr>
          <w:p>
            <w:pPr>
              <w:spacing w:after="0"/>
              <w:rPr>
                <w:sz w:val="24"/>
                <w:szCs w:val="24"/>
                <w:color w:val="auto"/>
              </w:rPr>
            </w:pPr>
          </w:p>
        </w:tc>
        <w:tc>
          <w:tcPr>
            <w:tcW w:w="10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JUNE 28,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7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10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780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 MILLIONS)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7800" w:type="dxa"/>
            <w:vAlign w:val="bottom"/>
          </w:tcPr>
          <w:p>
            <w:pPr>
              <w:spacing w:after="0"/>
              <w:rPr>
                <w:sz w:val="20"/>
                <w:szCs w:val="20"/>
                <w:color w:val="auto"/>
              </w:rPr>
            </w:pPr>
            <w:r>
              <w:rPr>
                <w:rFonts w:ascii="Courier New" w:cs="Courier New" w:eastAsia="Courier New" w:hAnsi="Courier New"/>
                <w:sz w:val="15"/>
                <w:szCs w:val="15"/>
                <w:color w:val="auto"/>
              </w:rPr>
              <w:t>Former Credit Agreement:</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Revolving loans.....................................................................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Term loans..........................................................................</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344.2</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326.5</w:t>
            </w:r>
          </w:p>
        </w:tc>
      </w:tr>
      <w:tr>
        <w:trPr>
          <w:trHeight w:val="168"/>
        </w:trPr>
        <w:tc>
          <w:tcPr>
            <w:tcW w:w="78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Credit Agreement: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Revolving loans.....................................................................</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Term loans..........................................................................</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399.5</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Subordinated Notes: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 5/8% Notes........................................................................</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392.8</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393.1</w:t>
            </w:r>
          </w:p>
        </w:tc>
      </w:tr>
      <w:tr>
        <w:trPr>
          <w:trHeight w:val="168"/>
        </w:trPr>
        <w:tc>
          <w:tcPr>
            <w:tcW w:w="7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 5/8% Notes........................................................................</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due to sellers.................................................................</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78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bank borrowings and term loans...............................................</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78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obligations and other..................................................</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780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637.3</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815.6</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757.6</w:t>
            </w:r>
          </w:p>
        </w:tc>
      </w:tr>
      <w:tr>
        <w:trPr>
          <w:trHeight w:val="168"/>
        </w:trPr>
        <w:tc>
          <w:tcPr>
            <w:tcW w:w="78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portions................................................................</w:t>
            </w:r>
          </w:p>
        </w:tc>
        <w:tc>
          <w:tcPr>
            <w:tcW w:w="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780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702.2</w:t>
            </w:r>
          </w:p>
        </w:tc>
      </w:tr>
      <w:tr>
        <w:trPr>
          <w:trHeight w:val="168"/>
        </w:trPr>
        <w:tc>
          <w:tcPr>
            <w:tcW w:w="780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Future principle payments on our short and long-term debt are as follows: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73"/>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4"/>
              </w:rPr>
              <w:t>Less than one year..........................................................................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25.3</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One to three years..........................................................................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Four to five years..........................................................................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After five years............................................................................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589.5</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637.3</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341" w:lineRule="exact"/>
        <w:rPr>
          <w:sz w:val="20"/>
          <w:szCs w:val="20"/>
          <w:color w:val="auto"/>
        </w:rPr>
      </w:pPr>
    </w:p>
    <w:p>
      <w:pPr>
        <w:ind w:left="540" w:right="4300"/>
        <w:spacing w:after="0" w:line="254" w:lineRule="auto"/>
        <w:rPr>
          <w:sz w:val="20"/>
          <w:szCs w:val="20"/>
          <w:color w:val="auto"/>
        </w:rPr>
      </w:pPr>
      <w:r>
        <w:rPr>
          <w:rFonts w:ascii="Courier New" w:cs="Courier New" w:eastAsia="Courier New" w:hAnsi="Courier New"/>
          <w:sz w:val="14"/>
          <w:szCs w:val="14"/>
          <w:color w:val="auto"/>
        </w:rPr>
        <w:t>In October 2003, the Company substantially completed a refinancing of the former Credit Agreement ("Credit Agreement") and its $400 million 8 5/8% Senior Subordinated Notes ("8 5/8% Notes") in a series of transactions. On October 8, 2003, the Company issued $200 million of 6 5/8% Senior Subordinated Notes due November 15, 2013 ("6 5/8% Notes"). On October 21, 2003, $386.8 million of the outstanding 8 5/8% Notes were tendered at</w:t>
      </w:r>
    </w:p>
    <w:p>
      <w:pPr>
        <w:spacing w:after="0" w:line="2" w:lineRule="exact"/>
        <w:rPr>
          <w:sz w:val="20"/>
          <w:szCs w:val="20"/>
          <w:color w:val="auto"/>
        </w:rPr>
      </w:pPr>
    </w:p>
    <w:p>
      <w:pPr>
        <w:ind w:left="540" w:right="4300"/>
        <w:spacing w:after="0" w:line="255" w:lineRule="auto"/>
        <w:rPr>
          <w:sz w:val="20"/>
          <w:szCs w:val="20"/>
          <w:color w:val="auto"/>
        </w:rPr>
      </w:pPr>
      <w:r>
        <w:rPr>
          <w:rFonts w:ascii="Courier New" w:cs="Courier New" w:eastAsia="Courier New" w:hAnsi="Courier New"/>
          <w:sz w:val="14"/>
          <w:szCs w:val="14"/>
          <w:color w:val="auto"/>
        </w:rPr>
        <w:t>106.05% per $1,000 Note. The Company redeemed the remaining $13.2 million of 8 5/8% Notes, that were not tendered, on the first call date of January 15, 2004 at 104.313% per $1,000 Note plus accrued interest. Finally, on October 22, 2003, the Company consummated a series of transactions which included the repayment of the term loans outstanding under the former Credit Agreement, the termination of the Credit Agreement, the execution of the Second Amended and Restated Credit Agreement ("New Credit Agreement"), and the borrowing of $500 million in the form of</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300"/>
          </w:cols>
          <w:pgMar w:left="220" w:top="617" w:right="379" w:bottom="0" w:gutter="0" w:footer="0" w:header="0"/>
        </w:sectPr>
      </w:pPr>
    </w:p>
    <w:bookmarkStart w:id="10" w:name="page11"/>
    <w:bookmarkEnd w:id="10"/>
    <w:p>
      <w:pPr>
        <w:ind w:left="540" w:right="3239"/>
        <w:spacing w:after="0" w:line="236" w:lineRule="auto"/>
        <w:rPr>
          <w:sz w:val="20"/>
          <w:szCs w:val="20"/>
          <w:color w:val="auto"/>
        </w:rPr>
      </w:pPr>
      <w:r>
        <w:rPr>
          <w:rFonts w:ascii="Courier New" w:cs="Courier New" w:eastAsia="Courier New" w:hAnsi="Courier New"/>
          <w:sz w:val="15"/>
          <w:szCs w:val="15"/>
          <w:color w:val="auto"/>
        </w:rPr>
        <w:t>term loans under the New Credit Agreement. The cost recognized in fiscal 2004 on the extinguishment of the former Credit Agreement and retirement of the 8 5/8% Notes was $44.3 million, of which $19.4 million related to the write-off of deferred costs, $24.0 million related to premiums paid on the redemption of the 8 5/8% Notes and $0.9 million related to transaction fees.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New Credit Agreement was entered into with a syndicate of commercial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banks and institutional lenders. The New Credit Agreement consists of a</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$700 million multi-currency revolving credit commitment and a $500 million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term loan facility. Financial covenants consist of a minimum interest</w:t>
      </w:r>
    </w:p>
    <w:p>
      <w:pPr>
        <w:ind w:left="540"/>
        <w:spacing w:after="0" w:line="237" w:lineRule="auto"/>
        <w:rPr>
          <w:sz w:val="20"/>
          <w:szCs w:val="20"/>
          <w:color w:val="auto"/>
        </w:rPr>
      </w:pPr>
      <w:r>
        <w:rPr>
          <w:rFonts w:ascii="Courier New" w:cs="Courier New" w:eastAsia="Courier New" w:hAnsi="Courier New"/>
          <w:sz w:val="15"/>
          <w:szCs w:val="15"/>
          <w:color w:val="auto"/>
        </w:rPr>
        <w:t>coverage ratio and a maximum leverage ratio. There also are negative</w:t>
      </w:r>
    </w:p>
    <w:p>
      <w:pPr>
        <w:ind w:left="540"/>
        <w:spacing w:after="0" w:line="238" w:lineRule="auto"/>
        <w:rPr>
          <w:sz w:val="20"/>
          <w:szCs w:val="20"/>
          <w:color w:val="auto"/>
        </w:rPr>
      </w:pPr>
      <w:r>
        <w:rPr>
          <w:rFonts w:ascii="Courier New" w:cs="Courier New" w:eastAsia="Courier New" w:hAnsi="Courier New"/>
          <w:sz w:val="15"/>
          <w:szCs w:val="15"/>
          <w:color w:val="auto"/>
        </w:rPr>
        <w:t>covenants similar to those in the former Credit Agreement. All such</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covenants are less restrictive than those contained in the former Credit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Agreement. Collateral for the borrowings under the New Credit Agreement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consists of pledges by the Company and all of its domestic subsidiaries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substantially all of their personal, real and intellectual property</w:t>
      </w:r>
    </w:p>
    <w:p>
      <w:pPr>
        <w:ind w:left="540"/>
        <w:spacing w:after="0" w:line="237" w:lineRule="auto"/>
        <w:rPr>
          <w:sz w:val="20"/>
          <w:szCs w:val="20"/>
          <w:color w:val="auto"/>
        </w:rPr>
      </w:pPr>
      <w:r>
        <w:rPr>
          <w:rFonts w:ascii="Courier New" w:cs="Courier New" w:eastAsia="Courier New" w:hAnsi="Courier New"/>
          <w:sz w:val="15"/>
          <w:szCs w:val="15"/>
          <w:color w:val="auto"/>
        </w:rPr>
        <w:t>assets. The Company and its subsidiaries also pledged a majority of the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stock in foreign subsidiaries that borrow under the New Credit Agreement.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At June 26, 2004, the Company is in compliance with all applicable</w:t>
      </w:r>
    </w:p>
    <w:p>
      <w:pPr>
        <w:ind w:left="540"/>
        <w:spacing w:after="0" w:line="237" w:lineRule="auto"/>
        <w:rPr>
          <w:sz w:val="20"/>
          <w:szCs w:val="20"/>
          <w:color w:val="auto"/>
        </w:rPr>
      </w:pPr>
      <w:r>
        <w:rPr>
          <w:rFonts w:ascii="Courier New" w:cs="Courier New" w:eastAsia="Courier New" w:hAnsi="Courier New"/>
          <w:sz w:val="15"/>
          <w:szCs w:val="15"/>
          <w:color w:val="auto"/>
        </w:rPr>
        <w:t>covenants. Financing costs approximating $7.2 million incurred in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conjunction with the New Credit Agreement have been deferred and are being</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amortized over the term of the New Credit Agreement.</w:t>
      </w:r>
    </w:p>
    <w:p>
      <w:pPr>
        <w:spacing w:after="0" w:line="173" w:lineRule="exact"/>
        <w:rPr>
          <w:sz w:val="20"/>
          <w:szCs w:val="20"/>
          <w:color w:val="auto"/>
        </w:rPr>
      </w:pPr>
    </w:p>
    <w:p>
      <w:pPr>
        <w:jc w:val="both"/>
        <w:ind w:left="540" w:right="3239"/>
        <w:spacing w:after="0" w:line="254" w:lineRule="auto"/>
        <w:rPr>
          <w:sz w:val="20"/>
          <w:szCs w:val="20"/>
          <w:color w:val="auto"/>
        </w:rPr>
      </w:pPr>
      <w:r>
        <w:rPr>
          <w:rFonts w:ascii="Courier New" w:cs="Courier New" w:eastAsia="Courier New" w:hAnsi="Courier New"/>
          <w:sz w:val="14"/>
          <w:szCs w:val="14"/>
          <w:color w:val="auto"/>
        </w:rPr>
        <w:t>The revolving credit facilities under the New Credit Agreement provide for a $700 million commitment, which can be increased to $750 million based on the borrowing requirements of the Company, expiring on October 22, 2008.</w:t>
      </w:r>
    </w:p>
    <w:p>
      <w:pPr>
        <w:spacing w:after="0" w:line="1"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Borrowings may be made in U.S. Dollars and optional currencies including, but not limited to, Euros, British Pounds Sterling, Canadian Dollars and Australian Dollars. The revolving credit facilities provide that up to $65 million of the $700 million commitment may be used for letters of credit. Interest rate spreads under the New Credit Agreement will be determined by a pricing grid corresponding to a quarterly calculation of the Company's leverage ratio comprised of averaged components for the most recent four quarters.</w:t>
      </w:r>
    </w:p>
    <w:p>
      <w:pPr>
        <w:spacing w:after="0" w:line="177" w:lineRule="exact"/>
        <w:rPr>
          <w:sz w:val="20"/>
          <w:szCs w:val="20"/>
          <w:color w:val="auto"/>
        </w:rPr>
      </w:pPr>
    </w:p>
    <w:p>
      <w:pPr>
        <w:ind w:left="540" w:right="3239"/>
        <w:spacing w:after="0" w:line="237" w:lineRule="auto"/>
        <w:rPr>
          <w:sz w:val="20"/>
          <w:szCs w:val="20"/>
          <w:color w:val="auto"/>
        </w:rPr>
      </w:pPr>
      <w:r>
        <w:rPr>
          <w:rFonts w:ascii="Courier New" w:cs="Courier New" w:eastAsia="Courier New" w:hAnsi="Courier New"/>
          <w:sz w:val="15"/>
          <w:szCs w:val="15"/>
          <w:color w:val="auto"/>
        </w:rPr>
        <w:t>The $500 million term loan facility expires on September 30, 2010. Repayment of the term loan commenced on March 31, 2004 with minimum quarterly principal payments of $500,000 through June 30, 2010 followed by a balloon maturity on September 30, 2010. The term loans carry a variable interest rate based on prime or LIBOR at the Company's election (currently LIBOR) plus a spread. The Company entered into interest rate swap agreements with major financial institutions to effectively convert a portion of the variable rate term loans to a fixed rate. The notional amount and the terms of the swap agreements vary. At June 26, 2004, swap agreements with a total notional amount of $175 million were in effect. Under the terms of these swap agreements, the Company pays fixed rates ranging from 2.76% to 3.77%, plus a spread based on the pricing grid contained in the New Credit Agreement, and receives payments based on three-month LIBOR in return.</w:t>
      </w:r>
    </w:p>
    <w:p>
      <w:pPr>
        <w:spacing w:after="0" w:line="174" w:lineRule="exact"/>
        <w:rPr>
          <w:sz w:val="20"/>
          <w:szCs w:val="20"/>
          <w:color w:val="auto"/>
        </w:rPr>
      </w:pPr>
    </w:p>
    <w:p>
      <w:pPr>
        <w:ind w:left="540" w:right="3239"/>
        <w:spacing w:after="0" w:line="254" w:lineRule="auto"/>
        <w:rPr>
          <w:sz w:val="20"/>
          <w:szCs w:val="20"/>
          <w:color w:val="auto"/>
        </w:rPr>
      </w:pPr>
      <w:r>
        <w:rPr>
          <w:rFonts w:ascii="Courier New" w:cs="Courier New" w:eastAsia="Courier New" w:hAnsi="Courier New"/>
          <w:sz w:val="14"/>
          <w:szCs w:val="14"/>
          <w:color w:val="auto"/>
        </w:rPr>
        <w:t>The 6 5/8% Notes were issued in accordance with Rule 144A and Regulation S under the Securities Act of 1933. The 6 5/8% Notes were sold at par, pay interest semi-annually on May 15 and November 15, have a ten-year maturity with a five-year no-call provision, and are guaranteed by certain current and future domestic restricted subsidiaries of the Company (see Note 13). Such guarantees are unsecured senior subordinated obligations of the Company. The covenants contained in the 6 5/8% Notes indenture are less restrictive than those contained in the 8 5/8% Notes indenture. Financing costs approximating $4.5 million incurred with the issuance of the 6 5/8% Notes have been deferred and are being amortized over the term of the Notes. On May 7, 2004, the Company consummated the exchange of its 6 5/8% Notes for an equal principal amount of its 6 5/8% notes which have been registered under the Securities Act of 1933, as amended. The terms of the 6 5/8% notes issued in the exchange are substantially identical to the original 6 5/8% Notes, except that the original 6 5/8% Notes contain transfer restrictions and registration rights that the 6 5/8% notes issued in the exchange do not contain.</w:t>
      </w:r>
    </w:p>
    <w:p>
      <w:pPr>
        <w:spacing w:after="0" w:line="174" w:lineRule="exact"/>
        <w:rPr>
          <w:sz w:val="20"/>
          <w:szCs w:val="20"/>
          <w:color w:val="auto"/>
        </w:rPr>
      </w:pPr>
    </w:p>
    <w:p>
      <w:pPr>
        <w:ind w:left="540" w:right="3239"/>
        <w:spacing w:after="0" w:line="235" w:lineRule="auto"/>
        <w:rPr>
          <w:sz w:val="20"/>
          <w:szCs w:val="20"/>
          <w:color w:val="auto"/>
        </w:rPr>
      </w:pPr>
      <w:r>
        <w:rPr>
          <w:rFonts w:ascii="Courier New" w:cs="Courier New" w:eastAsia="Courier New" w:hAnsi="Courier New"/>
          <w:sz w:val="15"/>
          <w:szCs w:val="15"/>
          <w:color w:val="auto"/>
        </w:rPr>
        <w:t>On June 24, 2004, the Company repaid $100 million of the $499 million term loans then outstanding under the New Credit Agreement. As a result of the repayment, the amortization of approximately $0.3 million of deferred financing costs was accelerated.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STATEMENT OF COMPREHENSIVE INCOME</w:t>
      </w:r>
    </w:p>
    <w:p>
      <w:pPr>
        <w:spacing w:after="0" w:line="173" w:lineRule="exact"/>
        <w:rPr>
          <w:sz w:val="20"/>
          <w:szCs w:val="20"/>
          <w:color w:val="auto"/>
        </w:rPr>
      </w:pPr>
    </w:p>
    <w:p>
      <w:pPr>
        <w:ind w:left="540" w:right="3399"/>
        <w:spacing w:after="0" w:line="235" w:lineRule="auto"/>
        <w:rPr>
          <w:sz w:val="20"/>
          <w:szCs w:val="20"/>
          <w:color w:val="auto"/>
        </w:rPr>
      </w:pPr>
      <w:r>
        <w:rPr>
          <w:rFonts w:ascii="Courier New" w:cs="Courier New" w:eastAsia="Courier New" w:hAnsi="Courier New"/>
          <w:sz w:val="15"/>
          <w:szCs w:val="15"/>
          <w:color w:val="auto"/>
        </w:rPr>
        <w:t>The components of other comprehensive income and total comprehensive income for the three and nine month periods ended June 26, 2004 and June 28, 2003, are as follows: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2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8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8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JUNE 26,</w:t>
            </w: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JUNE 28,</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JUNE 26,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28,</w:t>
            </w:r>
          </w:p>
        </w:tc>
      </w:tr>
      <w:tr>
        <w:trPr>
          <w:trHeight w:val="168"/>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2003</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82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100.3</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91.2</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$ 102.7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$ 106.9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(expense):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valuation of derivative instruments.........</w:t>
            </w: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w:t>
            </w:r>
          </w:p>
        </w:tc>
        <w:tc>
          <w:tcPr>
            <w:tcW w:w="44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Foreign currency translation adjustments..............</w:t>
            </w: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820" w:type="dxa"/>
            <w:vAlign w:val="bottom"/>
          </w:tcPr>
          <w:p>
            <w:pPr>
              <w:spacing w:after="0"/>
              <w:rPr>
                <w:sz w:val="14"/>
                <w:szCs w:val="14"/>
                <w:color w:val="auto"/>
              </w:rPr>
            </w:pPr>
          </w:p>
        </w:tc>
        <w:tc>
          <w:tcPr>
            <w:tcW w:w="1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Comprehensive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103.9</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89.4</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$ 103.6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$ 104.8</w:t>
            </w:r>
          </w:p>
        </w:tc>
      </w:tr>
      <w:tr>
        <w:trPr>
          <w:trHeight w:val="168"/>
        </w:trPr>
        <w:tc>
          <w:tcPr>
            <w:tcW w:w="4820" w:type="dxa"/>
            <w:vAlign w:val="bottom"/>
          </w:tcPr>
          <w:p>
            <w:pPr>
              <w:spacing w:after="0"/>
              <w:rPr>
                <w:sz w:val="14"/>
                <w:szCs w:val="14"/>
                <w:color w:val="auto"/>
              </w:rPr>
            </w:pPr>
          </w:p>
        </w:tc>
        <w:tc>
          <w:tcPr>
            <w:tcW w:w="1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RETIREMENT AND RETIREE MEDICAL PLANS COST INFORMATION</w:t>
      </w:r>
    </w:p>
    <w:p>
      <w:pPr>
        <w:spacing w:after="0" w:line="173" w:lineRule="exact"/>
        <w:rPr>
          <w:sz w:val="20"/>
          <w:szCs w:val="20"/>
          <w:color w:val="auto"/>
        </w:rPr>
      </w:pPr>
    </w:p>
    <w:p>
      <w:pPr>
        <w:ind w:left="540" w:right="3399"/>
        <w:spacing w:after="0" w:line="236" w:lineRule="auto"/>
        <w:rPr>
          <w:sz w:val="20"/>
          <w:szCs w:val="20"/>
          <w:color w:val="auto"/>
        </w:rPr>
      </w:pPr>
      <w:r>
        <w:rPr>
          <w:rFonts w:ascii="Courier New" w:cs="Courier New" w:eastAsia="Courier New" w:hAnsi="Courier New"/>
          <w:sz w:val="15"/>
          <w:szCs w:val="15"/>
          <w:color w:val="auto"/>
        </w:rPr>
        <w:t>The Financial Accounting Standards Board has revised Statement 132, "Employers' Disclosure about Pensions and Other Postretirement Benefits" to require disclosure of cost information in interim reports. The following summarizes the net periodic benefit cost for the various plans sponsored by the Company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4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2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680" w:type="dxa"/>
            <w:vAlign w:val="bottom"/>
          </w:tcPr>
          <w:p>
            <w:pPr>
              <w:spacing w:after="0"/>
              <w:rPr>
                <w:sz w:val="14"/>
                <w:szCs w:val="14"/>
                <w:color w:val="auto"/>
              </w:rPr>
            </w:pPr>
          </w:p>
        </w:tc>
        <w:tc>
          <w:tcPr>
            <w:tcW w:w="24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JUNE 26,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JUNE 28,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26,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28,</w:t>
            </w:r>
          </w:p>
        </w:tc>
      </w:tr>
      <w:tr>
        <w:trPr>
          <w:trHeight w:val="168"/>
        </w:trPr>
        <w:tc>
          <w:tcPr>
            <w:tcW w:w="4680" w:type="dxa"/>
            <w:vAlign w:val="bottom"/>
          </w:tcPr>
          <w:p>
            <w:pPr>
              <w:spacing w:after="0"/>
              <w:rPr>
                <w:sz w:val="14"/>
                <w:szCs w:val="14"/>
                <w:color w:val="auto"/>
              </w:rPr>
            </w:pPr>
          </w:p>
        </w:tc>
        <w:tc>
          <w:tcPr>
            <w:tcW w:w="1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68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Curtailed defined benefit plan.....................</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0.8</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0.7</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benefit plans........................</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Retiree medical plan...............................</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0.6</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AIRCRAFT LEASE</w:t>
      </w:r>
    </w:p>
    <w:p>
      <w:pPr>
        <w:spacing w:after="0" w:line="173" w:lineRule="exact"/>
        <w:rPr>
          <w:sz w:val="20"/>
          <w:szCs w:val="20"/>
          <w:color w:val="auto"/>
        </w:rPr>
      </w:pPr>
    </w:p>
    <w:p>
      <w:pPr>
        <w:jc w:val="both"/>
        <w:ind w:left="540" w:right="3399"/>
        <w:spacing w:after="0" w:line="254" w:lineRule="auto"/>
        <w:rPr>
          <w:sz w:val="20"/>
          <w:szCs w:val="20"/>
          <w:color w:val="auto"/>
        </w:rPr>
      </w:pPr>
      <w:r>
        <w:rPr>
          <w:rFonts w:ascii="Courier New" w:cs="Courier New" w:eastAsia="Courier New" w:hAnsi="Courier New"/>
          <w:sz w:val="14"/>
          <w:szCs w:val="14"/>
          <w:color w:val="auto"/>
        </w:rPr>
        <w:t>In late January 2004, the Company took final delivery of a used aircraft in a synthetic operating lease transaction. The lease agreement provides that the Company pays taxes, insurance and maintenance on the aircraft.</w:t>
      </w:r>
    </w:p>
    <w:p>
      <w:pPr>
        <w:spacing w:after="0" w:line="1"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The lease term expires in August 2008, but provides for a purchase option and two one-year renewal options at a fair market rental value, as defined in the lease agreement. The Company also has a maximum contingent obligation approximating $9.3 million based on the provisions of a residual value guarantee.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CONTINGENCIES</w:t>
      </w:r>
    </w:p>
    <w:p>
      <w:pPr>
        <w:spacing w:after="0" w:line="173"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4"/>
          <w:szCs w:val="14"/>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Insurance reserves are established within an actuarially determined range.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left="540" w:right="3239"/>
        <w:spacing w:after="0" w:line="237" w:lineRule="auto"/>
        <w:rPr>
          <w:sz w:val="20"/>
          <w:szCs w:val="20"/>
          <w:color w:val="auto"/>
        </w:rPr>
      </w:pPr>
      <w:r>
        <w:rPr>
          <w:rFonts w:ascii="Courier New" w:cs="Courier New" w:eastAsia="Courier New" w:hAnsi="Courier New"/>
          <w:sz w:val="15"/>
          <w:szCs w:val="15"/>
          <w:color w:val="auto"/>
        </w:rPr>
        <w:t>In June 1997,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related to several discontinued on-site disposal areas which dated back to the early operations of the Marysville facility that we had already been assessing and, in some cases, remediating, on a voluntary basis. On December 3, 2001, an agreed judicial Consent Order was submitted to the Union County Common Pleas Court and was entered by the court on January 25, 2002. Pursuant to the Consent Order, we paid a $275,000 fine and must satisfactorily remediate the Marysville site. We have continued our remediation activities with the knowledge and oversight of the Ohio EPA.</w:t>
      </w:r>
    </w:p>
    <w:p>
      <w:pPr>
        <w:spacing w:after="0" w:line="173"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w:t>
      </w:r>
    </w:p>
    <w:p>
      <w:pPr>
        <w:spacing w:after="0" w:line="177" w:lineRule="exact"/>
        <w:rPr>
          <w:sz w:val="20"/>
          <w:szCs w:val="20"/>
          <w:color w:val="auto"/>
        </w:rPr>
      </w:pPr>
    </w:p>
    <w:p>
      <w:pPr>
        <w:ind w:left="540" w:right="3679"/>
        <w:spacing w:after="0" w:line="234" w:lineRule="auto"/>
        <w:rPr>
          <w:sz w:val="20"/>
          <w:szCs w:val="20"/>
          <w:color w:val="auto"/>
        </w:rPr>
      </w:pPr>
      <w:r>
        <w:rPr>
          <w:rFonts w:ascii="Courier New" w:cs="Courier New" w:eastAsia="Courier New" w:hAnsi="Courier New"/>
          <w:sz w:val="15"/>
          <w:szCs w:val="15"/>
          <w:color w:val="auto"/>
        </w:rPr>
        <w:t>At June 26, 2004, $6.9 million was accrued for the environmental site remediation and regulatory matters described herein. Most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953" w:right="1440" w:bottom="180" w:gutter="0" w:footer="0" w:header="0"/>
        </w:sectPr>
      </w:pPr>
    </w:p>
    <w:bookmarkStart w:id="12" w:name="page13"/>
    <w:bookmarkEnd w:id="12"/>
    <w:p>
      <w:pPr>
        <w:ind w:left="6" w:right="3399"/>
        <w:spacing w:after="0" w:line="235" w:lineRule="auto"/>
        <w:rPr>
          <w:sz w:val="20"/>
          <w:szCs w:val="20"/>
          <w:color w:val="auto"/>
        </w:rPr>
      </w:pPr>
      <w:r>
        <w:rPr>
          <w:rFonts w:ascii="Courier New" w:cs="Courier New" w:eastAsia="Courier New" w:hAnsi="Courier New"/>
          <w:sz w:val="15"/>
          <w:szCs w:val="15"/>
          <w:color w:val="auto"/>
        </w:rPr>
        <w:t>of the costs accrued as of the end of the current fiscal quarter are expected to be paid through fiscal 2007; however, payments could be made for a period thereafter.</w:t>
      </w:r>
    </w:p>
    <w:p>
      <w:pPr>
        <w:spacing w:after="0" w:line="174" w:lineRule="exact"/>
        <w:rPr>
          <w:sz w:val="20"/>
          <w:szCs w:val="20"/>
          <w:color w:val="auto"/>
        </w:rPr>
      </w:pPr>
    </w:p>
    <w:p>
      <w:pPr>
        <w:jc w:val="both"/>
        <w:ind w:left="6" w:right="3399"/>
        <w:spacing w:after="0" w:line="256" w:lineRule="auto"/>
        <w:rPr>
          <w:sz w:val="20"/>
          <w:szCs w:val="20"/>
          <w:color w:val="auto"/>
        </w:rPr>
      </w:pPr>
      <w:r>
        <w:rPr>
          <w:rFonts w:ascii="Courier New" w:cs="Courier New" w:eastAsia="Courier New" w:hAnsi="Courier New"/>
          <w:sz w:val="14"/>
          <w:szCs w:val="14"/>
          <w:color w:val="auto"/>
        </w:rPr>
        <w:t>We believe that the amounts accrued as of the end of the current fiscal quarter are adequate to cover our known environmental exposures based on current facts and estimates of likely outcome. However, the adequacy of these accruals is based on several significant assumptions:</w:t>
      </w:r>
    </w:p>
    <w:p>
      <w:pPr>
        <w:spacing w:after="0" w:line="164" w:lineRule="exact"/>
        <w:rPr>
          <w:sz w:val="20"/>
          <w:szCs w:val="20"/>
          <w:color w:val="auto"/>
        </w:rPr>
      </w:pPr>
    </w:p>
    <w:p>
      <w:pPr>
        <w:ind w:left="526" w:right="3499" w:hanging="526"/>
        <w:spacing w:after="0" w:line="234" w:lineRule="auto"/>
        <w:tabs>
          <w:tab w:leader="none" w:pos="5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3" w:lineRule="exact"/>
        <w:rPr>
          <w:rFonts w:ascii="Courier New" w:cs="Courier New" w:eastAsia="Courier New" w:hAnsi="Courier New"/>
          <w:sz w:val="15"/>
          <w:szCs w:val="15"/>
          <w:color w:val="auto"/>
        </w:rPr>
      </w:pPr>
    </w:p>
    <w:p>
      <w:pPr>
        <w:ind w:left="526" w:right="3319" w:hanging="526"/>
        <w:spacing w:after="0" w:line="234" w:lineRule="auto"/>
        <w:tabs>
          <w:tab w:leader="none" w:pos="5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3" w:lineRule="exact"/>
        <w:rPr>
          <w:rFonts w:ascii="Courier New" w:cs="Courier New" w:eastAsia="Courier New" w:hAnsi="Courier New"/>
          <w:sz w:val="15"/>
          <w:szCs w:val="15"/>
          <w:color w:val="auto"/>
        </w:rPr>
      </w:pPr>
    </w:p>
    <w:p>
      <w:pPr>
        <w:ind w:left="526" w:right="3239" w:hanging="526"/>
        <w:spacing w:after="0" w:line="256" w:lineRule="auto"/>
        <w:tabs>
          <w:tab w:leader="none" w:pos="52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64" w:lineRule="exact"/>
        <w:rPr>
          <w:sz w:val="20"/>
          <w:szCs w:val="20"/>
          <w:color w:val="auto"/>
        </w:rPr>
      </w:pPr>
    </w:p>
    <w:p>
      <w:pPr>
        <w:ind w:left="6" w:right="3239"/>
        <w:spacing w:after="0" w:line="235"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75"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During the first nine months of fiscal 2004, we have expended approximately $2.4 million related to environmental matters, including a $1.1 million increase in our reserves recognized during the third quarter. We incurred approximately $1.5 million in environmental expenditures for all of fiscal 2003.</w:t>
      </w:r>
    </w:p>
    <w:p>
      <w:pPr>
        <w:spacing w:after="0" w:line="16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left="6" w:right="3319"/>
        <w:spacing w:after="0" w:line="255" w:lineRule="auto"/>
        <w:rPr>
          <w:sz w:val="20"/>
          <w:szCs w:val="20"/>
          <w:color w:val="auto"/>
        </w:rPr>
      </w:pPr>
      <w:r>
        <w:rPr>
          <w:rFonts w:ascii="Courier New" w:cs="Courier New" w:eastAsia="Courier New" w:hAnsi="Courier New"/>
          <w:sz w:val="14"/>
          <w:szCs w:val="14"/>
          <w:color w:val="auto"/>
        </w:rPr>
        <w:t>As noted in the discussion above under "Environmental Matters,"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60"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Pending material legal proceedings are as follows:</w:t>
      </w:r>
    </w:p>
    <w:p>
      <w:pPr>
        <w:spacing w:after="0" w:line="16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3" w:lineRule="exact"/>
        <w:rPr>
          <w:sz w:val="20"/>
          <w:szCs w:val="20"/>
          <w:color w:val="auto"/>
        </w:rPr>
      </w:pPr>
    </w:p>
    <w:p>
      <w:pPr>
        <w:ind w:left="6" w:right="3239"/>
        <w:spacing w:after="0" w:line="237" w:lineRule="auto"/>
        <w:rPr>
          <w:sz w:val="20"/>
          <w:szCs w:val="20"/>
          <w:color w:val="auto"/>
        </w:rPr>
      </w:pPr>
      <w:r>
        <w:rPr>
          <w:rFonts w:ascii="Courier New" w:cs="Courier New" w:eastAsia="Courier New" w:hAnsi="Courier New"/>
          <w:sz w:val="15"/>
          <w:szCs w:val="15"/>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Scotts Company to eliminate the herbicide The Scotts Company previously purchased from AgrEvo, which competed with Monsanto's Roundup(R). AgrEvo also contends that The Scotts Company's execution of various agreements with Monsanto, including the Roundup(R) marketing agreement, as well as The Scotts Company's subsequent actions, violated agreements between AgrEvo and The Scotts Company.</w:t>
      </w:r>
    </w:p>
    <w:p>
      <w:pPr>
        <w:spacing w:after="0" w:line="176"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The Scotts Company each have requested that the other indemnify against any losses arising from this lawsuit.</w:t>
      </w:r>
    </w:p>
    <w:p>
      <w:pPr>
        <w:spacing w:after="0" w:line="175" w:lineRule="exact"/>
        <w:rPr>
          <w:sz w:val="20"/>
          <w:szCs w:val="20"/>
          <w:color w:val="auto"/>
        </w:rPr>
      </w:pPr>
    </w:p>
    <w:p>
      <w:pPr>
        <w:ind w:left="6" w:right="3239"/>
        <w:spacing w:after="0" w:line="255" w:lineRule="auto"/>
        <w:rPr>
          <w:sz w:val="20"/>
          <w:szCs w:val="20"/>
          <w:color w:val="auto"/>
        </w:rPr>
      </w:pPr>
      <w:r>
        <w:rPr>
          <w:rFonts w:ascii="Courier New" w:cs="Courier New" w:eastAsia="Courier New" w:hAnsi="Courier New"/>
          <w:sz w:val="14"/>
          <w:szCs w:val="14"/>
          <w:color w:val="auto"/>
        </w:rPr>
        <w:t>On June 29, 1999, AgrEvo also filed a complaint in the Superior Court of the State of Delaware against two of The Scotts Company's subsidiaries seeking damages for alleged breach of contract. AgrEvo alleges that, under the contracts by which a subsidiary of The Scotts Company purchased a herbicide business from AgrEvo in May 1998, two of The Scotts Company's subsidiaries have failed to pay AgrEvo approximately $0.6 million. AgrEvo is requesting damages in this amount, as well as pre- and post-judgment interest and attorneys' fees and costs. The Scotts Company's subsidiaries have moved to dismiss or stay this action. On January 31, 2000, the Delaware court stayed AgrEvo's action pending the resolution of a motion to amend the New York Action, and the resolution of the New York Action.</w:t>
      </w:r>
    </w:p>
    <w:p>
      <w:pPr>
        <w:spacing w:after="0" w:line="158"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05"/>
          </w:cols>
          <w:pgMar w:left="754" w:top="624" w:right="1440" w:bottom="1440" w:gutter="0" w:footer="0" w:header="0"/>
        </w:sectPr>
      </w:pPr>
    </w:p>
    <w:bookmarkStart w:id="13" w:name="page14"/>
    <w:bookmarkEnd w:id="13"/>
    <w:p>
      <w:pPr>
        <w:ind w:right="3319"/>
        <w:spacing w:after="0" w:line="255" w:lineRule="auto"/>
        <w:rPr>
          <w:sz w:val="20"/>
          <w:szCs w:val="20"/>
          <w:color w:val="auto"/>
        </w:rPr>
      </w:pPr>
      <w:r>
        <w:rPr>
          <w:rFonts w:ascii="Courier New" w:cs="Courier New" w:eastAsia="Courier New" w:hAnsi="Courier New"/>
          <w:sz w:val="14"/>
          <w:szCs w:val="14"/>
          <w:color w:val="auto"/>
        </w:rPr>
        <w:t>On January 10, 2003, The Scotts Company filed a supplemental counterclaim against AgrEvo for breach of contract. The Scotts Company alleges that AgrEvo owes The Scotts Company for amounts that The Scotts Company overpaid to AgrEvo. The Scotts Company's counterclaim is now part of the underlying litigation. The parties have filed summary judgment and other dispositive motions. A trial date has been set for February 7, 2005.</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Scotts Company believes that AgrEvo's claims in these matters are without merit and is vigorously defending against them. If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these matters.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V. CENTRAL GARDEN, SOUTHERN DISTRICT OF OHIO</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On June 30, 2000, The Scotts Company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6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Central Garden filed counterclaims including allegations that The Scotts Company and Central Garden had entered into an oral agreement in April 1998 whereby The Scotts Company would allegedly share with Central Garden the benefits and liabilities of any future business integration between The Scotts Company and Monsanto. The court dismissed a number of Central Garden's counterclaims as well as The Scotts Company's claims that Central Garden breached other duties owed to The Scotts Company. On April 22, 2002, a jury returned a verdict in favor of The Scotts Company of $22.5 million and for Central Garden on its remaining counterclaims in an amount of approximately $12.1 million. Various post-trial motions were filed. As a result of those motions, the trial court has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The Scotts Company of approximately $14 million, together with interest at 2.31% through the date of payment. Central Garden has appealed and The Scotts Company has cross-appealed from that final judgment.</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Two counterclaims that the court permitted Central Garden to add on the eve of trial were subsequently settled.</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CENTRAL GARDEN V. THE SCOTTS COMPANY &amp; PHARMACIA, NORTHERN DISTRICT OF CALIFORNIA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7, 2000, Central Garden filed suit against The Scotts Company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The Scotts Company and Central Garden each filed summary judgment motions in this action. On June 26, 2002, the court granted summary judgment in favor of The Scotts Company and dismissed all of Central Garden's then remaining claims. That judgment has been affirmed by the United States Court of Appeals.</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Although The Scotts Company has prevailed consistently and extensively in the litigation with Central Garden, some of the decisions in The Scotts Company's favor are subject to appeal and possible further proceedings. If, upon appeal or otherwise, the above actions are determined adversely to The Scotts Company, the result could have a material adverse affect on The Scotts Company's results of operations, financial position and cash flows. The Scotts Company believes that it will continue to prevail in the Central Garden matters and that any potential exposure that The Scotts Company may face cannot be reasonably estimated. Therefore, no accrual has been established related to the claims brought against The Scotts Company by Central Garden, except for amounts ordered paid to Central Garden in the Ohio Action. The Scotts Company believes it has adequate reserves recorded for the amounts it may ultimately be required to pay.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HORTICULTURAL SUPPLY, INC. (F/K/A E.C. GEIGER,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February 7, 2003, U.S. Horticultural Supply ("Geiger") filed suit against The Scotts Company in the U.S. District Court for the Eastern District of Pennsylvania. Geiger alleged claims of breach of contract, promissory estoppel, and a violation of federal antitrust laws, and seeks an unspecified amount of damages. Geiger's promissory estoppel claims have been dismissed. The</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699"/>
          </w:cols>
          <w:pgMar w:left="760" w:top="624" w:right="1440" w:bottom="1440" w:gutter="0" w:footer="0" w:header="0"/>
        </w:sectPr>
      </w:pPr>
    </w:p>
    <w:bookmarkStart w:id="14" w:name="page15"/>
    <w:bookmarkEnd w:id="14"/>
    <w:p>
      <w:pPr>
        <w:ind w:left="540" w:right="3399"/>
        <w:spacing w:after="0" w:line="234" w:lineRule="auto"/>
        <w:rPr>
          <w:sz w:val="20"/>
          <w:szCs w:val="20"/>
          <w:color w:val="auto"/>
        </w:rPr>
      </w:pPr>
      <w:r>
        <w:rPr>
          <w:rFonts w:ascii="Courier New" w:cs="Courier New" w:eastAsia="Courier New" w:hAnsi="Courier New"/>
          <w:sz w:val="15"/>
          <w:szCs w:val="15"/>
          <w:color w:val="auto"/>
        </w:rPr>
        <w:t>parties have commenced discovery on the antitrust and breach of contract claims. No trial date has been set.</w:t>
      </w:r>
    </w:p>
    <w:p>
      <w:pPr>
        <w:spacing w:after="0" w:line="173" w:lineRule="exact"/>
        <w:rPr>
          <w:sz w:val="20"/>
          <w:szCs w:val="20"/>
          <w:color w:val="auto"/>
        </w:rPr>
      </w:pPr>
    </w:p>
    <w:p>
      <w:pPr>
        <w:ind w:left="540" w:right="3399"/>
        <w:spacing w:after="0" w:line="256" w:lineRule="auto"/>
        <w:rPr>
          <w:sz w:val="20"/>
          <w:szCs w:val="20"/>
          <w:color w:val="auto"/>
        </w:rPr>
      </w:pPr>
      <w:r>
        <w:rPr>
          <w:rFonts w:ascii="Courier New" w:cs="Courier New" w:eastAsia="Courier New" w:hAnsi="Courier New"/>
          <w:sz w:val="14"/>
          <w:szCs w:val="14"/>
          <w:color w:val="auto"/>
        </w:rPr>
        <w:t>On February 2, 2004, Geiger filed for bankruptcy protection pursuant to chapter 11 of title 11 of the United States Code. Geiger has filed an adversary proceeding as part of the bankruptcy alleging that The Scotts Company interfered with an agreement between Geiger and the purchaser of its operating assets and seeks damages in an unspecified amount.</w:t>
      </w:r>
    </w:p>
    <w:p>
      <w:pPr>
        <w:spacing w:after="0" w:line="16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The Scotts Company believes that all of Geiger's claims are without merit and intends to vigorously defend against them. If the above action is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this matter.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left="540" w:right="3319"/>
        <w:spacing w:after="0" w:line="237" w:lineRule="auto"/>
        <w:rPr>
          <w:sz w:val="20"/>
          <w:szCs w:val="20"/>
          <w:color w:val="auto"/>
        </w:rPr>
      </w:pPr>
      <w:r>
        <w:rPr>
          <w:rFonts w:ascii="Courier New" w:cs="Courier New" w:eastAsia="Courier New" w:hAnsi="Courier New"/>
          <w:sz w:val="15"/>
          <w:szCs w:val="15"/>
          <w:color w:val="auto"/>
        </w:rPr>
        <w:t>The Scotts Company has been named a defendant in a number of cases alleging injuries that the lawsuits claim resulted from exposure to asbestos-containing products, apparently based on The Scotts Company's historic use of vermiculite in certain of its products. The complaints in these cases are not specific about the plaintiffs' contacts with The Scotts Company or its products. The Scotts Company in each case is one of numerous defendants and none of the claims seeks damages from The Scotts Company alone. The Scotts Company is vigorously defending the cases and does not believe they will have a material adverse effect on The Scotts Company's results of operations, financial position or cash flows. It is not currently possible to reasonably estimate a probable loss, if any, associated with the cases and, accordingly, no accrual or reserves have been recorded in The Scotts Company's consolidated financial statements. There can be no assurance that these cases, whether as a result of adverse outcomes or as a result of significant defense costs, will not have a material adverse effect on The Scotts Company, its financial condition or its results of operations. The Scotts Company is reviewing agreements and policies that may provide insurance coverage or indemnity as to these claims and is pursuing coverage under some of these agreements, although there can be no assurance of the results of these efforts.</w:t>
      </w:r>
    </w:p>
    <w:p>
      <w:pPr>
        <w:spacing w:after="0" w:line="177" w:lineRule="exact"/>
        <w:rPr>
          <w:sz w:val="20"/>
          <w:szCs w:val="20"/>
          <w:color w:val="auto"/>
        </w:rPr>
      </w:pPr>
    </w:p>
    <w:p>
      <w:pPr>
        <w:ind w:left="540" w:right="3399"/>
        <w:spacing w:after="0" w:line="256" w:lineRule="auto"/>
        <w:rPr>
          <w:sz w:val="20"/>
          <w:szCs w:val="20"/>
          <w:color w:val="auto"/>
        </w:rPr>
      </w:pPr>
      <w:r>
        <w:rPr>
          <w:rFonts w:ascii="Courier New" w:cs="Courier New" w:eastAsia="Courier New" w:hAnsi="Courier New"/>
          <w:sz w:val="14"/>
          <w:szCs w:val="14"/>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NEW ACCOUNTING STANDARDS</w:t>
      </w:r>
    </w:p>
    <w:p>
      <w:pPr>
        <w:spacing w:after="0" w:line="17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In January 2003, the Financial Accounting Standards Board (FASB) issued FASB Interpretation 46, "Consolidation of Variable Interest Entities, an Interpretation of ARB No. 51" (FIN 46). In December 2003, the FASB modified FIN 46 to make certain technical corrections and address certain implementation issues that had arisen. FIN 46 provides a new framework for identifying variable interest entities (VIEs) and determining when a company should include the assets, liabilities, noncontrolling interests, and results of activities of a VIE in its consolidated financial statements.</w:t>
      </w:r>
    </w:p>
    <w:p>
      <w:pPr>
        <w:spacing w:after="0" w:line="178"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In general, a VIE is a corporation, partnership, limited liability company, trust, or any other legal structure used to conduct activities or hold assets that either (1) has an insufficient amount of equity to carry out its principal activities without additional subordinated financial support, (2) has a group of equity owners that are unable to make significant decisions about its activities, or (3) has a group of equity owners that do not have the obligation to absorb losses or the right to receive returns generated by its operations.</w:t>
      </w:r>
    </w:p>
    <w:p>
      <w:pPr>
        <w:spacing w:after="0" w:line="177"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FIN 46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 majority voting interest. FIN 46 also requires disclosures about VIEs that the variable interest holder is not required to consolidate but in which it has a significant variable interest.</w:t>
      </w:r>
    </w:p>
    <w:p>
      <w:pPr>
        <w:spacing w:after="0" w:line="164" w:lineRule="exact"/>
        <w:rPr>
          <w:sz w:val="20"/>
          <w:szCs w:val="20"/>
          <w:color w:val="auto"/>
        </w:rPr>
      </w:pPr>
    </w:p>
    <w:p>
      <w:pPr>
        <w:ind w:left="540" w:right="3499"/>
        <w:spacing w:after="0" w:line="235" w:lineRule="auto"/>
        <w:rPr>
          <w:sz w:val="20"/>
          <w:szCs w:val="20"/>
          <w:color w:val="auto"/>
        </w:rPr>
      </w:pPr>
      <w:r>
        <w:rPr>
          <w:rFonts w:ascii="Courier New" w:cs="Courier New" w:eastAsia="Courier New" w:hAnsi="Courier New"/>
          <w:sz w:val="15"/>
          <w:szCs w:val="15"/>
          <w:color w:val="auto"/>
        </w:rPr>
        <w:t>The Company's Scotts Lawn Service business sells new franchise territories, primarily in small to mid-size markets, under arrangements where approximately one-third of the franchise fee is paid in cash with the balance due under a promissory note.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ind w:left="540" w:right="3239"/>
        <w:spacing w:after="0" w:line="236" w:lineRule="auto"/>
        <w:rPr>
          <w:sz w:val="20"/>
          <w:szCs w:val="20"/>
          <w:color w:val="auto"/>
        </w:rPr>
      </w:pPr>
      <w:r>
        <w:rPr>
          <w:rFonts w:ascii="Courier New" w:cs="Courier New" w:eastAsia="Courier New" w:hAnsi="Courier New"/>
          <w:sz w:val="15"/>
          <w:szCs w:val="15"/>
          <w:color w:val="auto"/>
        </w:rPr>
        <w:t>The Company believes that it may be the primary beneficiary for certain of its franchisees initially, but ceases to be the primary beneficiary as the franchisees develop their businesses and the promissory notes are repaid. At June 26, 2004, the Company had approximately $3 million in notes receivable from franchisees. The effect of consolidating the entities where the Company may be the primary beneficiary for a limited period of time is not material to either the consolidated statement of operations or the consolidated balance sheet.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MEDICARE PRESCRIPTION DRUG, IMPROVEMENT AND MODERNIZATION ACT</w:t>
      </w:r>
    </w:p>
    <w:p>
      <w:pPr>
        <w:spacing w:after="0" w:line="173"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As disclosed in Note 8 to our consolidated financial statements for the year ended September 30, 2003, the Company provides comprehensive major medical benefits to certain of its retired associates and their dependents. These benefits include prescription drug coverage. On December 8, 2003, the Medicare Prescription Drug, Improvement and Modernization Act (the "Act") became law. The Act provides for a federal subsidy to sponsors of retiree health care benefit plans that provide a benefit that is at least actuarially equivalent to the benefit established by the Act.</w:t>
      </w:r>
    </w:p>
    <w:p>
      <w:pPr>
        <w:spacing w:after="0" w:line="166"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On May 19, 2004, the FASB issued Staff Position No. 106-2, "Accounting and Disclosure Requirements Related to the Medicare Prescription Drug, Improvement and Modernization Act of 2003" (the "FSP"). The FSP provides guidance on accounting for the effects of the Act. The Company will be required to apply the provisions of the FSP in the fourth quarter of this fiscal year. Any reduction in the accumulated benefit obligation under the Company's plan will be accounted for as an actuarial gain.</w:t>
      </w:r>
    </w:p>
    <w:p>
      <w:pPr>
        <w:spacing w:after="0" w:line="166" w:lineRule="exact"/>
        <w:rPr>
          <w:sz w:val="20"/>
          <w:szCs w:val="20"/>
          <w:color w:val="auto"/>
        </w:rPr>
      </w:pPr>
    </w:p>
    <w:p>
      <w:pPr>
        <w:ind w:left="540" w:right="3239"/>
        <w:spacing w:after="0" w:line="235" w:lineRule="auto"/>
        <w:rPr>
          <w:sz w:val="20"/>
          <w:szCs w:val="20"/>
          <w:color w:val="auto"/>
        </w:rPr>
      </w:pPr>
      <w:r>
        <w:rPr>
          <w:rFonts w:ascii="Courier New" w:cs="Courier New" w:eastAsia="Courier New" w:hAnsi="Courier New"/>
          <w:sz w:val="15"/>
          <w:szCs w:val="15"/>
          <w:color w:val="auto"/>
        </w:rPr>
        <w:t>The Company has evaluated the Act and believes it will be eligible for the federal subsidy. The final regulations necessary to affirm the Company's preliminary conclusions and to reasonably estimate the amount of the subsidy have not yet been issued.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SEGMENT INFORMATION</w:t>
      </w:r>
    </w:p>
    <w:p>
      <w:pPr>
        <w:spacing w:after="0" w:line="173"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4"/>
          <w:szCs w:val="14"/>
          <w:color w:val="auto"/>
        </w:rPr>
        <w:t>For fiscal 2004, the Company is divided into three reportable segments - North America, Scotts LawnService(R) and International. The North America segment primarily consists of the Lawns, Gardening Products, Ortho(R), Canada and North American Professional business groups. These segments differ from those used in the prior year due to the absorption of the Global Professional segment into the North America and International segments based on geography. This new division of reportable segments is consistent with how the segments report to and are managed by senior management of the Company. The prior year amounts have been reclassified to conform with the fiscal 2004 segments.</w:t>
      </w:r>
    </w:p>
    <w:p>
      <w:pPr>
        <w:spacing w:after="0" w:line="165" w:lineRule="exact"/>
        <w:rPr>
          <w:sz w:val="20"/>
          <w:szCs w:val="20"/>
          <w:color w:val="auto"/>
        </w:rPr>
      </w:pPr>
    </w:p>
    <w:p>
      <w:pPr>
        <w:ind w:left="540" w:right="3399"/>
        <w:spacing w:after="0" w:line="255" w:lineRule="auto"/>
        <w:rPr>
          <w:sz w:val="20"/>
          <w:szCs w:val="20"/>
          <w:color w:val="auto"/>
        </w:rPr>
      </w:pPr>
      <w:r>
        <w:rPr>
          <w:rFonts w:ascii="Courier New" w:cs="Courier New" w:eastAsia="Courier New" w:hAnsi="Courier New"/>
          <w:sz w:val="14"/>
          <w:szCs w:val="14"/>
          <w:color w:val="auto"/>
        </w:rPr>
        <w:t>The North America segment manufactures, markets and sells dry, granular slow-release lawn fertilizers, combination lawn fertilizer and control products, grass seed, spreaders, water-soluble and controlled-release garden and indoor plant foods, plant care products, potting soils, pottery, barks, mulches and other growing media products, pesticide products and a full line of horticulture products. Products are marketed to mass merchandisers, home improvement centers, large hardware chains, nurseries and gardens centers and specialty crop growers in the United States, Canada, Latin America and South America.</w:t>
      </w:r>
    </w:p>
    <w:p>
      <w:pPr>
        <w:spacing w:after="0" w:line="165" w:lineRule="exact"/>
        <w:rPr>
          <w:sz w:val="20"/>
          <w:szCs w:val="20"/>
          <w:color w:val="auto"/>
        </w:rPr>
      </w:pPr>
    </w:p>
    <w:p>
      <w:pPr>
        <w:ind w:left="540" w:right="3499"/>
        <w:spacing w:after="0" w:line="255" w:lineRule="auto"/>
        <w:rPr>
          <w:sz w:val="20"/>
          <w:szCs w:val="20"/>
          <w:color w:val="auto"/>
        </w:rPr>
      </w:pPr>
      <w:r>
        <w:rPr>
          <w:rFonts w:ascii="Courier New" w:cs="Courier New" w:eastAsia="Courier New" w:hAnsi="Courier New"/>
          <w:sz w:val="14"/>
          <w:szCs w:val="14"/>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an exterior barrier pest control service.</w:t>
      </w:r>
    </w:p>
    <w:p>
      <w:pPr>
        <w:spacing w:after="0" w:line="166" w:lineRule="exact"/>
        <w:rPr>
          <w:sz w:val="20"/>
          <w:szCs w:val="20"/>
          <w:color w:val="auto"/>
        </w:rPr>
      </w:pPr>
    </w:p>
    <w:p>
      <w:pPr>
        <w:jc w:val="both"/>
        <w:ind w:left="540" w:right="3579"/>
        <w:spacing w:after="0" w:line="235" w:lineRule="auto"/>
        <w:rPr>
          <w:sz w:val="20"/>
          <w:szCs w:val="20"/>
          <w:color w:val="auto"/>
        </w:rPr>
      </w:pPr>
      <w:r>
        <w:rPr>
          <w:rFonts w:ascii="Courier New" w:cs="Courier New" w:eastAsia="Courier New" w:hAnsi="Courier New"/>
          <w:sz w:val="15"/>
          <w:szCs w:val="15"/>
          <w:color w:val="auto"/>
        </w:rPr>
        <w:t>The International segment provides products similar to those described above for the North America segment to consumers outside of the United States, Canada, Latin America and South America.</w:t>
      </w:r>
    </w:p>
    <w:p>
      <w:pPr>
        <w:spacing w:after="0" w:line="174"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6"/>
              </w:rPr>
              <w:t>SCOTTS</w:t>
            </w:r>
          </w:p>
        </w:tc>
        <w:tc>
          <w:tcPr>
            <w:tcW w:w="1660" w:type="dxa"/>
            <w:vAlign w:val="bottom"/>
          </w:tcPr>
          <w:p>
            <w:pPr>
              <w:spacing w:after="0"/>
              <w:rPr>
                <w:sz w:val="14"/>
                <w:szCs w:val="14"/>
                <w:color w:val="auto"/>
              </w:rPr>
            </w:pPr>
          </w:p>
        </w:tc>
        <w:tc>
          <w:tcPr>
            <w:tcW w:w="12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NORTH AMERICA</w:t>
            </w:r>
          </w:p>
        </w:tc>
        <w:tc>
          <w:tcPr>
            <w:tcW w:w="18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LAWNSERVICE(R)</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INTERNATIONAL</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CORPORATE</w:t>
            </w:r>
          </w:p>
        </w:tc>
        <w:tc>
          <w:tcPr>
            <w:tcW w:w="320" w:type="dxa"/>
            <w:vAlign w:val="bottom"/>
          </w:tcPr>
          <w:p>
            <w:pPr>
              <w:spacing w:after="0"/>
              <w:rPr>
                <w:sz w:val="14"/>
                <w:szCs w:val="14"/>
                <w:color w:val="auto"/>
              </w:rPr>
            </w:pPr>
          </w:p>
        </w:tc>
        <w:tc>
          <w:tcPr>
            <w:tcW w:w="7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(IN MILLIONS, EXCEPT OPERATING PERCENTAGES)</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Net sales:</w:t>
            </w:r>
          </w:p>
        </w:tc>
        <w:tc>
          <w:tcPr>
            <w:tcW w:w="3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YTD 2004</w:t>
            </w:r>
          </w:p>
        </w:tc>
        <w:tc>
          <w:tcPr>
            <w:tcW w:w="49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..................................$ 1,247.6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84.8</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$ 356.7</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1,689.1</w:t>
            </w:r>
          </w:p>
        </w:tc>
      </w:tr>
      <w:tr>
        <w:trPr>
          <w:trHeight w:val="168"/>
        </w:trPr>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YTD 2003</w:t>
            </w:r>
          </w:p>
        </w:tc>
        <w:tc>
          <w:tcPr>
            <w:tcW w:w="3860" w:type="dxa"/>
            <w:vAlign w:val="bottom"/>
          </w:tcPr>
          <w:p>
            <w:pPr>
              <w:jc w:val="right"/>
              <w:ind w:right="815"/>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1,172.7</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67.3</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327.0</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1,567.0</w:t>
            </w: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340" w:type="dxa"/>
            <w:vAlign w:val="bottom"/>
            <w:gridSpan w:val="2"/>
          </w:tcPr>
          <w:p>
            <w:pPr>
              <w:jc w:val="right"/>
              <w:ind w:right="815"/>
              <w:spacing w:after="0" w:line="168" w:lineRule="exact"/>
              <w:rPr>
                <w:sz w:val="20"/>
                <w:szCs w:val="20"/>
                <w:color w:val="auto"/>
              </w:rPr>
            </w:pPr>
            <w:r>
              <w:rPr>
                <w:rFonts w:ascii="Courier New" w:cs="Courier New" w:eastAsia="Courier New" w:hAnsi="Courier New"/>
                <w:sz w:val="15"/>
                <w:szCs w:val="15"/>
                <w:color w:val="auto"/>
                <w:w w:val="97"/>
              </w:rPr>
              <w:t>2004...................................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587.0</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50.0</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136.7</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773.7</w:t>
            </w: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340" w:type="dxa"/>
            <w:vAlign w:val="bottom"/>
            <w:gridSpan w:val="2"/>
          </w:tcPr>
          <w:p>
            <w:pPr>
              <w:jc w:val="right"/>
              <w:ind w:right="815"/>
              <w:spacing w:after="0" w:line="168" w:lineRule="exact"/>
              <w:rPr>
                <w:sz w:val="20"/>
                <w:szCs w:val="20"/>
                <w:color w:val="auto"/>
              </w:rPr>
            </w:pPr>
            <w:r>
              <w:rPr>
                <w:rFonts w:ascii="Courier New" w:cs="Courier New" w:eastAsia="Courier New" w:hAnsi="Courier New"/>
                <w:sz w:val="15"/>
                <w:szCs w:val="15"/>
                <w:color w:val="auto"/>
                <w:w w:val="97"/>
              </w:rPr>
              <w:t>2003...................................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547.1</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40.5</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122.4</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710.0</w:t>
            </w:r>
          </w:p>
        </w:tc>
      </w:tr>
      <w:tr>
        <w:trPr>
          <w:trHeight w:val="841"/>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6"/>
              </w:rPr>
              <w:t>SCOTTS</w:t>
            </w:r>
          </w:p>
        </w:tc>
        <w:tc>
          <w:tcPr>
            <w:tcW w:w="166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NORTH AMERICA</w:t>
            </w: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LAWNSERVICE(R)</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INTERNATIONAL</w:t>
            </w: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CORPORATE</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9"/>
              </w:rPr>
              <w:t>(IN MILLIONS, EXCEPT OPERATING PERCENTAGES)</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Operating</w:t>
            </w:r>
          </w:p>
        </w:tc>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YTD 2004</w:t>
            </w:r>
          </w:p>
        </w:tc>
        <w:tc>
          <w:tcPr>
            <w:tcW w:w="386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43.7</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(64.5)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255.4</w:t>
            </w:r>
          </w:p>
        </w:tc>
      </w:tr>
      <w:tr>
        <w:trPr>
          <w:trHeight w:val="168"/>
        </w:trPr>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YTD 2003</w:t>
            </w:r>
          </w:p>
        </w:tc>
        <w:tc>
          <w:tcPr>
            <w:tcW w:w="3860" w:type="dxa"/>
            <w:vAlign w:val="bottom"/>
          </w:tcPr>
          <w:p>
            <w:pPr>
              <w:jc w:val="right"/>
              <w:ind w:right="815"/>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253.5</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37.3</w:t>
            </w:r>
          </w:p>
        </w:tc>
        <w:tc>
          <w:tcPr>
            <w:tcW w:w="4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(56.2)</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227.8</w:t>
            </w: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340" w:type="dxa"/>
            <w:vAlign w:val="bottom"/>
            <w:gridSpan w:val="2"/>
          </w:tcPr>
          <w:p>
            <w:pPr>
              <w:jc w:val="right"/>
              <w:ind w:right="815"/>
              <w:spacing w:after="0" w:line="168" w:lineRule="exact"/>
              <w:rPr>
                <w:sz w:val="20"/>
                <w:szCs w:val="20"/>
                <w:color w:val="auto"/>
              </w:rPr>
            </w:pPr>
            <w:r>
              <w:rPr>
                <w:rFonts w:ascii="Courier New" w:cs="Courier New" w:eastAsia="Courier New" w:hAnsi="Courier New"/>
                <w:sz w:val="15"/>
                <w:szCs w:val="15"/>
                <w:color w:val="auto"/>
                <w:w w:val="97"/>
              </w:rPr>
              <w:t>2004...................................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165.3</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13.2</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20.9</w:t>
            </w:r>
          </w:p>
        </w:tc>
        <w:tc>
          <w:tcPr>
            <w:tcW w:w="4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(22.3)</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177.1</w:t>
            </w: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340" w:type="dxa"/>
            <w:vAlign w:val="bottom"/>
            <w:gridSpan w:val="2"/>
          </w:tcPr>
          <w:p>
            <w:pPr>
              <w:jc w:val="right"/>
              <w:ind w:right="815"/>
              <w:spacing w:after="0" w:line="168" w:lineRule="exact"/>
              <w:rPr>
                <w:sz w:val="20"/>
                <w:szCs w:val="20"/>
                <w:color w:val="auto"/>
              </w:rPr>
            </w:pPr>
            <w:r>
              <w:rPr>
                <w:rFonts w:ascii="Courier New" w:cs="Courier New" w:eastAsia="Courier New" w:hAnsi="Courier New"/>
                <w:sz w:val="15"/>
                <w:szCs w:val="15"/>
                <w:color w:val="auto"/>
                <w:w w:val="97"/>
              </w:rPr>
              <w:t>2003...................................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154.8</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10.4</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16.4</w:t>
            </w:r>
          </w:p>
        </w:tc>
        <w:tc>
          <w:tcPr>
            <w:tcW w:w="4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(18.4)</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163.2</w:t>
            </w:r>
          </w:p>
        </w:tc>
      </w:tr>
      <w:tr>
        <w:trPr>
          <w:trHeight w:val="168"/>
        </w:trPr>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margin:</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YTD 2004</w:t>
            </w:r>
          </w:p>
        </w:tc>
        <w:tc>
          <w:tcPr>
            <w:tcW w:w="3860" w:type="dxa"/>
            <w:vAlign w:val="bottom"/>
          </w:tcPr>
          <w:p>
            <w:pPr>
              <w:jc w:val="right"/>
              <w:ind w:right="815"/>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22.6%</w:t>
            </w:r>
          </w:p>
        </w:tc>
        <w:tc>
          <w:tcPr>
            <w:tcW w:w="6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12.3%</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YTD 2003</w:t>
            </w:r>
          </w:p>
        </w:tc>
        <w:tc>
          <w:tcPr>
            <w:tcW w:w="3860" w:type="dxa"/>
            <w:vAlign w:val="bottom"/>
          </w:tcPr>
          <w:p>
            <w:pPr>
              <w:jc w:val="right"/>
              <w:ind w:right="815"/>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(10.1)</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11.4</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340" w:type="dxa"/>
            <w:vAlign w:val="bottom"/>
            <w:gridSpan w:val="2"/>
          </w:tcPr>
          <w:p>
            <w:pPr>
              <w:jc w:val="right"/>
              <w:ind w:right="815"/>
              <w:spacing w:after="0" w:line="168" w:lineRule="exact"/>
              <w:rPr>
                <w:sz w:val="20"/>
                <w:szCs w:val="20"/>
                <w:color w:val="auto"/>
              </w:rPr>
            </w:pPr>
            <w:r>
              <w:rPr>
                <w:rFonts w:ascii="Courier New" w:cs="Courier New" w:eastAsia="Courier New" w:hAnsi="Courier New"/>
                <w:sz w:val="15"/>
                <w:szCs w:val="15"/>
                <w:color w:val="auto"/>
                <w:w w:val="97"/>
              </w:rPr>
              <w:t>2004...................................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26.4</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15.3</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340" w:type="dxa"/>
            <w:vAlign w:val="bottom"/>
            <w:gridSpan w:val="2"/>
          </w:tcPr>
          <w:p>
            <w:pPr>
              <w:jc w:val="right"/>
              <w:ind w:right="815"/>
              <w:spacing w:after="0" w:line="168" w:lineRule="exact"/>
              <w:rPr>
                <w:sz w:val="20"/>
                <w:szCs w:val="20"/>
                <w:color w:val="auto"/>
              </w:rPr>
            </w:pPr>
            <w:r>
              <w:rPr>
                <w:rFonts w:ascii="Courier New" w:cs="Courier New" w:eastAsia="Courier New" w:hAnsi="Courier New"/>
                <w:sz w:val="15"/>
                <w:szCs w:val="15"/>
                <w:color w:val="auto"/>
                <w:w w:val="97"/>
              </w:rPr>
              <w:t>2003...................................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28.3</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25.7</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13.4</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80" w:type="dxa"/>
            <w:vAlign w:val="bottom"/>
          </w:tcPr>
          <w:p>
            <w:pPr>
              <w:jc w:val="right"/>
              <w:spacing w:after="0"/>
              <w:rPr>
                <w:sz w:val="20"/>
                <w:szCs w:val="20"/>
                <w:color w:val="auto"/>
              </w:rPr>
            </w:pPr>
            <w:r>
              <w:rPr>
                <w:rFonts w:ascii="Courier New" w:cs="Courier New" w:eastAsia="Courier New" w:hAnsi="Courier New"/>
                <w:sz w:val="2"/>
                <w:szCs w:val="2"/>
                <w:color w:val="auto"/>
                <w:w w:val="98"/>
              </w:rPr>
              <w:t>2004...................................</w:t>
            </w:r>
          </w:p>
        </w:tc>
        <w:tc>
          <w:tcPr>
            <w:tcW w:w="386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97.5</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$ 116.2</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421.3</w:t>
            </w: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340" w:type="dxa"/>
            <w:vAlign w:val="bottom"/>
            <w:gridSpan w:val="2"/>
          </w:tcPr>
          <w:p>
            <w:pPr>
              <w:jc w:val="right"/>
              <w:ind w:right="815"/>
              <w:spacing w:after="0" w:line="168" w:lineRule="exact"/>
              <w:rPr>
                <w:sz w:val="20"/>
                <w:szCs w:val="20"/>
                <w:color w:val="auto"/>
              </w:rPr>
            </w:pPr>
            <w:r>
              <w:rPr>
                <w:rFonts w:ascii="Courier New" w:cs="Courier New" w:eastAsia="Courier New" w:hAnsi="Courier New"/>
                <w:sz w:val="15"/>
                <w:szCs w:val="15"/>
                <w:color w:val="auto"/>
                <w:w w:val="97"/>
              </w:rPr>
              <w:t>2003...................................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82.4</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110.8</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393.4</w:t>
            </w:r>
          </w:p>
        </w:tc>
      </w:tr>
      <w:tr>
        <w:trPr>
          <w:trHeight w:val="168"/>
        </w:trPr>
        <w:tc>
          <w:tcPr>
            <w:tcW w:w="4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80" w:type="dxa"/>
            <w:vAlign w:val="bottom"/>
          </w:tcPr>
          <w:p>
            <w:pPr>
              <w:jc w:val="right"/>
              <w:spacing w:after="0"/>
              <w:rPr>
                <w:sz w:val="20"/>
                <w:szCs w:val="20"/>
                <w:color w:val="auto"/>
              </w:rPr>
            </w:pPr>
            <w:r>
              <w:rPr>
                <w:rFonts w:ascii="Courier New" w:cs="Courier New" w:eastAsia="Courier New" w:hAnsi="Courier New"/>
                <w:sz w:val="2"/>
                <w:szCs w:val="2"/>
                <w:color w:val="auto"/>
                <w:w w:val="98"/>
              </w:rPr>
              <w:t>2004...................................</w:t>
            </w:r>
          </w:p>
        </w:tc>
        <w:tc>
          <w:tcPr>
            <w:tcW w:w="49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$ 1,475.3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119.1</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$ 547.4</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$ 109.9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2,251.7</w:t>
            </w:r>
          </w:p>
        </w:tc>
      </w:tr>
      <w:tr>
        <w:trPr>
          <w:trHeight w:val="168"/>
        </w:trPr>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Q3</w:t>
            </w:r>
          </w:p>
        </w:tc>
        <w:tc>
          <w:tcPr>
            <w:tcW w:w="4340" w:type="dxa"/>
            <w:vAlign w:val="bottom"/>
            <w:gridSpan w:val="2"/>
          </w:tcPr>
          <w:p>
            <w:pPr>
              <w:jc w:val="right"/>
              <w:ind w:right="815"/>
              <w:spacing w:after="0" w:line="168" w:lineRule="exact"/>
              <w:rPr>
                <w:sz w:val="20"/>
                <w:szCs w:val="20"/>
                <w:color w:val="auto"/>
              </w:rPr>
            </w:pPr>
            <w:r>
              <w:rPr>
                <w:rFonts w:ascii="Courier New" w:cs="Courier New" w:eastAsia="Courier New" w:hAnsi="Courier New"/>
                <w:sz w:val="15"/>
                <w:szCs w:val="15"/>
                <w:color w:val="auto"/>
                <w:w w:val="97"/>
              </w:rPr>
              <w:t>2003...................................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1,478.1</w:t>
            </w:r>
          </w:p>
        </w:tc>
        <w:tc>
          <w:tcPr>
            <w:tcW w:w="6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104.9</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515.2</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126.8</w:t>
            </w:r>
          </w:p>
        </w:tc>
        <w:tc>
          <w:tcPr>
            <w:tcW w:w="32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2,225.0</w:t>
            </w:r>
          </w:p>
        </w:tc>
      </w:tr>
    </w:tbl>
    <w:p>
      <w:pPr>
        <w:ind w:left="100"/>
        <w:spacing w:after="0" w:line="237" w:lineRule="auto"/>
        <w:rPr>
          <w:sz w:val="20"/>
          <w:szCs w:val="20"/>
          <w:color w:val="auto"/>
        </w:rPr>
      </w:pPr>
      <w:r>
        <w:rPr>
          <w:rFonts w:ascii="Courier New" w:cs="Courier New" w:eastAsia="Courier New" w:hAnsi="Courier New"/>
          <w:sz w:val="15"/>
          <w:szCs w:val="15"/>
          <w:color w:val="auto"/>
        </w:rPr>
        <w:t>nm Not meaningful.</w:t>
      </w:r>
    </w:p>
    <w:p>
      <w:pPr>
        <w:spacing w:after="0" w:line="342" w:lineRule="exact"/>
        <w:rPr>
          <w:sz w:val="20"/>
          <w:szCs w:val="20"/>
          <w:color w:val="auto"/>
        </w:rPr>
      </w:pPr>
    </w:p>
    <w:p>
      <w:pPr>
        <w:ind w:left="540" w:right="4540"/>
        <w:spacing w:after="0" w:line="255" w:lineRule="auto"/>
        <w:rPr>
          <w:sz w:val="20"/>
          <w:szCs w:val="20"/>
          <w:color w:val="auto"/>
        </w:rPr>
      </w:pPr>
      <w:r>
        <w:rPr>
          <w:rFonts w:ascii="Courier New" w:cs="Courier New" w:eastAsia="Courier New" w:hAnsi="Courier New"/>
          <w:sz w:val="14"/>
          <w:szCs w:val="14"/>
          <w:color w:val="auto"/>
        </w:rPr>
        <w:t>Operating income reported for Scotts' three reportable segments represents earnings before amortization of intangible assets, interest and taxes, since this is the measure of profitability used by management. Accordingly, the corporate operating loss for the three and nine month periods ended June 26, 2004 and June 28, 2003 includes amortization of certain intangible assets, unallocated corporate general and administrative expenses, North America restructuring charges and certain "other" income (expense) items not allocated to the reportable segments.</w:t>
      </w:r>
    </w:p>
    <w:p>
      <w:pPr>
        <w:spacing w:after="0" w:line="166" w:lineRule="exact"/>
        <w:rPr>
          <w:sz w:val="20"/>
          <w:szCs w:val="20"/>
          <w:color w:val="auto"/>
        </w:rPr>
      </w:pPr>
    </w:p>
    <w:p>
      <w:pPr>
        <w:ind w:left="540" w:right="4540"/>
        <w:spacing w:after="0" w:line="255" w:lineRule="auto"/>
        <w:rPr>
          <w:sz w:val="20"/>
          <w:szCs w:val="20"/>
          <w:color w:val="auto"/>
        </w:rPr>
      </w:pPr>
      <w:r>
        <w:rPr>
          <w:rFonts w:ascii="Courier New" w:cs="Courier New" w:eastAsia="Courier New" w:hAnsi="Courier New"/>
          <w:sz w:val="14"/>
          <w:szCs w:val="14"/>
          <w:color w:val="auto"/>
        </w:rPr>
        <w:t>Goodwill reported as of June 26, 2004 is $421.3 million, an increase of $14.8 million from $406.5 million at September 30, 2003. The increases in both the North America and Scotts LawnService(R) reported segments were due to the purchasing of remaining minority interest shares in two majority-owned consolidated entities and the reclassification of an intangible asset to finalize a prior year acquisition, increasing goodwill by $10.3 million. The International segment was impacted by changes in foreign exchange rates, off-set by the reclassification of a prior purchase accounting reserve against goodwill, resulting in a net increase of $4.5 million to goodwill for the nine months ended June 26, 2004.</w:t>
      </w:r>
    </w:p>
    <w:p>
      <w:pPr>
        <w:spacing w:after="0" w:line="165" w:lineRule="exact"/>
        <w:rPr>
          <w:sz w:val="20"/>
          <w:szCs w:val="20"/>
          <w:color w:val="auto"/>
        </w:rPr>
      </w:pPr>
    </w:p>
    <w:p>
      <w:pPr>
        <w:ind w:left="540" w:right="4800"/>
        <w:spacing w:after="0" w:line="235" w:lineRule="auto"/>
        <w:rPr>
          <w:sz w:val="20"/>
          <w:szCs w:val="20"/>
          <w:color w:val="auto"/>
        </w:rPr>
      </w:pPr>
      <w:r>
        <w:rPr>
          <w:rFonts w:ascii="Courier New" w:cs="Courier New" w:eastAsia="Courier New" w:hAnsi="Courier New"/>
          <w:sz w:val="15"/>
          <w:szCs w:val="15"/>
          <w:color w:val="auto"/>
        </w:rPr>
        <w:t>Total assets reported for Scotts' reportable segments include the intangible assets for the acquired businesses within those segments. Corporate assets primarily include deferred financing and debt issuance costs, corporate intangible assets and deferred tax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SUBSEQUENT EVENT</w:t>
      </w:r>
    </w:p>
    <w:p>
      <w:pPr>
        <w:spacing w:after="0" w:line="173" w:lineRule="exact"/>
        <w:rPr>
          <w:sz w:val="20"/>
          <w:szCs w:val="20"/>
          <w:color w:val="auto"/>
        </w:rPr>
      </w:pPr>
    </w:p>
    <w:p>
      <w:pPr>
        <w:ind w:left="540" w:right="4800"/>
        <w:spacing w:after="0" w:line="255" w:lineRule="auto"/>
        <w:rPr>
          <w:sz w:val="20"/>
          <w:szCs w:val="20"/>
          <w:color w:val="auto"/>
        </w:rPr>
      </w:pPr>
      <w:r>
        <w:rPr>
          <w:rFonts w:ascii="Courier New" w:cs="Courier New" w:eastAsia="Courier New" w:hAnsi="Courier New"/>
          <w:sz w:val="14"/>
          <w:szCs w:val="14"/>
          <w:color w:val="auto"/>
        </w:rPr>
        <w:t>On August 6, 2004, the Company signed a definitive agreement to acquire Smith &amp; Hawken, Ltd., a specialty lawn and garden retailer, for approximately $72 million, including the assumption of $14 million of existing debt. The transaction, which is scheduled to close October 1, 2004 will be funded utilizing the Company's existing credit facility. Smith &amp; Hawken, which is privately owned, reported revenue of approximately $138.5 million for the year ended January 31,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FINANCIAL INFORMATION FOR SUBSIDIARY GUARANTORS AND NON-GUARANTORS</w:t>
      </w:r>
    </w:p>
    <w:p>
      <w:pPr>
        <w:spacing w:after="0" w:line="173" w:lineRule="exact"/>
        <w:rPr>
          <w:sz w:val="20"/>
          <w:szCs w:val="20"/>
          <w:color w:val="auto"/>
        </w:rPr>
      </w:pPr>
    </w:p>
    <w:p>
      <w:pPr>
        <w:ind w:left="540" w:right="4540"/>
        <w:spacing w:after="0" w:line="255" w:lineRule="auto"/>
        <w:rPr>
          <w:sz w:val="20"/>
          <w:szCs w:val="20"/>
          <w:color w:val="auto"/>
        </w:rPr>
      </w:pPr>
      <w:r>
        <w:rPr>
          <w:rFonts w:ascii="Courier New" w:cs="Courier New" w:eastAsia="Courier New" w:hAnsi="Courier New"/>
          <w:sz w:val="14"/>
          <w:szCs w:val="14"/>
          <w:color w:val="auto"/>
        </w:rPr>
        <w:t>The 6 5/8% Senior Subordinated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5" w:lineRule="exact"/>
        <w:rPr>
          <w:sz w:val="20"/>
          <w:szCs w:val="20"/>
          <w:color w:val="auto"/>
        </w:rPr>
      </w:pPr>
    </w:p>
    <w:p>
      <w:pPr>
        <w:ind w:left="540" w:right="4540"/>
        <w:spacing w:after="0" w:line="255" w:lineRule="auto"/>
        <w:rPr>
          <w:sz w:val="20"/>
          <w:szCs w:val="20"/>
          <w:color w:val="auto"/>
        </w:rPr>
      </w:pPr>
      <w:r>
        <w:rPr>
          <w:rFonts w:ascii="Courier New" w:cs="Courier New" w:eastAsia="Courier New" w:hAnsi="Courier New"/>
          <w:sz w:val="14"/>
          <w:szCs w:val="14"/>
          <w:color w:val="auto"/>
        </w:rPr>
        <w:t>The following unaudited information presents consolidated Statements of Operations for the three and nine month periods ended June 26, 2004 and June 28, 2003, Statements of Cash Flows for the nine month periods ended June 26, 2004 and June 28, 2003 and Balance Sheets as of June 26, 2004, June 28, 2003 and September 30, 2003. Separate unaudited financial statements of the individual guarantor subsidiaries have not been provided because management does not believe they would be meaningful to investors.</w:t>
      </w:r>
    </w:p>
    <w:p>
      <w:pPr>
        <w:sectPr>
          <w:pgSz w:w="11900" w:h="16838" w:orient="portrait"/>
          <w:cols w:equalWidth="0" w:num="1">
            <w:col w:w="11540"/>
          </w:cols>
          <w:pgMar w:left="220" w:top="953" w:right="139" w:bottom="0" w:gutter="0" w:footer="0" w:header="0"/>
        </w:sectPr>
      </w:pPr>
    </w:p>
    <w:bookmarkStart w:id="17" w:name="page18"/>
    <w:bookmarkEnd w:id="17"/>
    <w:p>
      <w:pPr>
        <w:ind w:left="22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303" w:right="1440" w:bottom="1440" w:gutter="0" w:footer="0" w:header="0"/>
        </w:sectPr>
      </w:pPr>
    </w:p>
    <w:bookmarkStart w:id="18" w:name="page19"/>
    <w:bookmarkEnd w:id="18"/>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140"/>
        <w:spacing w:after="0" w:line="238" w:lineRule="auto"/>
        <w:rPr>
          <w:sz w:val="20"/>
          <w:szCs w:val="20"/>
          <w:color w:val="auto"/>
        </w:rPr>
      </w:pPr>
      <w:r>
        <w:rPr>
          <w:rFonts w:ascii="Courier New" w:cs="Courier New" w:eastAsia="Courier New" w:hAnsi="Courier New"/>
          <w:sz w:val="15"/>
          <w:szCs w:val="15"/>
          <w:color w:val="auto"/>
        </w:rPr>
        <w:t>FOR THE THREE MONTHS ENDED JUNE 26, 2004 (IN MILLIONS)</w:t>
      </w:r>
    </w:p>
    <w:tbl>
      <w:tblPr>
        <w:tblLayout w:type="fixed"/>
        <w:tblInd w:w="0" w:type="dxa"/>
        <w:tblCellMar>
          <w:top w:w="0" w:type="dxa"/>
          <w:left w:w="0" w:type="dxa"/>
          <w:bottom w:w="0" w:type="dxa"/>
          <w:right w:w="0" w:type="dxa"/>
        </w:tblCellMar>
      </w:tblPr>
      <w:tr>
        <w:trPr>
          <w:trHeight w:val="168"/>
        </w:trPr>
        <w:tc>
          <w:tcPr>
            <w:tcW w:w="50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73"/>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00" w:type="dxa"/>
            <w:vAlign w:val="bottom"/>
          </w:tcPr>
          <w:p>
            <w:pPr>
              <w:spacing w:after="0"/>
              <w:rPr>
                <w:sz w:val="24"/>
                <w:szCs w:val="24"/>
                <w:color w:val="auto"/>
              </w:rPr>
            </w:pPr>
          </w:p>
        </w:tc>
        <w:tc>
          <w:tcPr>
            <w:tcW w:w="9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NON-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365.4</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251.1</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157.2</w:t>
            </w:r>
          </w:p>
        </w:tc>
        <w:tc>
          <w:tcPr>
            <w:tcW w:w="15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773.7</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 of sales...........................................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242.6</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126.6</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96.4</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465.6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Restructuring and other charges.........................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080" w:type="dxa"/>
            <w:vAlign w:val="bottom"/>
          </w:tcPr>
          <w:p>
            <w:pPr>
              <w:spacing w:after="0"/>
              <w:rPr>
                <w:sz w:val="14"/>
                <w:szCs w:val="14"/>
                <w:color w:val="auto"/>
              </w:rPr>
            </w:pP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122.8</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124.5</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60.6</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307.9</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commission earned from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commission from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w:t>
            </w:r>
          </w:p>
        </w:tc>
        <w:tc>
          <w:tcPr>
            <w:tcW w:w="3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5080" w:type="dxa"/>
            <w:vAlign w:val="bottom"/>
          </w:tcPr>
          <w:p>
            <w:pPr>
              <w:jc w:val="right"/>
              <w:ind w:right="3327"/>
              <w:spacing w:after="0" w:line="168" w:lineRule="exact"/>
              <w:rPr>
                <w:sz w:val="20"/>
                <w:szCs w:val="20"/>
                <w:color w:val="auto"/>
              </w:rPr>
            </w:pPr>
            <w:r>
              <w:rPr>
                <w:rFonts w:ascii="Courier New" w:cs="Courier New" w:eastAsia="Courier New" w:hAnsi="Courier New"/>
                <w:sz w:val="15"/>
                <w:szCs w:val="15"/>
                <w:color w:val="auto"/>
                <w:w w:val="97"/>
              </w:rPr>
              <w:t>Operating expenses: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Advertising...........................................</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41.7</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26.3</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(77.5)</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77.5</w:t>
            </w:r>
          </w:p>
        </w:tc>
        <w:tc>
          <w:tcPr>
            <w:tcW w:w="620" w:type="dxa"/>
            <w:vAlign w:val="bottom"/>
          </w:tcPr>
          <w:p>
            <w:pPr>
              <w:spacing w:after="0"/>
              <w:rPr>
                <w:sz w:val="14"/>
                <w:szCs w:val="14"/>
                <w:color w:val="auto"/>
              </w:rPr>
            </w:pPr>
          </w:p>
        </w:tc>
        <w:tc>
          <w:tcPr>
            <w:tcW w:w="6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income,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108.1</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16.6</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(77.5)</w:t>
            </w: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Costs related to refinancing............................</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113.7</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112.4</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(77.5)</w:t>
            </w: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tax expense......................................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100.3</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69.4</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(77.5)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100.3</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19" w:name="page20"/>
    <w:bookmarkEnd w:id="19"/>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240"/>
        <w:spacing w:after="0" w:line="238" w:lineRule="auto"/>
        <w:rPr>
          <w:sz w:val="20"/>
          <w:szCs w:val="20"/>
          <w:color w:val="auto"/>
        </w:rPr>
      </w:pPr>
      <w:r>
        <w:rPr>
          <w:rFonts w:ascii="Courier New" w:cs="Courier New" w:eastAsia="Courier New" w:hAnsi="Courier New"/>
          <w:sz w:val="15"/>
          <w:szCs w:val="15"/>
          <w:color w:val="auto"/>
        </w:rPr>
        <w:t>FOR THE NINE MONTHS ENDED JUNE 26, 2004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4"/>
                <w:szCs w:val="1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ELIMINATIONS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844.7</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448.0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396.4</w:t>
            </w:r>
          </w:p>
        </w:tc>
        <w:tc>
          <w:tcPr>
            <w:tcW w:w="14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$ 1,689.1</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 of sales...........................................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537.0</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262.6</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241.4</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1,041.0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307.3</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185.4</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154.5</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647.2</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commission earned from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42.6</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commission from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w:t>
            </w:r>
          </w:p>
        </w:tc>
        <w:tc>
          <w:tcPr>
            <w:tcW w:w="3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5080" w:type="dxa"/>
            <w:vAlign w:val="bottom"/>
          </w:tcPr>
          <w:p>
            <w:pPr>
              <w:jc w:val="right"/>
              <w:ind w:right="3327"/>
              <w:spacing w:after="0" w:line="168" w:lineRule="exact"/>
              <w:rPr>
                <w:sz w:val="20"/>
                <w:szCs w:val="20"/>
                <w:color w:val="auto"/>
              </w:rPr>
            </w:pPr>
            <w:r>
              <w:rPr>
                <w:rFonts w:ascii="Courier New" w:cs="Courier New" w:eastAsia="Courier New" w:hAnsi="Courier New"/>
                <w:sz w:val="15"/>
                <w:szCs w:val="15"/>
                <w:color w:val="auto"/>
                <w:w w:val="97"/>
              </w:rPr>
              <w:t>Operating expenses: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Advertising...........................................</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60.1</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24.8</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211.5</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36.4</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81.8</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329.7</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0.6</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(103.2)</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17.4</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income,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14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179.9</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139.4</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248.3</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33.7</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8.7</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Costs related to refinancing............................</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101.6</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143.7</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23.5</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tax expense (benefit)............................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55.0</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102.7</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14.5</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102.7</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60"/>
          </w:cols>
          <w:pgMar w:left="220" w:top="617" w:right="219" w:bottom="1440" w:gutter="0" w:footer="0" w:header="0"/>
        </w:sectPr>
      </w:pPr>
    </w:p>
    <w:bookmarkStart w:id="20" w:name="page21"/>
    <w:bookmarkEnd w:id="20"/>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980"/>
        <w:spacing w:after="0" w:line="238" w:lineRule="auto"/>
        <w:rPr>
          <w:sz w:val="20"/>
          <w:szCs w:val="20"/>
          <w:color w:val="auto"/>
        </w:rPr>
      </w:pPr>
      <w:r>
        <w:rPr>
          <w:rFonts w:ascii="Courier New" w:cs="Courier New" w:eastAsia="Courier New" w:hAnsi="Courier New"/>
          <w:sz w:val="15"/>
          <w:szCs w:val="15"/>
          <w:color w:val="auto"/>
        </w:rPr>
        <w:t>FOR THE NINE MONTH PERIOD ENDED JUNE 26, 2004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4"/>
                <w:szCs w:val="1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102.7</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14.5</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$(103.2)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04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provided by (used in) operating activities: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Costs related to refinancing..........................</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Stock-based compensation expense......................</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taxes........................................</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 (income) loss in subsidiaries..................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(103.2)</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103.2</w:t>
            </w: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change in certain components of working capital.....</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(123.2)</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(144.4)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changes in other assets and liabilities and other</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provided by (used in) operating activities.....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(64.9)</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73.5</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35.4</w:t>
            </w:r>
          </w:p>
        </w:tc>
        <w:tc>
          <w:tcPr>
            <w:tcW w:w="6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 in property, plant and equipment.............</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 in acquired businesses, net of cash acquired.</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Payments on seller notes................................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used in investing activities...................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6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borrowings under revolving and bank lines of credit.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Gross borrowings under term loans.......................</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500.0</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Gross repayments under term loans.......................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(427.0)</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(427.0)</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Issuance of 6 5/8% Notes................................</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Redemption of 8 5/8% Notes..............................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(418.0)</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(418.0)</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Financing fees..........................................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received from the exercise of stock options........</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Intracompany financing..................................</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92.0</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provided by financing activities...............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w:t>
            </w:r>
          </w:p>
        </w:tc>
        <w:tc>
          <w:tcPr>
            <w:tcW w:w="6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(130.7)</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Effect of exchange rate changes on cash.................</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increase (decrease) in cash.........................</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(116.0)</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6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(116.8)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beginning of period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132.1</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22.6</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155.9</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end of period................</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4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21" w:name="page22"/>
    <w:bookmarkEnd w:id="21"/>
    <w:p>
      <w:pPr>
        <w:jc w:val="center"/>
        <w:ind w:right="4520"/>
        <w:spacing w:after="0"/>
        <w:rPr>
          <w:sz w:val="20"/>
          <w:szCs w:val="20"/>
          <w:color w:val="auto"/>
        </w:rPr>
      </w:pPr>
      <w:r>
        <w:rPr>
          <w:rFonts w:ascii="Courier New" w:cs="Courier New" w:eastAsia="Courier New" w:hAnsi="Courier New"/>
          <w:sz w:val="15"/>
          <w:szCs w:val="15"/>
          <w:color w:val="auto"/>
        </w:rPr>
        <w:t>THE SCOTTS COMPANY</w:t>
      </w:r>
    </w:p>
    <w:p>
      <w:pPr>
        <w:jc w:val="center"/>
        <w:ind w:right="4440"/>
        <w:spacing w:after="0" w:line="237" w:lineRule="auto"/>
        <w:rPr>
          <w:sz w:val="20"/>
          <w:szCs w:val="20"/>
          <w:color w:val="auto"/>
        </w:rPr>
      </w:pPr>
      <w:r>
        <w:rPr>
          <w:rFonts w:ascii="Courier New" w:cs="Courier New" w:eastAsia="Courier New" w:hAnsi="Courier New"/>
          <w:sz w:val="15"/>
          <w:szCs w:val="15"/>
          <w:color w:val="auto"/>
        </w:rPr>
        <w:t>BALANCE SHEET</w:t>
      </w:r>
    </w:p>
    <w:p>
      <w:pPr>
        <w:jc w:val="center"/>
        <w:ind w:right="4440"/>
        <w:spacing w:after="0" w:line="238" w:lineRule="auto"/>
        <w:rPr>
          <w:sz w:val="20"/>
          <w:szCs w:val="20"/>
          <w:color w:val="auto"/>
        </w:rPr>
      </w:pPr>
      <w:r>
        <w:rPr>
          <w:rFonts w:ascii="Courier New" w:cs="Courier New" w:eastAsia="Courier New" w:hAnsi="Courier New"/>
          <w:sz w:val="15"/>
          <w:szCs w:val="15"/>
          <w:color w:val="auto"/>
        </w:rPr>
        <w:t>AS OF JUNE 26, 2004 (IN MILLIONS)</w:t>
      </w:r>
    </w:p>
    <w:p>
      <w:pPr>
        <w:jc w:val="center"/>
        <w:ind w:right="44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SUBSIDIARY</w:t>
            </w:r>
          </w:p>
        </w:tc>
        <w:tc>
          <w:tcPr>
            <w:tcW w:w="400" w:type="dxa"/>
            <w:vAlign w:val="bottom"/>
          </w:tcPr>
          <w:p>
            <w:pPr>
              <w:spacing w:after="0"/>
              <w:rPr>
                <w:sz w:val="14"/>
                <w:szCs w:val="1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right"/>
              <w:ind w:right="3307"/>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22.1</w:t>
            </w:r>
          </w:p>
        </w:tc>
        <w:tc>
          <w:tcPr>
            <w:tcW w:w="15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183.6</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182.9</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548.8</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50.8</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98.4</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335.5</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17.4</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241.7</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322.2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1,036.2</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plant and equipment, net.....................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43.2</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125.6</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Intangible assets, net.................................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279.6</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145.6</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430.1</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 in affiliates...............................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1,146.3</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(1,146.3)</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Intracompany assets....................................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65.5</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301.4</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1,943.5</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1,186.5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634.9</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$(1,513.2)</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2,251.7</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portion of debt..............................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14.9</w:t>
            </w:r>
          </w:p>
        </w:tc>
        <w:tc>
          <w:tcPr>
            <w:tcW w:w="15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83.6</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128.5</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106.8</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taxes........................................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79.5</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204.0</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17.6</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162.2</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Intracompany liabilities...............................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366.9</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1,083.4</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86.4</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588.7</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1,391.6</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Investment from parent...............................</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498.5</w:t>
            </w:r>
          </w:p>
        </w:tc>
        <w:tc>
          <w:tcPr>
            <w:tcW w:w="400" w:type="dxa"/>
            <w:vAlign w:val="bottom"/>
          </w:tcPr>
          <w:p>
            <w:pPr>
              <w:spacing w:after="0"/>
              <w:rPr>
                <w:sz w:val="24"/>
                <w:szCs w:val="2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55.6</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(554.1)</w:t>
            </w:r>
          </w:p>
        </w:tc>
        <w:tc>
          <w:tcPr>
            <w:tcW w:w="52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Common shares, no par value per share, $.01 stated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value per share.....................................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compensation - stock awards.................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434.5</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434.5</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603.4</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(620.8)</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(59.9)</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(26.8)</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28.6</w:t>
            </w: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860.1</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1,100.1</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46.2</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(1,146.3)</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860.1</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1,943.5</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1,186.5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634.9</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$(1,513.2)</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2,251.7</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22" w:name="page23"/>
    <w:bookmarkEnd w:id="22"/>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140"/>
        <w:spacing w:after="0" w:line="238" w:lineRule="auto"/>
        <w:rPr>
          <w:sz w:val="20"/>
          <w:szCs w:val="20"/>
          <w:color w:val="auto"/>
        </w:rPr>
      </w:pPr>
      <w:r>
        <w:rPr>
          <w:rFonts w:ascii="Courier New" w:cs="Courier New" w:eastAsia="Courier New" w:hAnsi="Courier New"/>
          <w:sz w:val="15"/>
          <w:szCs w:val="15"/>
          <w:color w:val="auto"/>
        </w:rPr>
        <w:t>FOR THE THREE MONTHS ENDED JUNE 28, 2003 (IN MILLIONS)</w:t>
      </w:r>
    </w:p>
    <w:tbl>
      <w:tblPr>
        <w:tblLayout w:type="fixed"/>
        <w:tblInd w:w="0" w:type="dxa"/>
        <w:tblCellMar>
          <w:top w:w="0" w:type="dxa"/>
          <w:left w:w="0" w:type="dxa"/>
          <w:bottom w:w="0" w:type="dxa"/>
          <w:right w:w="0" w:type="dxa"/>
        </w:tblCellMar>
      </w:tblPr>
      <w:tr>
        <w:trPr>
          <w:trHeight w:val="168"/>
        </w:trPr>
        <w:tc>
          <w:tcPr>
            <w:tcW w:w="50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73"/>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24"/>
                <w:szCs w:val="2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344.6</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226.8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138.6</w:t>
            </w:r>
          </w:p>
        </w:tc>
        <w:tc>
          <w:tcPr>
            <w:tcW w:w="15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710.0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 of sales...........................................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217.7</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122.6</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88.3</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428.6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126.6</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104.2</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commission earned from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commission from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w:t>
            </w:r>
          </w:p>
        </w:tc>
        <w:tc>
          <w:tcPr>
            <w:tcW w:w="3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5080" w:type="dxa"/>
            <w:vAlign w:val="bottom"/>
          </w:tcPr>
          <w:p>
            <w:pPr>
              <w:jc w:val="right"/>
              <w:ind w:right="3327"/>
              <w:spacing w:after="0" w:line="168" w:lineRule="exact"/>
              <w:rPr>
                <w:sz w:val="20"/>
                <w:szCs w:val="20"/>
                <w:color w:val="auto"/>
              </w:rPr>
            </w:pPr>
            <w:r>
              <w:rPr>
                <w:rFonts w:ascii="Courier New" w:cs="Courier New" w:eastAsia="Courier New" w:hAnsi="Courier New"/>
                <w:sz w:val="15"/>
                <w:szCs w:val="15"/>
                <w:color w:val="auto"/>
                <w:w w:val="97"/>
              </w:rPr>
              <w:t>Operating expenses: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6"/>
        </w:trPr>
        <w:tc>
          <w:tcPr>
            <w:tcW w:w="5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Advertising...........................................</w:t>
            </w:r>
          </w:p>
        </w:tc>
        <w:tc>
          <w:tcPr>
            <w:tcW w:w="2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w:t>
            </w:r>
          </w:p>
        </w:tc>
        <w:tc>
          <w:tcPr>
            <w:tcW w:w="38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24"/>
                <w:szCs w:val="2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7.6</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38.1</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62.7</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(65.2)</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65.2</w:t>
            </w:r>
          </w:p>
        </w:tc>
        <w:tc>
          <w:tcPr>
            <w:tcW w:w="620" w:type="dxa"/>
            <w:vAlign w:val="bottom"/>
          </w:tcPr>
          <w:p>
            <w:pPr>
              <w:spacing w:after="0"/>
              <w:rPr>
                <w:sz w:val="14"/>
                <w:szCs w:val="14"/>
                <w:color w:val="auto"/>
              </w:rPr>
            </w:pPr>
          </w:p>
        </w:tc>
        <w:tc>
          <w:tcPr>
            <w:tcW w:w="6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income,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120.6</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88.9</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(65.2)</w:t>
            </w: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92.8</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(65.2)</w:t>
            </w: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tax expense......................................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35.2</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91.2</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(65.2)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91.2</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23" w:name="page24"/>
    <w:bookmarkEnd w:id="23"/>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240"/>
        <w:spacing w:after="0" w:line="238" w:lineRule="auto"/>
        <w:rPr>
          <w:sz w:val="20"/>
          <w:szCs w:val="20"/>
          <w:color w:val="auto"/>
        </w:rPr>
      </w:pPr>
      <w:r>
        <w:rPr>
          <w:rFonts w:ascii="Courier New" w:cs="Courier New" w:eastAsia="Courier New" w:hAnsi="Courier New"/>
          <w:sz w:val="15"/>
          <w:szCs w:val="15"/>
          <w:color w:val="auto"/>
        </w:rPr>
        <w:t>FOR THE NINE MONTHS ENDED JUNE 28, 2003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4"/>
                <w:szCs w:val="1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794.5</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357.0</w:t>
            </w:r>
          </w:p>
        </w:tc>
        <w:tc>
          <w:tcPr>
            <w:tcW w:w="15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$ 1,567.0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 of sales...........................................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504.7</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253.9</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226.7</w:t>
            </w: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985.3</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0.7</w:t>
            </w: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284.8</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161.6</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129.6</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576.0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Gross commission earned from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w:t>
            </w: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commission from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w:t>
            </w:r>
          </w:p>
        </w:tc>
        <w:tc>
          <w:tcPr>
            <w:tcW w:w="3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080" w:type="dxa"/>
            <w:vAlign w:val="bottom"/>
          </w:tcPr>
          <w:p>
            <w:pPr>
              <w:jc w:val="right"/>
              <w:ind w:right="3327"/>
              <w:spacing w:after="0" w:line="168" w:lineRule="exact"/>
              <w:rPr>
                <w:sz w:val="20"/>
                <w:szCs w:val="20"/>
                <w:color w:val="auto"/>
              </w:rPr>
            </w:pPr>
            <w:r>
              <w:rPr>
                <w:rFonts w:ascii="Courier New" w:cs="Courier New" w:eastAsia="Courier New" w:hAnsi="Courier New"/>
                <w:sz w:val="15"/>
                <w:szCs w:val="15"/>
                <w:color w:val="auto"/>
                <w:w w:val="97"/>
              </w:rPr>
              <w:t>Operating expenses: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6"/>
        </w:trPr>
        <w:tc>
          <w:tcPr>
            <w:tcW w:w="5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Advertising...........................................</w:t>
            </w:r>
          </w:p>
        </w:tc>
        <w:tc>
          <w:tcPr>
            <w:tcW w:w="2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w:t>
            </w:r>
          </w:p>
        </w:tc>
        <w:tc>
          <w:tcPr>
            <w:tcW w:w="38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w:t>
            </w:r>
          </w:p>
        </w:tc>
        <w:tc>
          <w:tcPr>
            <w:tcW w:w="440" w:type="dxa"/>
            <w:vAlign w:val="bottom"/>
          </w:tcPr>
          <w:p>
            <w:pPr>
              <w:spacing w:after="0"/>
              <w:rPr>
                <w:sz w:val="24"/>
                <w:szCs w:val="2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19.0</w:t>
            </w:r>
          </w:p>
        </w:tc>
        <w:tc>
          <w:tcPr>
            <w:tcW w:w="152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81.7</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176.0</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35.1</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70.7</w:t>
            </w: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w:t>
            </w: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w:t>
            </w: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(90.4)</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90.4</w:t>
            </w: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8.7</w:t>
            </w:r>
          </w:p>
        </w:tc>
        <w:tc>
          <w:tcPr>
            <w:tcW w:w="1520" w:type="dxa"/>
            <w:vAlign w:val="bottom"/>
          </w:tcPr>
          <w:p>
            <w:pPr>
              <w:spacing w:after="0"/>
              <w:rPr>
                <w:sz w:val="14"/>
                <w:szCs w:val="14"/>
                <w:color w:val="auto"/>
              </w:rPr>
            </w:pP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income,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5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165.7</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116.1</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30.1</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221.5</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w:t>
            </w: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112.7</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127.7</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168.1</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tax expense (benefit)............................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48.5</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w:t>
            </w:r>
          </w:p>
        </w:tc>
        <w:tc>
          <w:tcPr>
            <w:tcW w:w="15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61.2</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(90.4)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106.9</w:t>
            </w:r>
          </w:p>
        </w:tc>
      </w:tr>
      <w:tr>
        <w:trPr>
          <w:trHeight w:val="168"/>
        </w:trPr>
        <w:tc>
          <w:tcPr>
            <w:tcW w:w="50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24" w:name="page25"/>
    <w:bookmarkEnd w:id="24"/>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980"/>
        <w:spacing w:after="0" w:line="238" w:lineRule="auto"/>
        <w:rPr>
          <w:sz w:val="20"/>
          <w:szCs w:val="20"/>
          <w:color w:val="auto"/>
        </w:rPr>
      </w:pPr>
      <w:r>
        <w:rPr>
          <w:rFonts w:ascii="Courier New" w:cs="Courier New" w:eastAsia="Courier New" w:hAnsi="Courier New"/>
          <w:sz w:val="15"/>
          <w:szCs w:val="15"/>
          <w:color w:val="auto"/>
        </w:rPr>
        <w:t>FOR THE NINE MONTH PERIOD ENDED JUNE 28, 2003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14"/>
                <w:szCs w:val="14"/>
                <w:color w:val="auto"/>
              </w:rPr>
            </w:pPr>
          </w:p>
        </w:tc>
        <w:tc>
          <w:tcPr>
            <w:tcW w:w="7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NON-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GUARANTORS</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jc w:val="right"/>
              <w:ind w:right="1207"/>
              <w:spacing w:after="0" w:line="168" w:lineRule="exact"/>
              <w:rPr>
                <w:sz w:val="20"/>
                <w:szCs w:val="20"/>
                <w:color w:val="auto"/>
              </w:rPr>
            </w:pPr>
            <w:r>
              <w:rPr>
                <w:rFonts w:ascii="Courier New" w:cs="Courier New" w:eastAsia="Courier New" w:hAnsi="Courier New"/>
                <w:sz w:val="15"/>
                <w:szCs w:val="15"/>
                <w:color w:val="auto"/>
              </w:rPr>
              <w:t>provided by (used in) operating activities:</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Stock-based compensation expense.......................</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Depreciation...........................................</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Amortization...........................................</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Deferred taxes.........................................</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Equity (income) loss in non-guarantors.................</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(90.4)</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90.4</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Net change in certain components of working capital......</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(62.3)</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(121.1)</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changes in other assets and liabilities and other</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adjustments............................................</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(23.3)</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52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Net cash provided by (used in) operating activities......</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52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Investment in property, plant and equipment..............</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Investment in acquired businesses, net of cash acquired..</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Payments on seller notes.................................</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52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52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Net borrowings under revolving and bank lines of credit..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Gross repayments under term loans........................</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Financing fees...........................................</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Cash received from the exercise of stock options.........</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Intracompany financing...................................</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(32.7)</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Net cash provided by financing activities................</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(32.7)</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Effect of exchange rate changes on cash..................</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2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Net increase (decrease) in cash..........................</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(0.8)</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(26.4)</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99.7</w:t>
            </w:r>
          </w:p>
        </w:tc>
      </w:tr>
      <w:tr>
        <w:trPr>
          <w:trHeight w:val="168"/>
        </w:trPr>
        <w:tc>
          <w:tcPr>
            <w:tcW w:w="52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56.6</w:t>
            </w:r>
          </w:p>
        </w:tc>
      </w:tr>
      <w:tr>
        <w:trPr>
          <w:trHeight w:val="168"/>
        </w:trPr>
        <w:tc>
          <w:tcPr>
            <w:tcW w:w="52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2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24</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00"/>
          </w:cols>
          <w:pgMar w:left="220" w:top="617" w:right="379" w:bottom="1440" w:gutter="0" w:footer="0" w:header="0"/>
        </w:sectPr>
      </w:pPr>
    </w:p>
    <w:bookmarkStart w:id="25" w:name="page26"/>
    <w:bookmarkEnd w:id="25"/>
    <w:p>
      <w:pPr>
        <w:jc w:val="center"/>
        <w:ind w:right="4520"/>
        <w:spacing w:after="0"/>
        <w:rPr>
          <w:sz w:val="20"/>
          <w:szCs w:val="20"/>
          <w:color w:val="auto"/>
        </w:rPr>
      </w:pPr>
      <w:r>
        <w:rPr>
          <w:rFonts w:ascii="Courier New" w:cs="Courier New" w:eastAsia="Courier New" w:hAnsi="Courier New"/>
          <w:sz w:val="15"/>
          <w:szCs w:val="15"/>
          <w:color w:val="auto"/>
        </w:rPr>
        <w:t>THE SCOTTS COMPANY</w:t>
      </w:r>
    </w:p>
    <w:p>
      <w:pPr>
        <w:jc w:val="center"/>
        <w:ind w:right="4440"/>
        <w:spacing w:after="0" w:line="237" w:lineRule="auto"/>
        <w:rPr>
          <w:sz w:val="20"/>
          <w:szCs w:val="20"/>
          <w:color w:val="auto"/>
        </w:rPr>
      </w:pPr>
      <w:r>
        <w:rPr>
          <w:rFonts w:ascii="Courier New" w:cs="Courier New" w:eastAsia="Courier New" w:hAnsi="Courier New"/>
          <w:sz w:val="15"/>
          <w:szCs w:val="15"/>
          <w:color w:val="auto"/>
        </w:rPr>
        <w:t>BALANCE SHEET</w:t>
      </w:r>
    </w:p>
    <w:p>
      <w:pPr>
        <w:jc w:val="center"/>
        <w:ind w:right="4440"/>
        <w:spacing w:after="0" w:line="238" w:lineRule="auto"/>
        <w:rPr>
          <w:sz w:val="20"/>
          <w:szCs w:val="20"/>
          <w:color w:val="auto"/>
        </w:rPr>
      </w:pPr>
      <w:r>
        <w:rPr>
          <w:rFonts w:ascii="Courier New" w:cs="Courier New" w:eastAsia="Courier New" w:hAnsi="Courier New"/>
          <w:sz w:val="15"/>
          <w:szCs w:val="15"/>
          <w:color w:val="auto"/>
        </w:rPr>
        <w:t>AS OF JUNE 28, 2003 (IN MILLIONS)</w:t>
      </w:r>
    </w:p>
    <w:p>
      <w:pPr>
        <w:jc w:val="center"/>
        <w:ind w:right="44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SUBSIDIARY</w:t>
            </w:r>
          </w:p>
        </w:tc>
        <w:tc>
          <w:tcPr>
            <w:tcW w:w="400" w:type="dxa"/>
            <w:vAlign w:val="bottom"/>
          </w:tcPr>
          <w:p>
            <w:pPr>
              <w:spacing w:after="0"/>
              <w:rPr>
                <w:sz w:val="14"/>
                <w:szCs w:val="1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right"/>
              <w:ind w:right="3387"/>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38.8</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16.6</w:t>
            </w:r>
          </w:p>
        </w:tc>
        <w:tc>
          <w:tcPr>
            <w:tcW w:w="15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194.7</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152.3</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174.1</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521.1</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47.8</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85.9</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77.7</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13.5</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522.1</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206.9</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290.0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1,019.0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plant and equipment, net.....................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92.0</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37.1</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90.9</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Intangible assets, net.................................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281.1</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140.1</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425.8</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 in affiliates...............................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1,029.6</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(1,029.6)</w:t>
            </w:r>
          </w:p>
        </w:tc>
        <w:tc>
          <w:tcPr>
            <w:tcW w:w="5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Intracompany assets....................................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206.5</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(206.5)</w:t>
            </w:r>
          </w:p>
        </w:tc>
        <w:tc>
          <w:tcPr>
            <w:tcW w:w="5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1,830.9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1,074.4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555.8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$(1,236.1)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2,225.0</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1387"/>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portion of debt..............................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42.1</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10.2</w:t>
            </w:r>
          </w:p>
        </w:tc>
        <w:tc>
          <w:tcPr>
            <w:tcW w:w="15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83.3</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123.7</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94.7</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253.6</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taxes........................................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348.2</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193.2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621.8</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604.8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143.3</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754.9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114.2</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16.8</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Intracompany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160.1</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(206.5)</w:t>
            </w:r>
          </w:p>
        </w:tc>
        <w:tc>
          <w:tcPr>
            <w:tcW w:w="5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1,113.6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513.4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(206.5)</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1,507.7</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495.9</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(548.3)</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Common shares, no par value per share, $.01 stated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value per share.....................................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compensation - stock awards.................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386.6</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386.6</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401.7</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493.1</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401.7</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stock.......................................</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26.6</w:t>
            </w: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717.3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987.2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(1,029.6)</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717.3</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1,830.9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1,074.4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555.8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$(1,236.1)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2,225.0</w:t>
            </w:r>
          </w:p>
        </w:tc>
      </w:tr>
      <w:tr>
        <w:trPr>
          <w:trHeight w:val="168"/>
        </w:trPr>
        <w:tc>
          <w:tcPr>
            <w:tcW w:w="49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25</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26" w:name="page27"/>
    <w:bookmarkEnd w:id="26"/>
    <w:p>
      <w:pPr>
        <w:ind w:left="2720"/>
        <w:spacing w:after="0"/>
        <w:rPr>
          <w:sz w:val="20"/>
          <w:szCs w:val="20"/>
          <w:color w:val="auto"/>
        </w:rPr>
      </w:pPr>
      <w:r>
        <w:rPr>
          <w:rFonts w:ascii="Courier New" w:cs="Courier New" w:eastAsia="Courier New" w:hAnsi="Courier New"/>
          <w:sz w:val="15"/>
          <w:szCs w:val="15"/>
          <w:color w:val="auto"/>
        </w:rPr>
        <w:t>THE SCOTTS COMPANY</w:t>
      </w:r>
    </w:p>
    <w:p>
      <w:pPr>
        <w:ind w:left="2980"/>
        <w:spacing w:after="0" w:line="237" w:lineRule="auto"/>
        <w:rPr>
          <w:sz w:val="20"/>
          <w:szCs w:val="20"/>
          <w:color w:val="auto"/>
        </w:rPr>
      </w:pPr>
      <w:r>
        <w:rPr>
          <w:rFonts w:ascii="Courier New" w:cs="Courier New" w:eastAsia="Courier New" w:hAnsi="Courier New"/>
          <w:sz w:val="15"/>
          <w:szCs w:val="15"/>
          <w:color w:val="auto"/>
        </w:rPr>
        <w:t>BALANCE SHEET</w:t>
      </w:r>
    </w:p>
    <w:p>
      <w:pPr>
        <w:ind w:left="2460"/>
        <w:spacing w:after="0" w:line="238" w:lineRule="auto"/>
        <w:rPr>
          <w:sz w:val="20"/>
          <w:szCs w:val="20"/>
          <w:color w:val="auto"/>
        </w:rPr>
      </w:pPr>
      <w:r>
        <w:rPr>
          <w:rFonts w:ascii="Courier New" w:cs="Courier New" w:eastAsia="Courier New" w:hAnsi="Courier New"/>
          <w:sz w:val="15"/>
          <w:szCs w:val="15"/>
          <w:color w:val="auto"/>
        </w:rPr>
        <w:t>AS OF SEPTEMBER 30, 2003</w:t>
      </w:r>
    </w:p>
    <w:tbl>
      <w:tblPr>
        <w:tblLayout w:type="fixed"/>
        <w:tblInd w:w="0" w:type="dxa"/>
        <w:tblCellMar>
          <w:top w:w="0" w:type="dxa"/>
          <w:left w:w="0" w:type="dxa"/>
          <w:bottom w:w="0" w:type="dxa"/>
          <w:right w:w="0" w:type="dxa"/>
        </w:tblCellMar>
      </w:tblPr>
      <w:tr>
        <w:trPr>
          <w:trHeight w:val="168"/>
        </w:trPr>
        <w:tc>
          <w:tcPr>
            <w:tcW w:w="4820" w:type="dxa"/>
            <w:vAlign w:val="bottom"/>
          </w:tcPr>
          <w:p>
            <w:pPr>
              <w:ind w:left="2980"/>
              <w:spacing w:after="0" w:line="168" w:lineRule="exact"/>
              <w:rPr>
                <w:sz w:val="20"/>
                <w:szCs w:val="20"/>
                <w:color w:val="auto"/>
              </w:rPr>
            </w:pPr>
            <w:r>
              <w:rPr>
                <w:rFonts w:ascii="Courier New" w:cs="Courier New" w:eastAsia="Courier New" w:hAnsi="Courier New"/>
                <w:sz w:val="15"/>
                <w:szCs w:val="15"/>
                <w:color w:val="auto"/>
              </w:rPr>
              <w:t>(IN MILLIONS)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SUBSIDIARY</w:t>
            </w:r>
          </w:p>
        </w:tc>
        <w:tc>
          <w:tcPr>
            <w:tcW w:w="400" w:type="dxa"/>
            <w:vAlign w:val="bottom"/>
          </w:tcPr>
          <w:p>
            <w:pPr>
              <w:spacing w:after="0"/>
              <w:rPr>
                <w:sz w:val="24"/>
                <w:szCs w:val="2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PARENT</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ind w:left="880"/>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132.1</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22.6</w:t>
            </w:r>
          </w:p>
        </w:tc>
        <w:tc>
          <w:tcPr>
            <w:tcW w:w="1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155.9</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103.3</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99.8</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87.4</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290.5</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 net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143.6</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82.1</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276.1</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w:t>
            </w: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155.0</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90.6</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40.8</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294.3</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91.7</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406.5</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281.8</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141.4</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affiliates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1,066.3</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(1,066.3)</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assets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275.2</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(275.2)</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1,796.2</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1,098.4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477.2</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$(1,341.5)</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2,030.3</w:t>
            </w: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debt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w:t>
            </w:r>
          </w:p>
        </w:tc>
        <w:tc>
          <w:tcPr>
            <w:tcW w:w="1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52.0</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149.0</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111.4</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97.1</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234.3</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taxes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65.0</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155.3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603.8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88.7</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137.2</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14.5</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liabilities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99.1</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176.1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(275.2)</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1,068.0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74.7</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434.6</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(275.2)</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1,302.1</w:t>
            </w: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510.7</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65.3</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(576.0)</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shares, no par value per share, $.01 stated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value per share, 32.0 shares issued in 2003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compensation - stock awards</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in excess of stated value</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398.4</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398.4</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398.6</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514.8</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398.6</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(60.8)</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728.2</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1,023.7</w:t>
            </w:r>
          </w:p>
        </w:tc>
        <w:tc>
          <w:tcPr>
            <w:tcW w:w="4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42.6</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(1,066.3)</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728.2</w:t>
            </w: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1,796.2</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1,098.4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477.2</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$(1,341.5)</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2,030.3</w:t>
            </w:r>
          </w:p>
        </w:tc>
      </w:tr>
      <w:tr>
        <w:trPr>
          <w:trHeight w:val="168"/>
        </w:trPr>
        <w:tc>
          <w:tcPr>
            <w:tcW w:w="48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20" w:type="dxa"/>
            <w:vAlign w:val="bottom"/>
          </w:tcPr>
          <w:p>
            <w:pPr>
              <w:ind w:left="3420"/>
              <w:spacing w:after="0"/>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80"/>
          </w:cols>
          <w:pgMar w:left="220" w:top="617" w:right="299" w:bottom="1440" w:gutter="0" w:footer="0" w:header="0"/>
        </w:sectPr>
      </w:pPr>
    </w:p>
    <w:bookmarkStart w:id="27" w:name="page28"/>
    <w:bookmarkEnd w:id="27"/>
    <w:p>
      <w:pPr>
        <w:ind w:left="700" w:right="3319" w:hanging="69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We also have a presence in Canada, Australia, the Far East, Latin America and South America. Also, in the United States, we operate and franchise the second largest residential lawn service business, Scotts LawnService(R). In fiscal 2004, our operations are divided into three reportable segments: North America, Scotts LawnService(R) and International.</w:t>
      </w:r>
    </w:p>
    <w:p>
      <w:pPr>
        <w:spacing w:after="0" w:line="17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As a leading consumer branded lawn and garden company, we focus our consumer marketing efforts, including advertising and consumer research, on creating consumer demand to pull products through retail distribution channels. In the past three years, we have spent approximately 5% of our net sales 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make additional investments in consumer marketing expenditures in the future to continue to drive category growth and increased market share. In fiscal 2004, we have increased advertising spending as we deliver a new media message for the Ortho(R) line, increased our advertising on selected brands in Europe and continue to have the largest share of voice in our lawn and garden categories in North America.</w:t>
      </w:r>
    </w:p>
    <w:p>
      <w:pPr>
        <w:spacing w:after="0" w:line="332"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Our sales are susceptible to global weather conditions. For instance, periods of wet weather like we experienced in the spring of 2003 in the United States adversely impacted fertilizer sales, but increased demand for certain pesticide products. We believe that our past acquisitions have somewhat diversified both our product line risk and geographic risk to weather conditions.</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Historically, the majority of our shipments to retailers have occurred in the second and third fiscal quarters. However, over the past three years, retailers have reduced their pre-season inventories by relying on vendors to deliver products "in season" when consumers seek to buy our products. This change in retailer purchasing patterns and the increasing importance of Scotts LawnService(R) revenues have caused a sales shift from our second fiscal quarter to the third and fourth fiscal quarters. Fiscal 2003 net sales by quarter were 9.5%, 35.4%, 37.2%, and 17.9%, respectively. Concurrent with this sales shift, and because of the expansion of Scotts LawnService(R), the Company has experienced a shift in profitability from the second to third and fourth fiscal quarters, with the third fiscal quarter now more profitable than the second fiscal quarter. Results for the Company's fourth fiscal quarter, historically a loss making quarter, improved substantially in fiscal 2003 as the quarter became profitable. We expect the trend towards stronger fourth fiscal quarter sales and profits to continue in fiscal 2004.</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fiscal 2002, we announced the International Profit Improvement Plan to improve the operations and profitability of our European-based consumer and professional businesses. We have expended approximately $35 million through June 26, 2004, of which approximately 25% has been capital expenditures, primarily technology related. The remaining 75% of the total spending relates to the reorganization and rationalization of our European supply chain, increased sales force productivity and a shift to Pan-European category management of our product portfolio. By the end of fiscal 2005, we anticipate a cumulative total of $45 million to $55 million will have been spent on various projects related to this plan. Under the plan, profitability has improved, but the International business continues to perform below expectations. As such, we are aggressively exploring all options for this business.</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January 2003, the Financial Accounting Standards Board (FASB) issued FASB Interpretation 46, "Consolidation of Variable Interest Entities, an Interpretation of ARB No. 51" (FIN 46). In December 2003, the FASB modified FIN 46 to make certain technical corrections and address certain implementation issues that had arisen. FIN 46 provides a new framework for identifying variable interest entities (VIEs) and determining when a company should include the assets, liabilities, noncontrolling interests, and results of activities of a VIE in its consolidated financial statements. Reference should be made to Note 10 to the Condensed, Consolidated Financial Statements (unaudited) included in Part I, Item 1 of this Quarterly Report on Form 10-Q for additional information as to the Company's assessment of FIN 46.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following discussion and analysis of the consolidated financial condition and results of operations should be read in conjunction with our Condensed, Consolidated Financial Statements included elsewhere in this Quarterly Report on Form 10-Q. Our Annual Report on Form 10-K for the fiscal year ended September 30, 2003 includes additional information about the Company, our operations and our financial position, and should be read in conjunction with this Quarterly Report on Form 10-Q.</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021" w:gutter="0" w:footer="0" w:header="0"/>
        </w:sectPr>
      </w:pPr>
    </w:p>
    <w:bookmarkStart w:id="28" w:name="page29"/>
    <w:bookmarkEnd w:id="28"/>
    <w:p>
      <w:pPr>
        <w:ind w:right="3239"/>
        <w:spacing w:after="0" w:line="237"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74" w:lineRule="exact"/>
        <w:rPr>
          <w:sz w:val="20"/>
          <w:szCs w:val="20"/>
          <w:color w:val="auto"/>
        </w:rPr>
      </w:pPr>
    </w:p>
    <w:p>
      <w:pPr>
        <w:ind w:left="540" w:right="3239" w:hanging="530"/>
        <w:spacing w:after="0" w:line="255" w:lineRule="auto"/>
        <w:tabs>
          <w:tab w:leader="none" w:pos="1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63" w:lineRule="exact"/>
        <w:rPr>
          <w:rFonts w:ascii="Courier New" w:cs="Courier New" w:eastAsia="Courier New" w:hAnsi="Courier New"/>
          <w:sz w:val="15"/>
          <w:szCs w:val="15"/>
          <w:color w:val="auto"/>
        </w:rPr>
      </w:pPr>
    </w:p>
    <w:p>
      <w:pPr>
        <w:ind w:left="540" w:right="3579" w:hanging="530"/>
        <w:spacing w:after="0" w:line="236" w:lineRule="auto"/>
        <w:tabs>
          <w:tab w:leader="none" w:pos="1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results of operations or financial position.</w:t>
      </w:r>
    </w:p>
    <w:p>
      <w:pPr>
        <w:spacing w:after="0" w:line="174" w:lineRule="exact"/>
        <w:rPr>
          <w:rFonts w:ascii="Courier New" w:cs="Courier New" w:eastAsia="Courier New" w:hAnsi="Courier New"/>
          <w:sz w:val="15"/>
          <w:szCs w:val="15"/>
          <w:color w:val="auto"/>
        </w:rPr>
      </w:pPr>
    </w:p>
    <w:p>
      <w:pPr>
        <w:ind w:left="540" w:right="3239" w:hanging="530"/>
        <w:spacing w:after="0" w:line="236" w:lineRule="auto"/>
        <w:tabs>
          <w:tab w:leader="none" w:pos="1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 or financial position.</w:t>
      </w:r>
    </w:p>
    <w:p>
      <w:pPr>
        <w:spacing w:after="0" w:line="173" w:lineRule="exact"/>
        <w:rPr>
          <w:rFonts w:ascii="Courier New" w:cs="Courier New" w:eastAsia="Courier New" w:hAnsi="Courier New"/>
          <w:sz w:val="15"/>
          <w:szCs w:val="15"/>
          <w:color w:val="auto"/>
        </w:rPr>
      </w:pPr>
    </w:p>
    <w:p>
      <w:pPr>
        <w:ind w:left="540" w:right="3319" w:hanging="530"/>
        <w:spacing w:after="0" w:line="236" w:lineRule="auto"/>
        <w:tabs>
          <w:tab w:leader="none" w:pos="1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74" w:lineRule="exact"/>
        <w:rPr>
          <w:rFonts w:ascii="Courier New" w:cs="Courier New" w:eastAsia="Courier New" w:hAnsi="Courier New"/>
          <w:sz w:val="15"/>
          <w:szCs w:val="15"/>
          <w:color w:val="auto"/>
        </w:rPr>
      </w:pPr>
    </w:p>
    <w:p>
      <w:pPr>
        <w:ind w:left="540" w:right="3239" w:hanging="530"/>
        <w:spacing w:after="0" w:line="255" w:lineRule="auto"/>
        <w:tabs>
          <w:tab w:leader="none" w:pos="1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As described more fully in the notes to the Consolidated Financial Statements for the fiscal year ended September 30, 2003,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64" w:lineRule="exact"/>
        <w:rPr>
          <w:rFonts w:ascii="Courier New" w:cs="Courier New" w:eastAsia="Courier New" w:hAnsi="Courier New"/>
          <w:sz w:val="15"/>
          <w:szCs w:val="15"/>
          <w:color w:val="auto"/>
        </w:rPr>
      </w:pPr>
    </w:p>
    <w:p>
      <w:pPr>
        <w:ind w:left="540" w:right="3139" w:hanging="530"/>
        <w:spacing w:after="0" w:line="255" w:lineRule="auto"/>
        <w:tabs>
          <w:tab w:leader="none" w:pos="1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165" w:lineRule="exact"/>
        <w:rPr>
          <w:rFonts w:ascii="Courier New" w:cs="Courier New" w:eastAsia="Courier New" w:hAnsi="Courier New"/>
          <w:sz w:val="15"/>
          <w:szCs w:val="15"/>
          <w:color w:val="auto"/>
        </w:rPr>
      </w:pPr>
    </w:p>
    <w:p>
      <w:pPr>
        <w:ind w:left="540" w:right="3059" w:hanging="530"/>
        <w:spacing w:after="0" w:line="255" w:lineRule="auto"/>
        <w:tabs>
          <w:tab w:leader="none" w:pos="1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statement of operations reflect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w:t>
      </w:r>
    </w:p>
    <w:p>
      <w:pPr>
        <w:spacing w:after="0" w:line="163" w:lineRule="exact"/>
        <w:rPr>
          <w:rFonts w:ascii="Courier New" w:cs="Courier New" w:eastAsia="Courier New" w:hAnsi="Courier New"/>
          <w:sz w:val="15"/>
          <w:szCs w:val="15"/>
          <w:color w:val="auto"/>
        </w:rPr>
      </w:pPr>
    </w:p>
    <w:p>
      <w:pPr>
        <w:ind w:left="540"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 each interim period based on the facts and circumstances available at that time, while the actual effective tax rate is calculated at year-end.</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2"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4460" w:firstLine="525"/>
        <w:spacing w:after="0" w:line="234" w:lineRule="auto"/>
        <w:rPr>
          <w:sz w:val="20"/>
          <w:szCs w:val="20"/>
          <w:color w:val="auto"/>
        </w:rPr>
      </w:pPr>
      <w:r>
        <w:rPr>
          <w:rFonts w:ascii="Courier New" w:cs="Courier New" w:eastAsia="Courier New" w:hAnsi="Courier New"/>
          <w:sz w:val="15"/>
          <w:szCs w:val="15"/>
          <w:color w:val="auto"/>
        </w:rPr>
        <w:t>The following table sets forth net sales by business segment for the three and nine month periods ended June 26, 2004 and June 28, 2003: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FOR THE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1"/>
              </w:rPr>
              <w:t>FOR THE</w:t>
            </w:r>
          </w:p>
        </w:tc>
      </w:tr>
      <w:tr>
        <w:trPr>
          <w:trHeight w:val="168"/>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THREE MONTHS ENDED</w:t>
            </w: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NINE MONTHS ENDED</w:t>
            </w:r>
          </w:p>
        </w:tc>
      </w:tr>
      <w:tr>
        <w:trPr>
          <w:trHeight w:val="168"/>
        </w:trPr>
        <w:tc>
          <w:tcPr>
            <w:tcW w:w="6560" w:type="dxa"/>
            <w:vAlign w:val="bottom"/>
          </w:tcPr>
          <w:p>
            <w:pPr>
              <w:spacing w:after="0"/>
              <w:rPr>
                <w:sz w:val="14"/>
                <w:szCs w:val="14"/>
                <w:color w:val="auto"/>
              </w:rPr>
            </w:pPr>
          </w:p>
        </w:tc>
        <w:tc>
          <w:tcPr>
            <w:tcW w:w="150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72"/>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spacing w:after="0"/>
              <w:rPr>
                <w:sz w:val="14"/>
                <w:szCs w:val="14"/>
                <w:color w:val="auto"/>
              </w:rPr>
            </w:pPr>
          </w:p>
        </w:tc>
        <w:tc>
          <w:tcPr>
            <w:tcW w:w="15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26,</w:t>
            </w: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JUNE 28,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26,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28,</w:t>
            </w:r>
          </w:p>
        </w:tc>
      </w:tr>
      <w:tr>
        <w:trPr>
          <w:trHeight w:val="168"/>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2003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560" w:type="dxa"/>
            <w:vAlign w:val="bottom"/>
          </w:tcPr>
          <w:p>
            <w:pPr>
              <w:spacing w:after="0"/>
              <w:rPr>
                <w:sz w:val="14"/>
                <w:szCs w:val="14"/>
                <w:color w:val="auto"/>
              </w:rPr>
            </w:pPr>
          </w:p>
        </w:tc>
        <w:tc>
          <w:tcPr>
            <w:tcW w:w="15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14"/>
                <w:szCs w:val="14"/>
                <w:color w:val="auto"/>
              </w:rPr>
            </w:pPr>
          </w:p>
        </w:tc>
      </w:tr>
      <w:tr>
        <w:trPr>
          <w:trHeight w:val="168"/>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 MILLIONS)</w:t>
            </w:r>
          </w:p>
        </w:tc>
        <w:tc>
          <w:tcPr>
            <w:tcW w:w="1300" w:type="dxa"/>
            <w:vAlign w:val="bottom"/>
          </w:tcPr>
          <w:p>
            <w:pPr>
              <w:spacing w:after="0"/>
              <w:rPr>
                <w:sz w:val="14"/>
                <w:szCs w:val="14"/>
                <w:color w:val="auto"/>
              </w:rPr>
            </w:pPr>
          </w:p>
        </w:tc>
      </w:tr>
      <w:tr>
        <w:trPr>
          <w:trHeight w:val="336"/>
        </w:trPr>
        <w:tc>
          <w:tcPr>
            <w:tcW w:w="65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North America...........................................................</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587.0</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547.1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$1,247.6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$1,172.7</w:t>
            </w:r>
          </w:p>
        </w:tc>
      </w:tr>
      <w:tr>
        <w:trPr>
          <w:trHeight w:val="168"/>
        </w:trPr>
        <w:tc>
          <w:tcPr>
            <w:tcW w:w="6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Scotts LawnService (R) .................................................</w:t>
            </w:r>
          </w:p>
        </w:tc>
        <w:tc>
          <w:tcPr>
            <w:tcW w:w="44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w:t>
            </w:r>
          </w:p>
        </w:tc>
      </w:tr>
      <w:tr>
        <w:trPr>
          <w:trHeight w:val="168"/>
        </w:trPr>
        <w:tc>
          <w:tcPr>
            <w:tcW w:w="6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International...........................................................</w:t>
            </w:r>
          </w:p>
        </w:tc>
        <w:tc>
          <w:tcPr>
            <w:tcW w:w="44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136.7</w:t>
            </w:r>
          </w:p>
        </w:tc>
        <w:tc>
          <w:tcPr>
            <w:tcW w:w="2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w:t>
            </w:r>
          </w:p>
        </w:tc>
      </w:tr>
      <w:tr>
        <w:trPr>
          <w:trHeight w:val="168"/>
        </w:trPr>
        <w:tc>
          <w:tcPr>
            <w:tcW w:w="6560" w:type="dxa"/>
            <w:vAlign w:val="bottom"/>
          </w:tcPr>
          <w:p>
            <w:pPr>
              <w:spacing w:after="0"/>
              <w:rPr>
                <w:sz w:val="14"/>
                <w:szCs w:val="14"/>
                <w:color w:val="auto"/>
              </w:rPr>
            </w:pPr>
          </w:p>
        </w:tc>
        <w:tc>
          <w:tcPr>
            <w:tcW w:w="15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Consolidated..........................................................</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773.7</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$1,689.1</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$1,567.0</w:t>
            </w:r>
          </w:p>
        </w:tc>
      </w:tr>
      <w:tr>
        <w:trPr>
          <w:trHeight w:val="168"/>
        </w:trPr>
        <w:tc>
          <w:tcPr>
            <w:tcW w:w="6560" w:type="dxa"/>
            <w:vAlign w:val="bottom"/>
          </w:tcPr>
          <w:p>
            <w:pPr>
              <w:spacing w:after="0"/>
              <w:rPr>
                <w:sz w:val="14"/>
                <w:szCs w:val="14"/>
                <w:color w:val="auto"/>
              </w:rPr>
            </w:pPr>
          </w:p>
        </w:tc>
        <w:tc>
          <w:tcPr>
            <w:tcW w:w="15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460" w:firstLine="525"/>
        <w:spacing w:after="0" w:line="235"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and nine month periods ended June 26, 2004 and June 28, 2003:</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5"/>
              </w:rPr>
              <w:t>FOR THE</w:t>
            </w:r>
          </w:p>
        </w:tc>
        <w:tc>
          <w:tcPr>
            <w:tcW w:w="1100" w:type="dxa"/>
            <w:vAlign w:val="bottom"/>
          </w:tcPr>
          <w:p>
            <w:pPr>
              <w:spacing w:after="0"/>
              <w:rPr>
                <w:sz w:val="14"/>
                <w:szCs w:val="14"/>
                <w:color w:val="auto"/>
              </w:rPr>
            </w:pPr>
          </w:p>
        </w:tc>
        <w:tc>
          <w:tcPr>
            <w:tcW w:w="13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8"/>
              </w:rPr>
              <w:t>FOR THE</w:t>
            </w:r>
          </w:p>
        </w:tc>
      </w:tr>
      <w:tr>
        <w:trPr>
          <w:trHeight w:val="168"/>
        </w:trPr>
        <w:tc>
          <w:tcPr>
            <w:tcW w:w="6300" w:type="dxa"/>
            <w:vAlign w:val="bottom"/>
          </w:tcPr>
          <w:p>
            <w:pPr>
              <w:spacing w:after="0"/>
              <w:rPr>
                <w:sz w:val="14"/>
                <w:szCs w:val="14"/>
                <w:color w:val="auto"/>
              </w:rPr>
            </w:pPr>
          </w:p>
        </w:tc>
        <w:tc>
          <w:tcPr>
            <w:tcW w:w="27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THREE MONTHS ENDED</w:t>
            </w:r>
          </w:p>
        </w:tc>
        <w:tc>
          <w:tcPr>
            <w:tcW w:w="2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NINE MONTHS ENDED</w:t>
            </w:r>
          </w:p>
        </w:tc>
      </w:tr>
      <w:tr>
        <w:trPr>
          <w:trHeight w:val="168"/>
        </w:trPr>
        <w:tc>
          <w:tcPr>
            <w:tcW w:w="6300" w:type="dxa"/>
            <w:vAlign w:val="bottom"/>
          </w:tcPr>
          <w:p>
            <w:pPr>
              <w:spacing w:after="0"/>
              <w:rPr>
                <w:sz w:val="14"/>
                <w:szCs w:val="14"/>
                <w:color w:val="auto"/>
              </w:rPr>
            </w:pPr>
          </w:p>
        </w:tc>
        <w:tc>
          <w:tcPr>
            <w:tcW w:w="27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JUNE 26,</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JUNE 28,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26,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28,</w:t>
            </w:r>
          </w:p>
        </w:tc>
      </w:tr>
      <w:tr>
        <w:trPr>
          <w:trHeight w:val="168"/>
        </w:trPr>
        <w:tc>
          <w:tcPr>
            <w:tcW w:w="6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2004</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(UNAUDITED)</w:t>
            </w:r>
          </w:p>
        </w:tc>
        <w:tc>
          <w:tcPr>
            <w:tcW w:w="1340" w:type="dxa"/>
            <w:vAlign w:val="bottom"/>
          </w:tcPr>
          <w:p>
            <w:pPr>
              <w:spacing w:after="0"/>
              <w:rPr>
                <w:sz w:val="14"/>
                <w:szCs w:val="14"/>
                <w:color w:val="auto"/>
              </w:rPr>
            </w:pPr>
          </w:p>
        </w:tc>
      </w:tr>
      <w:tr>
        <w:trPr>
          <w:trHeight w:val="336"/>
        </w:trPr>
        <w:tc>
          <w:tcPr>
            <w:tcW w:w="63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Net sales...........................................................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Cost of sales.......................................................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Restructuring and other charges.....................................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6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Gross profit........................................................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38.3</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Net commission (expense) from marketing agreement...................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6300" w:type="dxa"/>
            <w:vAlign w:val="bottom"/>
          </w:tcPr>
          <w:p>
            <w:pPr>
              <w:jc w:val="right"/>
              <w:ind w:right="4547"/>
              <w:spacing w:after="0" w:line="168" w:lineRule="exact"/>
              <w:rPr>
                <w:sz w:val="20"/>
                <w:szCs w:val="20"/>
                <w:color w:val="auto"/>
              </w:rPr>
            </w:pPr>
            <w:r>
              <w:rPr>
                <w:rFonts w:ascii="Courier New" w:cs="Courier New" w:eastAsia="Courier New" w:hAnsi="Courier New"/>
                <w:sz w:val="15"/>
                <w:szCs w:val="15"/>
                <w:color w:val="auto"/>
                <w:w w:val="97"/>
              </w:rPr>
              <w:t>Operating expenses:</w:t>
            </w: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Advertising.......................................................</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Selling, general and administrative - lawn service business.......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Stock-based compensation..........................................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Restructuring and other charges...................................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Amortization of intangibles.......................................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Other expense (income), net.......................................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6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Income from operations..............................................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Costs related to refinancing........................................</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Income before income taxes..........................................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6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6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26, 2004 COMPARED TO THREE MONTHS ENDED JUNE 28, 2003</w:t>
      </w:r>
    </w:p>
    <w:p>
      <w:pPr>
        <w:spacing w:after="0" w:line="173" w:lineRule="exact"/>
        <w:rPr>
          <w:sz w:val="20"/>
          <w:szCs w:val="20"/>
          <w:color w:val="auto"/>
        </w:rPr>
      </w:pPr>
    </w:p>
    <w:p>
      <w:pPr>
        <w:ind w:right="4460" w:firstLine="525"/>
        <w:spacing w:after="0" w:line="255" w:lineRule="auto"/>
        <w:rPr>
          <w:sz w:val="20"/>
          <w:szCs w:val="20"/>
          <w:color w:val="auto"/>
        </w:rPr>
      </w:pPr>
      <w:r>
        <w:rPr>
          <w:rFonts w:ascii="Courier New" w:cs="Courier New" w:eastAsia="Courier New" w:hAnsi="Courier New"/>
          <w:sz w:val="14"/>
          <w:szCs w:val="14"/>
          <w:color w:val="auto"/>
        </w:rPr>
        <w:t>Net sales for the three months ended June 26, 2004 were $773.7 million, an increase of 9.0% from net sales of $710.0 million for the three months ended June 28, 2003. Excluding the effect of exchange rates, sales for the third quarter of fiscal 2004 were $764.2 million, or 7.6% above the third quarter of fiscal 2003. Price increases are not material to the discussion of net sales in total or by reportable segment for either fiscal period presented.</w:t>
      </w:r>
    </w:p>
    <w:p>
      <w:pPr>
        <w:spacing w:after="0" w:line="166" w:lineRule="exact"/>
        <w:rPr>
          <w:sz w:val="20"/>
          <w:szCs w:val="20"/>
          <w:color w:val="auto"/>
        </w:rPr>
      </w:pPr>
    </w:p>
    <w:p>
      <w:pPr>
        <w:ind w:right="4460" w:firstLine="525"/>
        <w:spacing w:after="0" w:line="236" w:lineRule="auto"/>
        <w:rPr>
          <w:sz w:val="20"/>
          <w:szCs w:val="20"/>
          <w:color w:val="auto"/>
        </w:rPr>
      </w:pPr>
      <w:r>
        <w:rPr>
          <w:rFonts w:ascii="Courier New" w:cs="Courier New" w:eastAsia="Courier New" w:hAnsi="Courier New"/>
          <w:sz w:val="15"/>
          <w:szCs w:val="15"/>
          <w:color w:val="auto"/>
        </w:rPr>
        <w:t>The North America segment net sales were $587.0 million in the third quarter of fiscal 2004, an increase of 7.3% from net sales of $547.1 million for the third quarter of fiscal 2003. This increase was driven primarily by higher sales within our Ortho(R) and Growing Media groups primarily as a result of increased listings at our top three retail accounts.</w:t>
      </w:r>
    </w:p>
    <w:p>
      <w:pPr>
        <w:spacing w:after="0" w:line="174" w:lineRule="exact"/>
        <w:rPr>
          <w:sz w:val="20"/>
          <w:szCs w:val="20"/>
          <w:color w:val="auto"/>
        </w:rPr>
      </w:pPr>
    </w:p>
    <w:p>
      <w:pPr>
        <w:ind w:right="4460" w:firstLine="525"/>
        <w:spacing w:after="0" w:line="255" w:lineRule="auto"/>
        <w:rPr>
          <w:sz w:val="20"/>
          <w:szCs w:val="20"/>
          <w:color w:val="auto"/>
        </w:rPr>
      </w:pPr>
      <w:r>
        <w:rPr>
          <w:rFonts w:ascii="Courier New" w:cs="Courier New" w:eastAsia="Courier New" w:hAnsi="Courier New"/>
          <w:sz w:val="14"/>
          <w:szCs w:val="14"/>
          <w:color w:val="auto"/>
        </w:rPr>
        <w:t>Scotts LawnService(R) revenues increased 23.5% from $40.5 million in the third quarter of fiscal 2003 to $50.0 million in the third quarter of fiscal 2004. The majority of the increase was due to higher customer counts from organic growth from improved customer retention and new customer sign ups from our Spring marketing campaign. Part of the growth, approximately one-fourth, was from acquisitions completed in the second half of fiscal 2003. Scotts LawnService(R) did not acquire any lawn service businesses in fiscal 2004.</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460"/>
          </w:cols>
          <w:pgMar w:left="220" w:top="617" w:right="219" w:bottom="853" w:gutter="0" w:footer="0" w:header="0"/>
        </w:sectPr>
      </w:pPr>
    </w:p>
    <w:bookmarkStart w:id="30" w:name="page31"/>
    <w:bookmarkEnd w:id="30"/>
    <w:p>
      <w:pPr>
        <w:ind w:right="3239" w:firstLine="525"/>
        <w:spacing w:after="0" w:line="255" w:lineRule="auto"/>
        <w:rPr>
          <w:sz w:val="20"/>
          <w:szCs w:val="20"/>
          <w:color w:val="auto"/>
        </w:rPr>
      </w:pPr>
      <w:r>
        <w:rPr>
          <w:rFonts w:ascii="Courier New" w:cs="Courier New" w:eastAsia="Courier New" w:hAnsi="Courier New"/>
          <w:sz w:val="14"/>
          <w:szCs w:val="14"/>
          <w:color w:val="auto"/>
        </w:rPr>
        <w:t>Net sales for the International segment in the third quarter of fiscal 2004 were $136.7 million, an increase of $14.3 million, or 11.7%, versus the third quarter of fiscal 2003. Excluding the effect of exchange rates, net sales increased by 4.3%. This increase in net sales was primarily due to higher sales in the U.K. occurring in the third quarter due to additional listings at some key accounts and to a shift in customer orders that were deferred from the second to third fiscal quarter due to weather related delays to the start of the lawn and garden season. On a comparative basis, third quarter fiscal 2004 net sales were negatively impacted by our strategic decision to exit a very low gross margin line within our professional business.</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Gross profit was $307.9 million in the third quarter of fiscal 2004, an increase of $27.1 million from gross profit of $280.8 million in the third quarter of fiscal 2003. As a percentage of net sales, gross profit was 39.8% of net sales in the third quarter of fiscal 2004 compared to 39.5% in the third quarter of fiscal 2003. The International segment was responsible for this increase as margins improved due to the exit of the low margin professional line described above. North America experienced a favorable sales mix in the third quarter of fiscal 2004 but it was more than offset by increased raw material and freight costs in comparison to the third quarter of fiscal 2003.</w:t>
      </w:r>
    </w:p>
    <w:p>
      <w:pPr>
        <w:spacing w:after="0" w:line="16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The net commission from the marketing agreement was $23.4 million in the third quarter of fiscal 2004 and $16.5 million in the third quarter of fiscal 2003. This increase from the prior year's comparable period is driven by increased sales volume.</w:t>
      </w:r>
    </w:p>
    <w:p>
      <w:pPr>
        <w:spacing w:after="0" w:line="175"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Advertising expenses in the third quarter of fiscal 2004 were $41.7 million, an increase of 9.4% from $38.1 million in the third quarter of fiscal 2003. As a percentage of net sales, advertising expenses were 5.4% in the third quarter of fiscal 2004.</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Selling, general and administrative expenses ("SG&amp;A"), excluding Scotts LawnService(R), stock-based compensation and restructuring and other charges, increased to $94.1 million in the third quarter of fiscal 2004 from $85.0 million in the third quarter of fiscal 2003. This increase in SG&amp;A was due primarily to higher legal, environmental, severance and incentive costs, as well as costs related to certain strategic initiatives.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SG&amp;A in the Scotts LawnService(R) business increased from $11.8 million in the third quarter of fiscal 2003 to $14.8 million in the third quarter of fiscal 2004, reflecting the increased number of locations added in the second half of fiscal 2003 from acquisitions, and increased management, office staff and infrastructure costs to support the larger customer count and higher selling expenses due to a successful spring 2004 marketing campaign.</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Stock-based compensation expense increased to $3.7 million in the third quarter of fiscal 2004, compared to $1.6 million in the third quarter of fiscal 2003, primarily reflecting amortization of grants issued in fiscal 2003 coupled with amortization associated with new grants issued in fiscal 2004. The full year charges for stock-based compensation are expected to increase by $4.0 to $5.0 million in fiscal 2004 compared to fiscal 2003.</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Restructuring and other charges included in SG&amp;A increased from $1.2 million in fiscal 2003's third quarter to $2.4 million in fiscal 2004's third quarter primarily due to severance related to the restructuring of the International management team and costs incurred to outsource certain functions in our Global Information Services group. Future costs of $1.7 million and $0.7 million are expected to be incurred in the fourth quarter of fiscal 2004 and the first quarter of fiscal 2005, respectively, related to the restructuring of our Global Information Services group.</w:t>
      </w:r>
    </w:p>
    <w:p>
      <w:pPr>
        <w:spacing w:after="0" w:line="177"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For segment reporting purposes, the Company defines operating income as earnings before interest, taxes, amortization of intangible assets, stock-based compensation, and restructuring and other charges ("EBITA"), as this is the measure used by management to assess earnings performance. Segment performance for the third quarter of fiscal 2004 compared to the third quarter of fiscal 2003 was as follows:</w:t>
      </w:r>
    </w:p>
    <w:p>
      <w:pPr>
        <w:spacing w:after="0" w:line="175" w:lineRule="exact"/>
        <w:rPr>
          <w:sz w:val="20"/>
          <w:szCs w:val="20"/>
          <w:color w:val="auto"/>
        </w:rPr>
      </w:pPr>
    </w:p>
    <w:p>
      <w:pPr>
        <w:ind w:left="1060" w:right="3319" w:hanging="526"/>
        <w:spacing w:after="0" w:line="256"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America's operating income increased from $154.8 million in fiscal 2003 to $165.3 million in fiscal 2004, as improved sales and net commissions from the marketing agreement, previously described above, more than offset current year SG&amp;A increases in severance, incentives, selling and research and development costs;</w:t>
      </w:r>
    </w:p>
    <w:p>
      <w:pPr>
        <w:spacing w:after="0" w:line="163" w:lineRule="exact"/>
        <w:rPr>
          <w:rFonts w:ascii="Courier New" w:cs="Courier New" w:eastAsia="Courier New" w:hAnsi="Courier New"/>
          <w:sz w:val="14"/>
          <w:szCs w:val="14"/>
          <w:color w:val="auto"/>
        </w:rPr>
      </w:pPr>
    </w:p>
    <w:p>
      <w:pPr>
        <w:ind w:left="1060" w:right="3319" w:hanging="526"/>
        <w:spacing w:after="0" w:line="255"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LawnService(R) also reported higher operating income, $13.2 million compared to $10.4 million. As this highly seasonal business grows and adds fixed infrastructure costs, it will have larger losses in the first and second quarters of the fiscal year due to seasonally low revenues. Conversely, the second half of the fiscal year will provide higher revenues, margins and operating income;</w:t>
      </w:r>
    </w:p>
    <w:p>
      <w:pPr>
        <w:spacing w:after="0" w:line="166" w:lineRule="exact"/>
        <w:rPr>
          <w:rFonts w:ascii="Courier New" w:cs="Courier New" w:eastAsia="Courier New" w:hAnsi="Courier New"/>
          <w:sz w:val="14"/>
          <w:szCs w:val="14"/>
          <w:color w:val="auto"/>
        </w:rPr>
      </w:pPr>
    </w:p>
    <w:p>
      <w:pPr>
        <w:ind w:left="1060" w:right="3579" w:hanging="526"/>
        <w:spacing w:after="0" w:line="234"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International's operating income increased from $16.4 million to $20.9 million due to higher net sales (as described above),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1" w:name="page32"/>
    <w:bookmarkEnd w:id="31"/>
    <w:p>
      <w:pPr>
        <w:jc w:val="both"/>
        <w:ind w:left="540" w:right="3319"/>
        <w:spacing w:after="0" w:line="235" w:lineRule="auto"/>
        <w:rPr>
          <w:sz w:val="20"/>
          <w:szCs w:val="20"/>
          <w:color w:val="auto"/>
        </w:rPr>
      </w:pPr>
      <w:r>
        <w:rPr>
          <w:rFonts w:ascii="Courier New" w:cs="Courier New" w:eastAsia="Courier New" w:hAnsi="Courier New"/>
          <w:sz w:val="15"/>
          <w:szCs w:val="15"/>
          <w:color w:val="auto"/>
        </w:rPr>
        <w:t>improved gross margin (particularly in the Professional business), lower SG&amp;A spending (excluding the effect of foreign exchange) and $1.2 million in favorable foreign exchange transactions.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Interest expense for the third quarter of fiscal 2004 was $12.7 million, compared to $18.2 million for the third quarter of fiscal 2003. The decrease in interest expense was due to a reduction in average borrowings as compared to the prior year coupled with a reduction in the weighted average interest rate as a result of lower rates under our New Credit Agreement and the issuance of our 6 5/8% Notes in October 2003, which allowed us to redeem our 8 5/8% Notes. The Company did record a $0.3 million one-time charge in the third quarter of 2004 for the accelerated amortization of certain costs related to the early retirement of $100 million of Term B Notes.</w:t>
      </w:r>
    </w:p>
    <w:p>
      <w:pPr>
        <w:spacing w:after="0" w:line="178"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income tax expense was calculated assuming an annual effective tax rate of 38.0% for the third quarter of fiscal 2004. The annual effective tax rate was adjusted downward from 38.0% to 36.4% in the third quarter of fiscal 2003 to reflect a favorable adjustment to the Company's deferred tax assets as a result of a jurisdictional analysis of the deferred tax accounts and changes in state tax rates.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 during the course of the fiscal year. There are no material changes to the effective tax rate expected at this time.</w:t>
      </w:r>
    </w:p>
    <w:p>
      <w:pPr>
        <w:spacing w:after="0" w:line="16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The Company reported net income of $100.3 million for the third quarter of fiscal 2004, compared to $91.2 million for the third quarter of fiscal 2003. Average shares outstanding for purposes of computing earnings per common share, increased from 31.1 million at June 28, 2003 to 32.5 million at June 26, 2004, due primarily to shares issued for option and warrant exercises.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26, 2004 COMPARED TO NINE MONTHS ENDED JUNE 28, 2003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ind w:left="540"/>
              <w:spacing w:after="0"/>
              <w:rPr>
                <w:sz w:val="20"/>
                <w:szCs w:val="20"/>
                <w:color w:val="auto"/>
              </w:rPr>
            </w:pPr>
            <w:r>
              <w:rPr>
                <w:rFonts w:ascii="Courier New" w:cs="Courier New" w:eastAsia="Courier New" w:hAnsi="Courier New"/>
                <w:sz w:val="15"/>
                <w:szCs w:val="15"/>
                <w:color w:val="auto"/>
              </w:rPr>
              <w:t>Net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sales for the nine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months ended June</w:t>
            </w: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26, 2004 were</w:t>
            </w:r>
          </w:p>
        </w:tc>
        <w:tc>
          <w:tcPr>
            <w:tcW w:w="1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$1,689.1 million,</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an increase of</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7.8% from net</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sales of $1,567.0</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million</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for the nine months ended</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June 28, 2003.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Excluding the</w:t>
            </w:r>
          </w:p>
        </w:tc>
        <w:tc>
          <w:tcPr>
            <w:tcW w:w="2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effect of exchange rates,</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sales</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for the first half</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fiscal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were $1,647.6</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million, or 5.1%</w:t>
            </w:r>
          </w:p>
        </w:tc>
        <w:tc>
          <w:tcPr>
            <w:tcW w:w="29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above the first nine months of</w:t>
            </w: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fiscal 2003. Price increases</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are not material</w:t>
            </w:r>
          </w:p>
        </w:tc>
        <w:tc>
          <w:tcPr>
            <w:tcW w:w="29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to the discussion of net sales in</w:t>
            </w:r>
          </w:p>
        </w:tc>
      </w:tr>
    </w:tbl>
    <w:p>
      <w:pPr>
        <w:spacing w:after="0" w:line="237" w:lineRule="auto"/>
        <w:rPr>
          <w:sz w:val="20"/>
          <w:szCs w:val="20"/>
          <w:color w:val="auto"/>
        </w:rPr>
      </w:pPr>
      <w:r>
        <w:rPr>
          <w:rFonts w:ascii="Courier New" w:cs="Courier New" w:eastAsia="Courier New" w:hAnsi="Courier New"/>
          <w:sz w:val="15"/>
          <w:szCs w:val="15"/>
          <w:color w:val="auto"/>
        </w:rPr>
        <w:t>total or by reportable segment for either fiscal period presented.</w:t>
      </w:r>
    </w:p>
    <w:p>
      <w:pPr>
        <w:spacing w:after="0" w:line="173"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The North America segment net sales were $1,247.6 million in the first nine months of fiscal 2004, an increase of 6.4% from net sales of $1,172.7 million for the first nine months of fiscal 2003. This increase primarily was driven by strong sales within our Lawns, Gardening Products and Ortho(R) businesses.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Scotts LawnService(R) revenues increased 26.0% from $67.3 million in the first nine months of fiscal 2003 to $84.8 million in the first nine months of fiscal 2004. This growth reflects an increase in the number of customers from acquisitions in the second half of fiscal 2003, organic customer count growth as the result of a successful spring direct mailing campaign, favorable weather conditions, improved customer retention, and an increase in average revenue per application.</w:t>
      </w:r>
    </w:p>
    <w:p>
      <w:pPr>
        <w:spacing w:after="0" w:line="17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Net sales for the International segment in the first nine months of fiscal 2004 were $356.7 million, an increase of $29.7 million, or 9.1%, versus the first nine months of fiscal 2003. Excluding the effect of exchange rates, net sales declined by 2.8%. This decrease was partially due to poor weather which led to slow category performance. Poor weather delayed the lawn and garden season in Europe until May and these sales were never fully recovered in the third quarter. In addition, our decision to exit a very low gross margin line within our professional business and continued drought conditions in Australia also decreased net sales in the International segment. It is expected that total International sales will be slightly down for the full year, as compared to fiscal 2003, after adjusting for the effect of exchange rates.</w:t>
      </w:r>
    </w:p>
    <w:p>
      <w:pPr>
        <w:spacing w:after="0" w:line="16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Gross profit was $647.2 million in the first nine months of fiscal 2004, an increase of $71.2 million from gross profit of $576.0 million in the first nine months of fiscal 2003. As a percentage of net sales, gross profit was 38.3% of net sales in the first nine months of fiscal 2004 compared to 36.8% in the first nine months of fiscal 2003. Excluding the effect of favorable exchange rates and excluding restructuring and other charges, gross profit margin was</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38.4% of net sales in the first nine months of fiscal 2004 compared to 37.1% in the first nine months of fiscal 2003. North America gross profit margin in the first nine months of fiscal 2004 improved significantly due to favorable product mix, favorable distribution expense (driven by reductions in warehousing costs) and favorable trade program spending. The International segment realized improved margins due to the exit of the low margin professional line described above.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022" w:gutter="0" w:footer="0" w:header="0"/>
        </w:sectPr>
      </w:pPr>
    </w:p>
    <w:bookmarkStart w:id="32" w:name="page33"/>
    <w:bookmarkEnd w:id="32"/>
    <w:p>
      <w:pPr>
        <w:ind w:right="3319" w:firstLine="525"/>
        <w:spacing w:after="0" w:line="236" w:lineRule="auto"/>
        <w:rPr>
          <w:sz w:val="20"/>
          <w:szCs w:val="20"/>
          <w:color w:val="auto"/>
        </w:rPr>
      </w:pPr>
      <w:r>
        <w:rPr>
          <w:rFonts w:ascii="Courier New" w:cs="Courier New" w:eastAsia="Courier New" w:hAnsi="Courier New"/>
          <w:sz w:val="15"/>
          <w:szCs w:val="15"/>
          <w:color w:val="auto"/>
        </w:rPr>
        <w:t>The net commission from the marketing agreement was $24.5 million in the first nine months of fiscal 2004 compared to net commission of $13.5 million in the first nine months of fiscal 2003. This increase from the prior year's comparable period is driven by sales volume, and favorable margins, due to product mix.</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Advertising expenses in the first nine months of fiscal 2004 were $89.8 million, an increase of 9.9% from $81.7 million in the first nine months of fiscal 2003. As a percentage of net sales, advertising expenses were 5.3% in the first nine months of fiscal 2004 compared to 5.2% in the first nine months of fiscal 2003.</w:t>
      </w:r>
    </w:p>
    <w:p>
      <w:pPr>
        <w:spacing w:after="0" w:line="174"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Selling, general and administrative expenses ("SG&amp;A"), excluding Scotts LawnService(R), stock-based compensation and restructuring and other charges, increased to $279.3 million in the first nine months of fiscal 2004 from $243.8 million in the first nine months of fiscal 2003. This increase in SG&amp;A was due primarily to increased legal costs, severance and incentives, increased costs related to strategic initiatives, and higher environmental expenses, coupled with the non-recurrence of bad debt recoveries realized in fiscal 2003.</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SG&amp;A in the Scotts LawnService(R) business increased from $34.9 million in the first nine months of fiscal 2003 to $42.3 million in the first nine months of fiscal 2004, reflecting the increased number of locations added over the past year from acquisitions, primarily in new markets and increased administrative support costs due to organic growth in customer counts.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Stock-based compensation expense increased to $8.1 million in the first nine months of fiscal 2004, compared to $3.1 million in the first nine months of fiscal 2003, primarily reflecting amortization of grants issued in fiscal 2003 coupled with amortization associated with grants issued in fiscal 2004. The full year charges for stock-based compensation are expected to increase by $4.0 to $5.0 million in fiscal 2004 compared to fiscal 2003.</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Restructuring and other charges included in SG&amp;A decreased from $5.5 million in the first nine months of fiscal 2003 to $3.1 million in the first nine months of fiscal 2004 due to reduced North American distribution restructuring costs and reduced charges related to our International Profit Improvement Plan. Included in our fiscal 2004 restructuring and other charges are costs incurred to restructure our International management team, as well as expenses related to the outsourcing of certain functions within our Global Information Services group.</w:t>
      </w:r>
    </w:p>
    <w:p>
      <w:pPr>
        <w:spacing w:after="0" w:line="177"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For segment reporting purposes, the Company defines operating income as EBITA, as this is the measure used by management to assess earnings performance. Segment performance for the first nine months of fiscal 2004 compared to the first nine months of fiscal 2003 was as follows:</w:t>
      </w:r>
    </w:p>
    <w:p>
      <w:pPr>
        <w:spacing w:after="0" w:line="175" w:lineRule="exact"/>
        <w:rPr>
          <w:sz w:val="20"/>
          <w:szCs w:val="20"/>
          <w:color w:val="auto"/>
        </w:rPr>
      </w:pPr>
    </w:p>
    <w:p>
      <w:pPr>
        <w:ind w:left="1060" w:right="3499" w:hanging="526"/>
        <w:spacing w:after="0" w:line="236"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America's operating income increased from $253.5 million in fiscal 2003 to $282.2 million in fiscal 2004, as improved sales, gross margins and net commission from the marketing agreement, previously described above, more than offset current year SG&amp;A increases in severance, incentives, selling and research and development costs;</w:t>
      </w:r>
    </w:p>
    <w:p>
      <w:pPr>
        <w:spacing w:after="0" w:line="174" w:lineRule="exact"/>
        <w:rPr>
          <w:rFonts w:ascii="Courier New" w:cs="Courier New" w:eastAsia="Courier New" w:hAnsi="Courier New"/>
          <w:sz w:val="15"/>
          <w:szCs w:val="15"/>
          <w:color w:val="auto"/>
        </w:rPr>
      </w:pPr>
    </w:p>
    <w:p>
      <w:pPr>
        <w:ind w:left="1060" w:right="3239" w:hanging="526"/>
        <w:spacing w:after="0" w:line="236"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reported higher net sales, and a decreased operating loss, $6.0 million compared to $6.8 million last year. As this highly seasonal business grows and adds fixed infrastructure costs, it will have larger losses in the first and second quarters of the fiscal year due to seasonally low revenues. Conversely, the second half of the fiscal year will provide higher revenues, margins and operating income as was the case in the third fiscal quarter of 2004;</w:t>
      </w:r>
    </w:p>
    <w:p>
      <w:pPr>
        <w:spacing w:after="0" w:line="177" w:lineRule="exact"/>
        <w:rPr>
          <w:rFonts w:ascii="Courier New" w:cs="Courier New" w:eastAsia="Courier New" w:hAnsi="Courier New"/>
          <w:sz w:val="15"/>
          <w:szCs w:val="15"/>
          <w:color w:val="auto"/>
        </w:rPr>
      </w:pPr>
    </w:p>
    <w:p>
      <w:pPr>
        <w:ind w:left="1060" w:right="3399" w:hanging="526"/>
        <w:spacing w:after="0" w:line="235"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International's operating income increased from $37.3 million to $43.7 million, as the net sales decline, (excluding the effect of exchange rates), was more than offset by improved gross margin and SG&amp;A expense reductions.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Interest expense for the first nine months of fiscal 2004 was $38.1 million, compared to $53.4 million for the first nine months of fiscal 2003. The decrease in interest expense was due to a reduction in average borrowings as compared to the prior year, coupled with a reduction in the weighted average interest rate as a result of lower rates under our New Credit Agreement and the issuance of our 6 5/8% Notes in October 2003, which allowed us to redeem our 8 5/8% Notes.</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income tax expense was calculated assuming an annual effective tax rate of 38.0% for the first nine months of fiscal 2004. The annual effective tax rate was adjusted downward from 38.0% to 36.4% in the third quarter of fiscal 2003 to reflect a favorable adjustment to the Company's deferred tax assets as a result of a jurisdictional analysis of the deferred tax accounts and changes in state tax rates. The effective tax rate used for interim reporting purposes is based on management's best estimate of factors impacting the effective tax rate for the fiscal year. Factors affecting the estimated rate include assumptions as to income by jurisdiction (domestic</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022" w:gutter="0" w:footer="0" w:header="0"/>
        </w:sectPr>
      </w:pPr>
    </w:p>
    <w:bookmarkStart w:id="33" w:name="page34"/>
    <w:bookmarkEnd w:id="33"/>
    <w:p>
      <w:pPr>
        <w:ind w:right="3239"/>
        <w:spacing w:after="0" w:line="236" w:lineRule="auto"/>
        <w:rPr>
          <w:sz w:val="20"/>
          <w:szCs w:val="20"/>
          <w:color w:val="auto"/>
        </w:rPr>
      </w:pPr>
      <w:r>
        <w:rPr>
          <w:rFonts w:ascii="Courier New" w:cs="Courier New" w:eastAsia="Courier New" w:hAnsi="Courier New"/>
          <w:sz w:val="15"/>
          <w:szCs w:val="15"/>
          <w:color w:val="auto"/>
        </w:rPr>
        <w:t>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 during the course of the fiscal year. There are no material changes to the effective tax rate expected at this time.</w:t>
      </w:r>
    </w:p>
    <w:p>
      <w:pPr>
        <w:spacing w:after="0" w:line="177" w:lineRule="exact"/>
        <w:rPr>
          <w:sz w:val="20"/>
          <w:szCs w:val="20"/>
          <w:color w:val="auto"/>
        </w:rPr>
      </w:pPr>
    </w:p>
    <w:p>
      <w:pPr>
        <w:ind w:right="3399" w:firstLine="525"/>
        <w:spacing w:after="0" w:line="255" w:lineRule="auto"/>
        <w:rPr>
          <w:sz w:val="20"/>
          <w:szCs w:val="20"/>
          <w:color w:val="auto"/>
        </w:rPr>
      </w:pPr>
      <w:r>
        <w:rPr>
          <w:rFonts w:ascii="Courier New" w:cs="Courier New" w:eastAsia="Courier New" w:hAnsi="Courier New"/>
          <w:sz w:val="14"/>
          <w:szCs w:val="14"/>
          <w:color w:val="auto"/>
        </w:rPr>
        <w:t>The Company reported net income of $102.7 million for the first nine months of fiscal 2004, compared to $106.9 million for the first nine months of fiscal 2003. Excluding the one-time costs related to the refinancing of our credit facility, net income for the nine months ended June 26, 2004 was $130.3 million. Average shares outstanding for purposes of computing earnings per common share increased from 30.7 million at June 28, 2003 to 32.2 million at June 26, 2004 due to shares issued for option and warrant exercises.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Cash provided by operating activities was $44.0 million and $42.1 million for the nine months ended June 26, 2004 and June 28, 2003, respectively. Cash provided by the seasonal growth in accounts payable was $89.0 million in fiscal 2004 versus $102.3 million in fiscal 2003 as accounts payable were higher heading into fiscal 2004 versus fiscal 2003 due to cash management initiatives in the fourth quarter of fiscal 2003. The reduced cash flow from operations generated from seasonal growth in accounts payable was offset by higher cash earnings (excluding the costs related to the refinancing of our credit facility). The net effect of these items results in cash provided by operating activities being essentially flat between years.</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Cash used in investing activities was $31.6 million and $83.5 million, respectively, for the nine months ended June 26, 2004 and June 28, 2003. Capital expenditures were responsible for $24.4 million of the decrease between the periods. There were no significant capital projects that commenced in the first nine months of fiscal 2004. In addition, principal payments due on seller notes issued in conjunction with prior acquisitions were $21.9 million less during the first nine months of fiscal 2004 as compared to fiscal 2003. We anticipate significantly lower payments on seller notes for the full year as we expect to complete very few acquisitions in Scotts LawnService(R) in fiscal 2004.</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Financing activities used cash of $130.7 million and $4.5 million for the nine months ended June 26, 2004 and June 28, 2003, respectively. During the first quarter of fiscal 2004, we restructured our borrowing arrangements through the refinancing of our former Credit Agreement and the redemption of our 8 5/8% Notes which were replaced by the issuance of our 6 5/8% Notes. In the first quarter of fiscal 2003, a $24.4 million mandatory prepayment was made on term loans as required by the level of fiscal 2002 excess cash flow, as defined in the former Credit Agreement.</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On June 24, 2004, the Company repaid $100 million of the $499 million term loans then outstanding under the New Credit Agreement. As a result of the repayment, the amortization of approximately $0.3 million of deferred financing costs was accelerated. The Company is currently negotiating the refinancing of the remaining $399 million in term loans by means of an amendment to the New Credit Agreement. The Company anticipates a reduction in interest rate spreads and improved covenant flexibility.</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primary sources of liquidity are cash generated by operations and borrowings under our credit agreements. The New Credit Agreement consists of a $700 million multi-currency revolving credit commitment and a $500 million term loan facility. Note 5 to the Condensed, Consolidated Financial Statements (unaudited) included in Part I, Item 1 of this Quarterly Report on Form 10-Q provides additional information pertaining to the refinancing of our former Credit Agreement, the redemption of our 8 5/8% Notes, the issuance of our 6 5/8% Notes and our New Credit Agreement. At June 26, 2004, we were in compliance with all of our debt covenants.</w:t>
      </w:r>
    </w:p>
    <w:p>
      <w:pPr>
        <w:spacing w:after="0" w:line="178"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We have not paid dividends on our common shares in the past and currently have no plans to pay dividends in the future. We anticipate that our earnings will be retained and reinvested to support the growth of our business or to pay down indebtedness. The payment of future dividends, if any, on common shares will be determined by our Board of Directors in light of conditions then existing, including our earnings, financial condition, capital requirements, restrictions in financing agreements, business conditions and other factors.</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All of our off-balance sheet financing arrangements are in the form of operating leases that are disclosed in the notes to consolidated financial statements included in our Annual Report on Form 10-K for the fiscal year ended September 30, 2003. During the second quarter of fiscal 2004, we took final delivery on a used aircraft under the terms of a synthetic operating lease agreement as disclosed in Note 8 to the Condensed, Consolidated Financial Statements (unaudited) included in Part I, Item 1 of this Quarterly Report on Form 10-Q.</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4" w:name="page35"/>
    <w:bookmarkEnd w:id="34"/>
    <w:p>
      <w:pPr>
        <w:ind w:right="3239" w:firstLine="525"/>
        <w:spacing w:after="0" w:line="236" w:lineRule="auto"/>
        <w:rPr>
          <w:sz w:val="20"/>
          <w:szCs w:val="20"/>
          <w:color w:val="auto"/>
        </w:rPr>
      </w:pPr>
      <w:r>
        <w:rPr>
          <w:rFonts w:ascii="Courier New" w:cs="Courier New" w:eastAsia="Courier New" w:hAnsi="Courier New"/>
          <w:sz w:val="15"/>
          <w:szCs w:val="15"/>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179"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2004,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results of operations, financial position and cash flows. Additional information on environmental matters affecting us is provided in Note 9 to the Condensed, Consolidated Financial Statements (unaudited) included in Part I, Item 1 of this Quarterly Report on Form 10-Q and in the fiscal 2003 Annual Report on Form 10-K under the "ITEM 1. BUSINESS - ENVIRONMENTAL AND REGULATORY CONSIDERATIONS" and "ITEM 3. LEGAL PROCEEDINGS" sections.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7"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Some forward-looking statements that we make in this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7" w:lineRule="exact"/>
        <w:rPr>
          <w:sz w:val="20"/>
          <w:szCs w:val="20"/>
          <w:color w:val="auto"/>
        </w:rPr>
      </w:pPr>
    </w:p>
    <w:p>
      <w:pPr>
        <w:ind w:left="540" w:right="3239" w:hanging="530"/>
        <w:spacing w:after="0" w:line="234" w:lineRule="auto"/>
        <w:tabs>
          <w:tab w:leader="none" w:pos="1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3" w:lineRule="exact"/>
        <w:rPr>
          <w:sz w:val="20"/>
          <w:szCs w:val="20"/>
          <w:color w:val="auto"/>
        </w:rPr>
      </w:pPr>
    </w:p>
    <w:p>
      <w:pPr>
        <w:ind w:left="540" w:right="3399"/>
        <w:spacing w:after="0" w:line="234"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173" w:lineRule="exact"/>
        <w:rPr>
          <w:sz w:val="20"/>
          <w:szCs w:val="20"/>
          <w:color w:val="auto"/>
        </w:rPr>
      </w:pPr>
    </w:p>
    <w:p>
      <w:pPr>
        <w:ind w:left="1060" w:right="3759" w:hanging="526"/>
        <w:spacing w:after="0" w:line="234"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under outstanding indebtedness and otherwise;</w:t>
      </w:r>
    </w:p>
    <w:p>
      <w:pPr>
        <w:spacing w:after="0" w:line="173" w:lineRule="exact"/>
        <w:rPr>
          <w:rFonts w:ascii="Courier New" w:cs="Courier New" w:eastAsia="Courier New" w:hAnsi="Courier New"/>
          <w:sz w:val="15"/>
          <w:szCs w:val="15"/>
          <w:color w:val="auto"/>
        </w:rPr>
      </w:pPr>
    </w:p>
    <w:p>
      <w:pPr>
        <w:ind w:left="1060" w:right="3319" w:hanging="526"/>
        <w:spacing w:after="0" w:line="234"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3" w:lineRule="exact"/>
        <w:rPr>
          <w:rFonts w:ascii="Courier New" w:cs="Courier New" w:eastAsia="Courier New" w:hAnsi="Courier New"/>
          <w:sz w:val="15"/>
          <w:szCs w:val="15"/>
          <w:color w:val="auto"/>
        </w:rPr>
      </w:pPr>
    </w:p>
    <w:p>
      <w:pPr>
        <w:ind w:left="1060" w:right="3319" w:hanging="526"/>
        <w:spacing w:after="0" w:line="236"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853" w:gutter="0" w:footer="0" w:header="0"/>
        </w:sectPr>
      </w:pPr>
    </w:p>
    <w:bookmarkStart w:id="35" w:name="page36"/>
    <w:bookmarkEnd w:id="35"/>
    <w:p>
      <w:pPr>
        <w:ind w:left="1060" w:right="3499" w:hanging="526"/>
        <w:spacing w:after="0" w:line="23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3" w:lineRule="exact"/>
        <w:rPr>
          <w:rFonts w:ascii="Courier New" w:cs="Courier New" w:eastAsia="Courier New" w:hAnsi="Courier New"/>
          <w:sz w:val="15"/>
          <w:szCs w:val="15"/>
          <w:color w:val="auto"/>
        </w:rPr>
      </w:pPr>
    </w:p>
    <w:p>
      <w:pPr>
        <w:ind w:left="1060" w:right="4099" w:hanging="526"/>
        <w:spacing w:after="0" w:line="23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certain competitors that may have less debt;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2" w:lineRule="exact"/>
        <w:rPr>
          <w:rFonts w:ascii="Courier New" w:cs="Courier New" w:eastAsia="Courier New" w:hAnsi="Courier New"/>
          <w:sz w:val="15"/>
          <w:szCs w:val="15"/>
          <w:color w:val="auto"/>
        </w:rPr>
      </w:pPr>
    </w:p>
    <w:p>
      <w:pPr>
        <w:ind w:left="1060" w:right="3239" w:hanging="526"/>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We cannot assure you that our business will generate sufficient cash flow from operating activities or that future borrowings will be available to us under our New Credit Agreement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69" w:lineRule="exact"/>
        <w:rPr>
          <w:sz w:val="20"/>
          <w:szCs w:val="20"/>
          <w:color w:val="auto"/>
        </w:rPr>
      </w:pPr>
    </w:p>
    <w:p>
      <w:pPr>
        <w:ind w:left="1060" w:hanging="526"/>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 MAY ADVERSELY AFFECT US.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New Credit Agreement and the indenture governing our outstanding 6 5/8% Notes contain restrictive covenants and cross default provisions that require us to maintain specified financial ratios. Our ability to satisfy those financial ratios can be affected by events beyond our control, and we cannot assure you that we will satisfy those tests. A breach of any of these covenants could result in a default under our New Credit Agreement and/or our outstanding 6 5/8% Notes. Upon the occurrence of an event of default under our New Credit Agreement and/or the 6 5/8%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58" w:lineRule="exact"/>
        <w:rPr>
          <w:sz w:val="20"/>
          <w:szCs w:val="20"/>
          <w:color w:val="auto"/>
        </w:rPr>
      </w:pPr>
    </w:p>
    <w:p>
      <w:pPr>
        <w:ind w:left="1060" w:hanging="526"/>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COULD ADVERSELY IMPACT FINANCIAL RESULTS.</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An abnormally cold or wet spring throughout North America and/or Europe could adversely affect sales and therefore our financial results.</w:t>
      </w:r>
    </w:p>
    <w:p>
      <w:pPr>
        <w:spacing w:after="0" w:line="175" w:lineRule="exact"/>
        <w:rPr>
          <w:sz w:val="20"/>
          <w:szCs w:val="20"/>
          <w:color w:val="auto"/>
        </w:rPr>
      </w:pPr>
    </w:p>
    <w:p>
      <w:pPr>
        <w:ind w:left="1060" w:right="3319" w:hanging="526"/>
        <w:spacing w:after="0" w:line="261"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HISTORICAL SEASONALITY COULD IMPAIR OUR ABILITY TO PAY OBLIGATIONS AS THEY COME DUE IN ADDITION TO OUR OPERATING EXPENSES.</w:t>
      </w:r>
    </w:p>
    <w:p>
      <w:pPr>
        <w:spacing w:after="0" w:line="160"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and building inventories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65" w:lineRule="exact"/>
        <w:rPr>
          <w:sz w:val="20"/>
          <w:szCs w:val="20"/>
          <w:color w:val="auto"/>
        </w:rPr>
      </w:pPr>
    </w:p>
    <w:p>
      <w:pPr>
        <w:ind w:left="1060" w:right="3579" w:hanging="526"/>
        <w:spacing w:after="0" w:line="234" w:lineRule="auto"/>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PERCEPTIONS THAT THE PRODUCTS WE PRODUCE AND MARKET ARE NOT SAFE COULD ADVERSELY AFFECT US.</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We manufacture and market a number of complex products bearing our brand names, such as fertilizers, growing media, herbicides and pesticides, many of which contain chemicals. On occasion, allegations are made that some of our products have failed to perform up to expectations or have caused damage or injury to individuals or property. Public perception that our products are not safe, whether justified or not, could impair our reputation, involve us in litigation, damage our brand names and have a material adverse effect on our business.</w:t>
      </w:r>
    </w:p>
    <w:p>
      <w:pPr>
        <w:spacing w:after="0" w:line="177" w:lineRule="exact"/>
        <w:rPr>
          <w:sz w:val="20"/>
          <w:szCs w:val="20"/>
          <w:color w:val="auto"/>
        </w:rPr>
      </w:pPr>
    </w:p>
    <w:p>
      <w:pPr>
        <w:ind w:left="1060" w:right="3759" w:hanging="526"/>
        <w:spacing w:after="0" w:line="234" w:lineRule="auto"/>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NATURE OF CERTAIN OF OUR PRODUCTS AND OUR BUSINESS SUCCESS CONTRIBUTE TO THE RISK THAT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6" w:name="page37"/>
    <w:bookmarkEnd w:id="36"/>
    <w:p>
      <w:pPr>
        <w:ind w:left="540"/>
        <w:spacing w:after="0"/>
        <w:rPr>
          <w:sz w:val="20"/>
          <w:szCs w:val="20"/>
          <w:color w:val="auto"/>
        </w:rPr>
      </w:pPr>
      <w:r>
        <w:rPr>
          <w:rFonts w:ascii="Courier New" w:cs="Courier New" w:eastAsia="Courier New" w:hAnsi="Courier New"/>
          <w:sz w:val="15"/>
          <w:szCs w:val="15"/>
          <w:color w:val="auto"/>
        </w:rPr>
        <w:t>THE COMPANY WILL BE SUBJECTED TO LAWSUITS.</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nature of certain of our products and our business success contribute to the risk that the Company will be subjected to lawsuits. The following are among the factors that contribute to this litigation risk:</w:t>
      </w:r>
    </w:p>
    <w:p>
      <w:pPr>
        <w:spacing w:after="0" w:line="174" w:lineRule="exact"/>
        <w:rPr>
          <w:sz w:val="20"/>
          <w:szCs w:val="20"/>
          <w:color w:val="auto"/>
        </w:rPr>
      </w:pPr>
    </w:p>
    <w:p>
      <w:pPr>
        <w:ind w:left="1060" w:right="3239" w:hanging="526"/>
        <w:spacing w:after="0" w:line="236" w:lineRule="auto"/>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177" w:lineRule="exact"/>
        <w:rPr>
          <w:rFonts w:ascii="Courier New" w:cs="Courier New" w:eastAsia="Courier New" w:hAnsi="Courier New"/>
          <w:sz w:val="15"/>
          <w:szCs w:val="15"/>
          <w:color w:val="auto"/>
        </w:rPr>
      </w:pPr>
    </w:p>
    <w:p>
      <w:pPr>
        <w:ind w:left="1060" w:right="3239" w:hanging="526"/>
        <w:spacing w:after="0" w:line="255"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named a defendant in product liability lawsuits and may be named a defendant in additional product liability suits apparently based on allegations regarding the Company's past use, in some of its products, of vermiculite supplied to the Company, some of which has been reported to have contained impurities. See Note 9 to the Condensed, Consolidated Financial Statements (unaudited) included in Part I, Item 1 of this Quarterly Report on Form 10-Q.</w:t>
      </w:r>
    </w:p>
    <w:p>
      <w:pPr>
        <w:spacing w:after="0" w:line="166" w:lineRule="exact"/>
        <w:rPr>
          <w:rFonts w:ascii="Courier New" w:cs="Courier New" w:eastAsia="Courier New" w:hAnsi="Courier New"/>
          <w:sz w:val="14"/>
          <w:szCs w:val="14"/>
          <w:color w:val="auto"/>
        </w:rPr>
      </w:pPr>
    </w:p>
    <w:p>
      <w:pPr>
        <w:ind w:left="1060" w:right="3319" w:hanging="526"/>
        <w:spacing w:after="0" w:line="236" w:lineRule="auto"/>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Please see Note 9 to the Condensed, Consolidated Financial Statements (unaudited) included in Part I, Item 1 of this Quarterly Report on Form 10-Q and the disclosures under Part II, Item 1 "Legal Proceedings" of this Quarterly Report Form 10-Q for information concerning certain significant lawsuits and claims involving the Company.</w:t>
      </w:r>
    </w:p>
    <w:p>
      <w:pPr>
        <w:spacing w:after="0" w:line="174" w:lineRule="exact"/>
        <w:rPr>
          <w:sz w:val="20"/>
          <w:szCs w:val="20"/>
          <w:color w:val="auto"/>
        </w:rPr>
      </w:pPr>
    </w:p>
    <w:p>
      <w:pPr>
        <w:ind w:left="1060" w:right="3239" w:hanging="526"/>
        <w:spacing w:after="0" w:line="235" w:lineRule="auto"/>
        <w:tabs>
          <w:tab w:leader="none" w:pos="10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OR SIGNIFICANT DECLINE IN ORDERS FROM, OUR TOP CUSTOMERS COULD ADVERSELY AFFECT OUR RESULTS OF OPERATIONS, FINANCIAL POSITION OR CASH FLOWS.</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North America net sales represented approximately 74% of our worldwide net sales for fiscal 2003. Our top three North American retail customers together accounted for 69% of our North American fiscal 2003 net sales and 79% of our outstanding accounts receivable as of September 30, 2003. Home Depot, Wal-Mart and Lowe's represented approximately 37%, 19% and 13%, respectively, of our fiscal 2003 North American net sales. The loss of, or reduction in orders from, Home Depot, Wal-Mart and Lowe's or any other significant customer could have a material adverse effect on our results of operations, financial position or cash flows, as could customer disputes regarding shipments, fees, merchandise condition or related matters. Our inability to collect accounts receivable from any of these customers could also have a material adverse effect.</w:t>
      </w:r>
    </w:p>
    <w:p>
      <w:pPr>
        <w:spacing w:after="0" w:line="16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results of operations, financial position or cash flows may be increasingly sensitive to a deterioration in the financial condition of, or other adverse developments involving our relationship with, one or more customers.</w:t>
      </w:r>
    </w:p>
    <w:p>
      <w:pPr>
        <w:spacing w:after="0" w:line="166" w:lineRule="exact"/>
        <w:rPr>
          <w:sz w:val="20"/>
          <w:szCs w:val="20"/>
          <w:color w:val="auto"/>
        </w:rPr>
      </w:pPr>
    </w:p>
    <w:p>
      <w:pPr>
        <w:ind w:left="1060" w:right="3679" w:hanging="526"/>
        <w:spacing w:after="0" w:line="235" w:lineRule="auto"/>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HIGHLY COMPETITIVE NATURE OF THE COMPANY'S MARKETS COULD ADVERSELY AFFECT THE ABILITY OF THE COMPANY TO GROW OR MAINTAIN REVENUES.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effect on our results of operations, financial position or cash flows.</w:t>
      </w:r>
    </w:p>
    <w:p>
      <w:pPr>
        <w:spacing w:after="0" w:line="166" w:lineRule="exact"/>
        <w:rPr>
          <w:sz w:val="20"/>
          <w:szCs w:val="20"/>
          <w:color w:val="auto"/>
        </w:rPr>
      </w:pPr>
    </w:p>
    <w:p>
      <w:pPr>
        <w:ind w:left="1060" w:right="3399" w:hanging="526"/>
        <w:spacing w:after="0" w:line="258" w:lineRule="auto"/>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MONSANTO WERE TO TERMINATE THE MARKETING AGREEMENT FOR CONSUMER ROUNDUP(R) PRODUCTS WITHOUT BEING REQUIRED TO PAY ANY TERMINATION FEE, WE WOULD LOSE A SUBSTANTIAL SOURCE OF FUTURE EARNINGS.</w:t>
      </w:r>
    </w:p>
    <w:p>
      <w:pPr>
        <w:spacing w:after="0" w:line="161"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37" w:name="page38"/>
    <w:bookmarkEnd w:id="37"/>
    <w:p>
      <w:pPr>
        <w:ind w:right="3499"/>
        <w:spacing w:after="0" w:line="255" w:lineRule="auto"/>
        <w:rPr>
          <w:sz w:val="20"/>
          <w:szCs w:val="20"/>
          <w:color w:val="auto"/>
        </w:rPr>
      </w:pPr>
      <w:r>
        <w:rPr>
          <w:rFonts w:ascii="Courier New" w:cs="Courier New" w:eastAsia="Courier New" w:hAnsi="Courier New"/>
          <w:sz w:val="14"/>
          <w:szCs w:val="14"/>
          <w:color w:val="auto"/>
        </w:rPr>
        <w:t>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60" w:lineRule="exact"/>
        <w:rPr>
          <w:sz w:val="20"/>
          <w:szCs w:val="20"/>
          <w:color w:val="auto"/>
        </w:rPr>
      </w:pPr>
    </w:p>
    <w:p>
      <w:pPr>
        <w:ind w:left="1060" w:hanging="526"/>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2" w:lineRule="exact"/>
        <w:rPr>
          <w:rFonts w:ascii="Courier New" w:cs="Courier New" w:eastAsia="Courier New" w:hAnsi="Courier New"/>
          <w:sz w:val="15"/>
          <w:szCs w:val="15"/>
          <w:color w:val="auto"/>
        </w:rPr>
      </w:pPr>
    </w:p>
    <w:p>
      <w:pPr>
        <w:ind w:left="1060" w:right="3399" w:hanging="526"/>
        <w:spacing w:after="0" w:line="234" w:lineRule="auto"/>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L.P. BENEFICIALLY OWNS APPROXIMATELY 33% OF OUR OUTSTANDING COMMON SHARES ON A FULLY DILUTED BASIS.</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Hagedorn Partnership, L.P. beneficially owns approximately 33% of our outstanding common shares and has sufficient voting power to significantly influence the election of directors and the approval of other actions requiring the approval of our shareholders.</w:t>
      </w:r>
    </w:p>
    <w:p>
      <w:pPr>
        <w:spacing w:after="0" w:line="175" w:lineRule="exact"/>
        <w:rPr>
          <w:sz w:val="20"/>
          <w:szCs w:val="20"/>
          <w:color w:val="auto"/>
        </w:rPr>
      </w:pPr>
    </w:p>
    <w:p>
      <w:pPr>
        <w:ind w:left="1060" w:right="3499" w:hanging="526"/>
        <w:spacing w:after="0" w:line="234"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0"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established the following standard for food-use pesticides: a reasonable certainty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that was used in certain of our lawn and garden products. In December 2000, the U.S. EPA reached agreement with various parties, including manufacturers, regarding a phased withdrawal from retailers by December 2004 of residential use products containing diazinon, an active ingredient used in certain of our lawn and garden products. We cannot predict the outcome or the severity of the effect of the U.S. EPA's continuing evaluations of active ingredients used in our products.</w:t>
      </w:r>
    </w:p>
    <w:p>
      <w:pPr>
        <w:spacing w:after="0" w:line="331"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results of operations, financial position and cash flows in the past and could do so again in the future.</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685" w:gutter="0" w:footer="0" w:header="0"/>
        </w:sectPr>
      </w:pPr>
    </w:p>
    <w:bookmarkStart w:id="38" w:name="page39"/>
    <w:bookmarkEnd w:id="38"/>
    <w:p>
      <w:pPr>
        <w:ind w:right="3499" w:firstLine="525"/>
        <w:spacing w:after="0" w:line="236" w:lineRule="auto"/>
        <w:rPr>
          <w:sz w:val="20"/>
          <w:szCs w:val="20"/>
          <w:color w:val="auto"/>
        </w:rPr>
      </w:pPr>
      <w:r>
        <w:rPr>
          <w:rFonts w:ascii="Courier New" w:cs="Courier New" w:eastAsia="Courier New" w:hAnsi="Courier New"/>
          <w:sz w:val="15"/>
          <w:szCs w:val="15"/>
          <w:color w:val="auto"/>
        </w:rPr>
        <w:t>During the first nine months of fiscal 2004, we have expended approximately $2.4 million related to environmental matters, including a $1.1 million increase in our reserves recognized during the third quarter. We incurred approximately $1.5 million in environmental expenditures for all of fiscal 2003.</w:t>
      </w:r>
    </w:p>
    <w:p>
      <w:pPr>
        <w:spacing w:after="0" w:line="174"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The adequacy of these estimated future expenditures is based on our operating in substantial compliance with applicable environmental and public health laws and regulations and several significant assumptions:</w:t>
      </w:r>
    </w:p>
    <w:p>
      <w:pPr>
        <w:spacing w:after="0" w:line="174" w:lineRule="exact"/>
        <w:rPr>
          <w:sz w:val="20"/>
          <w:szCs w:val="20"/>
          <w:color w:val="auto"/>
        </w:rPr>
      </w:pPr>
    </w:p>
    <w:p>
      <w:pPr>
        <w:ind w:left="1060" w:right="3499" w:hanging="526"/>
        <w:spacing w:after="0" w:line="234"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3" w:lineRule="exact"/>
        <w:rPr>
          <w:rFonts w:ascii="Courier New" w:cs="Courier New" w:eastAsia="Courier New" w:hAnsi="Courier New"/>
          <w:sz w:val="15"/>
          <w:szCs w:val="15"/>
          <w:color w:val="auto"/>
        </w:rPr>
      </w:pPr>
    </w:p>
    <w:p>
      <w:pPr>
        <w:ind w:left="1060" w:right="3319" w:hanging="526"/>
        <w:spacing w:after="0" w:line="234"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3" w:lineRule="exact"/>
        <w:rPr>
          <w:rFonts w:ascii="Courier New" w:cs="Courier New" w:eastAsia="Courier New" w:hAnsi="Courier New"/>
          <w:sz w:val="15"/>
          <w:szCs w:val="15"/>
          <w:color w:val="auto"/>
        </w:rPr>
      </w:pPr>
    </w:p>
    <w:p>
      <w:pPr>
        <w:ind w:left="1060" w:right="3239" w:hanging="526"/>
        <w:spacing w:after="0" w:line="256" w:lineRule="auto"/>
        <w:tabs>
          <w:tab w:leader="none" w:pos="10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5" w:lineRule="exact"/>
        <w:rPr>
          <w:sz w:val="20"/>
          <w:szCs w:val="20"/>
          <w:color w:val="auto"/>
        </w:rPr>
      </w:pPr>
    </w:p>
    <w:p>
      <w:pPr>
        <w:ind w:left="1060" w:right="3679" w:hanging="526"/>
        <w:spacing w:after="0" w:line="235" w:lineRule="auto"/>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SUSCEPTIBLE TO FLUCTUATIONS IN CURRENCY EXCHANGE RATES AND TO THE COSTS OF INTERNATIONAL REGULATION.</w:t>
      </w:r>
    </w:p>
    <w:p>
      <w:pPr>
        <w:spacing w:after="0" w:line="174" w:lineRule="exact"/>
        <w:rPr>
          <w:sz w:val="20"/>
          <w:szCs w:val="20"/>
          <w:color w:val="auto"/>
        </w:rPr>
      </w:pPr>
    </w:p>
    <w:p>
      <w:pPr>
        <w:ind w:right="3399" w:firstLine="525"/>
        <w:spacing w:after="0" w:line="256" w:lineRule="auto"/>
        <w:rPr>
          <w:sz w:val="20"/>
          <w:szCs w:val="20"/>
          <w:color w:val="auto"/>
        </w:rPr>
      </w:pPr>
      <w:r>
        <w:rPr>
          <w:rFonts w:ascii="Courier New" w:cs="Courier New" w:eastAsia="Courier New" w:hAnsi="Courier New"/>
          <w:sz w:val="14"/>
          <w:szCs w:val="14"/>
          <w:color w:val="auto"/>
        </w:rPr>
        <w:t>We currently operate manufacturing, sales and service facilities outside of North America, particularly in the United Kingdom, Germany, France, Belgium and the Netherlands. In fiscal 2003, international sales accounted for approximately 20% of our total sales. Accordingly, we are subject to risks associated with operations in foreign countries, including:</w:t>
      </w:r>
    </w:p>
    <w:p>
      <w:pPr>
        <w:spacing w:after="0" w:line="157" w:lineRule="exact"/>
        <w:rPr>
          <w:sz w:val="20"/>
          <w:szCs w:val="20"/>
          <w:color w:val="auto"/>
        </w:rPr>
      </w:pPr>
    </w:p>
    <w:p>
      <w:pPr>
        <w:ind w:left="1060" w:hanging="526"/>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2" w:lineRule="exact"/>
        <w:rPr>
          <w:rFonts w:ascii="Courier New" w:cs="Courier New" w:eastAsia="Courier New" w:hAnsi="Courier New"/>
          <w:sz w:val="15"/>
          <w:szCs w:val="15"/>
          <w:color w:val="auto"/>
        </w:rPr>
      </w:pPr>
    </w:p>
    <w:p>
      <w:pPr>
        <w:ind w:left="1060" w:right="3839" w:hanging="526"/>
        <w:spacing w:after="0" w:line="234"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3" w:lineRule="exact"/>
        <w:rPr>
          <w:rFonts w:ascii="Courier New" w:cs="Courier New" w:eastAsia="Courier New" w:hAnsi="Courier New"/>
          <w:sz w:val="15"/>
          <w:szCs w:val="15"/>
          <w:color w:val="auto"/>
        </w:rPr>
      </w:pPr>
    </w:p>
    <w:p>
      <w:pPr>
        <w:ind w:left="1060" w:right="3579" w:hanging="526"/>
        <w:spacing w:after="0" w:line="234"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2"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historically, higher rates of inflation than in the United States.</w:t>
      </w:r>
    </w:p>
    <w:p>
      <w:pPr>
        <w:spacing w:after="0" w:line="17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results of operations, financial position and cash flows.</w:t>
      </w:r>
    </w:p>
    <w:p>
      <w:pPr>
        <w:spacing w:after="0" w:line="1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Market risks have not changed significantly from those disclosed in the Registrant's Annual Report on Form 10-K for the fiscal year ended September 30, 2003.</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ITEM 4. CONTROLS AND PROCEDURES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With the participation of the Registrant's principal executive officer and principal financial officer, the Registrant's management has evaluated the effectiveness of the Registrant's disclosure controls and procedures (as defined in Rule 13a-15(e) under the Securities Exchange Act of 1934, as amended (the "Exchange Act")), as of the end of the period covered by this Quarterly Report on Form 10-Q. Based upon that evaluation, the Registrant's principal executive officer and principal financial officer have concluded that:</w:t>
      </w:r>
    </w:p>
    <w:p>
      <w:pPr>
        <w:spacing w:after="0" w:line="166" w:lineRule="exact"/>
        <w:rPr>
          <w:sz w:val="20"/>
          <w:szCs w:val="20"/>
          <w:color w:val="auto"/>
        </w:rPr>
      </w:pPr>
    </w:p>
    <w:p>
      <w:pPr>
        <w:ind w:left="1060" w:right="3319" w:hanging="526"/>
        <w:spacing w:after="0" w:line="236" w:lineRule="auto"/>
        <w:tabs>
          <w:tab w:leader="none" w:pos="10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accumulated and communicated to the Registrant's management, including its principal executive and financial officers, as appropriate to allow timely decisions regarding required disclosure;</w:t>
      </w:r>
    </w:p>
    <w:p>
      <w:pPr>
        <w:spacing w:after="0" w:line="173" w:lineRule="exact"/>
        <w:rPr>
          <w:rFonts w:ascii="Courier New" w:cs="Courier New" w:eastAsia="Courier New" w:hAnsi="Courier New"/>
          <w:sz w:val="15"/>
          <w:szCs w:val="15"/>
          <w:color w:val="auto"/>
        </w:rPr>
      </w:pPr>
    </w:p>
    <w:p>
      <w:pPr>
        <w:ind w:left="1060" w:right="3759" w:hanging="526"/>
        <w:spacing w:after="0" w:line="261"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required to be disclosed by the Registrant in this Quarterly Report on Form 10-Q would be recorded, processed,</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39" w:name="page40"/>
    <w:bookmarkEnd w:id="39"/>
    <w:p>
      <w:pPr>
        <w:ind w:left="1060" w:right="3679"/>
        <w:spacing w:after="0" w:line="234" w:lineRule="auto"/>
        <w:rPr>
          <w:sz w:val="20"/>
          <w:szCs w:val="20"/>
          <w:color w:val="auto"/>
        </w:rPr>
      </w:pPr>
      <w:r>
        <w:rPr>
          <w:rFonts w:ascii="Courier New" w:cs="Courier New" w:eastAsia="Courier New" w:hAnsi="Courier New"/>
          <w:sz w:val="15"/>
          <w:szCs w:val="15"/>
          <w:color w:val="auto"/>
        </w:rPr>
        <w:t>summarized and reported within the time period specified in the SEC's rules and forms; and</w:t>
      </w:r>
    </w:p>
    <w:p>
      <w:pPr>
        <w:spacing w:after="0" w:line="173" w:lineRule="exact"/>
        <w:rPr>
          <w:sz w:val="20"/>
          <w:szCs w:val="20"/>
          <w:color w:val="auto"/>
        </w:rPr>
      </w:pPr>
    </w:p>
    <w:p>
      <w:pPr>
        <w:ind w:left="1060" w:right="3239" w:hanging="526"/>
        <w:spacing w:after="0" w:line="254" w:lineRule="auto"/>
        <w:tabs>
          <w:tab w:leader="none" w:pos="10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disclosure controls and procedures are effective as of the end of the period covered by this Quarterly Report on Form</w:t>
      </w:r>
    </w:p>
    <w:p>
      <w:pPr>
        <w:ind w:left="106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10-Q to ensure that material information relating to the Registrant and its consolidated subsidiaries is made known to them, particularly during the period in which the Registrant's periodic reports, including this Quarterly Report on Form 10-Q, are being prepared.</w:t>
      </w:r>
    </w:p>
    <w:p>
      <w:pPr>
        <w:spacing w:after="0" w:line="174" w:lineRule="exact"/>
        <w:rPr>
          <w:sz w:val="20"/>
          <w:szCs w:val="20"/>
          <w:color w:val="auto"/>
        </w:rPr>
      </w:pPr>
    </w:p>
    <w:p>
      <w:pPr>
        <w:ind w:right="3399" w:firstLine="525"/>
        <w:spacing w:after="0" w:line="256" w:lineRule="auto"/>
        <w:rPr>
          <w:sz w:val="20"/>
          <w:szCs w:val="20"/>
          <w:color w:val="auto"/>
        </w:rPr>
      </w:pPr>
      <w:r>
        <w:rPr>
          <w:rFonts w:ascii="Courier New" w:cs="Courier New" w:eastAsia="Courier New" w:hAnsi="Courier New"/>
          <w:sz w:val="14"/>
          <w:szCs w:val="14"/>
          <w:color w:val="auto"/>
        </w:rPr>
        <w:t>In addition, there were no changes in the Registrant's internal control over financial reporting (as defined in Rule 13a-15(f) under the Exchange Act) that occurred during the Registrant's fiscal quarter ended June 26, 2004 that have materially affected, or are reasonably likely to materially affect, the Registrant's internal control over financial reporting.</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0" w:name="page41"/>
    <w:bookmarkEnd w:id="40"/>
    <w:p>
      <w:pPr>
        <w:ind w:left="2280"/>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V. AVENTIS S.A. AND STARLINK LOGISTICS, INC.</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August 9, 2002, The Scotts Company filed suit against Aventis S.A. and its wholly-owned subsidiary Starlink Logistics, Inc. in the U.S. District Court for the Southern District of Ohio. In the complaint, The Scotts Company alleges it is entitled to injunctive and monetary relief arising from Aventis' and Starlink's interference with The Scotts Company's contractual right to purchase a company called TechPac, L.L.C. from one of Aventis' former subsidiaries, Aventis CropScience. The complaint alleges that pursuant to a contract between The Scotts Company and a predecessor-in-interest to Aventis CropScience, Aventis CropScience was obligated to make a bona fide offer to sell its interest in TechPac to The Scotts Company. The complaint further alleges that Aventis directed Aventis CropScience to make a belated sham offer to The Scotts Company and that later, upon the sale of Aventis CropScience to Bayer AG, Aventis transferred ownership of TechPac to Starlink, an act which has made it impossible for Aventis CropScience's successor-in-interest to make a bona fide offer to sell TechPac to The Scotts Company.</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this suit, The Scotts Company seeks to ensure that it is able to exercise its right to receive a bona fide offer to acquire TechPac, and The Scotts Company seeks to recover compensatory and punitive damages in an amount as yet undetermined for Aventis' and Starlink's interference with The Scotts Company's right to receive such an offer. On October 4, 2002, Starlink filed a motion to dismiss the complaint on jurisdictional grounds. On December 17, 2002, Aventis filed a similar motion. On April 23, 2004, the court dismissed the action without prejudice.</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Scotts Company appealed the dismissal to the United States Court of Appeals for the Sixth Circuit, where the appeal remains pending. In addition, The Scotts Company and certain subsidiaries filed an action against Aventis, StarLink and others, in the Court of Common Pleas of Union County, Ohio. The defendants removed that action to the United States District Court for the Southern District of Ohio, where it is currently pending as Civil Action No. 04-CV-352.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HYPONEX FACILITY INVESTIGATION, CHINO, CALIFORNIA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1, 2002, associate Felix Garzon-Zambrano was killed in an accident while driving a forklift at the Company's Hyponex facility in Chino, California. California's Division of Occupational Safety and Health ("Cal-OSHA") investigated the accident and cited Scotts for certain safety violations resulting in penalties in the amount of $37,875, which the Company did not challenge and timely paid.</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21, 2003, the San Bernardino County District Attorney's Office informed the Company that it was conducting a criminal investigation into the accident, specifically into whether the Company may have violated certain California Labor Code provisions and whether any such violation may have caused Mr. Garzon-Zambrano's death.</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Company is cooperating with the District Attorney's Office in an effort to convince the District Attorney that this matter should not be pursued. Due to the uncertainties inherent in such matters, the Company is not in a position at this time to express an opinion as to the probable outcome of these efforts.</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same facts have given rise to a suit by Mr. Garzon-Zambrano's family members against the Company in the Superior Court of San Bernardino County, California, for unspecified damages. This suit is in the discovery stage.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3" w:lineRule="exact"/>
        <w:rPr>
          <w:sz w:val="20"/>
          <w:szCs w:val="20"/>
          <w:color w:val="auto"/>
        </w:rPr>
      </w:pPr>
    </w:p>
    <w:p>
      <w:pPr>
        <w:ind w:left="1060" w:right="3939" w:hanging="526"/>
        <w:spacing w:after="0" w:line="234"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Index to Exhibits at page 44 for a list of the exhibits included herewith.</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Reports on Form 8-K:</w:t>
      </w:r>
    </w:p>
    <w:p>
      <w:pPr>
        <w:spacing w:after="0" w:line="17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The Registrant filed a Current Report on Form 8-K dated April 16, 2004 reporting under "Item 5. Other Events" a change in its reportable segments previously reported in the Registrant's Annual Report on Form 10-K for the fiscal year ended September 30, 2003. These new segments differ from those used in the previous fiscal year due to the absorption of the Global Professional group into the North America and International segments based on geography.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1" w:name="page42"/>
    <w:bookmarkEnd w:id="4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Christopher L. Nagel</w:t>
      </w:r>
    </w:p>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Christopher L. Nagel</w:t>
      </w:r>
    </w:p>
    <w:p>
      <w:pPr>
        <w:ind w:left="540"/>
        <w:spacing w:after="0" w:line="237" w:lineRule="auto"/>
        <w:rPr>
          <w:sz w:val="20"/>
          <w:szCs w:val="20"/>
          <w:color w:val="auto"/>
        </w:rPr>
      </w:pPr>
      <w:r>
        <w:rPr>
          <w:rFonts w:ascii="Courier New" w:cs="Courier New" w:eastAsia="Courier New" w:hAnsi="Courier New"/>
          <w:sz w:val="15"/>
          <w:szCs w:val="15"/>
          <w:color w:val="auto"/>
        </w:rPr>
        <w:t>Date: August 9, 2004</w:t>
      </w:r>
    </w:p>
    <w:p>
      <w:pPr>
        <w:ind w:left="540"/>
        <w:spacing w:after="0" w:line="238" w:lineRule="auto"/>
        <w:rPr>
          <w:sz w:val="20"/>
          <w:szCs w:val="20"/>
          <w:color w:val="auto"/>
        </w:rPr>
      </w:pPr>
      <w:r>
        <w:rPr>
          <w:rFonts w:ascii="Courier New" w:cs="Courier New" w:eastAsia="Courier New" w:hAnsi="Courier New"/>
          <w:sz w:val="15"/>
          <w:szCs w:val="15"/>
          <w:color w:val="auto"/>
        </w:rPr>
        <w:t>Executive Vice President and Chief Financial Officer</w:t>
      </w:r>
    </w:p>
    <w:p>
      <w:pPr>
        <w:ind w:left="540"/>
        <w:spacing w:after="0" w:line="237" w:lineRule="auto"/>
        <w:rPr>
          <w:sz w:val="20"/>
          <w:szCs w:val="20"/>
          <w:color w:val="auto"/>
        </w:rPr>
      </w:pPr>
      <w:r>
        <w:rPr>
          <w:rFonts w:ascii="Courier New" w:cs="Courier New" w:eastAsia="Courier New" w:hAnsi="Courier New"/>
          <w:sz w:val="15"/>
          <w:szCs w:val="15"/>
          <w:color w:val="auto"/>
        </w:rPr>
        <w:t>(Principal Financial and Principal Accounting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2" w:name="page43"/>
    <w:bookmarkEnd w:id="42"/>
    <w:p>
      <w:pPr>
        <w:ind w:left="2720"/>
        <w:spacing w:after="0"/>
        <w:rPr>
          <w:sz w:val="20"/>
          <w:szCs w:val="20"/>
          <w:color w:val="auto"/>
        </w:rPr>
      </w:pPr>
      <w:r>
        <w:rPr>
          <w:rFonts w:ascii="Courier New" w:cs="Courier New" w:eastAsia="Courier New" w:hAnsi="Courier New"/>
          <w:sz w:val="15"/>
          <w:szCs w:val="15"/>
          <w:color w:val="auto"/>
        </w:rPr>
        <w:t>THE SCOTTS COMPANY</w:t>
      </w:r>
    </w:p>
    <w:p>
      <w:pPr>
        <w:ind w:left="2280"/>
        <w:spacing w:after="0" w:line="237" w:lineRule="auto"/>
        <w:rPr>
          <w:sz w:val="20"/>
          <w:szCs w:val="20"/>
          <w:color w:val="auto"/>
        </w:rPr>
      </w:pPr>
      <w:r>
        <w:rPr>
          <w:rFonts w:ascii="Courier New" w:cs="Courier New" w:eastAsia="Courier New" w:hAnsi="Courier New"/>
          <w:sz w:val="15"/>
          <w:szCs w:val="15"/>
          <w:color w:val="auto"/>
        </w:rPr>
        <w:t>QUARTERLY REPORT ON FORM 10-Q</w:t>
      </w:r>
    </w:p>
    <w:p>
      <w:pPr>
        <w:ind w:left="1580"/>
        <w:spacing w:after="0" w:line="238" w:lineRule="auto"/>
        <w:rPr>
          <w:sz w:val="20"/>
          <w:szCs w:val="20"/>
          <w:color w:val="auto"/>
        </w:rPr>
      </w:pPr>
      <w:r>
        <w:rPr>
          <w:rFonts w:ascii="Courier New" w:cs="Courier New" w:eastAsia="Courier New" w:hAnsi="Courier New"/>
          <w:sz w:val="15"/>
          <w:szCs w:val="15"/>
          <w:color w:val="auto"/>
        </w:rPr>
        <w:t>FOR THE QUARTERLY PERIOD ENDED JUNE 26, 2004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6340" w:type="dxa"/>
            <w:vAlign w:val="bottom"/>
          </w:tcPr>
          <w:p>
            <w:pPr>
              <w:ind w:left="1520"/>
              <w:spacing w:after="0"/>
              <w:rPr>
                <w:sz w:val="20"/>
                <w:szCs w:val="20"/>
                <w:color w:val="auto"/>
              </w:rPr>
            </w:pPr>
            <w:r>
              <w:rPr>
                <w:rFonts w:ascii="Courier New" w:cs="Courier New" w:eastAsia="Courier New" w:hAnsi="Courier New"/>
                <w:sz w:val="15"/>
                <w:szCs w:val="15"/>
                <w:color w:val="auto"/>
              </w:rPr>
              <w:t>INDEX TO EXHIBITS</w:t>
            </w:r>
          </w:p>
        </w:tc>
        <w:tc>
          <w:tcPr>
            <w:tcW w:w="1140" w:type="dxa"/>
            <w:vAlign w:val="bottom"/>
          </w:tcPr>
          <w:p>
            <w:pPr>
              <w:spacing w:after="0"/>
              <w:rPr>
                <w:sz w:val="14"/>
                <w:szCs w:val="14"/>
                <w:color w:val="auto"/>
              </w:rPr>
            </w:pPr>
          </w:p>
        </w:tc>
      </w:tr>
      <w:tr>
        <w:trPr>
          <w:trHeight w:val="673"/>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340" w:type="dxa"/>
            <w:vAlign w:val="bottom"/>
          </w:tcPr>
          <w:p>
            <w:pPr>
              <w:ind w:left="2760"/>
              <w:spacing w:after="0"/>
              <w:rPr>
                <w:sz w:val="20"/>
                <w:szCs w:val="20"/>
                <w:color w:val="auto"/>
              </w:rPr>
            </w:pPr>
            <w:r>
              <w:rPr>
                <w:rFonts w:ascii="Courier New" w:cs="Courier New" w:eastAsia="Courier New" w:hAnsi="Courier New"/>
                <w:sz w:val="15"/>
                <w:szCs w:val="15"/>
                <w:color w:val="auto"/>
              </w:rPr>
              <w:t>DESCRIPTION</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340" w:type="dxa"/>
            <w:vAlign w:val="bottom"/>
          </w:tcPr>
          <w:p>
            <w:pPr>
              <w:ind w:left="29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31(a)</w:t>
            </w:r>
          </w:p>
        </w:tc>
        <w:tc>
          <w:tcPr>
            <w:tcW w:w="6340" w:type="dxa"/>
            <w:vAlign w:val="bottom"/>
          </w:tcPr>
          <w:p>
            <w:pPr>
              <w:ind w:left="120"/>
              <w:spacing w:after="0"/>
              <w:rPr>
                <w:sz w:val="20"/>
                <w:szCs w:val="20"/>
                <w:color w:val="auto"/>
              </w:rPr>
            </w:pPr>
            <w:r>
              <w:rPr>
                <w:rFonts w:ascii="Courier New" w:cs="Courier New" w:eastAsia="Courier New" w:hAnsi="Courier New"/>
                <w:sz w:val="15"/>
                <w:szCs w:val="15"/>
                <w:color w:val="auto"/>
              </w:rPr>
              <w:t>Rule 13a-14(a)/15d-14(a) Certification (Principal Executive Officer)</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31(b)</w:t>
            </w:r>
          </w:p>
        </w:tc>
        <w:tc>
          <w:tcPr>
            <w:tcW w:w="6340" w:type="dxa"/>
            <w:vAlign w:val="bottom"/>
          </w:tcPr>
          <w:p>
            <w:pPr>
              <w:ind w:left="120"/>
              <w:spacing w:after="0"/>
              <w:rPr>
                <w:sz w:val="20"/>
                <w:szCs w:val="20"/>
                <w:color w:val="auto"/>
              </w:rPr>
            </w:pPr>
            <w:r>
              <w:rPr>
                <w:rFonts w:ascii="Courier New" w:cs="Courier New" w:eastAsia="Courier New" w:hAnsi="Courier New"/>
                <w:sz w:val="15"/>
                <w:szCs w:val="15"/>
                <w:color w:val="auto"/>
              </w:rPr>
              <w:t>Rule 13a-14(a)/15d-14(a) Certification (Principal Financial Officer)</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32</w:t>
            </w:r>
          </w:p>
        </w:tc>
        <w:tc>
          <w:tcPr>
            <w:tcW w:w="6340" w:type="dxa"/>
            <w:vAlign w:val="bottom"/>
          </w:tcPr>
          <w:p>
            <w:pPr>
              <w:ind w:left="120"/>
              <w:spacing w:after="0"/>
              <w:rPr>
                <w:sz w:val="20"/>
                <w:szCs w:val="20"/>
                <w:color w:val="auto"/>
              </w:rPr>
            </w:pPr>
            <w:r>
              <w:rPr>
                <w:rFonts w:ascii="Courier New" w:cs="Courier New" w:eastAsia="Courier New" w:hAnsi="Courier New"/>
                <w:sz w:val="15"/>
                <w:szCs w:val="15"/>
                <w:color w:val="auto"/>
              </w:rPr>
              <w:t>Section 1350 Certification (Principal Executive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1280" w:type="dxa"/>
            <w:vAlign w:val="bottom"/>
          </w:tcPr>
          <w:p>
            <w:pPr>
              <w:spacing w:after="0"/>
              <w:rPr>
                <w:sz w:val="14"/>
                <w:szCs w:val="14"/>
                <w:color w:val="auto"/>
              </w:rPr>
            </w:pPr>
          </w:p>
        </w:tc>
        <w:tc>
          <w:tcPr>
            <w:tcW w:w="6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Officer and Principal Financial Officer)</w:t>
            </w:r>
          </w:p>
        </w:tc>
        <w:tc>
          <w:tcPr>
            <w:tcW w:w="11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 Filed herewith.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3" w:name="page44"/>
    <w:bookmarkEnd w:id="43"/>
    <w:p>
      <w:pPr>
        <w:jc w:val="right"/>
        <w:ind w:right="3239"/>
        <w:spacing w:after="0"/>
        <w:rPr>
          <w:sz w:val="20"/>
          <w:szCs w:val="20"/>
          <w:color w:val="auto"/>
        </w:rPr>
      </w:pPr>
      <w:r>
        <w:rPr>
          <w:rFonts w:ascii="Courier New" w:cs="Courier New" w:eastAsia="Courier New" w:hAnsi="Courier New"/>
          <w:sz w:val="15"/>
          <w:szCs w:val="15"/>
          <w:color w:val="auto"/>
        </w:rPr>
        <w:t>Exhibit 31(a)</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RULE 13a-14(a)/15d-14(a) CERTIFICATION</w:t>
      </w:r>
    </w:p>
    <w:p>
      <w:pPr>
        <w:ind w:left="2280"/>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James Hagedorn, certify that:</w:t>
      </w:r>
    </w:p>
    <w:p>
      <w:pPr>
        <w:spacing w:after="0" w:line="173" w:lineRule="exact"/>
        <w:rPr>
          <w:sz w:val="20"/>
          <w:szCs w:val="20"/>
          <w:color w:val="auto"/>
        </w:rPr>
      </w:pPr>
    </w:p>
    <w:p>
      <w:pPr>
        <w:ind w:left="1060" w:right="3239" w:hanging="526"/>
        <w:spacing w:after="0" w:line="234"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for the quarterly period ended June 26, 2004, of The Scotts Company;</w:t>
      </w:r>
    </w:p>
    <w:p>
      <w:pPr>
        <w:spacing w:after="0" w:line="173" w:lineRule="exact"/>
        <w:rPr>
          <w:rFonts w:ascii="Courier New" w:cs="Courier New" w:eastAsia="Courier New" w:hAnsi="Courier New"/>
          <w:sz w:val="15"/>
          <w:szCs w:val="15"/>
          <w:color w:val="auto"/>
        </w:rPr>
      </w:pPr>
    </w:p>
    <w:p>
      <w:pPr>
        <w:ind w:left="1060" w:right="3239" w:hanging="526"/>
        <w:spacing w:after="0" w:line="236"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1060" w:right="3239" w:hanging="526"/>
        <w:spacing w:after="0" w:line="236"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ind w:left="1060" w:right="3319" w:hanging="526"/>
        <w:spacing w:after="0" w:line="235"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5" w:lineRule="exact"/>
        <w:rPr>
          <w:rFonts w:ascii="Courier New" w:cs="Courier New" w:eastAsia="Courier New" w:hAnsi="Courier New"/>
          <w:sz w:val="15"/>
          <w:szCs w:val="15"/>
          <w:color w:val="auto"/>
        </w:rPr>
      </w:pPr>
    </w:p>
    <w:p>
      <w:pPr>
        <w:ind w:left="540" w:right="3399" w:firstLine="519"/>
        <w:spacing w:after="0" w:line="236" w:lineRule="auto"/>
        <w:tabs>
          <w:tab w:leader="none" w:pos="15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540" w:right="3239" w:firstLine="519"/>
        <w:spacing w:after="0" w:line="256" w:lineRule="auto"/>
        <w:tabs>
          <w:tab w:leader="none" w:pos="159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540" w:right="3399" w:firstLine="519"/>
        <w:spacing w:after="0" w:line="236" w:lineRule="auto"/>
        <w:tabs>
          <w:tab w:leader="none" w:pos="15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Courier New" w:cs="Courier New" w:eastAsia="Courier New" w:hAnsi="Courier New"/>
          <w:sz w:val="15"/>
          <w:szCs w:val="15"/>
          <w:color w:val="auto"/>
        </w:rPr>
      </w:pPr>
    </w:p>
    <w:p>
      <w:pPr>
        <w:ind w:left="1060" w:right="3679" w:hanging="526"/>
        <w:spacing w:after="0" w:line="236"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540" w:right="3239" w:firstLine="519"/>
        <w:spacing w:after="0" w:line="235" w:lineRule="auto"/>
        <w:tabs>
          <w:tab w:leader="none" w:pos="15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540" w:right="3399" w:firstLine="519"/>
        <w:spacing w:after="0" w:line="235" w:lineRule="auto"/>
        <w:tabs>
          <w:tab w:leader="none" w:pos="15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9, 2004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Hagedorn</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James Hagedorn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Chief Executive Officer and Chairman of the Board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71" w:right="1440" w:bottom="1440" w:gutter="0" w:footer="0" w:header="0"/>
        </w:sectPr>
      </w:pPr>
    </w:p>
    <w:bookmarkStart w:id="44" w:name="page45"/>
    <w:bookmarkEnd w:id="44"/>
    <w:p>
      <w:pPr>
        <w:jc w:val="right"/>
        <w:ind w:right="3239"/>
        <w:spacing w:after="0"/>
        <w:rPr>
          <w:sz w:val="20"/>
          <w:szCs w:val="20"/>
          <w:color w:val="auto"/>
        </w:rPr>
      </w:pPr>
      <w:r>
        <w:rPr>
          <w:rFonts w:ascii="Courier New" w:cs="Courier New" w:eastAsia="Courier New" w:hAnsi="Courier New"/>
          <w:sz w:val="15"/>
          <w:szCs w:val="15"/>
          <w:color w:val="auto"/>
        </w:rPr>
        <w:t>Exhibit 31(b)</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RULE 13a-14(a)/15d-14(a) CERTIFICATION</w:t>
      </w:r>
    </w:p>
    <w:p>
      <w:pPr>
        <w:ind w:left="2280"/>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Christopher L. Nagel, certify that:</w:t>
      </w:r>
    </w:p>
    <w:p>
      <w:pPr>
        <w:spacing w:after="0" w:line="173" w:lineRule="exact"/>
        <w:rPr>
          <w:sz w:val="20"/>
          <w:szCs w:val="20"/>
          <w:color w:val="auto"/>
        </w:rPr>
      </w:pPr>
    </w:p>
    <w:p>
      <w:pPr>
        <w:ind w:left="1060" w:right="3239" w:hanging="526"/>
        <w:spacing w:after="0" w:line="234"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for the quarterly period ended June 26, 2004, of The Scotts Company;</w:t>
      </w:r>
    </w:p>
    <w:p>
      <w:pPr>
        <w:spacing w:after="0" w:line="173" w:lineRule="exact"/>
        <w:rPr>
          <w:rFonts w:ascii="Courier New" w:cs="Courier New" w:eastAsia="Courier New" w:hAnsi="Courier New"/>
          <w:sz w:val="15"/>
          <w:szCs w:val="15"/>
          <w:color w:val="auto"/>
        </w:rPr>
      </w:pPr>
    </w:p>
    <w:p>
      <w:pPr>
        <w:ind w:left="1060" w:right="3239" w:hanging="526"/>
        <w:spacing w:after="0" w:line="236"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1060" w:right="3239" w:hanging="526"/>
        <w:spacing w:after="0" w:line="236"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ind w:left="1060" w:right="3319" w:hanging="526"/>
        <w:spacing w:after="0" w:line="235"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5" w:lineRule="exact"/>
        <w:rPr>
          <w:rFonts w:ascii="Courier New" w:cs="Courier New" w:eastAsia="Courier New" w:hAnsi="Courier New"/>
          <w:sz w:val="15"/>
          <w:szCs w:val="15"/>
          <w:color w:val="auto"/>
        </w:rPr>
      </w:pPr>
    </w:p>
    <w:p>
      <w:pPr>
        <w:ind w:left="540" w:right="3399" w:firstLine="519"/>
        <w:spacing w:after="0" w:line="236" w:lineRule="auto"/>
        <w:tabs>
          <w:tab w:leader="none" w:pos="159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540" w:right="3239" w:firstLine="519"/>
        <w:spacing w:after="0" w:line="256" w:lineRule="auto"/>
        <w:tabs>
          <w:tab w:leader="none" w:pos="159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540" w:right="3399" w:firstLine="519"/>
        <w:spacing w:after="0" w:line="236" w:lineRule="auto"/>
        <w:tabs>
          <w:tab w:leader="none" w:pos="159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Courier New" w:cs="Courier New" w:eastAsia="Courier New" w:hAnsi="Courier New"/>
          <w:sz w:val="15"/>
          <w:szCs w:val="15"/>
          <w:color w:val="auto"/>
        </w:rPr>
      </w:pPr>
    </w:p>
    <w:p>
      <w:pPr>
        <w:ind w:left="1060" w:right="3679" w:hanging="526"/>
        <w:spacing w:after="0" w:line="236"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540" w:right="3239" w:firstLine="519"/>
        <w:spacing w:after="0" w:line="235" w:lineRule="auto"/>
        <w:tabs>
          <w:tab w:leader="none" w:pos="159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540" w:right="3399" w:firstLine="519"/>
        <w:spacing w:after="0" w:line="235" w:lineRule="auto"/>
        <w:tabs>
          <w:tab w:leader="none" w:pos="159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 August 9, 2004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Christopher L. Nagel</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Vice President and Chief Financial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71" w:right="1440" w:bottom="1440" w:gutter="0" w:footer="0" w:header="0"/>
        </w:sectPr>
      </w:pPr>
    </w:p>
    <w:bookmarkStart w:id="45" w:name="page46"/>
    <w:bookmarkEnd w:id="45"/>
    <w:p>
      <w:pPr>
        <w:jc w:val="right"/>
        <w:ind w:right="3239"/>
        <w:spacing w:after="0"/>
        <w:rPr>
          <w:sz w:val="20"/>
          <w:szCs w:val="20"/>
          <w:color w:val="auto"/>
        </w:rPr>
      </w:pPr>
      <w:r>
        <w:rPr>
          <w:rFonts w:ascii="Courier New" w:cs="Courier New" w:eastAsia="Courier New" w:hAnsi="Courier New"/>
          <w:sz w:val="15"/>
          <w:szCs w:val="15"/>
          <w:color w:val="auto"/>
        </w:rPr>
        <w:t>Exhibit 32</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SECTION 1350 CERTIFICATION*</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connection with the Quarterly Report of The Scotts Company (the "Company") on Form 10-Q for the quarterly period ended June 26, 2004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66" w:lineRule="exact"/>
        <w:rPr>
          <w:sz w:val="20"/>
          <w:szCs w:val="20"/>
          <w:color w:val="auto"/>
        </w:rPr>
      </w:pPr>
    </w:p>
    <w:p>
      <w:pPr>
        <w:ind w:left="1060" w:right="3319" w:hanging="526"/>
        <w:spacing w:after="0" w:line="234"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3" w:lineRule="exact"/>
        <w:rPr>
          <w:rFonts w:ascii="Courier New" w:cs="Courier New" w:eastAsia="Courier New" w:hAnsi="Courier New"/>
          <w:sz w:val="15"/>
          <w:szCs w:val="15"/>
          <w:color w:val="auto"/>
        </w:rPr>
      </w:pPr>
    </w:p>
    <w:p>
      <w:pPr>
        <w:ind w:left="1060" w:right="3239" w:hanging="526"/>
        <w:spacing w:after="0" w:line="235"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4"/>
          <w:szCs w:val="14"/>
          <w:color w:val="auto"/>
        </w:rPr>
        <w:t>/s/ Christopher L. Nagel</w:t>
      </w: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James Hagedorn</w:t>
      </w:r>
      <w:r>
        <w:rPr>
          <w:sz w:val="20"/>
          <w:szCs w:val="20"/>
          <w:color w:val="auto"/>
        </w:rPr>
        <w:tab/>
      </w:r>
      <w:r>
        <w:rPr>
          <w:rFonts w:ascii="Courier New" w:cs="Courier New" w:eastAsia="Courier New" w:hAnsi="Courier New"/>
          <w:sz w:val="14"/>
          <w:szCs w:val="14"/>
          <w:color w:val="auto"/>
        </w:rPr>
        <w:t>Christopher L. Nagel</w:t>
      </w: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President, Chief Executive Officer</w:t>
      </w:r>
      <w:r>
        <w:rPr>
          <w:sz w:val="20"/>
          <w:szCs w:val="20"/>
          <w:color w:val="auto"/>
        </w:rPr>
        <w:tab/>
      </w:r>
      <w:r>
        <w:rPr>
          <w:rFonts w:ascii="Courier New" w:cs="Courier New" w:eastAsia="Courier New" w:hAnsi="Courier New"/>
          <w:sz w:val="14"/>
          <w:szCs w:val="14"/>
          <w:color w:val="auto"/>
        </w:rPr>
        <w:t>Executive Vice President</w:t>
      </w: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and Chairman of the Board</w:t>
      </w:r>
      <w:r>
        <w:rPr>
          <w:sz w:val="20"/>
          <w:szCs w:val="20"/>
          <w:color w:val="auto"/>
        </w:rPr>
        <w:tab/>
      </w:r>
      <w:r>
        <w:rPr>
          <w:rFonts w:ascii="Courier New" w:cs="Courier New" w:eastAsia="Courier New" w:hAnsi="Courier New"/>
          <w:sz w:val="14"/>
          <w:szCs w:val="14"/>
          <w:color w:val="auto"/>
        </w:rPr>
        <w:t>and Chief Financial Officer</w:t>
      </w:r>
    </w:p>
    <w:p>
      <w:pPr>
        <w:spacing w:after="0" w:line="167" w:lineRule="exact"/>
        <w:rPr>
          <w:sz w:val="20"/>
          <w:szCs w:val="20"/>
          <w:color w:val="auto"/>
        </w:rPr>
      </w:pPr>
    </w:p>
    <w:p>
      <w:pPr>
        <w:ind w:left="540"/>
        <w:spacing w:after="0"/>
        <w:tabs>
          <w:tab w:leader="none" w:pos="4180" w:val="left"/>
        </w:tabs>
        <w:rPr>
          <w:sz w:val="20"/>
          <w:szCs w:val="20"/>
          <w:color w:val="auto"/>
        </w:rPr>
      </w:pPr>
      <w:r>
        <w:rPr>
          <w:rFonts w:ascii="Courier New" w:cs="Courier New" w:eastAsia="Courier New" w:hAnsi="Courier New"/>
          <w:sz w:val="15"/>
          <w:szCs w:val="15"/>
          <w:color w:val="auto"/>
        </w:rPr>
        <w:t>August 9, 2004</w:t>
      </w:r>
      <w:r>
        <w:rPr>
          <w:sz w:val="20"/>
          <w:szCs w:val="20"/>
          <w:color w:val="auto"/>
        </w:rPr>
        <w:tab/>
      </w:r>
      <w:r>
        <w:rPr>
          <w:rFonts w:ascii="Courier New" w:cs="Courier New" w:eastAsia="Courier New" w:hAnsi="Courier New"/>
          <w:sz w:val="14"/>
          <w:szCs w:val="14"/>
          <w:color w:val="auto"/>
        </w:rPr>
        <w:t>August 9, 2004</w:t>
      </w:r>
    </w:p>
    <w:p>
      <w:pPr>
        <w:spacing w:after="0" w:line="173" w:lineRule="exact"/>
        <w:rPr>
          <w:sz w:val="20"/>
          <w:szCs w:val="20"/>
          <w:color w:val="auto"/>
        </w:rPr>
      </w:pPr>
    </w:p>
    <w:p>
      <w:pPr>
        <w:ind w:left="540" w:right="3239" w:hanging="530"/>
        <w:spacing w:after="0" w:line="236"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4"/>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upperLetter"/>
      <w:start w:val="1"/>
    </w:lvl>
  </w:abstractNum>
  <w:abstractNum w:abstractNumId="25">
    <w:nsid w:val="3A95F874"/>
    <w:multiLevelType w:val="hybridMultilevel"/>
    <w:lvl w:ilvl="0">
      <w:lvlJc w:val="left"/>
      <w:lvlText w:val="(%1)"/>
      <w:numFmt w:val="upperLetter"/>
      <w:start w:val="3"/>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2019-12-11T21:10:26Z</dcterms:created>
  <dcterms:modified xsi:type="dcterms:W3CDTF">2019-12-11T21:10:26Z</dcterms:modified>
</cp:coreProperties>
</file>