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3"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30, 2024</w:t>
      </w:r>
    </w:p>
    <w:p>
      <w:pPr>
        <w:spacing w:after="0" w:line="117"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Scotts Miracle-Gro Company</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pacing w:after="0" w:line="24" w:lineRule="exact"/>
        <w:rPr>
          <w:sz w:val="24"/>
          <w:szCs w:val="24"/>
          <w:color w:val="auto"/>
        </w:rPr>
      </w:pPr>
    </w:p>
    <w:tbl>
      <w:tblPr>
        <w:tblLayout w:type="fixed"/>
        <w:tblInd w:w="1260" w:type="dxa"/>
        <w:tblCellMar>
          <w:top w:w="0" w:type="dxa"/>
          <w:left w:w="0" w:type="dxa"/>
          <w:bottom w:w="0" w:type="dxa"/>
          <w:right w:w="0" w:type="dxa"/>
        </w:tblCellMar>
      </w:tblPr>
      <w:tr>
        <w:trPr>
          <w:trHeight w:val="226"/>
        </w:trPr>
        <w:tc>
          <w:tcPr>
            <w:tcW w:w="4600" w:type="dxa"/>
            <w:vAlign w:val="bottom"/>
          </w:tcPr>
          <w:p>
            <w:pPr>
              <w:jc w:val="center"/>
              <w:ind w:right="2644"/>
              <w:spacing w:after="0"/>
              <w:rPr>
                <w:sz w:val="20"/>
                <w:szCs w:val="20"/>
                <w:color w:val="auto"/>
              </w:rPr>
            </w:pPr>
            <w:r>
              <w:rPr>
                <w:rFonts w:ascii="Times New Roman" w:cs="Times New Roman" w:eastAsia="Times New Roman" w:hAnsi="Times New Roman"/>
                <w:sz w:val="17"/>
                <w:szCs w:val="17"/>
                <w:b w:val="1"/>
                <w:bCs w:val="1"/>
                <w:color w:val="auto"/>
              </w:rPr>
              <w:t>Ohio</w:t>
            </w:r>
          </w:p>
        </w:tc>
        <w:tc>
          <w:tcPr>
            <w:tcW w:w="3860" w:type="dxa"/>
            <w:vAlign w:val="bottom"/>
          </w:tcPr>
          <w:p>
            <w:pPr>
              <w:jc w:val="center"/>
              <w:ind w:left="2644"/>
              <w:spacing w:after="0"/>
              <w:rPr>
                <w:sz w:val="20"/>
                <w:szCs w:val="20"/>
                <w:color w:val="auto"/>
              </w:rPr>
            </w:pPr>
            <w:r>
              <w:rPr>
                <w:rFonts w:ascii="Times New Roman" w:cs="Times New Roman" w:eastAsia="Times New Roman" w:hAnsi="Times New Roman"/>
                <w:sz w:val="17"/>
                <w:szCs w:val="17"/>
                <w:b w:val="1"/>
                <w:bCs w:val="1"/>
                <w:color w:val="auto"/>
                <w:w w:val="99"/>
              </w:rPr>
              <w:t>31-1414921</w:t>
            </w:r>
          </w:p>
        </w:tc>
      </w:tr>
      <w:tr>
        <w:trPr>
          <w:trHeight w:val="153"/>
        </w:trPr>
        <w:tc>
          <w:tcPr>
            <w:tcW w:w="4600" w:type="dxa"/>
            <w:vAlign w:val="bottom"/>
          </w:tcPr>
          <w:p>
            <w:pPr>
              <w:jc w:val="center"/>
              <w:ind w:right="2644"/>
              <w:spacing w:after="0" w:line="153"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left="2624"/>
              <w:spacing w:after="0" w:line="15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tcPr>
          <w:p>
            <w:pPr>
              <w:jc w:val="center"/>
              <w:ind w:right="26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left="26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14111 Scottslawn Road, Marysville, Ohio 43041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(937</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color w:val="auto"/>
        </w:rPr>
        <w:t xml:space="preserve"> 644-0011</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44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160" w:type="dxa"/>
            <w:vAlign w:val="bottom"/>
            <w:gridSpan w:val="2"/>
          </w:tcPr>
          <w:p>
            <w:pPr>
              <w:jc w:val="center"/>
              <w:ind w:right="1940"/>
              <w:spacing w:after="0"/>
              <w:rPr>
                <w:sz w:val="20"/>
                <w:szCs w:val="20"/>
                <w:color w:val="auto"/>
              </w:rPr>
            </w:pPr>
            <w:r>
              <w:rPr>
                <w:rFonts w:ascii="Times New Roman" w:cs="Times New Roman" w:eastAsia="Times New Roman" w:hAnsi="Times New Roman"/>
                <w:sz w:val="16"/>
                <w:szCs w:val="16"/>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1960"/>
              <w:spacing w:after="0"/>
              <w:rPr>
                <w:sz w:val="20"/>
                <w:szCs w:val="20"/>
                <w:color w:val="auto"/>
              </w:rPr>
            </w:pPr>
            <w:r>
              <w:rPr>
                <w:rFonts w:ascii="Times New Roman" w:cs="Times New Roman" w:eastAsia="Times New Roman" w:hAnsi="Times New Roman"/>
                <w:sz w:val="17"/>
                <w:szCs w:val="17"/>
                <w:color w:val="auto"/>
              </w:rPr>
              <w:t>Common Shares, $0.01 stated value</w:t>
            </w:r>
          </w:p>
        </w:tc>
        <w:tc>
          <w:tcPr>
            <w:tcW w:w="316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7"/>
              </w:rPr>
              <w:t>SMG</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NYSE</w:t>
            </w:r>
          </w:p>
        </w:tc>
      </w:tr>
    </w:tbl>
    <w:p>
      <w:pPr>
        <w:spacing w:after="0" w:line="15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242" w:lineRule="exact"/>
        <w:tabs>
          <w:tab w:leader="none" w:pos="720" w:val="left"/>
          <w:tab w:leader="none" w:pos="1440" w:val="left"/>
        </w:tabs>
        <w:rPr>
          <w:sz w:val="20"/>
          <w:szCs w:val="20"/>
          <w:color w:val="auto"/>
        </w:rPr>
      </w:pPr>
      <w:r>
        <w:rPr>
          <w:rFonts w:ascii="Times New Roman" w:cs="Times New Roman" w:eastAsia="Times New Roman" w:hAnsi="Times New Roman"/>
          <w:sz w:val="17"/>
          <w:szCs w:val="17"/>
          <w:color w:val="auto"/>
        </w:rPr>
        <w:t>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90" w:lineRule="exact"/>
        <w:rPr>
          <w:sz w:val="24"/>
          <w:szCs w:val="24"/>
          <w:color w:val="auto"/>
        </w:rPr>
      </w:pPr>
    </w:p>
    <w:p>
      <w:pPr>
        <w:jc w:val="both"/>
        <w:spacing w:after="0" w:line="26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7"/>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57"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080"/>
        <w:spacing w:after="0" w:line="3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Times New Roman" w:cs="Times New Roman" w:eastAsia="Times New Roman" w:hAnsi="Times New Roman"/>
          <w:sz w:val="35"/>
          <w:szCs w:val="35"/>
          <w:color w:val="auto"/>
          <w:vertAlign w:val="superscript"/>
        </w:rPr>
        <w:t>Yes</w:t>
      </w:r>
      <w:r>
        <w:rPr>
          <w:rFonts w:ascii="Times New Roman" w:cs="Times New Roman" w:eastAsia="Times New Roman" w:hAnsi="Times New Roman"/>
          <w:sz w:val="17"/>
          <w:szCs w:val="17"/>
          <w:color w:val="auto"/>
        </w:rPr>
        <w:t xml:space="preserve"> </w:t>
      </w:r>
      <w:r>
        <w:rPr>
          <w:rFonts w:ascii="MS PGothic" w:cs="MS PGothic" w:eastAsia="MS PGothic" w:hAnsi="MS PGothic"/>
          <w:sz w:val="35"/>
          <w:szCs w:val="35"/>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5"/>
          <w:szCs w:val="35"/>
          <w:color w:val="auto"/>
          <w:vertAlign w:val="superscript"/>
        </w:rPr>
        <w:t>No</w:t>
      </w:r>
      <w:r>
        <w:rPr>
          <w:rFonts w:ascii="Times New Roman" w:cs="Times New Roman" w:eastAsia="Times New Roman" w:hAnsi="Times New Roman"/>
          <w:sz w:val="17"/>
          <w:szCs w:val="17"/>
          <w:color w:val="auto"/>
        </w:rPr>
        <w:t xml:space="preserve"> </w:t>
      </w:r>
      <w:r>
        <w:rPr>
          <w:rFonts w:ascii="MS PGothic" w:cs="MS PGothic" w:eastAsia="MS PGothic" w:hAnsi="MS PGothic"/>
          <w:sz w:val="35"/>
          <w:szCs w:val="35"/>
          <w:color w:val="auto"/>
          <w:vertAlign w:val="superscript"/>
        </w:rPr>
        <w:t>☒</w:t>
      </w:r>
      <w:r>
        <w:rPr>
          <w:rFonts w:ascii="Times New Roman" w:cs="Times New Roman" w:eastAsia="Times New Roman" w:hAnsi="Times New Roman"/>
          <w:sz w:val="17"/>
          <w:szCs w:val="17"/>
          <w:color w:val="auto"/>
        </w:rPr>
        <w:t xml:space="preserve"> As of May 3, 2024, there were 56,799,090 Common Shares outstanding.</w:t>
      </w:r>
    </w:p>
    <w:p>
      <w:pPr>
        <w:sectPr>
          <w:pgSz w:w="11900" w:h="16838" w:orient="portrait"/>
          <w:cols w:equalWidth="0" w:num="1">
            <w:col w:w="11240"/>
          </w:cols>
          <w:pgMar w:left="320" w:top="790" w:right="339" w:bottom="1440" w:gutter="0" w:footer="0" w:header="0"/>
        </w:sectPr>
      </w:pP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SCOTTS MIRACLE-GRO COMPANY</w:t>
      </w:r>
    </w:p>
    <w:p>
      <w:pPr>
        <w:jc w:val="center"/>
        <w:ind w:right="-19"/>
        <w:spacing w:after="0"/>
        <w:rPr>
          <w:sz w:val="20"/>
          <w:szCs w:val="20"/>
          <w:color w:val="auto"/>
        </w:rPr>
      </w:pPr>
      <w:r>
        <w:rPr>
          <w:rFonts w:ascii="Times New Roman" w:cs="Times New Roman" w:eastAsia="Times New Roman" w:hAnsi="Times New Roman"/>
          <w:sz w:val="18"/>
          <w:szCs w:val="18"/>
          <w:color w:val="auto"/>
        </w:rPr>
        <w:t>INDEX</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215"/>
        </w:trPr>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 Three and six months ended March 30, 2024 and April 1, 2023</w:t>
            </w:r>
          </w:p>
        </w:tc>
        <w:tc>
          <w:tcPr>
            <w:tcW w:w="380" w:type="dxa"/>
            <w:vAlign w:val="bottom"/>
            <w:gridSpan w:val="2"/>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and six months ended March 30, 2024</w:t>
            </w:r>
          </w:p>
        </w:tc>
        <w:tc>
          <w:tcPr>
            <w:tcW w:w="10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April 1, 2023</w:t>
            </w:r>
          </w:p>
        </w:tc>
        <w:tc>
          <w:tcPr>
            <w:tcW w:w="1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gridSpan w:val="2"/>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gridSpan w:val="2"/>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60" w:type="dxa"/>
            <w:vAlign w:val="bottom"/>
            <w:tcBorders>
              <w:left w:val="single" w:sz="8" w:color="0000FF"/>
            </w:tcBorders>
            <w:gridSpan w:val="2"/>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Six months ended March 30, 2024 and April 1, 2023</w:t>
            </w:r>
          </w:p>
        </w:tc>
        <w:tc>
          <w:tcPr>
            <w:tcW w:w="1060" w:type="dxa"/>
            <w:vAlign w:val="bottom"/>
            <w:gridSpan w:val="3"/>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Balance Sheets — </w:t>
            </w:r>
            <w:r>
              <w:rPr>
                <w:rFonts w:ascii="Times New Roman" w:cs="Times New Roman" w:eastAsia="Times New Roman" w:hAnsi="Times New Roman"/>
                <w:sz w:val="18"/>
                <w:szCs w:val="18"/>
                <w:color w:val="0E32E1"/>
              </w:rPr>
              <w:t>March</w:t>
            </w:r>
            <w:r>
              <w:rPr>
                <w:rFonts w:ascii="Times New Roman" w:cs="Times New Roman" w:eastAsia="Times New Roman" w:hAnsi="Times New Roman"/>
                <w:sz w:val="18"/>
                <w:szCs w:val="18"/>
                <w:color w:val="0000FF"/>
              </w:rPr>
              <w:t xml:space="preserve"> 30, 2024, April 1, 2023 and September 30, 2023</w:t>
            </w:r>
          </w:p>
        </w:tc>
        <w:tc>
          <w:tcPr>
            <w:tcW w:w="1060" w:type="dxa"/>
            <w:vAlign w:val="bottom"/>
            <w:gridSpan w:val="3"/>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2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5"/>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8"/>
                <w:szCs w:val="18"/>
                <w:color w:val="auto"/>
              </w:rPr>
            </w:pPr>
          </w:p>
        </w:tc>
        <w:tc>
          <w:tcPr>
            <w:tcW w:w="7860" w:type="dxa"/>
            <w:vAlign w:val="bottom"/>
            <w:gridSpan w:val="13"/>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980" w:type="dxa"/>
            <w:vAlign w:val="bottom"/>
            <w:gridSpan w:val="4"/>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tcPr>
          <w:p>
            <w:pPr>
              <w:spacing w:after="0"/>
              <w:rPr>
                <w:sz w:val="18"/>
                <w:szCs w:val="18"/>
                <w:color w:val="auto"/>
              </w:rPr>
            </w:pPr>
          </w:p>
        </w:tc>
        <w:tc>
          <w:tcPr>
            <w:tcW w:w="684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11"/>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8"/>
                <w:szCs w:val="18"/>
                <w:color w:val="auto"/>
              </w:rPr>
            </w:pPr>
          </w:p>
        </w:tc>
        <w:tc>
          <w:tcPr>
            <w:tcW w:w="7860" w:type="dxa"/>
            <w:vAlign w:val="bottom"/>
            <w:gridSpan w:val="13"/>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60" w:type="dxa"/>
            <w:vAlign w:val="bottom"/>
            <w:gridSpan w:val="1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Index to Exhibits</w:t>
            </w:r>
          </w:p>
        </w:tc>
        <w:tc>
          <w:tcPr>
            <w:tcW w:w="8860" w:type="dxa"/>
            <w:vAlign w:val="bottom"/>
            <w:gridSpan w:val="17"/>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6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1"/>
        </w:trPr>
        <w:tc>
          <w:tcPr>
            <w:tcW w:w="638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70"/>
        </w:trPr>
        <w:tc>
          <w:tcPr>
            <w:tcW w:w="6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175"/>
        </w:trPr>
        <w:tc>
          <w:tcPr>
            <w:tcW w:w="6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 potential</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gain (loss) on derivative instruments, net of tax</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76"/>
        </w:trPr>
        <w:tc>
          <w:tcPr>
            <w:tcW w:w="644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Reclassification of net unrealized gain on derivative instruments to net income,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 on securities, net of tax</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Pension and other post-retirement benefit adjustments, net of tax</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520" w:type="dxa"/>
            <w:vAlign w:val="bottom"/>
          </w:tcPr>
          <w:p>
            <w:pPr>
              <w:spacing w:after="0"/>
              <w:rPr>
                <w:sz w:val="11"/>
                <w:szCs w:val="11"/>
                <w:color w:val="auto"/>
              </w:rPr>
            </w:pPr>
          </w:p>
        </w:tc>
        <w:tc>
          <w:tcPr>
            <w:tcW w:w="980" w:type="dxa"/>
            <w:vAlign w:val="bottom"/>
          </w:tcPr>
          <w:p>
            <w:pPr>
              <w:jc w:val="right"/>
              <w:ind w:right="431"/>
              <w:spacing w:after="0" w:line="131" w:lineRule="exact"/>
              <w:rPr>
                <w:sz w:val="20"/>
                <w:szCs w:val="20"/>
                <w:color w:val="auto"/>
              </w:rPr>
            </w:pPr>
            <w:r>
              <w:rPr>
                <w:rFonts w:ascii="Times New Roman" w:cs="Times New Roman" w:eastAsia="Times New Roman" w:hAnsi="Times New Roman"/>
                <w:sz w:val="14"/>
                <w:szCs w:val="14"/>
                <w:b w:val="1"/>
                <w:bCs w:val="1"/>
                <w:color w:val="auto"/>
                <w:w w:val="95"/>
              </w:rPr>
              <w:t>April 1,</w:t>
            </w:r>
          </w:p>
        </w:tc>
      </w:tr>
      <w:tr>
        <w:trPr>
          <w:trHeight w:val="195"/>
        </w:trPr>
        <w:tc>
          <w:tcPr>
            <w:tcW w:w="8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r>
      <w:tr>
        <w:trPr>
          <w:trHeight w:val="230"/>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9"/>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29"/>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non-current items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1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w:t>
            </w:r>
          </w:p>
        </w:tc>
      </w:tr>
      <w:tr>
        <w:trPr>
          <w:trHeight w:val="237"/>
        </w:trPr>
        <w:tc>
          <w:tcPr>
            <w:tcW w:w="8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loans receivable</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1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6"/>
        </w:trPr>
        <w:tc>
          <w:tcPr>
            <w:tcW w:w="8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revolving and bank lines of credit and term loans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under revolving and bank lines of credit and term loans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1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30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3"/>
                <w:szCs w:val="13"/>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52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allowances of $18.2, $22.2 and $15.1, respectively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r>
      <w:tr>
        <w:trPr>
          <w:trHeight w:val="229"/>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176"/>
        </w:trPr>
        <w:tc>
          <w:tcPr>
            <w:tcW w:w="6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$791.4, $793.5 and</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$765.4, respectively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3,413.7</w:t>
            </w:r>
          </w:p>
        </w:tc>
      </w:tr>
      <w:tr>
        <w:trPr>
          <w:trHeight w:val="20"/>
        </w:trPr>
        <w:tc>
          <w:tcPr>
            <w:tcW w:w="80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29"/>
        </w:trPr>
        <w:tc>
          <w:tcPr>
            <w:tcW w:w="8140" w:type="dxa"/>
            <w:vAlign w:val="bottom"/>
            <w:gridSpan w:val="4"/>
            <w:shd w:val="clear" w:color="auto" w:fill="CCEEFF"/>
          </w:tcPr>
          <w:p>
            <w:pPr>
              <w:ind w:left="402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r>
      <w:tr>
        <w:trPr>
          <w:trHeight w:val="223"/>
        </w:trPr>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2,557.4</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65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shares and capital in excess of $0.01 stated value per share; shares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of 56.8, 56.0 and 56.5, respectively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shares, at cost; 11.4, 12.1 and 11.6 shares, respectively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23"/>
        </w:trPr>
        <w:tc>
          <w:tcPr>
            <w:tcW w:w="6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 (deficit)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North America consumer lawn and garden business is highly seasonal, with approximately 75% of its annual net sales occurring in the second and third fiscal quarters. The Company’s Hawthorne segment is also impacted by seasonal sales patterns for certain product categories due to the timing of growing patterns in North America during the second and third fiscal quarters, and the timing of certain controlled agricultural lighting project sales during the third and fourth fiscal quarters.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for the three and six months ended March 30, 2024 and April 1, 2023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March 30, 2024 (this “Form 10-Q”) should be read in conjunction with Scotts Miracle-Gro’s Annual Report on Form 10-K for the fiscal year ended September 30, 2023 (the “2023 Annual Report”), which includes a complete set of footnote disclosures, including the Company’s significant accounting policies.</w:t>
      </w:r>
    </w:p>
    <w:p>
      <w:pPr>
        <w:spacing w:after="0" w:line="1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Balance Sheet at September 30, 2023 has been derived from the Company’s audited Consolidated Balance Sheet at that date, but does not include all of the information and footnotes required by GAAP for complete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w:t>
      </w:r>
    </w:p>
    <w:p>
      <w:pPr>
        <w:spacing w:after="0" w:line="14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October 27, 2023, the Company entered into a Master Receivables Purchase Agreement (the “Master Receivables Purchase Agreement”), under which it may sell up to $600.0 of available and eligible outstanding customer accounts receivable generated by sales to four specified customers. The agreement is uncommitted and has an initial term that expires October 25, 2024, unless earlier terminated by the purchaser. The receivable sales are non-recourse to the Company, other than with respect to (i) repurchase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$70.0. Transactions under this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The Company records the discount on sales in the “Other (income) expense, net” line in the Condensed Consolidated Statements of Operations. At March 30, 2024, net receivables of $582.8 were derecognized. During the three and six months ended March 30, 2024, proceeds from the sale of receivables under the Master Receivables Purchase Agreement totaled $758.2 and $955.5, respectively, and the total discount recorded on sales was $10.7 and $12.9,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7" w:name="page8"/>
    <w:bookmarkEnd w:id="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Supplier Finance Program</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is deemed to be commercially reasonable. The Company’s outstanding payment obligations under its supplier finance program were $38.5, $31.0 and $18.3 at March 30, 2024, April 1, 2023 and September 30, 2023, respectively, and are recorded within accounts payable in the Condensed Consolidated Balance Sheets. The associated payments were $153.0 and $110.3 for the six months ended March 30, 2024 and April 1, 2023, respectively, and are classified as operating activities in the Condensed Consolidated Statements of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had non-cash investing activities of $10.1 and $15.3 during the six months ended March 30, 2024 and April 1, 2023, respectively, representing unpaid liabilities to acquire property, plant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Statements of Cash Flows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500" w:type="dxa"/>
            <w:vAlign w:val="bottom"/>
          </w:tcPr>
          <w:p>
            <w:pPr>
              <w:spacing w:after="0"/>
              <w:rPr>
                <w:sz w:val="11"/>
                <w:szCs w:val="11"/>
                <w:color w:val="auto"/>
              </w:rPr>
            </w:pPr>
          </w:p>
        </w:tc>
        <w:tc>
          <w:tcPr>
            <w:tcW w:w="1000" w:type="dxa"/>
            <w:vAlign w:val="bottom"/>
          </w:tcPr>
          <w:p>
            <w:pPr>
              <w:jc w:val="center"/>
              <w:ind w:right="43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2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2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flow from operating activities for the six months ended April 1, 2023 was impacted by extended payment terms with vendors for payments originally due in the final weeks of fiscal 2022 that were paid in the first quarter of fiscal 2023. The Company also received proceeds of $37.0 during the six months ended April 1, 2023 related to the payoff of seller financing that the Company provided in connection with a fiscal 2017 divestiture, which was classified as an investing activity in the Condensed Consolidated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Accounting Standards Update (“ASU”) No. 2022-04, “Liabilities — Supplier Finance Programs (Subtopic 405-50): Disclosure of Supplier Finance Program Obligations.” This ASU requires disclosure of the key terms of outstanding supplier finance programs and a roll-forward of the related obligations. ASU No. 2022-04 is effective for fiscal years beginning after December 15, 2022, except for the amendment on roll-forward information, which is effective for fiscal years beginning after December 15, 2023. The Company adopted the ASU as of October 1, 2023. The adoption relates to disclosures only and does not have any impact on the Company’s consolidated financial position, results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and is effective for fiscal years beginning after December 15, 2023, and interim periods within fiscal years beginning after December 15, 2024, with early adoption permitted. The Company is currently evaluating the impact that the adoption of this guidance will have on the Company’s disclosures.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 w:name="page9"/>
    <w:bookmarkEnd w:id="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ASU No. 2023-09 is to be applied prospectively, with the option to apply the standard retrospectively, effective for fiscal years beginning after December 15, 2024. The Company is currently evaluating the impact that the adoption of this guidance will have on the Company’s disclosures.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IN UNCONSOLIDATED AFFILIATES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December 31, 2020, the Company acquired a 50% equity interest in Bonnie Plants, LLC, a joint venture with Alabama Farmers Cooperative, Inc. (“AFC”) focused on planting, growing, developing, distributing, marketing and selling live plants.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On November 7, 2023, the Company purchased an additional 5% equity interest in Bonnie Plants, LLC from AFC for $21.4, which restored its total equity interest back to 50%. The Company’s interest is accounted for using the equity method of accounting, with the Company’s proportionate share of Bonnie Plants, LLC earnings reflected in the Condensed Consolidated Statements of Operations.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March 30, 2024, the Company recorded equity in loss of unconsolidated affiliates associated with Bonnie Plants, LLC of $7.0 and $29.5, respectively, as compared to $7.3 and $18.7 during the three and six months ended April 1, 2023, respectively. During the three and six months ended March 30, 2024, the Company recorded a pre-tax impairment charge of $0.0 and $10.4, respectively, associated with its investment in Bonnie Plants, LLC in the “Equity in loss of unconsolidated affiliates” line in the Condensed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IMPAIRMENT, RESTRUCTURING AND OTHER</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restructuring activities during the six months ended March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accrued at September 30, 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accrued at March 30, 2024</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9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30, 2024, restructuring accruals include $9.2 that is classified as long-term.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 w:name="page10"/>
    <w:bookmarkEnd w:id="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These changes and initiatives include reducing the size of the supply chain network, reducing staffing levels and implementing other cost-reduction initiatives. During the second quarter of fiscal 2024, the Company commenced plans to close additional Hawthorne distribution centers. The Company has also accelerated the reduction of certain Hawthorne inventory, primarily lighting, growing environments and hardware products, to reduce its on hand inventory to align with the reduced network capacity. During the three and six months ended March 30, 2024, the Company recorded costs of $77.0 and $73.2, respectively, associated with this restructuring initiative primarily related to inventory write-down charges, employee termination benefits, facility closure costs and impairment of right-of-use assets and property, plant and equipment. The Company recorded recoveries of $0.5 and incurred costs of $1.4 in its U.S. Consumer segment and incurred costs of $75.4 and $67.8 in its Hawthorne segment in the “Cost of sales—impairment, restructuring and other” line in the Condensed Consolidated Statements of Operations during the three and six months ended March 30, 2024, respectively. The Company recorded recoveries of $0.1 and $0.9 in its U.S. Consumer segment and incurred costs of $1.9 and $2.3 in its Hawthorne segment, $0.2 and $0.3 in its Other segment and $0.0 and $2.4 at Corporate in the “Impairment, restructuring and other” line in the Condensed Consolidated Statements of Operations during the three and six months ended March 30, 2024, respectively. Costs incurred from the inception of this restructuring initiative through March 30, 2024 were $294.4 for the Hawthorne segment, $46.0 for the U.S. Consumer segment, $1.8 for the Other segment and $25.1 for Corporate.</w:t>
      </w:r>
    </w:p>
    <w:p>
      <w:pPr>
        <w:spacing w:after="0" w:line="1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April 1, 2023, the Company incurred costs of $136.8 and $151.4, respectively, associated with this restructuring initiative primarily related to inventory write-down charges, employee termination benefits, facility closure costs and impairment of right-of-use assets and property, plant and equipment. The Company incurred costs of $0.2 and $1.2 in its U.S. Consumer segment and $118.5 and $127.0 in its Hawthorne segment in the “Cost of sales—impairment, restructuring and other” line in the Condensed Consolidated Statements of Operations during the three and six months ended April 1, 2023, respectively. The Company incurred costs of $0.1 and $0.3 in its U.S. Consumer segment, $17.1 and $18.2 in its Hawthorne segment and $0.8 and $4.5 at Corporate in the “Impairment, restructuring and other” line in the Condensed Consolidated Statements of Operations during the three and six months ended April 1, 2023, respectively.</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March 30, 2024, the Company recorded a gain of $0.0 and $12.1, respectively,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 for each of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32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3"/>
                <w:szCs w:val="13"/>
                <w:color w:val="auto"/>
              </w:rPr>
            </w:pP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MARKETING AGREEMENT</w:t>
      </w:r>
    </w:p>
    <w:p>
      <w:pPr>
        <w:spacing w:after="0" w:line="148" w:lineRule="exact"/>
        <w:rPr>
          <w:sz w:val="20"/>
          <w:szCs w:val="20"/>
          <w:color w:val="auto"/>
        </w:rPr>
      </w:pPr>
    </w:p>
    <w:p>
      <w:pPr>
        <w:jc w:val="both"/>
        <w:ind w:firstLine="405"/>
        <w:spacing w:after="0" w:line="226" w:lineRule="auto"/>
        <w:rPr>
          <w:sz w:val="20"/>
          <w:szCs w:val="20"/>
          <w:color w:val="auto"/>
        </w:rPr>
      </w:pPr>
      <w:r>
        <w:rPr>
          <w:rFonts w:ascii="Times New Roman" w:cs="Times New Roman" w:eastAsia="Times New Roman" w:hAnsi="Times New Roman"/>
          <w:sz w:val="18"/>
          <w:szCs w:val="18"/>
          <w:color w:val="auto"/>
        </w:rPr>
        <w:t>The Scotts Company LLC (“Scotts LLC”) is the exclusive agent of Monsanto Company, a subsidiary of Bayer AG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subject to reduction pursuant to the Third Restated Agreement for any program year in which the Program EBIT does not equal or exceed $36.0.</w:t>
      </w:r>
    </w:p>
    <w:p>
      <w:pPr>
        <w:spacing w:after="0" w:line="13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Unless Monsanto terminates the Third Restated Agreement due to an event of default by the Company, termination rights under the Third Restated Agreement include the following:</w:t>
      </w:r>
    </w:p>
    <w:p>
      <w:pPr>
        <w:spacing w:after="0" w:line="94" w:lineRule="exact"/>
        <w:rPr>
          <w:sz w:val="20"/>
          <w:szCs w:val="20"/>
          <w:color w:val="auto"/>
        </w:rPr>
      </w:pPr>
    </w:p>
    <w:p>
      <w:pPr>
        <w:ind w:left="5540" w:right="2720" w:hanging="5208"/>
        <w:spacing w:after="0" w:line="923"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Third Restated Agreement upon the insolvency or bankruptcy of Monsanto;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5" w:lineRule="exact"/>
        <w:rPr>
          <w:sz w:val="20"/>
          <w:szCs w:val="20"/>
          <w:color w:val="auto"/>
        </w:rPr>
      </w:pPr>
    </w:p>
    <w:p>
      <w:pPr>
        <w:jc w:val="both"/>
        <w:ind w:left="660" w:hanging="328"/>
        <w:spacing w:after="0" w:line="23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Termination”); and</w:t>
      </w:r>
    </w:p>
    <w:p>
      <w:pPr>
        <w:spacing w:after="0" w:line="11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terminate the Third Restated Agreement if Program EBIT falls below $50.0 and, in such case, no termination fee would be payable to either party.</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elements of the net commission and reimbursements earned under the Third Restated Agreement and included in the “Net sales” line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right"/>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5"/>
        </w:trPr>
        <w:tc>
          <w:tcPr>
            <w:tcW w:w="64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commission</w:t>
            </w:r>
          </w:p>
        </w:tc>
        <w:tc>
          <w:tcPr>
            <w:tcW w:w="720" w:type="dxa"/>
            <w:vAlign w:val="bottom"/>
            <w:tcBorders>
              <w:top w:val="single" w:sz="8" w:color="auto"/>
            </w:tcBorders>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48.9</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 expenses</w:t>
            </w: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(4.5)</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commission</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44.4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27.2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net sales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720" w:type="dxa"/>
            <w:vAlign w:val="bottom"/>
            <w:tcBorders>
              <w:bottom w:val="single" w:sz="8" w:color="auto"/>
            </w:tcBorders>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71.6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DEBT</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debt are as follows: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loans</w:t>
            </w:r>
          </w:p>
        </w:tc>
        <w:tc>
          <w:tcPr>
            <w:tcW w:w="72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314.2</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loans</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500.0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450.0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tcPr>
          <w:p>
            <w:pPr>
              <w:spacing w:after="0"/>
              <w:rPr>
                <w:sz w:val="19"/>
                <w:szCs w:val="19"/>
                <w:color w:val="auto"/>
              </w:rPr>
            </w:pPr>
          </w:p>
        </w:tc>
        <w:tc>
          <w:tcPr>
            <w:tcW w:w="6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2,760.5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3,138.0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w:t>
      </w:r>
    </w:p>
    <w:p>
      <w:pPr>
        <w:spacing w:after="0" w:line="10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8, 2022, the Company entered into Amendment No. 1 to the Sixth A&amp;R Credit Agreement (“Amendment No. 1”).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w:t>
      </w:r>
    </w:p>
    <w:p>
      <w:pPr>
        <w:spacing w:after="0" w:line="11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July 31, 2023, the Company entered into Amendment No. 2 to the Sixth A&amp;R Credit Agreement (“Amendment No. 2”). Amendment No. 2 (i) reduces the revolving loan commitments by $250.0; (ii) increases the maximum permitted leverage ratio for the quarterly leverage covenant until the earlier of (a) October 1, 2025 and (b) subject to certain conditions specified in Amendment No. 2, the termination by the Company of such adjustment (such period,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the Company’s intellectual property (subject to certain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Amendment No. 2 also subjects the Company’s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March 30, 2024, the Company had letters of credit outstanding in the aggregate principal amount of $78.0, and had $857.8 of borrowing availability under the Sixth A&amp;R Credit Agreement. The weighted average interest rates on average borrowings under the credit facilities, excluding the impact of interest rate swaps, were 8.9% and 7.0% for the six months ended March 30, 2024 and April 1, 2023, respectively.</w:t>
      </w:r>
    </w:p>
    <w:p>
      <w:pPr>
        <w:spacing w:after="0" w:line="9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Amendment No. 2 (“Adjusted EBITDA”). Pursuant to Amendment No. 2, the maximum permitted leverage ratio is (i) 7.75 for the second quarter of fiscal 2024, (ii) 6.50 for the third quarter of fiscal 2024, (iii) 6.00 for the fourth quarter of fiscal 2024, (iv) 5.50 for the first quarter of fiscal 2025, (v) 5.25 for the second quarter of fiscal 2025, (vi) 5.00 for the third quarter of fiscal 2025, (vii) 4.75 for the fourth quarter of fiscal 2025 and (viii) 4.50 for the first quarter of fiscal 2026 and thereafter. The Company’s leverage ratio was 6.95 at March 30, 2024. Pursuant to Amendment No. 2, the Sixth A&amp;R Credit Agreement also contains an affirmative covenant regarding the Company’s fixed charge coverage ratio determined as of the end of each of its fiscal quarters, calculated as Adjusted EBITDA minus capital expenditures and expense for taxes paid in cash, divided by the sum of interest expense plus restricted payments, as described in Amendment No. 2. The minimum required fixed charge coverage ratio is</w:t>
      </w:r>
    </w:p>
    <w:p>
      <w:pPr>
        <w:spacing w:after="0" w:line="6" w:lineRule="exact"/>
        <w:rPr>
          <w:sz w:val="20"/>
          <w:szCs w:val="20"/>
          <w:color w:val="auto"/>
        </w:rPr>
      </w:pPr>
    </w:p>
    <w:p>
      <w:pPr>
        <w:ind w:firstLine="8"/>
        <w:spacing w:after="0" w:line="260" w:lineRule="auto"/>
        <w:tabs>
          <w:tab w:leader="none" w:pos="2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0.75 for the second and third quarters of fiscal 2024 and (ii) 1.00 for the fourth quarter of fiscal 2024 and thereafter. The Company’s fixed charge coverage ratio was 0.95 for the twelve months ended March 30, 2024.</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March 30, 2024, the Company was in compliance with all applicable covenants in the agreements governing its debt. Based on the Company’s projections of its financial performance for the twelve-month period subsequent to the date of the filing of this Form 10-Q,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March 30, 2024, the Company’s indebtedness under the Sixth A&amp;R Credit Agreement and Senior Notes was $2,814.2. The Company does not have sufficient cash on hand or available liquidity that can be utilized to repay these outstanding amounts in the event of default.</w:t>
      </w:r>
    </w:p>
    <w:p>
      <w:pPr>
        <w:spacing w:after="0" w:line="8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2.48 for the twelve months ended March 30,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62"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On April 7, 2017, the Company entered into a Master Repurchase Agreement (including the annexes thereto, the “Repurchase Agreement”) and a Master Framework Agreement, as amended (the “Framework Agreement” and, together with the Repurchase Agreement, the “Receivables Facility”), under which the Company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and the commitment amount during the seasonal commitment period that began on February 24, 2023 and ended on June 16, 2023 was $160.0. The Receivables Facility expired on August 18,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3" w:name="page14"/>
    <w:bookmarkEnd w:id="1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sale of receivables under the Receivables Facility was accounted for as short-term debt and the Company continued to carry the receivables on its Condensed Consolidated Balance Sheets, primarily as a result of its requirement to repurchase receivables sold. As of April 1, 2023, there were $380.0 in borrowings on receivables pledged as collateral under the Receivables Facility, and the carrying value of the receivables pledged as collateral was $422.2.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March 30, 2024, April 1, 2023 and September 30, 2023 had a maximum total U.S. dollar equivalent notional amount of $700.0, $800.0 and $600.0, respectively. The notional amount, effective date, expiration date and rate of each of the swap agreements outstanding at March 30, 2024 are shown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40" w:type="dxa"/>
            <w:vAlign w:val="bottom"/>
          </w:tcPr>
          <w:p>
            <w:pPr>
              <w:spacing w:after="0"/>
              <w:rPr>
                <w:sz w:val="13"/>
                <w:szCs w:val="13"/>
                <w:color w:val="auto"/>
              </w:rPr>
            </w:pPr>
          </w:p>
        </w:tc>
        <w:tc>
          <w:tcPr>
            <w:tcW w:w="2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840" w:type="dxa"/>
            <w:vAlign w:val="bottom"/>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96"/>
        </w:trPr>
        <w:tc>
          <w:tcPr>
            <w:tcW w:w="24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340" w:type="dxa"/>
            <w:vAlign w:val="bottom"/>
          </w:tcPr>
          <w:p>
            <w:pPr>
              <w:spacing w:after="0"/>
              <w:rPr>
                <w:sz w:val="17"/>
                <w:szCs w:val="17"/>
                <w:color w:val="auto"/>
              </w:rPr>
            </w:pPr>
          </w:p>
        </w:tc>
        <w:tc>
          <w:tcPr>
            <w:tcW w:w="2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40" w:type="dxa"/>
            <w:vAlign w:val="bottom"/>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9"/>
        </w:trPr>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1/20/2022</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6/20/2024</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6/8/2026</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29"/>
        </w:trPr>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vMerge w:val="continue"/>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3/22/2027</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3"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are first hedged by the applicable swap agreement.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on the Company’s debt, including the impact of interest rate swaps, were 5.9% and 5.3% for the six months ended March 30, 2024 and April 1,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(DEFICIT)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a summary of the changes in equity (deficit) for each of the periods indicated: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4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and Capital in</w:t>
            </w:r>
          </w:p>
        </w:tc>
        <w:tc>
          <w:tcPr>
            <w:tcW w:w="240" w:type="dxa"/>
            <w:vAlign w:val="bottom"/>
          </w:tcPr>
          <w:p>
            <w:pPr>
              <w:spacing w:after="0"/>
              <w:rPr>
                <w:sz w:val="10"/>
                <w:szCs w:val="10"/>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tcPr>
          <w:p>
            <w:pPr>
              <w:spacing w:after="0"/>
              <w:rPr>
                <w:sz w:val="10"/>
                <w:szCs w:val="10"/>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Excess of Stated</w:t>
            </w:r>
          </w:p>
        </w:tc>
        <w:tc>
          <w:tcPr>
            <w:tcW w:w="2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center"/>
              <w:ind w:right="175"/>
              <w:spacing w:after="0" w:line="122"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4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40" w:type="dxa"/>
            <w:vAlign w:val="bottom"/>
          </w:tcPr>
          <w:p>
            <w:pPr>
              <w:spacing w:after="0"/>
              <w:rPr>
                <w:sz w:val="15"/>
                <w:szCs w:val="15"/>
                <w:color w:val="auto"/>
              </w:rPr>
            </w:pPr>
          </w:p>
        </w:tc>
        <w:tc>
          <w:tcPr>
            <w:tcW w:w="98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($0.66 per share)</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 purchases</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 issuances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($0.66 per share)</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 purchases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 issuances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4280" w:type="dxa"/>
            <w:vAlign w:val="bottom"/>
            <w:gridSpan w:val="8"/>
          </w:tcPr>
          <w:p>
            <w:pPr>
              <w:jc w:val="center"/>
              <w:ind w:left="319"/>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020" w:type="dxa"/>
            <w:vAlign w:val="bottom"/>
            <w:gridSpan w:val="14"/>
          </w:tcPr>
          <w:p>
            <w:pPr>
              <w:jc w:val="center"/>
              <w:ind w:left="113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4040" w:type="dxa"/>
            <w:vAlign w:val="bottom"/>
            <w:gridSpan w:val="7"/>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3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vMerge w:val="restart"/>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and Capital in</w:t>
            </w:r>
          </w:p>
        </w:tc>
        <w:tc>
          <w:tcPr>
            <w:tcW w:w="240" w:type="dxa"/>
            <w:vAlign w:val="bottom"/>
          </w:tcPr>
          <w:p>
            <w:pPr>
              <w:spacing w:after="0"/>
              <w:rPr>
                <w:sz w:val="10"/>
                <w:szCs w:val="10"/>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tcPr>
          <w:p>
            <w:pPr>
              <w:spacing w:after="0"/>
              <w:rPr>
                <w:sz w:val="10"/>
                <w:szCs w:val="10"/>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Excess of Stated</w:t>
            </w:r>
          </w:p>
        </w:tc>
        <w:tc>
          <w:tcPr>
            <w:tcW w:w="2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right="175"/>
              <w:spacing w:after="0" w:line="131"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4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40" w:type="dxa"/>
            <w:vAlign w:val="bottom"/>
          </w:tcPr>
          <w:p>
            <w:pPr>
              <w:spacing w:after="0"/>
              <w:rPr>
                <w:sz w:val="15"/>
                <w:szCs w:val="15"/>
                <w:color w:val="auto"/>
              </w:rPr>
            </w:pPr>
          </w:p>
        </w:tc>
        <w:tc>
          <w:tcPr>
            <w:tcW w:w="98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23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($0.66 per share)</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 purchases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 issuances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($0.66 per share)</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 purchases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 issuances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Accumulated Other Comprehensive Loss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loss (“AOCL”) by component were as follows for each of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Net Unrealized Gain</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0" w:type="dxa"/>
            <w:vAlign w:val="bottom"/>
          </w:tcPr>
          <w:p>
            <w:pPr>
              <w:spacing w:after="0"/>
              <w:rPr>
                <w:sz w:val="11"/>
                <w:szCs w:val="11"/>
                <w:color w:val="auto"/>
              </w:rPr>
            </w:pPr>
          </w:p>
        </w:tc>
        <w:tc>
          <w:tcPr>
            <w:tcW w:w="1180" w:type="dxa"/>
            <w:vAlign w:val="bottom"/>
          </w:tcPr>
          <w:p>
            <w:pPr>
              <w:jc w:val="center"/>
              <w:ind w:right="53"/>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Securities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Benefit Adjustments</w:t>
            </w:r>
          </w:p>
        </w:tc>
        <w:tc>
          <w:tcPr>
            <w:tcW w:w="140" w:type="dxa"/>
            <w:vAlign w:val="bottom"/>
          </w:tcPr>
          <w:p>
            <w:pPr>
              <w:spacing w:after="0"/>
              <w:rPr>
                <w:sz w:val="16"/>
                <w:szCs w:val="16"/>
                <w:color w:val="auto"/>
              </w:rPr>
            </w:pP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175"/>
        </w:trPr>
        <w:tc>
          <w:tcPr>
            <w:tcW w:w="42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76"/>
        </w:trPr>
        <w:tc>
          <w:tcPr>
            <w:tcW w:w="42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4800" w:type="dxa"/>
            <w:vAlign w:val="bottom"/>
            <w:gridSpan w:val="10"/>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920" w:type="dxa"/>
            <w:vAlign w:val="bottom"/>
            <w:gridSpan w:val="14"/>
          </w:tcPr>
          <w:p>
            <w:pPr>
              <w:jc w:val="center"/>
              <w:ind w:left="123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8"/>
        </w:trPr>
        <w:tc>
          <w:tcPr>
            <w:tcW w:w="3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Net Unrealized Gain</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0" w:type="dxa"/>
            <w:vAlign w:val="bottom"/>
          </w:tcPr>
          <w:p>
            <w:pPr>
              <w:spacing w:after="0"/>
              <w:rPr>
                <w:sz w:val="11"/>
                <w:szCs w:val="11"/>
                <w:color w:val="auto"/>
              </w:rPr>
            </w:pPr>
          </w:p>
        </w:tc>
        <w:tc>
          <w:tcPr>
            <w:tcW w:w="1180" w:type="dxa"/>
            <w:vAlign w:val="bottom"/>
          </w:tcPr>
          <w:p>
            <w:pPr>
              <w:jc w:val="center"/>
              <w:ind w:right="53"/>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Securities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Benefit Adjustments</w:t>
            </w:r>
          </w:p>
        </w:tc>
        <w:tc>
          <w:tcPr>
            <w:tcW w:w="140" w:type="dxa"/>
            <w:vAlign w:val="bottom"/>
          </w:tcPr>
          <w:p>
            <w:pPr>
              <w:spacing w:after="0"/>
              <w:rPr>
                <w:sz w:val="16"/>
                <w:szCs w:val="16"/>
                <w:color w:val="auto"/>
              </w:rPr>
            </w:pP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75"/>
        </w:trPr>
        <w:tc>
          <w:tcPr>
            <w:tcW w:w="37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5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176"/>
        </w:trPr>
        <w:tc>
          <w:tcPr>
            <w:tcW w:w="37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share-based compensation was as follows for each of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tax benefit recognized</w:t>
            </w:r>
          </w:p>
        </w:tc>
        <w:tc>
          <w:tcPr>
            <w:tcW w:w="1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Performance-based award activity was as follows (based on target award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Wtd. Avg. Grant Date</w:t>
            </w:r>
          </w:p>
        </w:tc>
      </w:tr>
      <w:tr>
        <w:trPr>
          <w:trHeight w:val="196"/>
        </w:trPr>
        <w:tc>
          <w:tcPr>
            <w:tcW w:w="274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 per Unit</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Awards outstanding at September 30,</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544,790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(a)</w:t>
            </w:r>
          </w:p>
        </w:tc>
        <w:tc>
          <w:tcPr>
            <w:tcW w:w="4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4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(185,740)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64.66</w:t>
            </w:r>
          </w:p>
        </w:tc>
      </w:tr>
      <w:tr>
        <w:trPr>
          <w:trHeight w:val="243"/>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30, 2024</w:t>
            </w:r>
          </w:p>
        </w:tc>
        <w:tc>
          <w:tcPr>
            <w:tcW w:w="1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410,060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r>
      <w:tr>
        <w:trPr>
          <w:trHeight w:val="20"/>
        </w:trPr>
        <w:tc>
          <w:tcPr>
            <w:tcW w:w="2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   Vested at a weighted average of</w:t>
            </w: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of the target performance share units granted.</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r>
    </w:tbl>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performance-based awards granted during the six months ended March 30, 2024 and April 1, 2023 was $74.95 and $65.97 per share, respectively. As of March 30, 2024, there was $8.6 of total unrecognized pre-tax compensation cost, net of estimated forfeitures, related to nonvested performance-based awards that is expected to be recognized over a weighted-average period of 2.6 years. The total fair value of performance-based units vested during the six months ended March 30, 2024 and April 1, 2023 was $10.6 and $17.5,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6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333333"/>
        </w:rPr>
        <w:t xml:space="preserve">During the three months ended </w:t>
      </w:r>
      <w:r>
        <w:rPr>
          <w:rFonts w:ascii="Times New Roman" w:cs="Times New Roman" w:eastAsia="Times New Roman" w:hAnsi="Times New Roman"/>
          <w:sz w:val="18"/>
          <w:szCs w:val="18"/>
          <w:color w:val="000000"/>
        </w:rPr>
        <w:t>March 30, 2024, the Company granted performance-based award units with a three year vesting period that include a</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performance target based on the Company’s total shareholder return relative to a Company selected peer group, among other financial targets. Based on the extent to which the targets are achieved, vested shares may range from 0% to 325% of the award units granted. The grant date fair value of award units based on a total shareholder return performance target was estimated using a Monte Carlo simulation model. Expected market price volatility was based on historical volatility specific to the Common Shares. The risk-free rate was based on the U.S. Treasury yield curve in effect at the time of grant. Details of the assumptions used in the Monte Carlo simulation model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2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fiscal 2024, the Company is granting short-term equity incentive compensation awards to certain employees in the form of performance-based units in lieu of cash-based annual incentive awards. These awards will be granted on or near the incentive payout date, subject to certain performance conditions and a service requirement. The number of performance-based units that the Company will ultimately issue to participating employees will be determined based on a target payout amount for each employee adjusted up or down based on actual performance compared to the performance conditions, and then converted into a variable number of performance-based award units based on the fair value of the Company’s Common Shares on the grant date. The awards are classified as liability awards and, as of March 30, 2024, the Company had accrued $8.2 in the “Other current liabilities” line in the Condensed Consolidated Balance Sheets associated with these awards. As of March 30, 2024, there was $12.0 of total unrecognized pre-tax compensation cost related to these nonvested performance-based awards that is expected to be recognized over the remainder of fiscal 2024. The performance based units associated with these awards are excluded from the table above.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information necessary to calculate basic and diluted net income per Common Share for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64"/>
        </w:trPr>
        <w:tc>
          <w:tcPr>
            <w:tcW w:w="6440" w:type="dxa"/>
            <w:vAlign w:val="bottom"/>
          </w:tcPr>
          <w:p>
            <w:pPr>
              <w:ind w:left="36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potential common shares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stock options outstanding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864"/>
        </w:trPr>
        <w:tc>
          <w:tcPr>
            <w:tcW w:w="6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7" w:name="page18"/>
    <w:bookmarkEnd w:id="1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rates for the six months ended March 30, 2024 and April 1, 2023 were 27.1% and 19.5%, respectively. The increase in the effective tax rate was driven by favorable discrete items recorded during the six months ended April 1, 2023 which did not reoccur in the six months ended March 30, 2024.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year-end.</w:t>
      </w:r>
    </w:p>
    <w:p>
      <w:pPr>
        <w:spacing w:after="0" w:line="11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2020. There are currently no ongoing audits with respect to the U.S. federal jurisdiction. With respect to the foreign jurisdictions, a Canadian audit covering fiscal years 2020 through 2021 is in process. The Company is currently under examination by certain U.S. state and local tax authorities covering various periods from fiscal years 2018 through 2022. In addition to the aforementioned audits, certain other tax deficiency notices and refund claims for previous years remain unresolved.</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CONTINGENCIES</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March 30, 2024, the Company had recorded liabilities of $2.9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condensed consolidated financial statements as the 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INSTRUMENTS AND HEDGING ACTIVITIES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$114.2, $119.1 and $123.1 at March 30, 2024, April 1, 2023 and September 30, 2023, respectively. Contracts outstanding at March 30, 2024 will mature over the next fiscal quarter.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March 30, 2024, April 1, 2023 and September 30, 2023 had a maximum total U.S. dollar equivalent notional amount of $700.0, $800.0 and $600.0, respectively. Refer to “NOTE 6. DEBT” for the terms of the swap agreements outstanding at March 30, 2024. Included in the AOCL balance at March 30, 2024 was a gain of $9.7 related to interest rate swap agreements that is expected to be reclassified to earnings during the next twelve months, consistent with the timing of the underlying hedged transactions.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March 30, 2024 was a gain of $0.2 related to commodity hedges that is expected to be reclassified to earnings during the next twelve months, consistent with the timing of the underlying hedged transactions.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0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1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9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080" w:type="dxa"/>
            <w:vAlign w:val="bottom"/>
            <w:gridSpan w:val="2"/>
            <w:vMerge w:val="continue"/>
          </w:tcPr>
          <w:p>
            <w:pPr>
              <w:spacing w:after="0"/>
              <w:rPr>
                <w:sz w:val="16"/>
                <w:szCs w:val="16"/>
                <w:color w:val="auto"/>
              </w:rPr>
            </w:pPr>
          </w:p>
        </w:tc>
        <w:tc>
          <w:tcPr>
            <w:tcW w:w="198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 tons</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Diesel</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1,428,000 gallons</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2,394,000 gallons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1,974,000 gallons</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Heating Oil</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756,000 gallons</w:t>
            </w:r>
          </w:p>
        </w:tc>
        <w:tc>
          <w:tcPr>
            <w:tcW w:w="2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1,260,000 gallons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966,000 gallons</w:t>
            </w:r>
          </w:p>
        </w:tc>
        <w:tc>
          <w:tcPr>
            <w:tcW w:w="0" w:type="dxa"/>
            <w:vAlign w:val="bottom"/>
          </w:tcPr>
          <w:p>
            <w:pPr>
              <w:spacing w:after="0"/>
              <w:rPr>
                <w:sz w:val="1"/>
                <w:szCs w:val="1"/>
                <w:color w:val="auto"/>
              </w:rPr>
            </w:pPr>
          </w:p>
        </w:tc>
      </w:tr>
      <w:tr>
        <w:trPr>
          <w:trHeight w:val="8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right"/>
              <w:ind w:right="1256"/>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which represent Level 2 fair value measurements,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1"/>
                <w:szCs w:val="11"/>
                <w:color w:val="auto"/>
              </w:rPr>
            </w:pPr>
          </w:p>
        </w:tc>
        <w:tc>
          <w:tcPr>
            <w:tcW w:w="1280" w:type="dxa"/>
            <w:vAlign w:val="bottom"/>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500" w:type="dxa"/>
            <w:vAlign w:val="bottom"/>
            <w:gridSpan w:val="2"/>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3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derivatives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The effect of derivative instruments on AOCL, net of tax, and the Condensed Consolidated Statements of Operations for each of the periods presented was as follows:</w:t>
      </w: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gridSpan w:val="14"/>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Amount of Gain / (Loss) Recognized in AOCL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7"/>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4"/>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AOCL into</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5"/>
        </w:trPr>
        <w:tc>
          <w:tcPr>
            <w:tcW w:w="3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left="540"/>
              <w:spacing w:after="0"/>
              <w:rPr>
                <w:sz w:val="20"/>
                <w:szCs w:val="20"/>
                <w:color w:val="auto"/>
              </w:rPr>
            </w:pPr>
            <w:r>
              <w:rPr>
                <w:rFonts w:ascii="Times New Roman" w:cs="Times New Roman" w:eastAsia="Times New Roman" w:hAnsi="Times New Roman"/>
                <w:sz w:val="18"/>
                <w:szCs w:val="18"/>
                <w:color w:val="auto"/>
                <w:w w:val="98"/>
              </w:rPr>
              <w:t>(3.2)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8"/>
                <w:szCs w:val="18"/>
                <w:color w:val="auto"/>
                <w:w w:val="98"/>
              </w:rPr>
              <w:t>(4.3)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4"/>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5"/>
        </w:trPr>
        <w:tc>
          <w:tcPr>
            <w:tcW w:w="3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 net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8"/>
              </w:rPr>
              <w:t>(3.5)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7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left="540"/>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8"/>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gridSpan w:val="3"/>
            <w:vMerge w:val="restart"/>
          </w:tcPr>
          <w:p>
            <w:pPr>
              <w:jc w:val="right"/>
              <w:ind w:right="243"/>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assets and liabilities for which disclosure of fair value is required: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40" w:type="dxa"/>
            <w:vAlign w:val="bottom"/>
          </w:tcPr>
          <w:p>
            <w:pPr>
              <w:spacing w:after="0"/>
              <w:rPr>
                <w:sz w:val="13"/>
                <w:szCs w:val="13"/>
                <w:color w:val="auto"/>
              </w:rPr>
            </w:pPr>
          </w:p>
        </w:tc>
        <w:tc>
          <w:tcPr>
            <w:tcW w:w="19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13"/>
                <w:szCs w:val="13"/>
                <w:color w:val="auto"/>
              </w:rPr>
            </w:pPr>
          </w:p>
        </w:tc>
        <w:tc>
          <w:tcPr>
            <w:tcW w:w="18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38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7"/>
                <w:szCs w:val="17"/>
                <w:color w:val="auto"/>
              </w:rPr>
            </w:pPr>
          </w:p>
        </w:tc>
      </w:tr>
      <w:tr>
        <w:trPr>
          <w:trHeight w:val="162"/>
        </w:trPr>
        <w:tc>
          <w:tcPr>
            <w:tcW w:w="388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38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76"/>
        </w:trPr>
        <w:tc>
          <w:tcPr>
            <w:tcW w:w="38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Investment securities in non-qualified retirement</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 assets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70"/>
        </w:trPr>
        <w:tc>
          <w:tcPr>
            <w:tcW w:w="3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facilities – revolving loans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facilities – term loans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 facility</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balance of Level 3 convertible debt investments carried at fair value are presented below. There were no transfers into or out of Level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6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6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6"/>
        </w:trPr>
        <w:tc>
          <w:tcPr>
            <w:tcW w:w="6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 unrealized gains included in net earnings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 unrealized losses included in OCI</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amortized cost basis of convertible debt investments was $226.0, $224.0, and $225.8 at March 30, 2024, April 1, 2023, and September 30, 2023, respectively. At March 30, 2024, April 1, 2023, and September 30, 2023, gross unrealized losses on convertible debt investments were $141.4, $139.2, and $140.0 respectively, and there were no gross unrealized gains. These investments have been in a continuous unrealized loss position for greater than 12 months as of March 30, 2024. The allowance for expected credit losses was $101.3, $0.0 and $101.3 at March 30, 2024, April 1, 2023 and September 30, 2023, respectively. At March 30, 2024, the period until scheduled maturity of the Company’s convertible debt investments was between 3.4 years and 5.5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1" w:name="page22"/>
    <w:bookmarkEnd w:id="2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March 30, 2024, the Company had entered into operating leases that were yet to commence with a combined total expected lease liability of $23.3. From time to time, the Company will sublease portions of its facilities, resulting in sublease income. Sublease income and the related cash flows were not material to the condensed consolidated financial statements for the three and six months ended March 30, 2024 and April 1, 2023.</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March 30, 2024, the Company’s residual value guarantee would have approximated $5.2.</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3"/>
                <w:szCs w:val="13"/>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Components of lease cost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1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1"/>
        </w:trPr>
        <w:tc>
          <w:tcPr>
            <w:tcW w:w="6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6"/>
        </w:trPr>
        <w:tc>
          <w:tcPr>
            <w:tcW w:w="6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660" w:hanging="652"/>
        <w:spacing w:after="0" w:line="266"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amortization of right-of-use assets of $16.5 and $34.7 for the three and six months ended March 30, 2024, respectively, and $23.8 and $42.8 for the three and six months ended April 1, 2023, respectively. Short-term lease expense is excluded from operating lease cost and is not material.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5"/>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31"/>
        </w:trPr>
        <w:tc>
          <w:tcPr>
            <w:tcW w:w="6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Pr>
          <w:p>
            <w:pPr>
              <w:spacing w:after="0"/>
              <w:rPr>
                <w:sz w:val="11"/>
                <w:szCs w:val="11"/>
                <w:color w:val="auto"/>
              </w:rPr>
            </w:pPr>
          </w:p>
        </w:tc>
        <w:tc>
          <w:tcPr>
            <w:tcW w:w="13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28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 net</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62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4"/>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68"/>
        </w:trPr>
        <w:tc>
          <w:tcPr>
            <w:tcW w:w="81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the Company’s leases were as follows: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2"/>
        </w:trPr>
        <w:tc>
          <w:tcPr>
            <w:tcW w:w="6280" w:type="dxa"/>
            <w:vAlign w:val="bottom"/>
          </w:tcPr>
          <w:p>
            <w:pPr>
              <w:spacing w:after="0"/>
              <w:rPr>
                <w:sz w:val="14"/>
                <w:szCs w:val="14"/>
                <w:color w:val="auto"/>
              </w:rPr>
            </w:pPr>
          </w:p>
        </w:tc>
        <w:tc>
          <w:tcPr>
            <w:tcW w:w="18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Pr>
          <w:p>
            <w:pPr>
              <w:spacing w:after="0"/>
              <w:rPr>
                <w:sz w:val="14"/>
                <w:szCs w:val="14"/>
                <w:color w:val="auto"/>
              </w:rPr>
            </w:pPr>
          </w:p>
        </w:tc>
        <w:tc>
          <w:tcPr>
            <w:tcW w:w="14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2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6"/>
        </w:trPr>
        <w:tc>
          <w:tcPr>
            <w:tcW w:w="6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459"/>
        </w:trPr>
        <w:tc>
          <w:tcPr>
            <w:tcW w:w="81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w w:val="99"/>
              </w:rPr>
              <w:t>Maturities of lease liabilities by fiscal year for the Company’s leases as of March 30, 2024 were as follows: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6"/>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7"/>
                <w:szCs w:val="17"/>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6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1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Consumer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1,726.3</w:t>
            </w:r>
          </w:p>
        </w:tc>
      </w:tr>
      <w:tr>
        <w:trPr>
          <w:trHeight w:val="22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Hawthorne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30"/>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48"/>
        </w:trPr>
        <w:tc>
          <w:tcPr>
            <w:tcW w:w="6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Consumer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Hawthorne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Profit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1"/>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by product category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media and mulch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Lawn care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Controls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29"/>
        </w:trPr>
        <w:tc>
          <w:tcPr>
            <w:tcW w:w="64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primarily gardening</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Lighting</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Nutrients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media</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Growing environments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primarily hardware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media</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Lawn care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primarily gardening and controls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by geographic area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6"/>
        </w:trPr>
        <w:tc>
          <w:tcPr>
            <w:tcW w:w="6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1,912.2</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3"/>
        </w:trPr>
        <w:tc>
          <w:tcPr>
            <w:tcW w:w="6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w:t>
            </w: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5" w:name="page26"/>
    <w:bookmarkEnd w:id="25"/>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purpose of this Management’s Discussion and Analysis of Financial Condition and Results of Operation (“MD&amp;A”) is to provide an understanding of our financial condition and results of operations by focusing on changes in certain key measures from year-to-year. This MD&amp;A includes the following sections:</w:t>
      </w:r>
    </w:p>
    <w:p>
      <w:pPr>
        <w:spacing w:after="0" w:line="6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This MD&amp;A should be read in conjunction with “Management’s Discussion and Analysis of Financial Condition and Results of Operations” included in Scotts Miracle-Gro’s Annual Report on Form 10-K for the fiscal year ended September 30, 2023 (the “2023 Annual Report”) and our condensed consolidated financial statements included in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48" w:lineRule="exact"/>
        <w:rPr>
          <w:sz w:val="20"/>
          <w:szCs w:val="20"/>
          <w:color w:val="auto"/>
        </w:rPr>
      </w:pPr>
    </w:p>
    <w:p>
      <w:pPr>
        <w:jc w:val="both"/>
        <w:ind w:firstLine="445"/>
        <w:spacing w:after="0" w:line="226" w:lineRule="auto"/>
        <w:rPr>
          <w:sz w:val="20"/>
          <w:szCs w:val="20"/>
          <w:color w:val="auto"/>
        </w:rPr>
      </w:pPr>
      <w:r>
        <w:rPr>
          <w:rFonts w:ascii="Times New Roman" w:cs="Times New Roman" w:eastAsia="Times New Roman" w:hAnsi="Times New Roman"/>
          <w:sz w:val="18"/>
          <w:szCs w:val="18"/>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lawn fertilizer and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grass seed products;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soil, plant food and gardening products;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herbicide and pesticide products; and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rodent control and animal repellent products. We are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within the United States and certain other specified countries. In addition, we have an equity interest in Bonnie Plants, LLC, a joint venture with AFC, focused on planting, growing, developing, distributing, marketing and selling live plants.</w:t>
      </w:r>
    </w:p>
    <w:p>
      <w:pPr>
        <w:spacing w:after="0" w:line="80"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Through our Hawthorne segment, we are a leading provider of nutrients, lighting and other materials used for indoor and hydroponic gardening in North America. Our key brands include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Due to the seasonal nature of the consumer lawn and garden business, significant portions of our U.S. Consumer and Other segment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Our Hawthorne segment is also impacted by seasonal sales patterns for certain product categories due to the timing of growing patterns in North America during our second and third fiscal quarters, and the timing of certain controlled agricultural lighting project sales during our third and fourth fiscal quarters.</w:t>
      </w:r>
    </w:p>
    <w:p>
      <w:pPr>
        <w:jc w:val="center"/>
        <w:ind w:left="6180"/>
        <w:spacing w:after="0" w:line="230" w:lineRule="auto"/>
        <w:rPr>
          <w:sz w:val="20"/>
          <w:szCs w:val="20"/>
          <w:color w:val="auto"/>
        </w:rPr>
      </w:pPr>
      <w:r>
        <w:rPr>
          <w:rFonts w:ascii="Times New Roman" w:cs="Times New Roman" w:eastAsia="Times New Roman" w:hAnsi="Times New Roman"/>
          <w:sz w:val="14"/>
          <w:szCs w:val="14"/>
          <w:b w:val="1"/>
          <w:bCs w:val="1"/>
          <w:color w:val="auto"/>
        </w:rPr>
        <w:t>Percent of Net Sales from Continuing</w:t>
      </w: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Operations by Quarter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34"/>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846"/>
        </w:trPr>
        <w:tc>
          <w:tcPr>
            <w:tcW w:w="62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6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During fiscal 2022, we began implementing a series of Company-wide organizational changes and initiatives intended to create operational and management-level efficiencies. These changes and initiatives include reducing the size of our supply chain network, reducing staffing levels and implementing other cost-reduction initiatives. During the second quarter of fiscal 2024, we commenced plans to close additional Hawthorne distribution centers. We have also accelerated the reduction of certain Hawthorne inventory, primarily lighting, growing environments and hardware products, to reduce our on hand inventory to align with the reduced network capacity. We expect these efforts to deliver run-rate annualized savings of at least $300.0, nearly all of which is expected to be realized by the end of fiscal 2024. The restructuring initiative is expected to improve our gross margin rate and decrease SG&amp;A. During the three and six months ended March 30, 2024, we incurred costs of $74.9 and $69.1, respectively, in the “Cost of sales—impairment, restructuring and other” line in the Condensed Consolidated Statements of Operations and $2.0 and $4.1, respectively, in the “Impairment, restructuring and other” line in the Condensed Consolidated Statements of Operations associated with this restructuring initiative primarily related to inventory write-down charges, employee termination benefits, facility closure costs and impairment of right-of-use assets and property, plant and equipment. Costs incurred from the inception of this restructuring initiative through March 30, 2024 were $367.3.</w:t>
      </w:r>
    </w:p>
    <w:p>
      <w:pPr>
        <w:spacing w:after="0" w:line="5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March 30, 2024, our Hawthorne segment continued to experience adverse financial results primarily due to decreased sales volume. The decrease in sales volume is attributable to an oversupply of cannabis, which significantly decreased cannabis wholesale prices and indoor and outdoor cannabis cultivation. The oversupply has been driven by increased licensing activity across the U.S., significant capital investment in the cannabis production marketplace over the past several years, inconsistent enforcement of regulations and the market impacts of the COVID-19 pandemic.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spacing w:after="0" w:line="67" w:lineRule="exact"/>
        <w:rPr>
          <w:sz w:val="20"/>
          <w:szCs w:val="20"/>
          <w:color w:val="auto"/>
        </w:rPr>
      </w:pPr>
    </w:p>
    <w:p>
      <w:pPr>
        <w:jc w:val="both"/>
        <w:ind w:firstLine="445"/>
        <w:spacing w:after="0" w:line="234" w:lineRule="auto"/>
        <w:rPr>
          <w:sz w:val="20"/>
          <w:szCs w:val="20"/>
          <w:color w:val="auto"/>
        </w:rPr>
      </w:pPr>
      <w:r>
        <w:rPr>
          <w:rFonts w:ascii="Times New Roman" w:cs="Times New Roman" w:eastAsia="Times New Roman" w:hAnsi="Times New Roman"/>
          <w:sz w:val="18"/>
          <w:szCs w:val="18"/>
          <w:color w:val="auto"/>
        </w:rPr>
        <w:t>During the three months ended March 30, 2024, our Hawthorne segment announced a strategic partnership with BFG Supply (“BFG”), a leading national horticultural and agricultural product distributor, under which BFG will distribute Hawthorne’s proprietary Signature brand cultivation supplies and solutions. Our Hawthorne segment also announced it is discontinuing the distribution of other companies’ products and shifting its focus solely to marketing, innovating and supporting its vast portfolio of Signature brands, including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more. We expect the discontinuation of sales of other companies’ products will decrease the sales volume of our Hawthorne segment in future periods, but will enable continued optimization of its operations and improvement of its profitability.</w:t>
      </w:r>
    </w:p>
    <w:p>
      <w:pPr>
        <w:spacing w:after="0" w:line="8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March 30, 2024, we continued to experience the impacts of cost inflation and uncertain macroeconomic and geopolitical conditions (including the ongoing conflicts in Ukraine and the Middle East), resulting in persistently high manufacturing costs, higher interest rates and volatile commodity costs. Higher costs over the past several years required us to implement significant price increases across our business in fiscal 2022 and 2023, and we have implemented targeted price reductions on certain products during fiscal 2024. We expect inflationary headwinds, volatile commodity costs and elevated interest rates to continue. The impact that these trends will continue to have on our operational and financial performance will depend on future developments, including inflationary, macroeconomic and geopolitical conditions, and their potential impact on consumer behavior, which are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7" w:name="page28"/>
    <w:bookmarkEnd w:id="2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components of earnings as a percentage of net sales for the three months ended March 30, 2024 and April 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6"/>
                <w:szCs w:val="16"/>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Sales</w:t>
            </w:r>
          </w:p>
        </w:tc>
      </w:tr>
      <w:tr>
        <w:trPr>
          <w:trHeight w:val="228"/>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65.3</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5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3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components of earnings as a percentage of net sales for the six months ended March 30, 2024 and April 1,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6"/>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7"/>
                <w:szCs w:val="17"/>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Sales</w:t>
            </w:r>
          </w:p>
        </w:tc>
      </w:tr>
      <w:tr>
        <w:trPr>
          <w:trHeight w:val="229"/>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5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8" w:name="page29"/>
    <w:bookmarkEnd w:id="2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sales for the three months ended March 30, 2024 were $1,525.4, a decrease of 0.4% from net sales of $1,531.5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2023. Net sales for the six months ended March 30, 2024 were $1,935.8, a decrease of 5.9% from net sales of $2,058.1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2023. Factors contributing to the change in net sales are outlined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86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340" w:type="dxa"/>
            <w:vAlign w:val="bottom"/>
          </w:tcPr>
          <w:p>
            <w:pPr>
              <w:spacing w:after="0"/>
              <w:rPr>
                <w:sz w:val="17"/>
                <w:szCs w:val="17"/>
                <w:color w:val="auto"/>
              </w:rPr>
            </w:pPr>
          </w:p>
        </w:tc>
        <w:tc>
          <w:tcPr>
            <w:tcW w:w="186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63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1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(1.9)</w:t>
            </w:r>
          </w:p>
        </w:tc>
        <w:tc>
          <w:tcPr>
            <w:tcW w:w="120" w:type="dxa"/>
            <w:vAlign w:val="bottom"/>
          </w:tcPr>
          <w:p>
            <w:pPr>
              <w:spacing w:after="0"/>
              <w:rPr>
                <w:sz w:val="19"/>
                <w:szCs w:val="19"/>
                <w:color w:val="auto"/>
              </w:rPr>
            </w:pPr>
          </w:p>
        </w:tc>
        <w:tc>
          <w:tcPr>
            <w:tcW w:w="24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sales</w:t>
            </w:r>
          </w:p>
        </w:tc>
        <w:tc>
          <w:tcPr>
            <w:tcW w:w="18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0" w:type="dxa"/>
            <w:vAlign w:val="bottom"/>
            <w:tcBorders>
              <w:top w:val="single" w:sz="8" w:color="auto"/>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decrease in net sales for the three months ended March 30, 2024 as compared to the three months ended April 1, 2023 was primarily driven by:</w:t>
      </w:r>
    </w:p>
    <w:p>
      <w:pPr>
        <w:spacing w:after="0" w:line="11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pricing in our U.S. Consumer and Hawthorne segments;</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partially offset by increased sales volume, comprised of the net impact of higher volume in our U.S. Consumer segment driven by soils and mulch products, and lower volume in our Hawthorne segment driven by hardware, lighting, growing media and growing environments products.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decrease in net sales for the six months ended March 30, 2024 as compared to the six months ended April 1, 2023 was primarily driven by:</w:t>
      </w:r>
    </w:p>
    <w:p>
      <w:pPr>
        <w:spacing w:after="0" w:line="117" w:lineRule="exact"/>
        <w:rPr>
          <w:sz w:val="20"/>
          <w:szCs w:val="20"/>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decreased sales volume in our Hawthorne segment driven by hardware, lighting, nutrients, growing media and growing environments products; and</w:t>
      </w:r>
    </w:p>
    <w:p>
      <w:pPr>
        <w:spacing w:after="0" w:line="53"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decreased pricing in our U.S. Consumer and Hawthorne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6"/>
        </w:trPr>
        <w:tc>
          <w:tcPr>
            <w:tcW w:w="6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30"/>
        </w:trPr>
        <w:tc>
          <w:tcPr>
            <w:tcW w:w="6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48"/>
        </w:trPr>
        <w:tc>
          <w:tcPr>
            <w:tcW w:w="6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9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40" w:type="dxa"/>
            <w:vAlign w:val="bottom"/>
          </w:tcPr>
          <w:p>
            <w:pPr>
              <w:spacing w:after="0"/>
              <w:rPr>
                <w:sz w:val="17"/>
                <w:szCs w:val="17"/>
                <w:color w:val="auto"/>
              </w:rPr>
            </w:pPr>
          </w:p>
        </w:tc>
        <w:tc>
          <w:tcPr>
            <w:tcW w:w="19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 changes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1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cost of sales</w:t>
            </w:r>
          </w:p>
        </w:tc>
        <w:tc>
          <w:tcPr>
            <w:tcW w:w="1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decrease in cost of sales for the three months ended March 30, 2024 as compared to the three months ended April 1, 2023 was primarily driven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9"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 and</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partially offset by increased sales volume in our U.S. Consumer segment; and</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 primarily labor, included within “volume, mix and other” in our U.S. Consumer and Other segments.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decrease in cost of sales for the six months ended March 30, 2024 as compared to the six months ended April 1, 2023 was primarily driven by:</w:t>
      </w:r>
    </w:p>
    <w:p>
      <w:pPr>
        <w:spacing w:after="0" w:line="11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in our Hawthorne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 and</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higher manufacturing costs, primarily labor, included within “volume, mix and other” in our U.S. Consumer and Other segments.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percentage of net sales, our gross margin rate was 30.4% and 26.9% for the three months ended March 30, 2024 and April 1, 2023, respectively, and was 27.2% and 24.7% for the six months ended March 30, 2024 and April 1, 2023, respectively. Factors contributing to the change in gross margin rate are outlined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5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2"/>
        </w:trPr>
        <w:tc>
          <w:tcPr>
            <w:tcW w:w="6360" w:type="dxa"/>
            <w:vAlign w:val="bottom"/>
          </w:tcPr>
          <w:p>
            <w:pPr>
              <w:spacing w:after="0"/>
              <w:rPr>
                <w:sz w:val="17"/>
                <w:szCs w:val="17"/>
                <w:color w:val="auto"/>
              </w:rPr>
            </w:pPr>
          </w:p>
        </w:tc>
        <w:tc>
          <w:tcPr>
            <w:tcW w:w="25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3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63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238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23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 costs</w:t>
            </w:r>
          </w:p>
        </w:tc>
        <w:tc>
          <w:tcPr>
            <w:tcW w:w="238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23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360" w:type="dxa"/>
            <w:vAlign w:val="bottom"/>
            <w:shd w:val="clear" w:color="auto" w:fill="CCEEFF"/>
          </w:tcPr>
          <w:p>
            <w:pPr>
              <w:spacing w:after="0"/>
              <w:rPr>
                <w:sz w:val="19"/>
                <w:szCs w:val="19"/>
                <w:color w:val="auto"/>
              </w:rPr>
            </w:pPr>
          </w:p>
        </w:tc>
        <w:tc>
          <w:tcPr>
            <w:tcW w:w="238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0.6 %</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3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gross margin rate</w:t>
            </w:r>
          </w:p>
        </w:tc>
        <w:tc>
          <w:tcPr>
            <w:tcW w:w="2380" w:type="dxa"/>
            <w:vAlign w:val="bottom"/>
            <w:tcBorders>
              <w:bottom w:val="single" w:sz="8" w:color="auto"/>
            </w:tcBorders>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3.5 %</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gross margin rate for the three months ended March 30, 2024 as compared to the three months ended April 1, 2023 was primarily driven by:</w:t>
      </w:r>
    </w:p>
    <w:p>
      <w:pPr>
        <w:spacing w:after="0" w:line="54"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lower material costs in our U.S. Consumer segment;</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 and</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pricing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 primarily labor, included within “volume, mix and other” in our U.S. Consumer and Other segments; and</w:t>
      </w:r>
    </w:p>
    <w:p>
      <w:pPr>
        <w:spacing w:after="0" w:line="1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commission and higher reimbursements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0" w:name="page31"/>
    <w:bookmarkEnd w:id="3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gross margin rate for the six months ended March 30, 2024 as compared to the six months ended April 1, 2023 was primarily driven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 and</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pricing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leverage of fixed costs driven by lower sales in our Hawthorne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higher manufacturing costs, primarily labor, included within “volume, mix and other” in our U.S. Consumer and Other segments; and</w:t>
      </w:r>
    </w:p>
    <w:p>
      <w:pPr>
        <w:spacing w:after="0" w:line="113"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commission and higher reimbursements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 (“SG&amp;A”):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6"/>
        </w:trPr>
        <w:tc>
          <w:tcPr>
            <w:tcW w:w="6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23"/>
        </w:trPr>
        <w:tc>
          <w:tcPr>
            <w:tcW w:w="6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SG&amp;A decreased $7.6, or 4.1%, during the three months ended March 30, 2024 as compared to the three months ended April 1, 2023. Advertising expense increased $9.5, or 18.1%, due to higher media spending in our U.S. Consumer segment. Share-based compensation expense, which excludes certain advertising expenses paid for in Common Shares, decreased $10.4, or 36.4%, driven by a decrease in short-term variable incentive compensation provided to employees as share-based awards. Amortization expense decreased $2.2, or 38.6%, driven by the impairment of certain Hawthorne segment intangible assets during fiscal 2023. Other SG&amp;A decreased $4.4, or 4.8%, driven by reductions in staffing levels and other cost-reduction initiatives. We revised our historical presentation of certain expenses for the three months ended April 1, 2023. Expenses totaling $8.8 for the three months ended April 1, 2023 were previously classified as advertising expense and were revised to be classified as other selling, general and administrative expense in the table above.</w:t>
      </w:r>
    </w:p>
    <w:p>
      <w:pPr>
        <w:spacing w:after="0" w:line="12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SG&amp;A decreased $21.3, or 6.8%, during the six months ended March 30, 2024 as compared to the six months ended April 1, 2023. Advertising expense increased $11.5, or 17.0%, due to higher media spending in our U.S. Consumer segment. Share-based compensation expense, which excludes certain advertising expenses paid for in Common Shares, decreased $15.7, or 33.1%, driven by a decrease in short-term variable incentive compensation provided to employees as share-based awards. Amortization expense decreased $5.8, or 45.3%, driven by the impairment of certain Hawthorne segment intangible assets during fiscal 2023. Other SG&amp;A decreased $10.7, or 6.3%, driven by reductions in staffing levels and other cost-reduction initiatives. We revised our historical presentation of certain expenses for the six months ended April 1, 2023. Expenses totaling $10.9 for the six months ended April 1, 2023 were previously classified as advertising expense and were revised to be classified as other selling, general and administrative expense in the table above.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During fiscal 2022, we began implementing a series of Company-wide organizational changes and initiatives intended to create operational and management-level efficiencies. These changes and initiatives include reducing the size of our supply chain network, reducing staffing levels and implementing other cost-reduction initiatives. During the second quarter of fiscal 2024, we commenced plans to close additional Hawthorne distribution centers. We have also accelerated the reduction of certain Hawthorne inventory, primarily lighting, growing environments and hardware products, to reduce our on hand inventory to align with the reduced network capacity. During the three and six months ended March 30, 2024, we incurred costs of $77.0 and $73.2, respectively, associated with this restructuring initiative primarily related to inventory write-down charges, employee termination benefits, facility closure costs and impairment of right-of-use assets and property, plant and equipment. We recorded recoveries of $0.5 and incurred costs of $1.4 in our U.S. Consumer segment and incurred costs of $75.4 and $67.8 in our Hawthorne segment in the “Cost of sales—impairment, restructuring and other” line in the Condensed Consolidated Statements of Operations during the three and six months ended March 30, 2024, respectively. We recorded recoveries of $0.1 and $0.9 in our U.S. Consumer segment and incurred costs of $1.9 and $2.3 in our Hawthorne segment, $0.2 and $0.3 in our Other segment and $0.0 and $2.4 at Corporate in the “Impairment, restructuring and other” line in the Condensed Consolidated Statements of Operations during the three and six months ended March 30, 2024, respectively. Costs incurred from the inception of this restructuring initiative through March 30, 2024 were $294.4 for our Hawthorne segment, $46.0 for our U.S. Consumer segment, $1.8 for our Other segment and $25.1 at Corporate.</w:t>
      </w:r>
    </w:p>
    <w:p>
      <w:pPr>
        <w:spacing w:after="0" w:line="12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April 1, 2023, we incurred costs of $136.8 and $151.4, respectively, associated with this restructuring initiative primarily related to inventory write-down charges, employee termination benefits, facility closure costs and impairment of right-of-use assets and property, plant and equipment. We incurred costs of $0.2 and $1.2 in our U.S. Consumer segment and $118.5 and $127.0 in our Hawthorne segment in the “Cost of sales—impairment, restructuring and other” line in the Condensed Consolidated Statements of Operations during the three and six months ended April 1, 2023, respectively. We incurred costs of $0.1 and $0.3 in our U.S. Consumer segment, $17.1 and $18.2 in our Hawthorne segment and $0.8 and $4.5 at Corporate in the “Impairment, restructuring and other” line in the Condensed Consolidated Statements of Operations during the three and six months ended April 1, 2023, respectively.</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March 30, 2024, we recorded a gain of $0.0 and $12.1, respectively,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(income) expense is comprised of activities such as the discount on sales of accounts receivable under the Master Receivables Purchase Agreement, royalty income from the licensing of certain of our brand names and foreign exchange transaction gains and losses. Other (income) expense was $10.8 and $(1.6) for the three months ended March 30, 2024 and April 1, 2023, respectively; and was $12.6 and $(1.0) for the six months ended March 30, 2024 and April 1, 2023, respectively. The increase in expense was primarily due to the discount on sales of accounts receivable under the Master Receivables Purchase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2" w:name="page33"/>
    <w:bookmarkEnd w:id="32"/>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Income from operations was $272.1 for the three months ended March 30, 2024, an increase of 32.0% as compared to $206.2 for the three months ended April 1, 2023; and was $224.8 for the six months ended March 30, 2024, an increase of 36.7% as compared to $164.4 for the six months ended April 1, 2023. For the three months ended March 30, 2024, the increase was primarily due to lower impairment, restructuring and other charges, a higher gross margin rate and lower SG&amp;A, partially offset by higher other expense. For the six months ended March 30, 2024, the increase was primarily due to lower impairment, restructuring and other charges and lower SG&amp;A, partially offset by lower net sales and an increase in other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 of Unconsolidated Affiliates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Equity in loss of unconsolidated affiliates associated with Bonnie Plants, LLC was $7.0 and $7.3 for the three months ended March 30, 2024 and April 1, 2023, respectively; and was $29.5 and $18.7 for the six months ended March 30, 2024 and April 1, 2023, respectively. We anticipated a net loss for Bonnie Plants, LLC for the three and six months ended March 30, 2024 due to the seasonal nature of its business, in which sales are heavily weighted to the spring and summer selling periods during our third fiscal quarter. During the three and six months ended March 30, 2024, equity in loss of unconsolidated affiliates also included a pre-tax impairment charge of $0.0 and $10.4, respectively, associated with our investment in Bonnie Plants, LLC.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Interest expense was $44.1 for the three months ended March 30, 2024, a decrease of 8.7% as compared to $48.3 for the three months ended April 1, 2023; and was $86.8 for the six months ended March 30, 2024, a decrease of 4.6% as compared to $91.0 for the six months ended April 1, 2023. For the three months ended March 30, 2024, the decrease was driven by lower average borrowings of $633.5, partially offset by an increase in our weighted average interest rate, net of the impact of interest rate swaps, of 60 basis points. For the six months ended March 30, 2024, the decrease was driven by lower average borrowings of $530.1, partially offset by an increase in our weighted average interest rate, net of the impact of interest rate swaps, of 70 basis points. The decrease in average borrowings was driven by our focus on using available cash flow to reduce our debt as well as the impact of the expiration of the Receivables Facility and the execution of the Master Receivables Purchase Agreement. The increase in our weighted average interest rate was primarily driven by higher borrowing rates on the Sixth A&amp;R Credit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effective tax rates for the six months ended March 30, 2024 and April 1, 2023 were 27.1% and 19.5%, respectively. The increase in the effective tax rate was driven by favorable discrete items recorded during the six months ended April 1, 2023 which did not reoccur in the six months ended March 30, 2024.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6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Net income was $157.5, or $2.74 per diluted share, for the three months ended March 30, 2024 as compared to $109.4, or $1.94 per diluted share, for the three months ended April 1, 2023. The increase was driven by lower impairment, restructuring and other charges, a higher gross margin rate, lower SG&amp;A and lower interest expense, partially offset by higher other expense and higher income tax expense.</w:t>
      </w:r>
    </w:p>
    <w:p>
      <w:pPr>
        <w:spacing w:after="0" w:line="9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Diluted average common shares used in the diluted net income per common share calculation for the three months ended March 30, 2024 and April 1, 2023 were 57.4 million and 56.5 million, respectively, which included dilutive potential Common Shares of 0.6 million and 0.5 million, respectively. The increase in diluted average common shares was primarily the result of the exercise and issuance of share-based compensation awards.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income was $77.0, or $1.34 per diluted share, for the six months ended March 30, 2024 as compared to $44.7, or $0.80 per diluted share, for the six months ended April 1, 2023. The increase was driven by lower impairment, restructuring and other charges, lower SG&amp;A and lower interest expense, partially offset by lower net sales, higher other expense, higher equity in loss of unconsolidated affiliates and higher income tax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3" w:name="page34"/>
    <w:bookmarkEnd w:id="3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Diluted average common shares used in the diluted net income per common share calculation for the six months ended March 30, 2024 and April 1, 2023 were 57.3 million and 56.1 million, respectively, which included dilutive potential Common Shares of 0.6 million and 0.3 million, respectively. The increase in diluted average common shares was primarily the result of the exercise and issuance of share-based compensation awards.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3"/>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w:t>
            </w:r>
          </w:p>
        </w:tc>
      </w:tr>
      <w:tr>
        <w:trPr>
          <w:trHeight w:val="21"/>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Segment Profit (Loss) as well as a reconciliation to income before income taxes, the most directly comparable GAAP measure: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1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6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Segment Profit (Non-GAAP)</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6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before income taxes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Consumer</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U.S. Consumer segment net sales were $1,379.8 in the second quarter of fiscal 2024, an increase of 1.7% from second quarter of fiscal 2023 net sales of $1,357.4; and were $1,686.5 for the first six months of fiscal 2024, a decrease of 2.3% from the first six months of fiscal 2023 net sales of $1,726.3. For the second quarter of fiscal 2024, the increase was driven by higher sales volume of 3.5%, partially offset by decreased pricing of 1.8%. For the six months ended March 30, 2024, the decrease was driven by decreased pricing of 2.1% and flat sales volume. The increase in sales volume for the second quarter of fiscal 2024 was driven by soils and mulch products, partially offset by lower sales volume for fertilizer, grass seed and plant food products. Flat sales volume for the six months ended March 30, 2024 was comprised of the net impact of higher sales volume for soils and mulch products, offset by lower sales volume for fertilizer, grass seed and plant food products.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U.S. Consumer Segment Profit was $385.7 in the second quarter of fiscal 2024, a decrease of 2.9% from second quarter of fiscal 2023 Segment Profit of $397.4; and Segment Profit was $370.3 for the first six months of fiscal 2024, a decrease of 13.6% from the first six months of fiscal 2023 Segment Profit of $428.7. For the three months ended March 30, 2024, the decrease was primarily due to higher SG&amp;A driven by advertising expense and higher other expense driven by the discount on sales of accounts receivable, partially offset by higher net sales. For the six months ended March 30, 2024, the decrease was primarily due to a lower gross margin rate, higher SG&amp;A driven by advertising expense, higher other expense driven by the discount on sales of accounts receivable and lower net sales.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Hawthorne</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Hawthorne segment net sales were $66.4 in the second quarter of fiscal 2024, a decrease of 28.4% from second quarter of fiscal 2023 net sales of $92.7; and were $146.6 for the first six months of fiscal 2024, a decrease of 34.6% from the first six months of fiscal 2023 net sales of $224.2. For the second quarter of fiscal 2024, the decrease was driven by lower sales volume and decreased pricing of 23.9% and 4.5%, respectively. For the six months ended March 30, 2024, the decrease was driven by lower sales volume and decreased pricing of 32.2% and 3.0%, respectively, partially offset by favorable foreign exchange rates of 0.6%. The decrease in sales volume for the three months ended March 30, 2024 was driven by hardware, lighting, growing media and growing environments products. The decrease in sales volume for the six months ended March 30, 2024 was driven by hardware, lighting, nutrients, growing media and growing environments products.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Hawthorne Segment Loss was $3.4 in the second quarter of fiscal 2024 as compared to $16.8 for the second quarter of fiscal 2023; and Segment Loss was $13.0 for the first six months of fiscal 2024 as compared to $33.0 for the first six months of fiscal 2023. For the three and six months ended March 30, 2024, the improvement was driven by a higher gross margin rate and lower SG&amp;A, partially offset by lower net sales.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segment net sales were $79.2 in the second quarter of fiscal 2024, a decrease of 2.7% from second quarter of fiscal 2023 net sales of $81.4; and were $102.7 for the first six months of fiscal 2024, a decrease of 4.6% from the first six months of fiscal 2023 net sales of $107.6. For the second quarter of fiscal 2024, the decrease was driven by lower sales volume, decreased pricing and unfavorable foreign exchange rates of 2.2%, 0.4% and 0.1%, respectively. For the six months ended March 30, 2024, the decrease was driven by lower sales volume, decreased pricing and unfavorable foreign exchange rates of 3.8%, 0.6% and 0.2%, respectively.</w:t>
      </w:r>
    </w:p>
    <w:p>
      <w:pPr>
        <w:spacing w:after="0" w:line="1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Segment Profit was $6.4 in the second quarter of fiscal 2024, a decrease of 56.2% from second quarter of fiscal 2023 Segment Profit of $14.6; and Segment Profit was $1.2 for the first six months of fiscal 2024, a decrease of 92.5% from the first six months of fiscal 2023 Segment Profit of $16.0. For the three and six months ended March 30, 2024, the decrease was driven by lower net sales and a lower gross margin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Corporate expenses were $35.7 in the second quarter of fiscal 2024, a decrease of 15.2% from the second quarter of fiscal 2023 expenses of $42.1; and were $61.7 for the first six months of fiscal 2024, a decrease of 16.6% from the first six months of fiscal 2023 expenses of $74.0. For the three and six months ended March 30, 2024, the decrease was primarily driven by lower share-based compensation expense, reductions in staffing levels and other cost-reduction initiatives.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454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0"/>
        </w:trPr>
        <w:tc>
          <w:tcPr>
            <w:tcW w:w="3860" w:type="dxa"/>
            <w:vAlign w:val="bottom"/>
          </w:tcPr>
          <w:p>
            <w:pPr>
              <w:spacing w:after="0"/>
              <w:rPr>
                <w:sz w:val="16"/>
                <w:szCs w:val="16"/>
                <w:color w:val="auto"/>
              </w:rPr>
            </w:pPr>
          </w:p>
        </w:tc>
        <w:tc>
          <w:tcPr>
            <w:tcW w:w="4540" w:type="dxa"/>
            <w:vAlign w:val="bottom"/>
            <w:gridSpan w:val="2"/>
          </w:tcPr>
          <w:p>
            <w:pPr>
              <w:jc w:val="center"/>
              <w:ind w:right="93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86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38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The following table summarizes cash activities:</w:t>
            </w: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3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24"/>
                <w:szCs w:val="24"/>
                <w:color w:val="auto"/>
              </w:rPr>
            </w:pPr>
          </w:p>
        </w:tc>
      </w:tr>
      <w:tr>
        <w:trPr>
          <w:trHeight w:val="23"/>
        </w:trPr>
        <w:tc>
          <w:tcPr>
            <w:tcW w:w="3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38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520" w:type="dxa"/>
            <w:vAlign w:val="bottom"/>
          </w:tcPr>
          <w:p>
            <w:pPr>
              <w:spacing w:after="0"/>
              <w:rPr>
                <w:sz w:val="11"/>
                <w:szCs w:val="11"/>
                <w:color w:val="auto"/>
              </w:rPr>
            </w:pPr>
          </w:p>
        </w:tc>
        <w:tc>
          <w:tcPr>
            <w:tcW w:w="980" w:type="dxa"/>
            <w:vAlign w:val="bottom"/>
          </w:tcPr>
          <w:p>
            <w:pPr>
              <w:jc w:val="right"/>
              <w:ind w:right="437"/>
              <w:spacing w:after="0" w:line="131" w:lineRule="exact"/>
              <w:rPr>
                <w:sz w:val="20"/>
                <w:szCs w:val="20"/>
                <w:color w:val="auto"/>
              </w:rPr>
            </w:pPr>
            <w:r>
              <w:rPr>
                <w:rFonts w:ascii="Times New Roman" w:cs="Times New Roman" w:eastAsia="Times New Roman" w:hAnsi="Times New Roman"/>
                <w:sz w:val="14"/>
                <w:szCs w:val="14"/>
                <w:b w:val="1"/>
                <w:bCs w:val="1"/>
                <w:color w:val="auto"/>
                <w:w w:val="95"/>
              </w:rPr>
              <w:t>April 1,</w:t>
            </w:r>
          </w:p>
        </w:tc>
      </w:tr>
      <w:tr>
        <w:trPr>
          <w:trHeight w:val="195"/>
        </w:trPr>
        <w:tc>
          <w:tcPr>
            <w:tcW w:w="386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totaled $39.0 for the six months ended March 30, 2024 as compared to $566.9 for the six months ended April 1, 2023. This decrease was driven by lower accounts receivable, higher gross margin, accounts payable timing and lower SG&amp;A, partially offset by higher inventory production, higher payments to customers related to promotional programs and lower income tax refunds received. Lower accounts receivable is driven by the favorable impact of accounts receivable sold under the Master Receivables Purchase Agreement. Accounts payable timing is driven by the impact of extended payment terms with vendors for payments originally due in the final weeks of fiscal 2022 that were paid in the first quarter of fiscal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totaled $71.1 for the six months ended March 30, 2024 as compared to $20.6 for the six months ended April 1, 2023. Cash used for investments in property, plant and equipment during the first six months of fiscal 2024 and 2023 was $54.2 and $51.8, respectively. During the six months ended March 30, 2024, we acquired an additional equity interest in Bonnie Plants, LLC for $21.4. We also had other investing cash inflows of $4.5 for the six months ended March 30, 2024 primarily associated with currency forward contracts. During the six months ended April 1, 2023, we received proceeds of $37.0 related to the payoff of seller financing that we provided in connection with a fiscal 2017 divestiture. In addition, we had other investing cash outflows of $5.8 during the six months ended April 1, 2023 primarily associated with currency forward contracts.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totaled $142.8 for the six months ended March 30, 2024 as compared to $525.3 for the six months ended April 1, 2023. During the six months ended March 30, 2024, we had net borrowings under our credit facilities of $205.0 and paid dividends of $76.2. In addition, we had other financing cash inflows of $17.2 during the six months ended March 30, 2024 related to collections of previously sold accounts receivable not yet submitted to the buyer. During the six months ended April 1, 2023, we had net borrowings under our credit facilities of $609.4 and paid dividends of $74.9. During the six months ended March 30, 2024 and April 1, 2023, we repurchased Common Shares for $4.9 and $6.4, respectively (which includes cash paid to tax authorities to satisfy statutory income tax withholding obligations related to share-based 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Sales</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October 27, 2023, we entered into the Master Receivables Purchase Agreement under which we may sell up to $600.0 of available and eligible outstanding customer accounts receivable generated by sales to four specified customers. The agreement is uncommitted and has an initial term that expires October 25, 2024, unless earlier terminated by the purchaser. Transactions under this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We record the discount on sales in the “Other (income) expense, net” line in the Condensed Consolidated Statements of Operations. At March 30, 2024, net receivables of $582.8 were derecognized. During the three and six months ended March 30, 2024, proceeds from the sale of receivables under the Master Receivables Purchase Agreement totaled $758.2 and $955.5, respectively, and the total discount recorded on sales was $10.7 and $12.9,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$38.5, $31.0 and $18.3 at March 30, 2024, April 1, 2023 and September 30, 2023, respectively, and are recorded within accounts payable in the Condensed Consolidated Balance Sheets. The associated payments were $153.0 and $110.3 for the six months ended March 30, 2024 and April 1, 2023, respectively, and are classified as operating activities in the Condensed Consolidated Statements of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$65.1, $25.0 and $31.9 as of March 30, 2024, April 1, 2023 and September 30, 2023, respectively, included $7.9, $15.1 and $26.6, respectively, held by controlled foreign corporations. As of March 30, 2024, we maintain our assertion of indefinite reinvestment of the earnings of all material foreign subsidiaries.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8, 2022, we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our quarterly-tested leverage ratio exceeded 4.75.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31, 2023, we entered into Amendment No. 2 to the Sixth A&amp;R Credit Agreement. Amendment No. 2 (i) reduces the revolving loan commitments by $250.0; (ii) increases the maximum permitted leverage ratio for the quarterly leverage covenant during the Leverage Adjustment Period;</w:t>
      </w:r>
    </w:p>
    <w:p>
      <w:pPr>
        <w:jc w:val="both"/>
        <w:ind w:firstLine="8"/>
        <w:spacing w:after="0" w:line="251" w:lineRule="auto"/>
        <w:tabs>
          <w:tab w:leader="none" w:pos="3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our intellectual property (subject to certain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Amendment No. 2 also subjects our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w:t>
      </w:r>
    </w:p>
    <w:p>
      <w:pPr>
        <w:spacing w:after="0" w:line="11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March 30, 2024, we had letters of credit outstanding in the aggregate principal amount of $78.0, and had $857.8 of borrowing availability under the Sixth A&amp;R Credit Agreement. The weighted average interest rates on average borrowings under the credit facilities, excluding the impact of interest rate swaps, were 8.9% and 7.0% for the six months ended March 30, 2024 and April 1, 2023, respectively.</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our leverage ratio determined as of the end of each of our fiscal quarters, calculated as average total indebtedness, divided by our Adjusted EBITDA. Pursuant to Amendment No. 2, the maximum permitted leverage ratio is (i) 7.75 for the second quarter of fiscal 2024, (ii) 6.50 for the third quarter of fiscal 2024, (iii) 6.00 for the fourth quarter of fiscal 2024, (iv) 5.50 for the first quarter of fiscal 2025, (v) 5.25 for the second quarter of fiscal 2025, (vi) 5.00 for the third quarter of fiscal 2025, (vii) 4.75 for the fourth quarter of fiscal 2025 and (viii) 4.50 for the first quarter of fiscal 2026 and thereafter. Our leverage ratio was 6.95 at March 30, 2024. Pursuant to Amendment No. 2, the Sixth A&amp;R Credit Agreement also contains an affirmative covenant regarding our fixed charge coverage ratio determined as of the end of each of our fiscal quarters, calculated as Adjusted EBITDA minus capital expenditures and expense for taxes paid in cash, divided by the sum of interest expense plus restricted payments, as described in Amendment No. 2. The minimum required fixed charge coverage ratio is (i) 0.75 for the second and third quarters of fiscal 2024 and (ii) 1.00 for the fourth quarter of fiscal 2024 and thereafter. Our fixed charge coverage ratio was 0.95 for the twelve months ended March 30, 2024.</w:t>
      </w:r>
    </w:p>
    <w:p>
      <w:pPr>
        <w:spacing w:after="0" w:line="8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March 30, 2024, we were in compliance with all applicable covenants in the agreements governing our debt. Based on our projections of financial performance for the twelve-month period subsequent to the date of the filing of this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March 30, 2024, our indebtedness under the Sixth A&amp;R Credit Agreement and Senior Notes was $2,814.2. We do not have sufficient cash on hand or available liquidity that can be utilized to repay these outstanding amounts in the event of default.</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8" w:name="page39"/>
    <w:bookmarkEnd w:id="3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2.48 for the twelve months ended March 30, 2024.</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maintained a Receivables Facility under which we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and the commitment amount during the seasonal commitment period that began on February 24, 2023 and ended on June 16, 2023 was $160.0. The Receivables Facility expired on August 18, 2023.</w:t>
      </w:r>
    </w:p>
    <w:p>
      <w:pPr>
        <w:spacing w:after="0" w:line="10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sale of receivables under the Receivables Facility was accounted for as short-term debt and we continued to carry the receivables on our Condensed Consolidated Balance Sheets, primarily as a result of our requirement to repurchase receivables sold. As of April 1, 2023, there were $380.0 in borrowings on receivables pledged as collateral under the Receivables Facility, and the carrying value of the receivables pledged as collateral was $422.2.</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March 30, 2024, April 1, 2023 and September 30, 2023 had a maximum total U.S. dollar equivalent notional amount of $700.0, $800.0 and $600.0, respectively. The notional amount, effective date, expiration date and rate of each of the swap agreements outstanding at March 30, 2024 are shown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60" w:type="dxa"/>
            <w:vAlign w:val="bottom"/>
          </w:tcPr>
          <w:p>
            <w:pPr>
              <w:spacing w:after="0"/>
              <w:rPr>
                <w:sz w:val="13"/>
                <w:szCs w:val="13"/>
                <w:color w:val="auto"/>
              </w:rPr>
            </w:pPr>
          </w:p>
        </w:tc>
        <w:tc>
          <w:tcPr>
            <w:tcW w:w="2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840" w:type="dxa"/>
            <w:vAlign w:val="bottom"/>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95"/>
        </w:trPr>
        <w:tc>
          <w:tcPr>
            <w:tcW w:w="238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3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40" w:type="dxa"/>
            <w:vAlign w:val="bottom"/>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8"/>
        </w:trPr>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1/20/2022</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6/20/2024</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0" w:type="dxa"/>
            <w:vAlign w:val="bottom"/>
          </w:tcPr>
          <w:p>
            <w:pPr>
              <w:spacing w:after="0"/>
              <w:rPr>
                <w:sz w:val="1"/>
                <w:szCs w:val="1"/>
                <w:color w:val="auto"/>
              </w:rPr>
            </w:pPr>
          </w:p>
        </w:tc>
      </w:tr>
      <w:tr>
        <w:trPr>
          <w:trHeight w:val="230"/>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6/8/2026</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30"/>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30"/>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vMerge w:val="continue"/>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3/22/2027</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are first hedged by the applicable swap agreement.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9" w:name="page40"/>
    <w:bookmarkEnd w:id="3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Availability and Use of Cash</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2023 Annual Report, under “ITEM 1A. RISK FACTORS — Risks Related to Our M&amp;A, Lending and Financing Activities — Our indebtedness could limit our flexibility and adversely affect our financial condition.”</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Disclosures About Guarantors and Issuers of Guaranteed Securities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9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1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40" w:name="page41"/>
    <w:bookmarkEnd w:id="4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48"/>
        </w:trPr>
        <w:tc>
          <w:tcPr>
            <w:tcW w:w="7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ind w:left="240"/>
              <w:spacing w:after="0" w:line="14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Pr>
          <w:p>
            <w:pPr>
              <w:spacing w:after="0"/>
              <w:rPr>
                <w:sz w:val="12"/>
                <w:szCs w:val="12"/>
                <w:color w:val="auto"/>
              </w:rPr>
            </w:pPr>
          </w:p>
        </w:tc>
        <w:tc>
          <w:tcPr>
            <w:tcW w:w="1520" w:type="dxa"/>
            <w:vAlign w:val="bottom"/>
          </w:tcPr>
          <w:p>
            <w:pPr>
              <w:jc w:val="right"/>
              <w:ind w:right="376"/>
              <w:spacing w:after="0" w:line="148"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75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r>
      <w:tr>
        <w:trPr>
          <w:trHeight w:val="229"/>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2,833.3</w:t>
            </w:r>
          </w:p>
        </w:tc>
      </w:tr>
    </w:tbl>
    <w:p>
      <w:pPr>
        <w:spacing w:after="0" w:line="5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$32.2 and $26.2,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6"/>
                <w:szCs w:val="16"/>
                <w:color w:val="auto"/>
              </w:rPr>
            </w:pPr>
          </w:p>
        </w:tc>
        <w:tc>
          <w:tcPr>
            <w:tcW w:w="15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31"/>
        </w:trPr>
        <w:tc>
          <w:tcPr>
            <w:tcW w:w="75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3,203.3</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r>
      <w:tr>
        <w:trPr>
          <w:trHeight w:val="229"/>
        </w:trPr>
        <w:tc>
          <w:tcPr>
            <w:tcW w:w="7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r>
    </w:tbl>
    <w:p>
      <w:pPr>
        <w:spacing w:after="0" w:line="76"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intercompany income (expense) from Non-Guarantor subsidiaries of $3.8 and $(12.1),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are adequate, both individually and in the aggregate; however, there can be no assurance that future quarterly or annual operating results will not be materially affected by these proceedings, whether as a result of adverse outcomes or as a result of significant defense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2023 Annual Report, under “ITEM 1. BUSINESS — Regulatory Considerations” and “ITEM 3.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 Our critical accounting policies and estimates have not changed materially from those disclosed in the 2023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Market risks have not changed materially from those disclosed in the 2023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Scotts Miracle-Gro Company (the “Registrant”) maintains “disclosure controls and procedures,” as such term is defined under Securities Exchange Act Rule 13a-15(e), that are designed to ensure that information required to be disclosed in the Registrant’s Securities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w:t>
      </w:r>
    </w:p>
    <w:p>
      <w:pPr>
        <w:spacing w:after="0" w:line="1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as amended (the “Securities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March 30,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there were no changes in the Registrant’s internal control over financial reporting (as defined in Rule 13a-15(f) under the Exchange Act) that occurred during the Registrant’s fiscal quarter ended March 30, 2024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Reference is made to the legal proceedings that have been previously disclosed in Part I, Item 3 of the 2023 Annual Report. There have been no material developments to the pending legal proceedings set forth therein.</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including the initiation and defense of proceedings to protect intellectual property rights, advertising claims, securities matters and employment disputes. In our opinion, these claims individually and in the aggregate are not expected to have a material adverse effect on our financial condition, results of operations or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risk factors, as of March 30, 2024, have not materially changed from those described in Part I, Item 1A of the 2023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Forward-looking statements in this Quarterly Report on Form 10-Q are predictions only and actual results could differ materially from management’s expectations due to a variety of factors, including those described in “ITEM 1A. RISK FACTORS” in the 2023 Annual Report. All forward-looking statements attributable to us or persons working on our behalf are expressly qualified in their entirety by such risk factors.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Amendment No. 2 to the Sixth A&amp;R Credit Agreement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million per fiscal year and (ii) other dividends, distributions or other restricted payments in an aggregate amount not to exceed $25.0 million.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10b-18(a)(3) under the Securities Exchange Act) of Scotts Miracle-Gro for each of the three fiscal months in the quarter ended March 30,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168"/>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Common Shares</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Share (2)</w:t>
            </w:r>
          </w:p>
        </w:tc>
        <w:tc>
          <w:tcPr>
            <w:tcW w:w="15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Programs (3)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 through January 27,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28, 2024 through February 24,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25, 2024 through March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hanging="328"/>
        <w:spacing w:after="0" w:line="266"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second quarter of fiscal 2024 were purchased in open market transactions. The Common Shares purchased during the quarter consisted of 6,849 Common Shares purchased by the trustee of the rabbi trust established by the Company as permitted pursuant to the terms of The Scotts Company LLC Executive Retirement Plan.</w:t>
      </w:r>
    </w:p>
    <w:p>
      <w:pPr>
        <w:spacing w:after="0" w:line="2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1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On February 6, 2020, the Company announced a repurchase program allowing for repurchases of up to $750.0 million of Common Shares from April 30, 2020 through March 25, 2023. The program expired on March 25, 2023 and, as of March 30, 2024, the Company does not have an active repurchase program.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8"/>
          <w:szCs w:val="18"/>
          <w:color w:val="auto"/>
        </w:rPr>
        <w:t>On March 15, 2024, the Hagedorn Partnership, L.P., on behalf of Katherine Littlefield, a member of our board of directors, adopted a Rule 10b5-1 plan providing for the sale of up to 250,000 Common Shares. Pursuant to this plan, if certain price targets are met, the Hagedorn Partnership, L.P. may sell Common Shares beginning on the later of (i) June 14, 2024 or (ii) the natural expiration of the trading plan entered into on September 5, 2023 by the Hagedorn Partnership, L.P., on behalf of Ms. Littlefield, and ending December 5, 2025. The trading arrangement is intended to satisfy the affirmative defense of Rule 10b5-1(c).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Index to Exhibits at page 45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line="196" w:lineRule="auto"/>
        <w:framePr w:w="720" w:h="160" w:wrap="auto" w:vAnchor="page" w:hAnchor="page" w:x="280" w:y="142"/>
        <w:rPr>
          <w:rFonts w:ascii="Times New Roman" w:cs="Times New Roman" w:eastAsia="Times New Roman" w:hAnsi="Times New Roman"/>
          <w:sz w:val="17"/>
          <w:szCs w:val="17"/>
          <w:color w:val="FFFFFF"/>
        </w:rPr>
      </w:pPr>
      <w:r>
        <w:rPr>
          <w:rFonts w:ascii="Times New Roman" w:cs="Times New Roman" w:eastAsia="Times New Roman" w:hAnsi="Times New Roman"/>
          <w:sz w:val="17"/>
          <w:szCs w:val="17"/>
          <w:color w:val="FFFFFF"/>
        </w:rPr>
        <w:t>Contents</w:t>
      </w: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rFonts w:ascii="Times New Roman" w:cs="Times New Roman" w:eastAsia="Times New Roman" w:hAnsi="Times New Roman"/>
          <w:sz w:val="17"/>
          <w:szCs w:val="17"/>
          <w:color w:val="FFFFFF"/>
        </w:rPr>
      </w:pPr>
    </w:p>
    <w:p>
      <w:pPr>
        <w:jc w:val="cente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rFonts w:ascii="Times New Roman" w:cs="Times New Roman" w:eastAsia="Times New Roman" w:hAnsi="Times New Roman"/>
          <w:sz w:val="17"/>
          <w:szCs w:val="17"/>
          <w:color w:val="FFFFFF"/>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30, 2024</w:t>
      </w:r>
    </w:p>
    <w:p>
      <w:pPr>
        <w:spacing w:after="0" w:line="234" w:lineRule="exact"/>
        <w:rPr>
          <w:rFonts w:ascii="Times New Roman" w:cs="Times New Roman" w:eastAsia="Times New Roman" w:hAnsi="Times New Roman"/>
          <w:sz w:val="17"/>
          <w:szCs w:val="17"/>
          <w:color w:val="FFFFFF"/>
        </w:rPr>
      </w:pPr>
    </w:p>
    <w:p>
      <w:pPr>
        <w:jc w:val="cente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54" w:lineRule="exact"/>
        <w:rPr>
          <w:rFonts w:ascii="Times New Roman" w:cs="Times New Roman" w:eastAsia="Times New Roman" w:hAnsi="Times New Roman"/>
          <w:sz w:val="17"/>
          <w:szCs w:val="17"/>
          <w:color w:val="FFFFFF"/>
        </w:rPr>
      </w:pPr>
    </w:p>
    <w:tbl>
      <w:tblPr>
        <w:tblLayout w:type="fixed"/>
        <w:tblInd w:w="0" w:type="dxa"/>
        <w:tblCellMar>
          <w:top w:w="0" w:type="dxa"/>
          <w:left w:w="0" w:type="dxa"/>
          <w:bottom w:w="0" w:type="dxa"/>
          <w:right w:w="0" w:type="dxa"/>
        </w:tblCellMar>
      </w:tblPr>
      <w:tr>
        <w:trPr>
          <w:trHeight w:val="29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Incorporated by Reference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80" w:type="dxa"/>
            <w:vAlign w:val="bottom"/>
            <w:gridSpan w:val="21"/>
          </w:tcPr>
          <w:p>
            <w:pPr>
              <w:ind w:left="660"/>
              <w:spacing w:after="0"/>
              <w:rPr>
                <w:sz w:val="20"/>
                <w:szCs w:val="20"/>
                <w:color w:val="auto"/>
              </w:rPr>
            </w:pPr>
            <w:r>
              <w:rPr>
                <w:rFonts w:ascii="Times New Roman" w:cs="Times New Roman" w:eastAsia="Times New Roman" w:hAnsi="Times New Roman"/>
                <w:sz w:val="18"/>
                <w:szCs w:val="18"/>
                <w:color w:val="auto"/>
              </w:rPr>
              <w:t>Description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Exhibit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Filing Date</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gridSpan w:val="24"/>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The Scotts Miracle-Gro Company Long-Term Incentive Plan (Effective January</w:t>
              </w:r>
            </w:hyperlink>
          </w:p>
        </w:tc>
        <w:tc>
          <w:tcPr>
            <w:tcW w:w="120" w:type="dxa"/>
            <w:vAlign w:val="bottom"/>
          </w:tcPr>
          <w:p>
            <w:pPr>
              <w:spacing w:after="0"/>
              <w:rPr>
                <w:sz w:val="15"/>
                <w:szCs w:val="15"/>
                <w:color w:val="auto"/>
              </w:rPr>
            </w:pPr>
          </w:p>
        </w:tc>
        <w:tc>
          <w:tcPr>
            <w:tcW w:w="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5"/>
                <w:szCs w:val="15"/>
                <w:color w:val="auto"/>
              </w:rPr>
            </w:pPr>
          </w:p>
        </w:tc>
        <w:tc>
          <w:tcPr>
            <w:tcW w:w="8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January 24,</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59">
              <w:r>
                <w:rPr>
                  <w:rFonts w:ascii="Times New Roman" w:cs="Times New Roman" w:eastAsia="Times New Roman" w:hAnsi="Times New Roman"/>
                  <w:sz w:val="18"/>
                  <w:szCs w:val="18"/>
                  <w:color w:val="0000FF"/>
                  <w:w w:val="95"/>
                </w:rPr>
                <w:t>22, 2024)</w:t>
              </w:r>
            </w:hyperlink>
          </w:p>
        </w:tc>
        <w:tc>
          <w:tcPr>
            <w:tcW w:w="9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Form of Standard Restricted Stock Unit Award Agreement for Non-Employee</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24,</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Directors (with Related Dividend Equivalents) which may be made under The</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gridSpan w:val="19"/>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Scotts Miracle-Gro Company Long-Term Incentive Plan</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5"/>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of Deferred Stock Unit Award Agreement for Non-Employee Directors</w:t>
              </w:r>
            </w:hyperlink>
          </w:p>
        </w:tc>
        <w:tc>
          <w:tcPr>
            <w:tcW w:w="8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January 24,</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(with Related Dividend Equivalents) which may be made under The Scotts</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Miracle-Gro Company Long-Term Incentive Plan</w:t>
              </w:r>
            </w:hyperlink>
          </w:p>
        </w:tc>
        <w:tc>
          <w:tcPr>
            <w:tcW w:w="1820" w:type="dxa"/>
            <w:vAlign w:val="bottom"/>
            <w:tcBorders>
              <w:top w:val="single" w:sz="8" w:color="0000FF"/>
            </w:tcBorders>
            <w:gridSpan w:val="6"/>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February 7,</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Form of Standard Nonqualified Stock Option Award Agreement for Employees</w:t>
              </w:r>
            </w:hyperlink>
          </w:p>
        </w:tc>
        <w:tc>
          <w:tcPr>
            <w:tcW w:w="340" w:type="dxa"/>
            <w:vAlign w:val="bottom"/>
            <w:gridSpan w:val="4"/>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bottom w:val="single" w:sz="8" w:color="0000FF"/>
            </w:tcBorders>
            <w:gridSpan w:val="13"/>
          </w:tcPr>
          <w:p>
            <w:pPr>
              <w:spacing w:after="0" w:line="202"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used to evidence grants which may be made under The Scotts Miracle-Gro</w:t>
              </w:r>
            </w:hyperlink>
          </w:p>
        </w:tc>
        <w:tc>
          <w:tcPr>
            <w:tcW w:w="7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Company Long-Term Incentive Plan</w:t>
              </w:r>
            </w:hyperlink>
          </w:p>
        </w:tc>
        <w:tc>
          <w:tcPr>
            <w:tcW w:w="344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Form of Standard Restricted Stock Unit Award Agreement for Employees used to</w:t>
              </w:r>
            </w:hyperlink>
          </w:p>
        </w:tc>
        <w:tc>
          <w:tcPr>
            <w:tcW w:w="200" w:type="dxa"/>
            <w:vAlign w:val="bottom"/>
            <w:gridSpan w:val="2"/>
          </w:tcPr>
          <w:p>
            <w:pPr>
              <w:spacing w:after="0"/>
              <w:rPr>
                <w:sz w:val="21"/>
                <w:szCs w:val="2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7,</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evidence grants which may be made under The Scotts Miracle-Gro Company</w:t>
              </w:r>
            </w:hyperlink>
          </w:p>
        </w:tc>
        <w:tc>
          <w:tcPr>
            <w:tcW w:w="50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Long-Term Incentive Plan</w:t>
              </w:r>
            </w:hyperlink>
          </w:p>
        </w:tc>
        <w:tc>
          <w:tcPr>
            <w:tcW w:w="4180" w:type="dxa"/>
            <w:vAlign w:val="bottom"/>
            <w:gridSpan w:val="21"/>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Form of Performance Unit Award Agreement which may be made under The</w:t>
              </w:r>
            </w:hyperlink>
          </w:p>
        </w:tc>
        <w:tc>
          <w:tcPr>
            <w:tcW w:w="540" w:type="dxa"/>
            <w:vAlign w:val="bottom"/>
            <w:gridSpan w:val="10"/>
          </w:tcPr>
          <w:p>
            <w:pPr>
              <w:spacing w:after="0"/>
              <w:rPr>
                <w:sz w:val="21"/>
                <w:szCs w:val="2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7,</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6"/>
          </w:tcPr>
          <w:p>
            <w:pPr>
              <w:spacing w:after="0" w:line="202"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Scotts Miracle-Gro Long-Term Incentive Plan</w:t>
              </w:r>
            </w:hyperlink>
          </w:p>
        </w:tc>
        <w:tc>
          <w:tcPr>
            <w:tcW w:w="276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Form of Performance Unit / Cash Unit Award Agreement for Employees which</w:t>
              </w:r>
            </w:hyperlink>
          </w:p>
        </w:tc>
        <w:tc>
          <w:tcPr>
            <w:tcW w:w="360" w:type="dxa"/>
            <w:vAlign w:val="bottom"/>
            <w:gridSpan w:val="5"/>
          </w:tcPr>
          <w:p>
            <w:pPr>
              <w:spacing w:after="0"/>
              <w:rPr>
                <w:sz w:val="21"/>
                <w:szCs w:val="21"/>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25"/>
          </w:tcPr>
          <w:p>
            <w:pPr>
              <w:spacing w:after="0" w:line="20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may be made under The Scotts Miracle-Gro Long-Term Incentive Plan</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Subsidiaries of The Scotts Miracle-Gro Company</w:t>
            </w:r>
          </w:p>
        </w:tc>
        <w:tc>
          <w:tcPr>
            <w:tcW w:w="980" w:type="dxa"/>
            <w:vAlign w:val="bottom"/>
            <w:gridSpan w:val="13"/>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Guarantor Subsidiaries</w:t>
            </w:r>
          </w:p>
        </w:tc>
        <w:tc>
          <w:tcPr>
            <w:tcW w:w="2520" w:type="dxa"/>
            <w:vAlign w:val="bottom"/>
            <w:gridSpan w:val="18"/>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Rule 13a-14(a)/15d-14(a) Certifications (Principal Executive Officer)</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Certifications (Principal Financial Officer)</w:t>
            </w:r>
          </w:p>
        </w:tc>
        <w:tc>
          <w:tcPr>
            <w:tcW w:w="40" w:type="dxa"/>
            <w:vAlign w:val="bottom"/>
            <w:tcBorders>
              <w:top w:val="single" w:sz="8" w:color="0000FF"/>
            </w:tcBorders>
          </w:tcPr>
          <w:p>
            <w:pPr>
              <w:spacing w:after="0"/>
              <w:rPr>
                <w:sz w:val="21"/>
                <w:szCs w:val="21"/>
                <w:color w:val="auto"/>
              </w:rPr>
            </w:pPr>
          </w:p>
        </w:tc>
        <w:tc>
          <w:tcPr>
            <w:tcW w:w="1080" w:type="dxa"/>
            <w:vAlign w:val="bottom"/>
            <w:gridSpan w:val="14"/>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Section 1350 Certifications (Principal Executive Officer and Principal Financial</w:t>
            </w:r>
          </w:p>
        </w:tc>
        <w:tc>
          <w:tcPr>
            <w:tcW w:w="320" w:type="dxa"/>
            <w:vAlign w:val="bottom"/>
            <w:gridSpan w:val="3"/>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Officer)</w:t>
            </w:r>
          </w:p>
        </w:tc>
        <w:tc>
          <w:tcPr>
            <w:tcW w:w="5500" w:type="dxa"/>
            <w:vAlign w:val="bottom"/>
            <w:gridSpan w:val="24"/>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6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6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6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6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6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108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0"/>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11"/>
          </w:tcPr>
          <w:p>
            <w:pPr>
              <w:jc w:val="right"/>
              <w:ind w:right="46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49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57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Matthew E. Garth</w:t>
            </w:r>
          </w:p>
        </w:tc>
      </w:tr>
      <w:tr>
        <w:trPr>
          <w:trHeight w:val="189"/>
        </w:trPr>
        <w:tc>
          <w:tcPr>
            <w:tcW w:w="572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 AND INDIRECT SUBSIDIARIES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3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Directly owned subsidiaries, as of March 30, 2024, are located at the left margin, each subsidiary tier thereunder is indented. Subsidiaries are listed under the names of their respective parent entities. Unless otherwise noted, the subsidiaries are wholly-owned.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FORMATION</w:t>
            </w:r>
          </w:p>
        </w:tc>
      </w:tr>
      <w:tr>
        <w:trPr>
          <w:trHeight w:val="27"/>
        </w:trPr>
        <w:tc>
          <w:tcPr>
            <w:tcW w:w="8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1868 Ventures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Swiss Farms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Bonnie Plants, LLC</w:t>
            </w:r>
            <w:r>
              <w:rPr>
                <w:rFonts w:ascii="Times New Roman" w:cs="Times New Roman" w:eastAsia="Times New Roman" w:hAnsi="Times New Roman"/>
                <w:sz w:val="23"/>
                <w:szCs w:val="23"/>
                <w:color w:val="auto"/>
                <w:vertAlign w:val="superscript"/>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Oregon Research Station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2"/>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3"/>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Tecnología &amp; Servicios, S de R.L. de C.V.</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2"/>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C.V.2</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3"/>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Tecnología &amp; Servicios, S de R.L. de C.V.</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Hyponex Corporation</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Rod McLellan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Gardening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Gavita International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Hawthorne Lighting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Agrolux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Agrolux Nederland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Hawthorne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HGCI,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w:t>
      </w:r>
    </w:p>
    <w:p>
      <w:pPr>
        <w:ind w:left="120" w:hanging="94"/>
        <w:spacing w:after="0" w:line="236" w:lineRule="auto"/>
        <w:tabs>
          <w:tab w:leader="none" w:pos="1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Live Goods Holdings, Inc.’s ownership is 50.0%.</w:t>
      </w:r>
    </w:p>
    <w:p>
      <w:pPr>
        <w:ind w:left="120" w:hanging="94"/>
        <w:spacing w:after="0" w:line="205" w:lineRule="auto"/>
        <w:tabs>
          <w:tab w:leader="none" w:pos="1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Professional Products Co. owns 50% and Scotts Products Co. owns 50.0%.</w:t>
      </w:r>
    </w:p>
    <w:p>
      <w:pPr>
        <w:sectPr>
          <w:pgSz w:w="11900" w:h="16838" w:orient="portrait"/>
          <w:cols w:equalWidth="0" w:num="1">
            <w:col w:w="11240"/>
          </w:cols>
          <w:pgMar w:left="320" w:top="360" w:right="339" w:bottom="1440" w:gutter="0" w:footer="0" w:header="0"/>
        </w:sectPr>
      </w:pPr>
    </w:p>
    <w:bookmarkStart w:id="47" w:name="page48"/>
    <w:bookmarkEnd w:id="47"/>
    <w:tbl>
      <w:tblPr>
        <w:tblLayout w:type="fixed"/>
        <w:tblInd w:w="20" w:type="dxa"/>
        <w:tblCellMar>
          <w:top w:w="0" w:type="dxa"/>
          <w:left w:w="0" w:type="dxa"/>
          <w:bottom w:w="0" w:type="dxa"/>
          <w:right w:w="0" w:type="dxa"/>
        </w:tblCellMar>
      </w:tblPr>
      <w:tr>
        <w:trPr>
          <w:trHeight w:val="24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SMGM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Sierra (China) Co., Ltd.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Canada Ltd.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Canada</w:t>
            </w:r>
          </w:p>
        </w:tc>
      </w:tr>
      <w:tr>
        <w:trPr>
          <w:trHeight w:val="302"/>
        </w:trPr>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Laketon Peat Moss Inc.</w:t>
            </w:r>
            <w:r>
              <w:rPr>
                <w:rFonts w:ascii="Times New Roman" w:cs="Times New Roman" w:eastAsia="Times New Roman" w:hAnsi="Times New Roman"/>
                <w:sz w:val="23"/>
                <w:szCs w:val="23"/>
                <w:color w:val="auto"/>
                <w:vertAlign w:val="superscript"/>
              </w:rPr>
              <w:t>3</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Canada</w:t>
            </w:r>
          </w:p>
        </w:tc>
      </w:tr>
      <w:tr>
        <w:trPr>
          <w:trHeight w:val="273"/>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de Mexico SA de CV</w:t>
            </w:r>
            <w:r>
              <w:rPr>
                <w:rFonts w:ascii="Times New Roman" w:cs="Times New Roman" w:eastAsia="Times New Roman" w:hAnsi="Times New Roman"/>
                <w:sz w:val="23"/>
                <w:szCs w:val="23"/>
                <w:color w:val="auto"/>
                <w:vertAlign w:val="superscript"/>
              </w:rPr>
              <w:t>4</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Germany GmbH</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Gardening (UK) Limited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Hawthorne Collective, Inc.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Scotts Company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33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Scotts Miracle-Gro Foundation</w:t>
            </w:r>
            <w:r>
              <w:rPr>
                <w:rFonts w:ascii="Times New Roman" w:cs="Times New Roman" w:eastAsia="Times New Roman" w:hAnsi="Times New Roman"/>
                <w:sz w:val="23"/>
                <w:szCs w:val="23"/>
                <w:color w:val="auto"/>
                <w:vertAlign w:val="superscript"/>
              </w:rPr>
              <w:t>5</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ind w:left="100" w:hanging="94"/>
        <w:spacing w:after="0" w:line="236" w:lineRule="auto"/>
        <w:tabs>
          <w:tab w:leader="none" w:pos="1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Canada Ltd.'s ownership is 50.0%.</w:t>
      </w:r>
    </w:p>
    <w:p>
      <w:pPr>
        <w:ind w:left="100" w:hanging="94"/>
        <w:spacing w:after="0" w:line="205" w:lineRule="auto"/>
        <w:tabs>
          <w:tab w:leader="none" w:pos="10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Scotts Company LLC owns 0.5% and Scotts-Sierra Investments LLC owns the remaining 99.5%.</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The Scotts Miracle-Gro Foundation is a 501(c)(3) corporation.</w:t>
      </w:r>
    </w:p>
    <w:p>
      <w:pPr>
        <w:sectPr>
          <w:pgSz w:w="11900" w:h="16838" w:orient="portrait"/>
          <w:cols w:equalWidth="0" w:num="1">
            <w:col w:w="10119"/>
          </w:cols>
          <w:pgMar w:left="340" w:top="931"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333333"/>
        </w:rPr>
        <w:t>The following subsidiaries of The Scotts Miracle-Gro Company (the "Company") were, as of March 30, 2024, guarantors of the Company's 5.250% Senior Notes due 2026, 4.500% Senior Notes due 2029, 4.000% Senior Notes due 2031 and 4.375% Senior Notes due 2032: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1868 Ventures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HGCI,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Hyponex Corporation</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Rod McLellan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SMGM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Farms Products,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Collective,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Scotts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240"/>
          </w:cols>
          <w:pgMar w:left="320" w:top="141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6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fiscal quarter ended March 30, 2024;</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7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JAMES HAGEDORN</w:t>
            </w:r>
          </w:p>
        </w:tc>
      </w:tr>
      <w:tr>
        <w:trPr>
          <w:trHeight w:val="218"/>
        </w:trPr>
        <w:tc>
          <w:tcPr>
            <w:tcW w:w="3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Printed Name: James Hagedorn</w:t>
            </w:r>
          </w:p>
        </w:tc>
      </w:tr>
      <w:tr>
        <w:trPr>
          <w:trHeight w:val="180"/>
        </w:trPr>
        <w:tc>
          <w:tcPr>
            <w:tcW w:w="3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Title: Chairman of the Board, Chief Executive</w:t>
            </w:r>
          </w:p>
        </w:tc>
      </w:tr>
      <w:tr>
        <w:trPr>
          <w:trHeight w:val="234"/>
        </w:trPr>
        <w:tc>
          <w:tcPr>
            <w:tcW w:w="3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 &amp; President</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E. Garth, certify that:</w:t>
      </w:r>
    </w:p>
    <w:p>
      <w:pPr>
        <w:spacing w:after="0" w:line="16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fiscal quarter ended March 30, 2024;</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2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3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Printed Name: Matthew E. Garth</w:t>
            </w:r>
          </w:p>
        </w:tc>
      </w:tr>
      <w:tr>
        <w:trPr>
          <w:trHeight w:val="180"/>
        </w:trPr>
        <w:tc>
          <w:tcPr>
            <w:tcW w:w="3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1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3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Officer</w:t>
            </w: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25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Scotts Miracle-Gro Company (the “Company”) for the fiscal quarter ended March 30, 2024 as filed with the Securities and Exchange Commission on the date hereof (the “Report”), the undersigned James Hagedorn, Chairman of the Board, Chief Executive Officer &amp; President of the Company, and Matthew E. Garth, Executive Vice President, Chief Financial Officer &amp; Chief Administrative Officer of the Company, certify, pursuant to Section 1350 of Chapter 63 of Title 18 of the United States Code, as adopted pursuant to Section 906 of the Sarbanes-Oxley Act of 2002, that, to the best of their knowledge:</w:t>
      </w:r>
    </w:p>
    <w:p>
      <w:pPr>
        <w:spacing w:after="0" w:line="143"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 JAMES HAGEDORN</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5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340" w:type="dxa"/>
            <w:vAlign w:val="bottom"/>
          </w:tcPr>
          <w:p>
            <w:pPr>
              <w:spacing w:after="0"/>
              <w:rPr>
                <w:sz w:val="18"/>
                <w:szCs w:val="18"/>
                <w:color w:val="auto"/>
              </w:rPr>
            </w:pPr>
          </w:p>
        </w:tc>
        <w:tc>
          <w:tcPr>
            <w:tcW w:w="5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Printed Name: Matthew E. Garth</w:t>
            </w:r>
          </w:p>
        </w:tc>
      </w:tr>
      <w:tr>
        <w:trPr>
          <w:trHeight w:val="180"/>
        </w:trPr>
        <w:tc>
          <w:tcPr>
            <w:tcW w:w="544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Title: Chairman of the Board, Chief Executive Officer &amp;</w:t>
            </w:r>
          </w:p>
        </w:tc>
        <w:tc>
          <w:tcPr>
            <w:tcW w:w="51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President</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Officer</w:t>
            </w:r>
          </w:p>
        </w:tc>
      </w:tr>
      <w:tr>
        <w:trPr>
          <w:trHeight w:val="441"/>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 8, 2024</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8, 2024</w:t>
            </w:r>
          </w:p>
        </w:tc>
      </w:tr>
    </w:tbl>
    <w:p>
      <w:pPr>
        <w:spacing w:after="0" w:line="292" w:lineRule="exact"/>
        <w:rPr>
          <w:sz w:val="20"/>
          <w:szCs w:val="20"/>
          <w:color w:val="auto"/>
        </w:rPr>
      </w:pPr>
    </w:p>
    <w:p>
      <w:pPr>
        <w:ind w:left="680" w:right="40" w:hanging="654"/>
        <w:spacing w:after="0" w:line="25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Roman"/>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Roman"/>
      <w:start w:val="3"/>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bullet"/>
      <w:start w:val="1"/>
    </w:lvl>
  </w:abstractNum>
  <w:abstractNum w:abstractNumId="20">
    <w:nsid w:val="75A2A8D4"/>
    <w:multiLevelType w:val="hybridMultilevel"/>
    <w:lvl w:ilvl="0">
      <w:lvlJc w:val="left"/>
      <w:lvlText w:val="2"/>
      <w:numFmt w:val="bullet"/>
      <w:start w:val="1"/>
    </w:lvl>
  </w:abstractNum>
  <w:abstractNum w:abstractNumId="21">
    <w:nsid w:val="8EDBDAB"/>
    <w:multiLevelType w:val="hybridMultilevel"/>
    <w:lvl w:ilvl="0">
      <w:lvlJc w:val="left"/>
      <w:lvlText w:val="3"/>
      <w:numFmt w:val="bullet"/>
      <w:start w:val="1"/>
    </w:lvl>
  </w:abstractNum>
  <w:abstractNum w:abstractNumId="22">
    <w:nsid w:val="79838CB2"/>
    <w:multiLevelType w:val="hybridMultilevel"/>
    <w:lvl w:ilvl="0">
      <w:lvlJc w:val="left"/>
      <w:lvlText w:val="4"/>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59" Type="http://schemas.openxmlformats.org/officeDocument/2006/relationships/hyperlink" Target="https://www.sec.gov/Archives/edgar/data/825542/000144398424000008/smg2024-01x248xkxexhibit101.htm" TargetMode="External"/><Relationship Id="rId60" Type="http://schemas.openxmlformats.org/officeDocument/2006/relationships/hyperlink" Target="https://www.sec.gov/Archives/edgar/data/825542/000144398424000008/smg2024-01x248xkxexhibit102.htm" TargetMode="External"/><Relationship Id="rId61" Type="http://schemas.openxmlformats.org/officeDocument/2006/relationships/hyperlink" Target="https://www.sec.gov/Archives/edgar/data/825542/000144398424000008/smg2024-01x248xkxexhibit103.htm" TargetMode="External"/><Relationship Id="rId62" Type="http://schemas.openxmlformats.org/officeDocument/2006/relationships/hyperlink" Target="https://www.sec.gov/Archives/edgar/data/825542/000154638024000007/exhibit108smg20231230.htm" TargetMode="External"/><Relationship Id="rId63" Type="http://schemas.openxmlformats.org/officeDocument/2006/relationships/hyperlink" Target="https://www.sec.gov/Archives/edgar/data/825542/000154638024000007/exhibit109smg20231230.htm" TargetMode="External"/><Relationship Id="rId64" Type="http://schemas.openxmlformats.org/officeDocument/2006/relationships/hyperlink" Target="https://www.sec.gov/Archives/edgar/data/825542/000154638024000007/exhibit1010smg20231230.htm" TargetMode="External"/><Relationship Id="rId65" Type="http://schemas.openxmlformats.org/officeDocument/2006/relationships/hyperlink" Target="https://www.sec.gov/Archives/edgar/data/825542/000144398424000064/exhibit101smg2024-02x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2024-05-08T15:34:02Z</dcterms:created>
  <dcterms:modified xsi:type="dcterms:W3CDTF">2024-05-08T15:34:02Z</dcterms:modified>
</cp:coreProperties>
</file>