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80"/>
        <w:spacing w:after="0"/>
        <w:rPr>
          <w:sz w:val="20"/>
          <w:szCs w:val="20"/>
          <w:color w:val="auto"/>
        </w:rPr>
      </w:pPr>
      <w:r>
        <w:rPr>
          <w:rFonts w:ascii="Arial" w:cs="Arial" w:eastAsia="Arial" w:hAnsi="Arial"/>
          <w:sz w:val="16"/>
          <w:szCs w:val="16"/>
          <w:color w:val="auto"/>
        </w:rPr>
        <w:t>As filed with the Securities and Exchange Commission on December 10, 2021</w:t>
      </w:r>
    </w:p>
    <w:p>
      <w:pPr>
        <w:spacing w:after="0" w:line="46" w:lineRule="exact"/>
        <w:rPr>
          <w:sz w:val="24"/>
          <w:szCs w:val="24"/>
          <w:color w:val="auto"/>
        </w:rPr>
      </w:pPr>
    </w:p>
    <w:p>
      <w:pPr>
        <w:ind w:left="8680"/>
        <w:spacing w:after="0"/>
        <w:rPr>
          <w:sz w:val="20"/>
          <w:szCs w:val="20"/>
          <w:color w:val="auto"/>
        </w:rPr>
      </w:pPr>
      <w:r>
        <w:rPr>
          <w:rFonts w:ascii="Arial" w:cs="Arial" w:eastAsia="Arial" w:hAnsi="Arial"/>
          <w:sz w:val="16"/>
          <w:szCs w:val="16"/>
          <w:color w:val="auto"/>
        </w:rPr>
        <w:t>Registration No. 333 -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Co-registrants are listed on the following page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04"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282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Ohio</w:t>
            </w:r>
          </w:p>
        </w:tc>
        <w:tc>
          <w:tcPr>
            <w:tcW w:w="32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2875</w:t>
            </w:r>
          </w:p>
        </w:tc>
        <w:tc>
          <w:tcPr>
            <w:tcW w:w="182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31-1414921</w:t>
            </w:r>
          </w:p>
        </w:tc>
        <w:tc>
          <w:tcPr>
            <w:tcW w:w="0" w:type="dxa"/>
            <w:vAlign w:val="bottom"/>
          </w:tcPr>
          <w:p>
            <w:pPr>
              <w:spacing w:after="0"/>
              <w:rPr>
                <w:sz w:val="1"/>
                <w:szCs w:val="1"/>
                <w:color w:val="auto"/>
              </w:rPr>
            </w:pPr>
          </w:p>
        </w:tc>
      </w:tr>
      <w:tr>
        <w:trPr>
          <w:trHeight w:val="175"/>
        </w:trPr>
        <w:tc>
          <w:tcPr>
            <w:tcW w:w="2820" w:type="dxa"/>
            <w:vAlign w:val="bottom"/>
          </w:tcPr>
          <w:p>
            <w:pPr>
              <w:jc w:val="center"/>
              <w:ind w:right="630"/>
              <w:spacing w:after="0" w:line="176" w:lineRule="exact"/>
              <w:rPr>
                <w:sz w:val="20"/>
                <w:szCs w:val="20"/>
                <w:color w:val="auto"/>
              </w:rPr>
            </w:pPr>
            <w:r>
              <w:rPr>
                <w:rFonts w:ascii="Arial" w:cs="Arial" w:eastAsia="Arial" w:hAnsi="Arial"/>
                <w:sz w:val="18"/>
                <w:szCs w:val="18"/>
                <w:color w:val="auto"/>
                <w:w w:val="93"/>
              </w:rPr>
              <w:t>(State or other jurisdiction of</w:t>
            </w:r>
          </w:p>
        </w:tc>
        <w:tc>
          <w:tcPr>
            <w:tcW w:w="3200" w:type="dxa"/>
            <w:vAlign w:val="bottom"/>
          </w:tcPr>
          <w:p>
            <w:pPr>
              <w:jc w:val="center"/>
              <w:ind w:left="130"/>
              <w:spacing w:after="0" w:line="176" w:lineRule="exact"/>
              <w:rPr>
                <w:sz w:val="20"/>
                <w:szCs w:val="20"/>
                <w:color w:val="auto"/>
              </w:rPr>
            </w:pPr>
            <w:r>
              <w:rPr>
                <w:rFonts w:ascii="Arial" w:cs="Arial" w:eastAsia="Arial" w:hAnsi="Arial"/>
                <w:sz w:val="18"/>
                <w:szCs w:val="18"/>
                <w:color w:val="auto"/>
                <w:w w:val="91"/>
              </w:rPr>
              <w:t>(Primary Standard Industrial</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76"/>
        </w:trPr>
        <w:tc>
          <w:tcPr>
            <w:tcW w:w="2820" w:type="dxa"/>
            <w:vAlign w:val="bottom"/>
            <w:vMerge w:val="restart"/>
          </w:tcPr>
          <w:p>
            <w:pPr>
              <w:jc w:val="center"/>
              <w:ind w:right="570"/>
              <w:spacing w:after="0"/>
              <w:rPr>
                <w:sz w:val="20"/>
                <w:szCs w:val="20"/>
                <w:color w:val="auto"/>
              </w:rPr>
            </w:pPr>
            <w:r>
              <w:rPr>
                <w:rFonts w:ascii="Arial" w:cs="Arial" w:eastAsia="Arial" w:hAnsi="Arial"/>
                <w:sz w:val="18"/>
                <w:szCs w:val="18"/>
                <w:color w:val="auto"/>
                <w:w w:val="92"/>
              </w:rPr>
              <w:t>incorporation or organization)</w:t>
            </w:r>
          </w:p>
        </w:tc>
        <w:tc>
          <w:tcPr>
            <w:tcW w:w="320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Classification Code Number</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55"/>
        </w:trPr>
        <w:tc>
          <w:tcPr>
            <w:tcW w:w="282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14111 Scottslawn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644-0011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of registrant’s principal executive offices)</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w:t>
      </w:r>
    </w:p>
    <w:p>
      <w:pPr>
        <w:spacing w:after="0" w:line="97"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49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Ivan C. Smith, Esq.</w:t>
            </w:r>
          </w:p>
        </w:tc>
        <w:tc>
          <w:tcPr>
            <w:tcW w:w="38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Copy to:</w:t>
            </w:r>
          </w:p>
        </w:tc>
      </w:tr>
      <w:tr>
        <w:trPr>
          <w:trHeight w:val="175"/>
        </w:trPr>
        <w:tc>
          <w:tcPr>
            <w:tcW w:w="4920" w:type="dxa"/>
            <w:vAlign w:val="bottom"/>
          </w:tcPr>
          <w:p>
            <w:pPr>
              <w:jc w:val="center"/>
              <w:ind w:right="910"/>
              <w:spacing w:after="0" w:line="176" w:lineRule="exact"/>
              <w:rPr>
                <w:sz w:val="20"/>
                <w:szCs w:val="20"/>
                <w:color w:val="auto"/>
              </w:rPr>
            </w:pPr>
            <w:r>
              <w:rPr>
                <w:rFonts w:ascii="Arial" w:cs="Arial" w:eastAsia="Arial" w:hAnsi="Arial"/>
                <w:sz w:val="18"/>
                <w:szCs w:val="18"/>
                <w:b w:val="1"/>
                <w:bCs w:val="1"/>
                <w:color w:val="auto"/>
                <w:w w:val="89"/>
              </w:rPr>
              <w:t>Executive Vice President, General Counsel,</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4"/>
              </w:rPr>
              <w:t>Adam L. Miller, Esq.</w:t>
            </w:r>
          </w:p>
        </w:tc>
      </w:tr>
      <w:tr>
        <w:trPr>
          <w:trHeight w:val="175"/>
        </w:trPr>
        <w:tc>
          <w:tcPr>
            <w:tcW w:w="4920" w:type="dxa"/>
            <w:vAlign w:val="bottom"/>
          </w:tcPr>
          <w:p>
            <w:pPr>
              <w:jc w:val="center"/>
              <w:ind w:right="890"/>
              <w:spacing w:after="0" w:line="176" w:lineRule="exact"/>
              <w:rPr>
                <w:sz w:val="20"/>
                <w:szCs w:val="20"/>
                <w:color w:val="auto"/>
              </w:rPr>
            </w:pPr>
            <w:r>
              <w:rPr>
                <w:rFonts w:ascii="Arial" w:cs="Arial" w:eastAsia="Arial" w:hAnsi="Arial"/>
                <w:sz w:val="18"/>
                <w:szCs w:val="18"/>
                <w:b w:val="1"/>
                <w:bCs w:val="1"/>
                <w:color w:val="auto"/>
                <w:w w:val="91"/>
              </w:rPr>
              <w:t>Corporate Secretary and Chief Compliance Officer</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9"/>
              </w:rPr>
              <w:t>Vorys, Sater, Seymour and Pease LLP</w:t>
            </w:r>
          </w:p>
        </w:tc>
      </w:tr>
      <w:tr>
        <w:trPr>
          <w:trHeight w:val="175"/>
        </w:trPr>
        <w:tc>
          <w:tcPr>
            <w:tcW w:w="4920" w:type="dxa"/>
            <w:vAlign w:val="bottom"/>
          </w:tcPr>
          <w:p>
            <w:pPr>
              <w:jc w:val="center"/>
              <w:ind w:right="870"/>
              <w:spacing w:after="0" w:line="176" w:lineRule="exact"/>
              <w:rPr>
                <w:sz w:val="20"/>
                <w:szCs w:val="20"/>
                <w:color w:val="auto"/>
              </w:rPr>
            </w:pPr>
            <w:r>
              <w:rPr>
                <w:rFonts w:ascii="Arial" w:cs="Arial" w:eastAsia="Arial" w:hAnsi="Arial"/>
                <w:sz w:val="18"/>
                <w:szCs w:val="18"/>
                <w:b w:val="1"/>
                <w:bCs w:val="1"/>
                <w:color w:val="auto"/>
                <w:w w:val="91"/>
              </w:rPr>
              <w:t>The Scotts Miracle-Gro Company</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9"/>
              </w:rPr>
              <w:t>52 East Gay Street</w:t>
            </w:r>
          </w:p>
        </w:tc>
      </w:tr>
      <w:tr>
        <w:trPr>
          <w:trHeight w:val="175"/>
        </w:trPr>
        <w:tc>
          <w:tcPr>
            <w:tcW w:w="4920" w:type="dxa"/>
            <w:vAlign w:val="bottom"/>
          </w:tcPr>
          <w:p>
            <w:pPr>
              <w:jc w:val="center"/>
              <w:ind w:right="870"/>
              <w:spacing w:after="0" w:line="176" w:lineRule="exact"/>
              <w:rPr>
                <w:sz w:val="20"/>
                <w:szCs w:val="20"/>
                <w:color w:val="auto"/>
              </w:rPr>
            </w:pPr>
            <w:r>
              <w:rPr>
                <w:rFonts w:ascii="Arial" w:cs="Arial" w:eastAsia="Arial" w:hAnsi="Arial"/>
                <w:sz w:val="18"/>
                <w:szCs w:val="18"/>
                <w:b w:val="1"/>
                <w:bCs w:val="1"/>
                <w:color w:val="auto"/>
                <w:w w:val="87"/>
              </w:rPr>
              <w:t>14111 Scottslawn Road</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9"/>
              </w:rPr>
              <w:t>Columbus, Ohio 43216</w:t>
            </w:r>
          </w:p>
        </w:tc>
      </w:tr>
      <w:tr>
        <w:trPr>
          <w:trHeight w:val="176"/>
        </w:trPr>
        <w:tc>
          <w:tcPr>
            <w:tcW w:w="4920" w:type="dxa"/>
            <w:vAlign w:val="bottom"/>
          </w:tcPr>
          <w:p>
            <w:pPr>
              <w:jc w:val="center"/>
              <w:ind w:right="890"/>
              <w:spacing w:after="0" w:line="176" w:lineRule="exact"/>
              <w:rPr>
                <w:sz w:val="20"/>
                <w:szCs w:val="20"/>
                <w:color w:val="auto"/>
              </w:rPr>
            </w:pPr>
            <w:r>
              <w:rPr>
                <w:rFonts w:ascii="Arial" w:cs="Arial" w:eastAsia="Arial" w:hAnsi="Arial"/>
                <w:sz w:val="18"/>
                <w:szCs w:val="18"/>
                <w:b w:val="1"/>
                <w:bCs w:val="1"/>
                <w:color w:val="auto"/>
                <w:w w:val="92"/>
              </w:rPr>
              <w:t>Marysville, Ohio 43041</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2"/>
              </w:rPr>
              <w:t>(614) 464-6400</w:t>
            </w:r>
          </w:p>
        </w:tc>
      </w:tr>
      <w:tr>
        <w:trPr>
          <w:trHeight w:val="234"/>
        </w:trPr>
        <w:tc>
          <w:tcPr>
            <w:tcW w:w="492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(937) 644-0011</w:t>
            </w:r>
          </w:p>
        </w:tc>
        <w:tc>
          <w:tcPr>
            <w:tcW w:w="3860" w:type="dxa"/>
            <w:vAlign w:val="bottom"/>
          </w:tcPr>
          <w:p>
            <w:pPr>
              <w:spacing w:after="0"/>
              <w:rPr>
                <w:sz w:val="20"/>
                <w:szCs w:val="20"/>
                <w:color w:val="auto"/>
              </w:rPr>
            </w:pPr>
          </w:p>
        </w:tc>
      </w:tr>
    </w:tbl>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(Name, address, including zip code, and telephone number,</w:t>
      </w:r>
    </w:p>
    <w:p>
      <w:pPr>
        <w:spacing w:after="0" w:line="1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including area code, of agent for service)</w:t>
      </w:r>
    </w:p>
    <w:p>
      <w:pPr>
        <w:spacing w:after="0" w:line="5" w:lineRule="exact"/>
        <w:rPr>
          <w:sz w:val="24"/>
          <w:szCs w:val="24"/>
          <w:color w:val="auto"/>
        </w:rPr>
      </w:pPr>
    </w:p>
    <w:p>
      <w:pPr>
        <w:ind w:left="4240"/>
        <w:spacing w:after="0"/>
        <w:rPr>
          <w:sz w:val="20"/>
          <w:szCs w:val="20"/>
          <w:color w:val="auto"/>
        </w:rPr>
      </w:pPr>
      <w:r>
        <w:rPr>
          <w:rFonts w:ascii="Arial" w:cs="Arial" w:eastAsia="Arial" w:hAnsi="Arial"/>
          <w:sz w:val="16"/>
          <w:szCs w:val="16"/>
          <w:color w:val="auto"/>
        </w:rPr>
        <w:t>__________________________________</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Approximate date of commencement of proposed sale to the public: As soon as practicable after this registration statement becomes effective.</w:t>
      </w:r>
    </w:p>
    <w:p>
      <w:pPr>
        <w:spacing w:after="0" w:line="12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4"/>
          <w:szCs w:val="14"/>
          <w:color w:val="auto"/>
        </w:rPr>
        <w:t>o</w:t>
      </w:r>
    </w:p>
    <w:p>
      <w:pPr>
        <w:spacing w:after="0" w:line="6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color w:val="auto"/>
        </w:rPr>
        <w:t>o</w:t>
      </w:r>
    </w:p>
    <w:p>
      <w:pPr>
        <w:spacing w:after="0" w:line="6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color w:val="auto"/>
        </w:rPr>
        <w:t>o</w:t>
      </w:r>
    </w:p>
    <w:p>
      <w:pPr>
        <w:spacing w:after="0" w:line="62" w:lineRule="exact"/>
        <w:rPr>
          <w:sz w:val="24"/>
          <w:szCs w:val="24"/>
          <w:color w:val="auto"/>
        </w:rPr>
      </w:pPr>
    </w:p>
    <w:p>
      <w:pPr>
        <w:ind w:right="5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8" w:right="339" w:bottom="1440" w:gutter="0" w:footer="0" w:header="0"/>
        </w:sectPr>
      </w:pPr>
    </w:p>
    <w:p>
      <w:pPr>
        <w:spacing w:after="0" w:line="76" w:lineRule="exact"/>
        <w:rPr>
          <w:sz w:val="24"/>
          <w:szCs w:val="24"/>
          <w:color w:val="auto"/>
        </w:rPr>
      </w:pPr>
    </w:p>
    <w:p>
      <w:pPr>
        <w:ind w:left="180"/>
        <w:spacing w:after="0" w:line="207" w:lineRule="exact"/>
        <w:tabs>
          <w:tab w:leader="none" w:pos="1960" w:val="left"/>
          <w:tab w:leader="none" w:pos="2620" w:val="left"/>
          <w:tab w:leader="none" w:pos="43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o</w:t>
      </w:r>
    </w:p>
    <w:p>
      <w:pPr>
        <w:spacing w:after="0" w:line="25" w:lineRule="exact"/>
        <w:rPr>
          <w:sz w:val="24"/>
          <w:szCs w:val="24"/>
          <w:color w:val="auto"/>
        </w:rPr>
      </w:pPr>
    </w:p>
    <w:p>
      <w:pPr>
        <w:ind w:left="180"/>
        <w:spacing w:after="0"/>
        <w:tabs>
          <w:tab w:leader="none" w:pos="1880" w:val="left"/>
          <w:tab w:leader="none" w:pos="25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6"/>
          <w:szCs w:val="16"/>
          <w:color w:val="auto"/>
        </w:rPr>
        <w:t>Smaller reporting company</w:t>
      </w:r>
    </w:p>
    <w:p>
      <w:pPr>
        <w:spacing w:after="0" w:line="16" w:lineRule="exact"/>
        <w:rPr>
          <w:sz w:val="24"/>
          <w:szCs w:val="24"/>
          <w:color w:val="auto"/>
        </w:rPr>
      </w:pPr>
    </w:p>
    <w:p>
      <w:pPr>
        <w:ind w:left="1740"/>
        <w:spacing w:after="0"/>
        <w:tabs>
          <w:tab w:leader="none" w:pos="3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39" w:lineRule="exact"/>
        <w:rPr>
          <w:sz w:val="24"/>
          <w:szCs w:val="24"/>
          <w:color w:val="auto"/>
        </w:rPr>
      </w:pPr>
    </w:p>
    <w:p>
      <w:pPr>
        <w:sectPr>
          <w:pgSz w:w="11900" w:h="16838" w:orient="portrait"/>
          <w:cols w:equalWidth="0" w:num="2">
            <w:col w:w="4480" w:space="180"/>
            <w:col w:w="6580"/>
          </w:cols>
          <w:pgMar w:left="320" w:top="638" w:right="339" w:bottom="1440" w:gutter="0" w:footer="0" w:header="0"/>
          <w:type w:val="continuous"/>
        </w:sectPr>
      </w:pPr>
    </w:p>
    <w:p>
      <w:pPr>
        <w:spacing w:after="0" w:line="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4"/>
          <w:szCs w:val="14"/>
          <w:color w:val="auto"/>
        </w:rPr>
        <w:t>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Exchange Act Rule 13e-4(i) (Cross-Border Issuer Tender Offer) </w:t>
      </w:r>
      <w:r>
        <w:rPr>
          <w:rFonts w:ascii="Arial" w:cs="Arial" w:eastAsia="Arial" w:hAnsi="Arial"/>
          <w:sz w:val="14"/>
          <w:szCs w:val="14"/>
          <w:color w:val="auto"/>
        </w:rPr>
        <w:t>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Exchange Act Rule 14d-1(d) (Cross-Border Third-Party Tender Offer) </w:t>
      </w:r>
      <w:r>
        <w:rPr>
          <w:rFonts w:ascii="Arial" w:cs="Arial" w:eastAsia="Arial" w:hAnsi="Arial"/>
          <w:sz w:val="14"/>
          <w:szCs w:val="14"/>
          <w:color w:val="auto"/>
        </w:rPr>
        <w:t>o</w:t>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0"/>
          <w:szCs w:val="20"/>
          <w:color w:val="auto"/>
        </w:rPr>
      </w:pPr>
    </w:p>
    <w:tbl>
      <w:tblPr>
        <w:tblLayout w:type="fixed"/>
        <w:tblInd w:w="630" w:type="dxa"/>
        <w:tblCellMar>
          <w:top w:w="0" w:type="dxa"/>
          <w:left w:w="0" w:type="dxa"/>
          <w:bottom w:w="0" w:type="dxa"/>
          <w:right w:w="0" w:type="dxa"/>
        </w:tblCellMar>
      </w:tblPr>
      <w:tr>
        <w:trPr>
          <w:trHeight w:val="176"/>
        </w:trPr>
        <w:tc>
          <w:tcPr>
            <w:tcW w:w="338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68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Proposed</w:t>
            </w:r>
          </w:p>
        </w:tc>
        <w:tc>
          <w:tcPr>
            <w:tcW w:w="17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Proposed</w:t>
            </w:r>
          </w:p>
        </w:tc>
        <w:tc>
          <w:tcPr>
            <w:tcW w:w="16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vMerge w:val="restart"/>
          </w:tcPr>
          <w:p>
            <w:pPr>
              <w:ind w:left="1000"/>
              <w:spacing w:after="0"/>
              <w:rPr>
                <w:sz w:val="20"/>
                <w:szCs w:val="20"/>
                <w:color w:val="auto"/>
              </w:rPr>
            </w:pPr>
            <w:r>
              <w:rPr>
                <w:rFonts w:ascii="Arial" w:cs="Arial" w:eastAsia="Arial" w:hAnsi="Arial"/>
                <w:sz w:val="16"/>
                <w:szCs w:val="16"/>
                <w:b w:val="1"/>
                <w:bCs w:val="1"/>
                <w:color w:val="auto"/>
              </w:rPr>
              <w:t>Title of each class of</w:t>
            </w:r>
          </w:p>
        </w:tc>
        <w:tc>
          <w:tcPr>
            <w:tcW w:w="158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7"/>
              </w:rPr>
              <w:t>Maximum</w:t>
            </w:r>
          </w:p>
        </w:tc>
        <w:tc>
          <w:tcPr>
            <w:tcW w:w="17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maximum</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 of registration</w:t>
            </w: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vMerge w:val="continue"/>
          </w:tcPr>
          <w:p>
            <w:pPr>
              <w:spacing w:after="0"/>
              <w:rPr>
                <w:sz w:val="14"/>
                <w:szCs w:val="14"/>
                <w:color w:val="auto"/>
              </w:rPr>
            </w:pPr>
          </w:p>
        </w:tc>
        <w:tc>
          <w:tcPr>
            <w:tcW w:w="15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to be</w:t>
            </w:r>
          </w:p>
        </w:tc>
        <w:tc>
          <w:tcPr>
            <w:tcW w:w="1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Offering price</w:t>
            </w:r>
          </w:p>
        </w:tc>
        <w:tc>
          <w:tcPr>
            <w:tcW w:w="17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aggregate</w:t>
            </w:r>
          </w:p>
        </w:tc>
        <w:tc>
          <w:tcPr>
            <w:tcW w:w="1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80" w:type="dxa"/>
            <w:vAlign w:val="bottom"/>
            <w:tcBorders>
              <w:left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securities 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per unit(1)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offering price(1)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w w:val="95"/>
              </w:rPr>
              <w:t>The Scotts Miracle-Gro Company 4.000% Senior</w:t>
            </w:r>
          </w:p>
        </w:tc>
        <w:tc>
          <w:tcPr>
            <w:tcW w:w="15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vMerge w:val="restart"/>
          </w:tcPr>
          <w:p>
            <w:pPr>
              <w:jc w:val="right"/>
              <w:ind w:right="579"/>
              <w:spacing w:after="0"/>
              <w:rPr>
                <w:sz w:val="20"/>
                <w:szCs w:val="20"/>
                <w:color w:val="auto"/>
              </w:rPr>
            </w:pPr>
            <w:r>
              <w:rPr>
                <w:rFonts w:ascii="Arial" w:cs="Arial" w:eastAsia="Arial" w:hAnsi="Arial"/>
                <w:sz w:val="16"/>
                <w:szCs w:val="16"/>
                <w:color w:val="auto"/>
              </w:rPr>
              <w:t>100%</w:t>
            </w:r>
          </w:p>
        </w:tc>
        <w:tc>
          <w:tcPr>
            <w:tcW w:w="170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Notes due 2031</w:t>
            </w:r>
          </w:p>
        </w:tc>
        <w:tc>
          <w:tcPr>
            <w:tcW w:w="1580" w:type="dxa"/>
            <w:vAlign w:val="bottom"/>
            <w:tcBorders>
              <w:right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$500,000,000</w:t>
            </w:r>
          </w:p>
        </w:tc>
        <w:tc>
          <w:tcPr>
            <w:tcW w:w="168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$500,000,000</w:t>
            </w:r>
          </w:p>
        </w:tc>
        <w:tc>
          <w:tcPr>
            <w:tcW w:w="1680" w:type="dxa"/>
            <w:vAlign w:val="bottom"/>
            <w:tcBorders>
              <w:right w:val="single" w:sz="8" w:color="auto"/>
            </w:tcBorders>
            <w:vMerge w:val="restart"/>
          </w:tcPr>
          <w:p>
            <w:pPr>
              <w:jc w:val="right"/>
              <w:ind w:right="519"/>
              <w:spacing w:after="0"/>
              <w:rPr>
                <w:sz w:val="20"/>
                <w:szCs w:val="20"/>
                <w:color w:val="auto"/>
              </w:rPr>
            </w:pPr>
            <w:r>
              <w:rPr>
                <w:rFonts w:ascii="Arial" w:cs="Arial" w:eastAsia="Arial" w:hAnsi="Arial"/>
                <w:sz w:val="16"/>
                <w:szCs w:val="16"/>
                <w:color w:val="auto"/>
              </w:rPr>
              <w:t>$46,350</w:t>
            </w:r>
          </w:p>
        </w:tc>
        <w:tc>
          <w:tcPr>
            <w:tcW w:w="0" w:type="dxa"/>
            <w:vAlign w:val="bottom"/>
          </w:tcPr>
          <w:p>
            <w:pPr>
              <w:spacing w:after="0"/>
              <w:rPr>
                <w:sz w:val="1"/>
                <w:szCs w:val="1"/>
                <w:color w:val="auto"/>
              </w:rPr>
            </w:pPr>
          </w:p>
        </w:tc>
      </w:tr>
      <w:tr>
        <w:trPr>
          <w:trHeight w:val="57"/>
        </w:trPr>
        <w:tc>
          <w:tcPr>
            <w:tcW w:w="33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580" w:type="dxa"/>
            <w:vAlign w:val="bottom"/>
            <w:tcBorders>
              <w:bottom w:val="single" w:sz="8" w:color="auto"/>
              <w:right w:val="single" w:sz="8" w:color="auto"/>
            </w:tcBorders>
            <w:vMerge w:val="continue"/>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vMerge w:val="continue"/>
          </w:tcPr>
          <w:p>
            <w:pPr>
              <w:spacing w:after="0"/>
              <w:rPr>
                <w:sz w:val="4"/>
                <w:szCs w:val="4"/>
                <w:color w:val="auto"/>
              </w:rPr>
            </w:pPr>
          </w:p>
        </w:tc>
        <w:tc>
          <w:tcPr>
            <w:tcW w:w="16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w w:val="94"/>
              </w:rPr>
              <w:t>Guarantees of 4.000% Senior Notes due 2031 by</w:t>
            </w:r>
          </w:p>
        </w:tc>
        <w:tc>
          <w:tcPr>
            <w:tcW w:w="15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certain subsidiaries of The Scotts Miracle-Gro</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Company(2)</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680" w:type="dxa"/>
            <w:vAlign w:val="bottom"/>
            <w:tcBorders>
              <w:bottom w:val="single" w:sz="8" w:color="auto"/>
              <w:right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vMerge w:val="continue"/>
          </w:tcPr>
          <w:p>
            <w:pPr>
              <w:spacing w:after="0"/>
              <w:rPr>
                <w:sz w:val="18"/>
                <w:szCs w:val="18"/>
                <w:color w:val="auto"/>
              </w:rPr>
            </w:pPr>
          </w:p>
        </w:tc>
        <w:tc>
          <w:tcPr>
            <w:tcW w:w="16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w:t>
      </w:r>
    </w:p>
    <w:p>
      <w:pPr>
        <w:spacing w:after="0" w:line="61" w:lineRule="exact"/>
        <w:rPr>
          <w:sz w:val="20"/>
          <w:szCs w:val="20"/>
          <w:color w:val="auto"/>
        </w:rPr>
      </w:pPr>
    </w:p>
    <w:p>
      <w:pPr>
        <w:ind w:left="340" w:right="360" w:hanging="332"/>
        <w:spacing w:after="0" w:line="230" w:lineRule="auto"/>
        <w:tabs>
          <w:tab w:leader="none" w:pos="318"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Exclusive of accrued interest, if any, and estimated solely for the purpose of calculating the amount of the registration fee in accordance with Rule 457(f) under the Securities Act of 1933, as amended.</w:t>
      </w:r>
    </w:p>
    <w:p>
      <w:pPr>
        <w:spacing w:after="0" w:line="91" w:lineRule="exact"/>
        <w:rPr>
          <w:rFonts w:ascii="Arial" w:cs="Arial" w:eastAsia="Arial" w:hAnsi="Arial"/>
          <w:sz w:val="21"/>
          <w:szCs w:val="21"/>
          <w:color w:val="auto"/>
          <w:vertAlign w:val="superscript"/>
        </w:rPr>
      </w:pPr>
    </w:p>
    <w:p>
      <w:pPr>
        <w:ind w:left="340" w:right="260" w:hanging="332"/>
        <w:spacing w:after="0" w:line="245" w:lineRule="auto"/>
        <w:tabs>
          <w:tab w:leader="none" w:pos="298" w:val="left"/>
        </w:tabs>
        <w:numPr>
          <w:ilvl w:val="0"/>
          <w:numId w:val="1"/>
        </w:numPr>
        <w:rPr>
          <w:rFonts w:ascii="Arial" w:cs="Arial" w:eastAsia="Arial" w:hAnsi="Arial"/>
          <w:sz w:val="20"/>
          <w:szCs w:val="20"/>
          <w:color w:val="auto"/>
          <w:vertAlign w:val="superscript"/>
        </w:rPr>
      </w:pPr>
      <w:r>
        <w:rPr>
          <w:rFonts w:ascii="Arial" w:cs="Arial" w:eastAsia="Arial" w:hAnsi="Arial"/>
          <w:sz w:val="15"/>
          <w:szCs w:val="15"/>
          <w:color w:val="auto"/>
        </w:rPr>
        <w:t>The guarantees are the full and unconditional guarantee of The Scotts Miracle-Gro Company’s obligations under the 4.000% Senior Notes due 2031 by its direct and indirect wholly-owned subsidiaries listed on the following page under the caption “Table of Co-Registrants.” No separate consideration will be received for the guarantees. No additional registration fee is payable with respect to the guarantees pursuant to Rule 457(n) under the Securities Act of 1933, as amended.</w:t>
      </w:r>
    </w:p>
    <w:p>
      <w:pPr>
        <w:spacing w:after="0" w:line="200" w:lineRule="exact"/>
        <w:rPr>
          <w:sz w:val="20"/>
          <w:szCs w:val="20"/>
          <w:color w:val="auto"/>
        </w:rPr>
      </w:pPr>
    </w:p>
    <w:p>
      <w:pPr>
        <w:spacing w:after="0" w:line="235" w:lineRule="exact"/>
        <w:rPr>
          <w:sz w:val="20"/>
          <w:szCs w:val="20"/>
          <w:color w:val="auto"/>
        </w:rPr>
      </w:pPr>
    </w:p>
    <w:p>
      <w:pPr>
        <w:spacing w:after="0" w:line="31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CO-REGISTRANTS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4.000% Senior Notes due 2031 and are co-registrants under this registration statement.</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44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Exact Name of Co-Registrant as</w:t>
            </w:r>
          </w:p>
        </w:tc>
        <w:tc>
          <w:tcPr>
            <w:tcW w:w="34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State or Other Jurisdiction</w:t>
            </w:r>
          </w:p>
        </w:tc>
        <w:tc>
          <w:tcPr>
            <w:tcW w:w="540" w:type="dxa"/>
            <w:vAlign w:val="bottom"/>
          </w:tcPr>
          <w:p>
            <w:pPr>
              <w:spacing w:after="0"/>
              <w:rPr>
                <w:sz w:val="17"/>
                <w:szCs w:val="17"/>
                <w:color w:val="auto"/>
              </w:rPr>
            </w:pPr>
          </w:p>
        </w:tc>
        <w:tc>
          <w:tcPr>
            <w:tcW w:w="222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175"/>
        </w:trPr>
        <w:tc>
          <w:tcPr>
            <w:tcW w:w="4460" w:type="dxa"/>
            <w:vAlign w:val="bottom"/>
            <w:gridSpan w:val="3"/>
            <w:vMerge w:val="continue"/>
          </w:tcPr>
          <w:p>
            <w:pPr>
              <w:spacing w:after="0"/>
              <w:rPr>
                <w:sz w:val="15"/>
                <w:szCs w:val="15"/>
                <w:color w:val="auto"/>
              </w:rPr>
            </w:pPr>
          </w:p>
        </w:tc>
        <w:tc>
          <w:tcPr>
            <w:tcW w:w="3440" w:type="dxa"/>
            <w:vAlign w:val="bottom"/>
            <w:gridSpan w:val="3"/>
          </w:tcPr>
          <w:p>
            <w:pPr>
              <w:jc w:val="center"/>
              <w:ind w:left="230"/>
              <w:spacing w:after="0" w:line="176" w:lineRule="exact"/>
              <w:rPr>
                <w:sz w:val="20"/>
                <w:szCs w:val="20"/>
                <w:color w:val="auto"/>
              </w:rPr>
            </w:pPr>
            <w:r>
              <w:rPr>
                <w:rFonts w:ascii="Arial" w:cs="Arial" w:eastAsia="Arial" w:hAnsi="Arial"/>
                <w:sz w:val="18"/>
                <w:szCs w:val="18"/>
                <w:b w:val="1"/>
                <w:bCs w:val="1"/>
                <w:color w:val="auto"/>
                <w:w w:val="91"/>
              </w:rPr>
              <w:t>of Incorporation or</w:t>
            </w:r>
          </w:p>
        </w:tc>
        <w:tc>
          <w:tcPr>
            <w:tcW w:w="54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3"/>
          </w:tcPr>
          <w:p>
            <w:pPr>
              <w:ind w:left="1480"/>
              <w:spacing w:after="0" w:line="189" w:lineRule="exact"/>
              <w:rPr>
                <w:sz w:val="20"/>
                <w:szCs w:val="20"/>
                <w:color w:val="auto"/>
              </w:rPr>
            </w:pPr>
            <w:r>
              <w:rPr>
                <w:rFonts w:ascii="Arial" w:cs="Arial" w:eastAsia="Arial" w:hAnsi="Arial"/>
                <w:sz w:val="18"/>
                <w:szCs w:val="18"/>
                <w:b w:val="1"/>
                <w:bCs w:val="1"/>
                <w:color w:val="auto"/>
              </w:rPr>
              <w:t>Specified in its Charter</w:t>
            </w:r>
          </w:p>
        </w:tc>
        <w:tc>
          <w:tcPr>
            <w:tcW w:w="3440" w:type="dxa"/>
            <w:vAlign w:val="bottom"/>
            <w:gridSpan w:val="3"/>
          </w:tcPr>
          <w:p>
            <w:pPr>
              <w:jc w:val="center"/>
              <w:ind w:left="250"/>
              <w:spacing w:after="0" w:line="189" w:lineRule="exact"/>
              <w:rPr>
                <w:sz w:val="20"/>
                <w:szCs w:val="20"/>
                <w:color w:val="auto"/>
              </w:rPr>
            </w:pPr>
            <w:r>
              <w:rPr>
                <w:rFonts w:ascii="Arial" w:cs="Arial" w:eastAsia="Arial" w:hAnsi="Arial"/>
                <w:sz w:val="18"/>
                <w:szCs w:val="18"/>
                <w:b w:val="1"/>
                <w:bCs w:val="1"/>
                <w:color w:val="auto"/>
                <w:w w:val="92"/>
              </w:rPr>
              <w:t>Organization</w:t>
            </w:r>
          </w:p>
        </w:tc>
        <w:tc>
          <w:tcPr>
            <w:tcW w:w="276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92"/>
              </w:rPr>
              <w:t>Identification Number</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1868 Ventures LLC(2)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84-3517359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AeroGrow International, Inc.(2)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Nevada</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46-0510685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GenSource, Inc.(1)</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47-3691890</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Hawthorne Hydroponics LLC(3)</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35-2524504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HGCI, Inc.(4)</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0"/>
              </w:rPr>
              <w:t>Nevada</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47-3426969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Hyponex Corporation(2)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31-1254519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Miracle-Gro Lawn Products, Inc.(2)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40"/>
              <w:spacing w:after="0"/>
              <w:rPr>
                <w:sz w:val="20"/>
                <w:szCs w:val="20"/>
                <w:color w:val="auto"/>
              </w:rPr>
            </w:pPr>
            <w:r>
              <w:rPr>
                <w:rFonts w:ascii="Arial" w:cs="Arial" w:eastAsia="Arial" w:hAnsi="Arial"/>
                <w:sz w:val="18"/>
                <w:szCs w:val="18"/>
                <w:color w:val="auto"/>
                <w:w w:val="94"/>
              </w:rPr>
              <w:t>New York</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11-3186421</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OMS Investments, Inc.(5)</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51-0357374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Rod McLellan Company(2)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California</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94-1439564</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Sanford Scientific, Inc.(2)</w:t>
            </w:r>
          </w:p>
        </w:tc>
        <w:tc>
          <w:tcPr>
            <w:tcW w:w="1380" w:type="dxa"/>
            <w:vAlign w:val="bottom"/>
          </w:tcPr>
          <w:p>
            <w:pPr>
              <w:spacing w:after="0"/>
              <w:rPr>
                <w:sz w:val="19"/>
                <w:szCs w:val="19"/>
                <w:color w:val="auto"/>
              </w:rPr>
            </w:pPr>
          </w:p>
        </w:tc>
        <w:tc>
          <w:tcPr>
            <w:tcW w:w="206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New York</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16-1279959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Live Goods Holdings, Inc.(2)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85-3887581</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Scotts Manufacturing Company(2)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42-1508875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Products Co.(2)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31-1269080</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Scotts Professional Products Co.(2)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31-1269066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Scotts-Sierra Investments LLC(2)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51-0371209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Scotts Temecula Operations, LLC(2)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33-0978312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SMG Growing Media, Inc.(2)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20-3544126</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SMGM LLC(2)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27-0434530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Swiss Farms Products, Inc.(4)</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88-0407223</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The Hawthorne Collective, Inc.(2)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87-1006204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 Hawthorne Gardening Company(3)</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46-5720038</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The Scotts Company LLC(2)</w:t>
            </w:r>
          </w:p>
        </w:tc>
        <w:tc>
          <w:tcPr>
            <w:tcW w:w="1380" w:type="dxa"/>
            <w:vAlign w:val="bottom"/>
          </w:tcPr>
          <w:p>
            <w:pPr>
              <w:spacing w:after="0"/>
              <w:rPr>
                <w:sz w:val="20"/>
                <w:szCs w:val="20"/>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31-1414921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34" w:lineRule="exact"/>
        <w:rPr>
          <w:rFonts w:ascii="Arial" w:cs="Arial" w:eastAsia="Arial" w:hAnsi="Arial"/>
          <w:sz w:val="17"/>
          <w:szCs w:val="17"/>
          <w:color w:val="auto"/>
        </w:rPr>
      </w:pPr>
    </w:p>
    <w:p>
      <w:pPr>
        <w:ind w:left="420" w:hanging="412"/>
        <w:spacing w:after="0" w:line="250" w:lineRule="auto"/>
        <w:tabs>
          <w:tab w:leader="none" w:pos="53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ind w:left="420" w:hanging="412"/>
        <w:spacing w:after="0" w:line="250" w:lineRule="auto"/>
        <w:tabs>
          <w:tab w:leader="none" w:pos="45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ind w:left="420" w:hanging="412"/>
        <w:spacing w:after="0" w:line="250"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ind w:left="420" w:hanging="412"/>
        <w:spacing w:after="0" w:line="260" w:lineRule="auto"/>
        <w:tabs>
          <w:tab w:leader="none" w:pos="43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ectPr>
          <w:pgSz w:w="11900" w:h="16838" w:orient="portrait"/>
          <w:cols w:equalWidth="0" w:num="1">
            <w:col w:w="11240"/>
          </w:cols>
          <w:pgMar w:left="320" w:top="931" w:right="339" w:bottom="1440" w:gutter="0" w:footer="0" w:header="0"/>
        </w:sectPr>
      </w:pPr>
    </w:p>
    <w:bookmarkStart w:id="3" w:name="page4"/>
    <w:bookmarkEnd w:id="3"/>
    <w:p>
      <w:pPr>
        <w:jc w:val="both"/>
        <w:ind w:right="40"/>
        <w:spacing w:after="0" w:line="266" w:lineRule="auto"/>
        <w:rPr>
          <w:sz w:val="20"/>
          <w:szCs w:val="20"/>
          <w:color w:val="auto"/>
        </w:rPr>
      </w:pPr>
      <w:r>
        <w:rPr>
          <w:rFonts w:ascii="Arial" w:cs="Arial" w:eastAsia="Arial" w:hAnsi="Arial"/>
          <w:sz w:val="18"/>
          <w:szCs w:val="18"/>
          <w:b w:val="1"/>
          <w:bCs w:val="1"/>
          <w:color w:val="CC062A"/>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w:t>
      </w:r>
      <w:r>
        <w:rPr>
          <w:rFonts w:ascii="Arial" w:cs="Arial" w:eastAsia="Arial" w:hAnsi="Arial"/>
          <w:sz w:val="18"/>
          <w:szCs w:val="18"/>
          <w:b w:val="1"/>
          <w:bCs w:val="1"/>
          <w:color w:val="DE1A1E"/>
        </w:rPr>
        <w:t>or a solicitation of an offer to buy these</w:t>
      </w:r>
      <w:r>
        <w:rPr>
          <w:rFonts w:ascii="Arial" w:cs="Arial" w:eastAsia="Arial" w:hAnsi="Arial"/>
          <w:sz w:val="18"/>
          <w:szCs w:val="18"/>
          <w:b w:val="1"/>
          <w:bCs w:val="1"/>
          <w:color w:val="CC062A"/>
        </w:rPr>
        <w:t xml:space="preserve"> </w:t>
      </w:r>
      <w:r>
        <w:rPr>
          <w:rFonts w:ascii="Arial" w:cs="Arial" w:eastAsia="Arial" w:hAnsi="Arial"/>
          <w:sz w:val="18"/>
          <w:szCs w:val="18"/>
          <w:b w:val="1"/>
          <w:bCs w:val="1"/>
          <w:color w:val="DE1A1E"/>
        </w:rPr>
        <w:t>securities in any jurisdiction where the offer or sale is not permitted</w:t>
      </w:r>
      <w:r>
        <w:rPr>
          <w:rFonts w:ascii="Arial" w:cs="Arial" w:eastAsia="Arial" w:hAnsi="Arial"/>
          <w:sz w:val="18"/>
          <w:szCs w:val="18"/>
          <w:b w:val="1"/>
          <w:bCs w:val="1"/>
          <w:color w:val="CC062A"/>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SUBJECT TO COMPLETION, DATED DECEMBER 10, 2021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20320</wp:posOffset>
            </wp:positionV>
            <wp:extent cx="277749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$500,000,000</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Offer to exchange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up to $500 million aggregate principal amount of outstanding unregistered 4.000% Senior Notes due 2031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 equal principal amount of 4.000% Senior Notes due 2031 which have been registered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 the Securities Act of 1933, as amended</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The Scotts Miracle-Gro Company hereby offers, upon the terms and subject to the conditions set forth in this prospectus, to exchange any and all of its outstanding unregistered 4.000% Senior Notes due 2031 (the “original notes”) for an equal principal amount of its registered 4.000% Senior Notes due 2031 (the “exchange notes”). The terms of the exchange notes are substantially identical to the terms of the original notes, except that the exchange notes will not be subject to the transfer restrictions, registration rights and additional interest provisions applicable to the original notes. We are offering the exchange notes pursuant to a registration rights agreement that we entered into in connection with the issuance of the original notes. The exchange notes will be fully and unconditionally guaranteed on a senior unsecured basis by all of our subsidiaries that have guaranteed the original notes.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Exchange Offer:</w:t>
      </w:r>
    </w:p>
    <w:p>
      <w:pPr>
        <w:spacing w:after="0" w:line="23" w:lineRule="exact"/>
        <w:rPr>
          <w:sz w:val="20"/>
          <w:szCs w:val="20"/>
          <w:color w:val="auto"/>
        </w:rPr>
      </w:pPr>
    </w:p>
    <w:p>
      <w:pPr>
        <w:ind w:left="340"/>
        <w:spacing w:after="0"/>
        <w:tabs>
          <w:tab w:leader="none" w:pos="620" w:val="left"/>
          <w:tab w:leader="none" w:pos="6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offer will expire at 11:59 p.m., New York City time, on</w:t>
      </w:r>
      <w:r>
        <w:rPr>
          <w:sz w:val="20"/>
          <w:szCs w:val="20"/>
          <w:color w:val="auto"/>
        </w:rPr>
        <w:tab/>
      </w:r>
      <w:r>
        <w:rPr>
          <w:rFonts w:ascii="Arial" w:cs="Arial" w:eastAsia="Arial" w:hAnsi="Arial"/>
          <w:sz w:val="14"/>
          <w:szCs w:val="14"/>
          <w:color w:val="auto"/>
        </w:rPr>
        <w:t>, 2022, unless extended (the “expiration time”).</w:t>
      </w:r>
    </w:p>
    <w:p>
      <w:pPr>
        <w:spacing w:after="0" w:line="5" w:lineRule="exact"/>
        <w:rPr>
          <w:sz w:val="20"/>
          <w:szCs w:val="20"/>
          <w:color w:val="auto"/>
        </w:rPr>
      </w:pPr>
    </w:p>
    <w:p>
      <w:pPr>
        <w:ind w:left="660" w:right="10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consummation of the exchange offer, all original notes that are validly tendered and not validly withdrawn will be exchanged for an equal principal amount of the exchange notes that have been registered under the Securities Act of 1933, as amended (the “Securities Act”).</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You may withdraw tenders of original notes at any time prior to the expiration time.</w:t>
      </w:r>
    </w:p>
    <w:p>
      <w:pPr>
        <w:spacing w:after="0" w:line="6" w:lineRule="exact"/>
        <w:rPr>
          <w:rFonts w:ascii="Arial" w:cs="Arial" w:eastAsia="Arial" w:hAnsi="Arial"/>
          <w:sz w:val="18"/>
          <w:szCs w:val="18"/>
          <w:color w:val="auto"/>
        </w:rPr>
      </w:pPr>
    </w:p>
    <w:p>
      <w:pPr>
        <w:ind w:left="660" w:right="480" w:hanging="328"/>
        <w:spacing w:after="0" w:line="24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is subject to certain customary conditions described in this prospectus, but is not conditioned upon the tender of any minimum principal amount of original notes.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your original notes for exchange notes will not be a taxable event for U.S. federal income tax purposes.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 and we will pay all expenses of the exchange offer.</w:t>
      </w:r>
    </w:p>
    <w:p>
      <w:pPr>
        <w:spacing w:after="0" w:line="5" w:lineRule="exact"/>
        <w:rPr>
          <w:rFonts w:ascii="Arial" w:cs="Arial" w:eastAsia="Arial" w:hAnsi="Arial"/>
          <w:sz w:val="16"/>
          <w:szCs w:val="16"/>
          <w:color w:val="auto"/>
        </w:rPr>
      </w:pPr>
    </w:p>
    <w:p>
      <w:pPr>
        <w:ind w:left="660" w:right="44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will be a new issue of securities for which no public market currently exists. We do not intend to list the exchange notes on any national securities exchange or seek their quotation on any automated quotation system.</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See “The Exchange Offer” beginning on page 31 of this prospectus for information on how to exchange your original notes for exchange notes.</w:t>
      </w:r>
    </w:p>
    <w:p>
      <w:pPr>
        <w:spacing w:after="0" w:line="6" w:lineRule="exact"/>
        <w:rPr>
          <w:rFonts w:ascii="Arial" w:cs="Arial" w:eastAsia="Arial" w:hAnsi="Arial"/>
          <w:sz w:val="18"/>
          <w:szCs w:val="18"/>
          <w:color w:val="auto"/>
        </w:rPr>
      </w:pPr>
    </w:p>
    <w:p>
      <w:pPr>
        <w:ind w:left="660" w:right="20" w:hanging="328"/>
        <w:spacing w:after="0" w:line="283" w:lineRule="auto"/>
        <w:tabs>
          <w:tab w:leader="none" w:pos="649"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in the exchange offer must acknowledge that it will deliver a prospectus in connection with any resale of such exchange notes. The accompanying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exchange notes were acquired by such broker-dealer as a result of market-making activities or other trading activities. We have agreed that, for the one-year period following the consummation of the exchange offer, we will make this prospectus available to any broker-dealer for use in connection with any such resale. See “Plan of Distribution.”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39"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b w:val="1"/>
          <w:bCs w:val="1"/>
          <w:color w:val="auto"/>
        </w:rPr>
        <w:t>See “Risk Factors” beginning on page 8 of this prospectus for a description of risks that you should consider in determining whether to participate in the exchange offer.</w:t>
      </w:r>
    </w:p>
    <w:p>
      <w:pPr>
        <w:spacing w:after="0" w:line="192" w:lineRule="exact"/>
        <w:rPr>
          <w:sz w:val="20"/>
          <w:szCs w:val="20"/>
          <w:color w:val="auto"/>
        </w:rPr>
      </w:pPr>
    </w:p>
    <w:p>
      <w:pPr>
        <w:ind w:right="300" w:firstLine="648"/>
        <w:spacing w:after="0" w:line="280"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the accuracy of this prospectus. Any representation to the contrary is a criminal offense.</w:t>
      </w:r>
    </w:p>
    <w:p>
      <w:pPr>
        <w:spacing w:after="0" w:line="192" w:lineRule="exact"/>
        <w:rPr>
          <w:sz w:val="20"/>
          <w:szCs w:val="20"/>
          <w:color w:val="auto"/>
        </w:rPr>
      </w:pPr>
    </w:p>
    <w:tbl>
      <w:tblPr>
        <w:tblLayout w:type="fixed"/>
        <w:tblInd w:w="3900" w:type="dxa"/>
        <w:tblCellMar>
          <w:top w:w="0" w:type="dxa"/>
          <w:left w:w="0" w:type="dxa"/>
          <w:bottom w:w="0" w:type="dxa"/>
          <w:right w:w="0" w:type="dxa"/>
        </w:tblCellMar>
      </w:tblPr>
      <w:tr>
        <w:trPr>
          <w:trHeight w:val="210"/>
        </w:trPr>
        <w:tc>
          <w:tcPr>
            <w:tcW w:w="252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220"/>
          </w:cols>
          <w:pgMar w:left="320" w:top="769" w:right="359" w:bottom="1440" w:gutter="0" w:footer="0" w:header="0"/>
        </w:sectPr>
      </w:pPr>
    </w:p>
    <w:bookmarkStart w:id="4" w:name="page5"/>
    <w:bookmarkEnd w:id="4"/>
    <w:p>
      <w:pPr>
        <w:ind w:right="60" w:firstLine="648"/>
        <w:spacing w:after="0" w:line="268"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or represent anything about us, our financial results or this offering that is not contained or incorporated by reference in this prospectus. We are not making an offer to sell these securities or soliciting an offer to buy these securities in any state or other jurisdiction where the offer or solicitation is not permitted. You should not assume that the information contained or incorporated by reference in this prospectus is accurate on any date other than the date set forth on the front of this prospectus or the date of the document incorporated by reference, even though this prospectus may be delivered or securities may be sold on a later date. Our business, financial condition, results of operations and prospects may have changed since those dates.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83"/>
        </w:trPr>
        <w:tc>
          <w:tcPr>
            <w:tcW w:w="2120" w:type="dxa"/>
            <w:vAlign w:val="bottom"/>
            <w:gridSpan w:val="8"/>
            <w:vMerge w:val="restart"/>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Forward-Looking Statements</w:t>
              </w:r>
            </w:hyperlink>
          </w:p>
        </w:tc>
        <w:tc>
          <w:tcPr>
            <w:tcW w:w="8220" w:type="dxa"/>
            <w:vAlign w:val="bottom"/>
            <w:gridSpan w:val="5"/>
            <w:vMerge w:val="restart"/>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120" w:type="dxa"/>
            <w:vAlign w:val="bottom"/>
            <w:gridSpan w:val="8"/>
            <w:vMerge w:val="continue"/>
          </w:tcPr>
          <w:p>
            <w:pPr>
              <w:spacing w:after="0"/>
              <w:rPr>
                <w:sz w:val="15"/>
                <w:szCs w:val="15"/>
                <w:color w:val="auto"/>
              </w:rPr>
            </w:pPr>
          </w:p>
        </w:tc>
        <w:tc>
          <w:tcPr>
            <w:tcW w:w="822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gridSpan w:val="2"/>
          </w:tcPr>
          <w:p>
            <w:pPr>
              <w:jc w:val="center"/>
              <w:ind w:right="360"/>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ii</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gridSpan w:val="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Summary</w:t>
              </w:r>
            </w:hyperlink>
          </w:p>
        </w:tc>
        <w:tc>
          <w:tcPr>
            <w:tcW w:w="8220" w:type="dxa"/>
            <w:vAlign w:val="bottom"/>
            <w:gridSpan w:val="5"/>
          </w:tcPr>
          <w:p>
            <w:pPr>
              <w:spacing w:after="0"/>
              <w:rPr>
                <w:sz w:val="18"/>
                <w:szCs w:val="18"/>
                <w:color w:val="auto"/>
              </w:rPr>
            </w:pPr>
          </w:p>
        </w:tc>
        <w:tc>
          <w:tcPr>
            <w:tcW w:w="480" w:type="dxa"/>
            <w:vAlign w:val="bottom"/>
            <w:gridSpan w:val="2"/>
          </w:tcPr>
          <w:p>
            <w:pPr>
              <w:jc w:val="center"/>
              <w:ind w:left="272"/>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3"/>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9420" w:type="dxa"/>
            <w:vAlign w:val="bottom"/>
            <w:gridSpan w:val="10"/>
          </w:tcPr>
          <w:p>
            <w:pPr>
              <w:spacing w:after="0"/>
              <w:rPr>
                <w:sz w:val="18"/>
                <w:szCs w:val="18"/>
                <w:color w:val="auto"/>
              </w:rPr>
            </w:pPr>
          </w:p>
        </w:tc>
        <w:tc>
          <w:tcPr>
            <w:tcW w:w="480" w:type="dxa"/>
            <w:vAlign w:val="bottom"/>
            <w:gridSpan w:val="2"/>
          </w:tcPr>
          <w:p>
            <w:pPr>
              <w:jc w:val="center"/>
              <w:ind w:left="272"/>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8</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5"/>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Use of Proceeds</w:t>
              </w:r>
            </w:hyperlink>
          </w:p>
        </w:tc>
        <w:tc>
          <w:tcPr>
            <w:tcW w:w="9160" w:type="dxa"/>
            <w:vAlign w:val="bottom"/>
            <w:gridSpan w:val="8"/>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4"/>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Capitalization</w:t>
              </w:r>
            </w:hyperlink>
          </w:p>
        </w:tc>
        <w:tc>
          <w:tcPr>
            <w:tcW w:w="160" w:type="dxa"/>
            <w:vAlign w:val="bottom"/>
          </w:tcPr>
          <w:p>
            <w:pPr>
              <w:spacing w:after="0"/>
              <w:rPr>
                <w:sz w:val="18"/>
                <w:szCs w:val="18"/>
                <w:color w:val="auto"/>
              </w:rPr>
            </w:pPr>
          </w:p>
        </w:tc>
        <w:tc>
          <w:tcPr>
            <w:tcW w:w="9160" w:type="dxa"/>
            <w:vAlign w:val="bottom"/>
            <w:gridSpan w:val="8"/>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gridSpan w:val="11"/>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Description of Certain Other Indebtedness</w:t>
              </w:r>
            </w:hyperlink>
          </w:p>
        </w:tc>
        <w:tc>
          <w:tcPr>
            <w:tcW w:w="7280" w:type="dxa"/>
            <w:vAlign w:val="bottom"/>
            <w:gridSpan w:val="2"/>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26</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w w:val="86"/>
              </w:rPr>
            </w:pPr>
            <w:hyperlink w:anchor="page37">
              <w:r>
                <w:rPr>
                  <w:rFonts w:ascii="Arial" w:cs="Arial" w:eastAsia="Arial" w:hAnsi="Arial"/>
                  <w:sz w:val="18"/>
                  <w:szCs w:val="18"/>
                  <w:color w:val="0000FF"/>
                  <w:w w:val="86"/>
                </w:rPr>
                <w:t>The Exchange Offer</w:t>
              </w:r>
            </w:hyperlink>
          </w:p>
        </w:tc>
        <w:tc>
          <w:tcPr>
            <w:tcW w:w="1620" w:type="dxa"/>
            <w:vAlign w:val="bottom"/>
            <w:gridSpan w:val="5"/>
          </w:tcPr>
          <w:p>
            <w:pPr>
              <w:spacing w:after="0"/>
              <w:rPr>
                <w:sz w:val="18"/>
                <w:szCs w:val="18"/>
                <w:color w:val="auto"/>
              </w:rPr>
            </w:pPr>
          </w:p>
        </w:tc>
        <w:tc>
          <w:tcPr>
            <w:tcW w:w="7280" w:type="dxa"/>
            <w:vAlign w:val="bottom"/>
            <w:gridSpan w:val="2"/>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4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Description of Notes</w:t>
              </w:r>
            </w:hyperlink>
          </w:p>
        </w:tc>
        <w:tc>
          <w:tcPr>
            <w:tcW w:w="84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12"/>
          </w:tcPr>
          <w:p>
            <w:pPr>
              <w:spacing w:after="0"/>
              <w:rPr>
                <w:rFonts w:ascii="Arial" w:cs="Arial" w:eastAsia="Arial" w:hAnsi="Arial"/>
                <w:sz w:val="18"/>
                <w:szCs w:val="18"/>
                <w:color w:val="0000FF"/>
                <w:w w:val="88"/>
              </w:rPr>
            </w:pPr>
            <w:hyperlink w:anchor="page83">
              <w:r>
                <w:rPr>
                  <w:rFonts w:ascii="Arial" w:cs="Arial" w:eastAsia="Arial" w:hAnsi="Arial"/>
                  <w:sz w:val="18"/>
                  <w:szCs w:val="18"/>
                  <w:color w:val="0000FF"/>
                  <w:w w:val="88"/>
                </w:rPr>
                <w:t>Certain U.S. Federal Income Tax Consequences</w:t>
              </w:r>
            </w:hyperlink>
          </w:p>
        </w:tc>
        <w:tc>
          <w:tcPr>
            <w:tcW w:w="6880" w:type="dxa"/>
            <w:vAlign w:val="bottom"/>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1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Book Entry, Delivery and Form</w:t>
              </w:r>
            </w:hyperlink>
          </w:p>
        </w:tc>
        <w:tc>
          <w:tcPr>
            <w:tcW w:w="6880" w:type="dxa"/>
            <w:vAlign w:val="bottom"/>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Plan of Distribution</w:t>
              </w:r>
            </w:hyperlink>
          </w:p>
        </w:tc>
        <w:tc>
          <w:tcPr>
            <w:tcW w:w="840" w:type="dxa"/>
            <w:vAlign w:val="bottom"/>
            <w:gridSpan w:val="3"/>
          </w:tcPr>
          <w:p>
            <w:pPr>
              <w:spacing w:after="0"/>
              <w:rPr>
                <w:sz w:val="18"/>
                <w:szCs w:val="18"/>
                <w:color w:val="auto"/>
              </w:rPr>
            </w:pPr>
          </w:p>
        </w:tc>
        <w:tc>
          <w:tcPr>
            <w:tcW w:w="8060" w:type="dxa"/>
            <w:vAlign w:val="bottom"/>
            <w:gridSpan w:val="4"/>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4"/>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Legal Matters</w:t>
              </w:r>
            </w:hyperlink>
          </w:p>
        </w:tc>
        <w:tc>
          <w:tcPr>
            <w:tcW w:w="420" w:type="dxa"/>
            <w:vAlign w:val="bottom"/>
            <w:gridSpan w:val="2"/>
          </w:tcPr>
          <w:p>
            <w:pPr>
              <w:spacing w:after="0"/>
              <w:rPr>
                <w:sz w:val="18"/>
                <w:szCs w:val="18"/>
                <w:color w:val="auto"/>
              </w:rPr>
            </w:pPr>
          </w:p>
        </w:tc>
        <w:tc>
          <w:tcPr>
            <w:tcW w:w="8900" w:type="dxa"/>
            <w:vAlign w:val="bottom"/>
            <w:gridSpan w:val="7"/>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Experts</w:t>
              </w:r>
            </w:hyperlink>
          </w:p>
        </w:tc>
        <w:tc>
          <w:tcPr>
            <w:tcW w:w="460" w:type="dxa"/>
            <w:vAlign w:val="bottom"/>
            <w:gridSpan w:val="3"/>
          </w:tcPr>
          <w:p>
            <w:pPr>
              <w:spacing w:after="0"/>
              <w:rPr>
                <w:sz w:val="18"/>
                <w:szCs w:val="18"/>
                <w:color w:val="auto"/>
              </w:rPr>
            </w:pPr>
          </w:p>
        </w:tc>
        <w:tc>
          <w:tcPr>
            <w:tcW w:w="9320" w:type="dxa"/>
            <w:vAlign w:val="bottom"/>
            <w:gridSpan w:val="9"/>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0"/>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Where You Can Find More Information</w:t>
              </w:r>
            </w:hyperlink>
          </w:p>
        </w:tc>
        <w:tc>
          <w:tcPr>
            <w:tcW w:w="7460" w:type="dxa"/>
            <w:vAlign w:val="bottom"/>
            <w:gridSpan w:val="3"/>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0"/>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Incorporation by Reference</w:t>
              </w:r>
            </w:hyperlink>
          </w:p>
        </w:tc>
        <w:tc>
          <w:tcPr>
            <w:tcW w:w="7460" w:type="dxa"/>
            <w:vAlign w:val="bottom"/>
            <w:gridSpan w:val="3"/>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4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This prospectus incorporates by reference important business and financial information about us that is not included in or delivered with this prospectus. This information is available without charge to you upon written or oral request. In order to ensure timely delivery of this information, you must request the information no later than five business days before the date on which the exchange offer expires. Therefore, you</w:t>
      </w:r>
    </w:p>
    <w:p>
      <w:pPr>
        <w:spacing w:after="0" w:line="2"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b w:val="1"/>
          <w:bCs w:val="1"/>
          <w:color w:val="auto"/>
        </w:rPr>
        <w:t>must request the information on or before</w:t>
      </w:r>
      <w:r>
        <w:rPr>
          <w:sz w:val="20"/>
          <w:szCs w:val="20"/>
          <w:color w:val="auto"/>
        </w:rPr>
        <w:tab/>
      </w:r>
      <w:r>
        <w:rPr>
          <w:rFonts w:ascii="Arial" w:cs="Arial" w:eastAsia="Arial" w:hAnsi="Arial"/>
          <w:sz w:val="15"/>
          <w:szCs w:val="15"/>
          <w:b w:val="1"/>
          <w:bCs w:val="1"/>
          <w:color w:val="auto"/>
        </w:rPr>
        <w:t>, 2022. You may make such a request by contacting us at:</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Treasurer</w:t>
      </w:r>
    </w:p>
    <w:p>
      <w:pPr>
        <w:spacing w:after="0" w:line="9" w:lineRule="exact"/>
        <w:rPr>
          <w:sz w:val="20"/>
          <w:szCs w:val="20"/>
          <w:color w:val="auto"/>
        </w:rPr>
      </w:pPr>
    </w:p>
    <w:p>
      <w:pPr>
        <w:ind w:left="5500" w:hanging="433"/>
        <w:spacing w:after="0"/>
        <w:tabs>
          <w:tab w:leader="none" w:pos="5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644-0011</w:t>
      </w:r>
    </w:p>
    <w:p>
      <w:pPr>
        <w:spacing w:after="0" w:line="9"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treasury.department@scotts.com</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76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herein may contain or incorporate by reference certain statements that are “forward-looking statements” within the meaning of the Private Securities Litigation Reform Act of 1995 (the “Reform Act”), Section 27A of the Securities Act of 1933, as amended (the “Securities Act”), and Section 21E of the Securities Exchange Act of 1934, as amended (the “Exchange Act”). Forward-looking statements reflect our current expectations, estimates or projections concerning future results or events. These statements are generally identified by the use of forward-looking words or phrases such as “believe,” “strategy,” “envision,” “target,” “goal,” “project,” “expect,” “anticipate,” “may,” “could,” “intend,” “intent,” “belief,” “estimate,” “plan,” “upcoming,” “guidance,” “foresee,” “likely,” “will,” “should” or other similar words or phrases. In addition, all statements that address future operating, financial or business performance, liquidity, cash flows, strategies or initiatives, targets, prospects, future efficiencies or savings, anticipated costs or charges, future capitalization, anticipated impacts of recent or pending investments or transactions and statements expressing general views about future results or brand health are forward-looking statements. For all of our forward-looking statements, we claim the protection of the safe harbor for forward-looking statements contained in the Reform Act.</w:t>
      </w:r>
    </w:p>
    <w:p>
      <w:pPr>
        <w:spacing w:after="0" w:line="21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Forward-looking statements are not guarantees of future performance and are inherently subject to known and unknown risks, uncertainties and assumptions that are difficult or impossible to predict accurately, many of which are beyond our control, and may cause our actual results and future events to differ materially from those expressed in or implied by the forward-looking statements. We cannot assure you that we will achieve any of our expectations, estimates or projections and you should not place undue reliance on forward-looking statements.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forward-looking statements included or incorporated by reference in this prospectus are only made as of the date of this prospectus or the respective document incorporated by reference herein, as applicable. Except as required by law, we undertake no obligation to publicly update any forward-looking statement, whether as a result of new information, future events or otherwise. However, any further disclosures made on related subjects in our subsequent filings and reports with the SEC should be consulted. See “Where You Can Find More Information.”</w:t>
      </w:r>
    </w:p>
    <w:p>
      <w:pPr>
        <w:spacing w:after="0" w:line="198" w:lineRule="exact"/>
        <w:rPr>
          <w:sz w:val="20"/>
          <w:szCs w:val="20"/>
          <w:color w:val="auto"/>
        </w:rPr>
      </w:pPr>
    </w:p>
    <w:p>
      <w:pPr>
        <w:ind w:right="80" w:firstLine="648"/>
        <w:spacing w:after="0" w:line="308" w:lineRule="auto"/>
        <w:rPr>
          <w:sz w:val="20"/>
          <w:szCs w:val="20"/>
          <w:color w:val="auto"/>
        </w:rPr>
      </w:pPr>
      <w:r>
        <w:rPr>
          <w:rFonts w:ascii="Arial" w:cs="Arial" w:eastAsia="Arial" w:hAnsi="Arial"/>
          <w:sz w:val="16"/>
          <w:szCs w:val="16"/>
          <w:color w:val="auto"/>
        </w:rPr>
        <w:t>Numerous factors may cause our actual results and events to differ materially from those expressed or implied by forward-looking statements, including, without limitation, those factors described under the “Risk Factors” section of this prospectus and under similar headings in our periodic reports</w:t>
      </w:r>
    </w:p>
    <w:p>
      <w:pPr>
        <w:spacing w:after="0"/>
        <w:rPr>
          <w:sz w:val="20"/>
          <w:szCs w:val="20"/>
          <w:color w:val="auto"/>
        </w:rPr>
      </w:pPr>
      <w:r>
        <w:rPr>
          <w:rFonts w:ascii="Arial" w:cs="Arial" w:eastAsia="Arial" w:hAnsi="Arial"/>
          <w:sz w:val="18"/>
          <w:szCs w:val="18"/>
          <w:color w:val="auto"/>
        </w:rPr>
        <w:t>filed with the SEC, which are incorporated by reference into this prospectus. Such factors include, but are not limited to, the following:</w:t>
      </w:r>
    </w:p>
    <w:p>
      <w:pPr>
        <w:spacing w:after="0" w:line="252" w:lineRule="exact"/>
        <w:rPr>
          <w:sz w:val="20"/>
          <w:szCs w:val="20"/>
          <w:color w:val="auto"/>
        </w:rPr>
      </w:pPr>
    </w:p>
    <w:p>
      <w:pPr>
        <w:jc w:val="both"/>
        <w:ind w:left="980" w:right="140" w:hanging="324"/>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2"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underestimate or overestimate demand for our products and do not maintain appropriate inventory levels, our net sales and/or working capital could be negatively impacted;</w:t>
      </w:r>
    </w:p>
    <w:p>
      <w:pPr>
        <w:ind w:left="980" w:hanging="324"/>
        <w:spacing w:after="0" w:line="219"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are unable to effectively execute our e-commerce business, our reputation and operating results may be harmed;</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new product lines and products or improve existing product lines and products;</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activities may not be successful;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markets could adversely affect our ability to maintain or grow revenues;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a significant reduction in orders from, our top customers could adversely affect our financial results;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operations, including our reliance on third-party manufacturers, could harm our business;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risks associated with sourcing and manufacturing outside of the U.S. and risks from tariffs and/or international trade wars;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base of suppliers may result in disruptions to our business and adversely affect our financial results;</w:t>
      </w:r>
    </w:p>
    <w:p>
      <w:pPr>
        <w:spacing w:after="0" w:line="9" w:lineRule="exact"/>
        <w:rPr>
          <w:rFonts w:ascii="Arial" w:cs="Arial" w:eastAsia="Arial" w:hAnsi="Arial"/>
          <w:sz w:val="18"/>
          <w:szCs w:val="18"/>
          <w:color w:val="auto"/>
        </w:rPr>
      </w:pPr>
    </w:p>
    <w:p>
      <w:pPr>
        <w:ind w:left="980" w:right="34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interruption in the operation of our or our suppliers’ facilities could impact our capacity to produce products and service our customers, which could adversely affect revenues and earnings;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transportation channels that we use to distribute our products may adversely affect our margins and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impacted by corporate citizenship and ESG matters and/or our reporting of such matters;</w:t>
      </w:r>
    </w:p>
    <w:p>
      <w:pPr>
        <w:spacing w:after="0" w:line="9" w:lineRule="exact"/>
        <w:rPr>
          <w:rFonts w:ascii="Arial" w:cs="Arial" w:eastAsia="Arial" w:hAnsi="Arial"/>
          <w:sz w:val="18"/>
          <w:szCs w:val="18"/>
          <w:color w:val="auto"/>
        </w:rPr>
      </w:pPr>
    </w:p>
    <w:p>
      <w:pPr>
        <w:ind w:left="980" w:right="120" w:hanging="324"/>
        <w:spacing w:after="0" w:line="28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 w:lineRule="exact"/>
        <w:rPr>
          <w:rFonts w:ascii="Arial" w:cs="Arial" w:eastAsia="Arial" w:hAnsi="Arial"/>
          <w:sz w:val="16"/>
          <w:szCs w:val="16"/>
          <w:color w:val="auto"/>
        </w:rPr>
      </w:pPr>
    </w:p>
    <w:p>
      <w:pPr>
        <w:ind w:left="980" w:right="14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may be impaired if our information technology systems fail to perform adequately or if we are the subject of a data breach or cyber attack;</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unfavorable weather conditions could adversely impact financial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769" w:right="359" w:bottom="1440" w:gutter="0" w:footer="0" w:header="0"/>
        </w:sectPr>
      </w:pPr>
    </w:p>
    <w:bookmarkStart w:id="6" w:name="page7"/>
    <w:bookmarkEnd w:id="6"/>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 or fuel could adversely affect our results of operations;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make us susceptible to the costs and risks associated with operating internationally;</w:t>
      </w:r>
    </w:p>
    <w:p>
      <w:pPr>
        <w:spacing w:after="0" w:line="9" w:lineRule="exact"/>
        <w:rPr>
          <w:rFonts w:ascii="Arial" w:cs="Arial" w:eastAsia="Arial" w:hAnsi="Arial"/>
          <w:sz w:val="18"/>
          <w:szCs w:val="18"/>
          <w:color w:val="auto"/>
        </w:rPr>
      </w:pPr>
    </w:p>
    <w:p>
      <w:pPr>
        <w:ind w:left="980" w:right="340" w:hanging="324"/>
        <w:spacing w:after="0" w:line="26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event the Third Restated Agreement for Monsanto’s consumer Roundup® products terminates or Monsanto’s consumer Roundup® business materially declines, we would lose a substantial source of future earnings and overhead expense absorption;</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and other proprietary rights that are material to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upon the retention and availability of key personnel and the effective succession of senior management;</w:t>
      </w:r>
    </w:p>
    <w:p>
      <w:pPr>
        <w:spacing w:after="0" w:line="9" w:lineRule="exact"/>
        <w:rPr>
          <w:rFonts w:ascii="Arial" w:cs="Arial" w:eastAsia="Arial" w:hAnsi="Arial"/>
          <w:sz w:val="18"/>
          <w:szCs w:val="18"/>
          <w:color w:val="auto"/>
        </w:rPr>
      </w:pPr>
    </w:p>
    <w:p>
      <w:pPr>
        <w:ind w:left="980" w:right="320" w:hanging="324"/>
        <w:spacing w:after="0" w:line="281"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 w:lineRule="exact"/>
        <w:rPr>
          <w:rFonts w:ascii="Arial" w:cs="Arial" w:eastAsia="Arial" w:hAnsi="Arial"/>
          <w:sz w:val="16"/>
          <w:szCs w:val="16"/>
          <w:color w:val="auto"/>
        </w:rPr>
      </w:pPr>
    </w:p>
    <w:p>
      <w:pPr>
        <w:ind w:left="98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other strategic alliances and investments could result in operating difficulties, dilution, and other harmful consequences that may adversely impact our business and results of operations;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dispose of assets or businesses in a timely manner may cause the results of the Company to suffer;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lending activities may adversely impact our business and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limit our flexibility and adversely affect our financial condition;</w:t>
      </w:r>
    </w:p>
    <w:p>
      <w:pPr>
        <w:spacing w:after="0" w:line="9" w:lineRule="exact"/>
        <w:rPr>
          <w:rFonts w:ascii="Arial" w:cs="Arial" w:eastAsia="Arial" w:hAnsi="Arial"/>
          <w:sz w:val="18"/>
          <w:szCs w:val="18"/>
          <w:color w:val="auto"/>
        </w:rPr>
      </w:pPr>
    </w:p>
    <w:p>
      <w:pPr>
        <w:ind w:left="980" w:right="20" w:hanging="324"/>
        <w:spacing w:after="0" w:line="26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credit ratings issued by nationally recognized statistical rating organizations (NRSROs) could adversely affect our cost of financing and the market price of our 2026 Notes, 2029 Notes, 2031 Notes and 2032 Notes (as each term is defined in the “Risk Factors – Our indebtedness could limit our flexibility and adversely affect our financial condition” section of this Prospectus);</w:t>
      </w:r>
    </w:p>
    <w:p>
      <w:pPr>
        <w:ind w:left="980" w:right="30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the LIBOR replacement process and expected discontinuance of LIBOR may adversely impact our current or future debt obligations, including under our credit facility and certain hedging arrangements;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hedging arrangements expose us to certain counterparty risks;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postretirement-related costs and funding requirements could increase as a result of volatility in the financial markets, changes in interest rates and actuarial assumptions;</w:t>
      </w:r>
    </w:p>
    <w:p>
      <w:pPr>
        <w:ind w:left="980" w:right="12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or changes in such regulations or regulatory enforcement priorities could increase our costs of doing business or limit our ability to market all of our products;</w:t>
      </w:r>
    </w:p>
    <w:p>
      <w:pPr>
        <w:ind w:left="980" w:right="52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our tax provisions, the adoption of new tax legislation or exposure to additional tax liabilities could affect our profitability and cash flows;</w:t>
      </w:r>
    </w:p>
    <w:p>
      <w:pPr>
        <w:ind w:left="980" w:right="6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26% of our common shares and can significantly influence decisions that require the approval of shareholders; and</w:t>
      </w:r>
    </w:p>
    <w:p>
      <w:pPr>
        <w:ind w:left="980" w:right="440" w:hanging="324"/>
        <w:spacing w:after="0" w:line="277"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200"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factors identified in this section are not intended to represent a complete list of all factors that may adversely affect our financial condition, liquidity, results of operations, cash flows, plans, objectives, strategies, targets, prospects and business. Other factors not presently known to us or that we currently deem immaterial to us may also have an adverse effect on our financial condition, liquidity, results of operations, cash flows, plans, objectives, strategies, targets, prospects and business, and the factors we have identified could affect us to a greater extent than we currently anticipate. Many of the important factors that will determine our future financial performance and financial condition are beyond our ability to control or predict. All forward-looking statements should be evaluated with the understanding of their inherent uncertainty. This discussion is provided as permitted by the Reform Act, and all of our forward-looking statements are expressly qualified in their entirety by the cautionary statements contained or referenced in this section. We do not endorse any projections regarding future performance that may be made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77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635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t>SUMMARY</w:t>
      </w:r>
    </w:p>
    <w:p>
      <w:pPr>
        <w:spacing w:after="0" w:line="256"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or incorporated by reference in this prospectus, and may not contain all of the information that is important to you. You should read this prospectus in its entirety, including the information set forth under “Risk Factors” and the documents incorporated by reference in this prospectus, before making any investment decision. Unless this prospectus otherwise indicates or the context otherwise requires, the terms the “Company,” “we,” “our” and “us” refer to The Scotts Miracle-Gro Company and its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 leading manufacturer and marketer of branded consumer products for lawn and garden products in North America. We are the exclusive agent of Monsanto Company (“Monsanto”) for the marketing and distribution of certain of Monsanto’s consumer Roundup® branded products within the U.S. and certain other specified countries. Through our Hawthorne segment, we are the leading manufacturer, marketer and distributor of lighting, nutrients, growing media, growing environments and hardware products for indoor and hydroponic gardening. Our common shares are traded on the New York Stock Exchange under the symbol “SMG.”</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trace our heritage back to a company founded by O.M. Scott in Marysville, Ohio in 1868. In the mid-1900s, we became widely known for the development of quality lawn fertilizers and grass seeds that led to the creation of a new industry—consumer lawn care. In the 1990s, we significantly expanded our product offering with three leading brands in the U.S. home lawn and garden industry. In fiscal 1995, through a merger with Stern’s Miracle-Gro Products, Inc., we acquired the </w:t>
      </w:r>
      <w:r>
        <w:rPr>
          <w:rFonts w:ascii="Arial" w:cs="Arial" w:eastAsia="Arial" w:hAnsi="Arial"/>
          <w:sz w:val="17"/>
          <w:szCs w:val="17"/>
          <w:i w:val="1"/>
          <w:iCs w:val="1"/>
          <w:color w:val="auto"/>
        </w:rPr>
        <w:t>Miracle-Gro</w:t>
      </w:r>
      <w:r>
        <w:rPr>
          <w:rFonts w:ascii="Arial" w:cs="Arial" w:eastAsia="Arial" w:hAnsi="Arial"/>
          <w:sz w:val="17"/>
          <w:szCs w:val="17"/>
          <w:color w:val="auto"/>
        </w:rPr>
        <w:t xml:space="preserve"> brand, the industry leader in water-soluble garden plant foods. In fiscal 1999, we acquired the </w:t>
      </w:r>
      <w:r>
        <w:rPr>
          <w:rFonts w:ascii="Arial" w:cs="Arial" w:eastAsia="Arial" w:hAnsi="Arial"/>
          <w:sz w:val="17"/>
          <w:szCs w:val="17"/>
          <w:i w:val="1"/>
          <w:iCs w:val="1"/>
          <w:color w:val="auto"/>
        </w:rPr>
        <w:t>Ortho</w:t>
      </w:r>
      <w:r>
        <w:rPr>
          <w:rFonts w:ascii="Arial" w:cs="Arial" w:eastAsia="Arial" w:hAnsi="Arial"/>
          <w:sz w:val="17"/>
          <w:szCs w:val="17"/>
          <w:color w:val="auto"/>
        </w:rPr>
        <w:t xml:space="preserve"> brand in the U.S. and obtained exclusive rights to market the consumer </w:t>
      </w:r>
      <w:r>
        <w:rPr>
          <w:rFonts w:ascii="Arial" w:cs="Arial" w:eastAsia="Arial" w:hAnsi="Arial"/>
          <w:sz w:val="17"/>
          <w:szCs w:val="17"/>
          <w:i w:val="1"/>
          <w:iCs w:val="1"/>
          <w:color w:val="auto"/>
        </w:rPr>
        <w:t>Roundup</w:t>
      </w:r>
      <w:r>
        <w:rPr>
          <w:rFonts w:ascii="Arial" w:cs="Arial" w:eastAsia="Arial" w:hAnsi="Arial"/>
          <w:sz w:val="17"/>
          <w:szCs w:val="17"/>
          <w:color w:val="auto"/>
        </w:rPr>
        <w:t xml:space="preserve"> brand within the U.S. and other contractually specified countries, thereby adding industry-leading weed, pest and disease control products to our portfolio. Today, the </w:t>
      </w:r>
      <w:r>
        <w:rPr>
          <w:rFonts w:ascii="Arial" w:cs="Arial" w:eastAsia="Arial" w:hAnsi="Arial"/>
          <w:sz w:val="17"/>
          <w:szCs w:val="17"/>
          <w:i w:val="1"/>
          <w:iCs w:val="1"/>
          <w:color w:val="auto"/>
        </w:rPr>
        <w:t>Scotts</w:t>
      </w:r>
      <w:r>
        <w:rPr>
          <w:rFonts w:ascii="Arial" w:cs="Arial" w:eastAsia="Arial" w:hAnsi="Arial"/>
          <w:sz w:val="17"/>
          <w:szCs w:val="17"/>
          <w:color w:val="auto"/>
        </w:rPr>
        <w:t xml:space="preserve">, </w:t>
      </w:r>
      <w:r>
        <w:rPr>
          <w:rFonts w:ascii="Arial" w:cs="Arial" w:eastAsia="Arial" w:hAnsi="Arial"/>
          <w:sz w:val="17"/>
          <w:szCs w:val="17"/>
          <w:i w:val="1"/>
          <w:iCs w:val="1"/>
          <w:color w:val="auto"/>
        </w:rPr>
        <w:t>Turf Builder</w:t>
      </w:r>
      <w:r>
        <w:rPr>
          <w:rFonts w:ascii="Arial" w:cs="Arial" w:eastAsia="Arial" w:hAnsi="Arial"/>
          <w:sz w:val="17"/>
          <w:szCs w:val="17"/>
          <w:color w:val="auto"/>
        </w:rPr>
        <w:t xml:space="preserve">, </w:t>
      </w:r>
      <w:r>
        <w:rPr>
          <w:rFonts w:ascii="Arial" w:cs="Arial" w:eastAsia="Arial" w:hAnsi="Arial"/>
          <w:sz w:val="17"/>
          <w:szCs w:val="17"/>
          <w:i w:val="1"/>
          <w:iCs w:val="1"/>
          <w:color w:val="auto"/>
        </w:rPr>
        <w:t>Miracle-Gro</w:t>
      </w:r>
      <w:r>
        <w:rPr>
          <w:rFonts w:ascii="Arial" w:cs="Arial" w:eastAsia="Arial" w:hAnsi="Arial"/>
          <w:sz w:val="17"/>
          <w:szCs w:val="17"/>
          <w:color w:val="auto"/>
        </w:rPr>
        <w:t xml:space="preserve">, </w:t>
      </w:r>
      <w:r>
        <w:rPr>
          <w:rFonts w:ascii="Arial" w:cs="Arial" w:eastAsia="Arial" w:hAnsi="Arial"/>
          <w:sz w:val="17"/>
          <w:szCs w:val="17"/>
          <w:i w:val="1"/>
          <w:iCs w:val="1"/>
          <w:color w:val="auto"/>
        </w:rPr>
        <w:t>Ortho</w:t>
      </w:r>
      <w:r>
        <w:rPr>
          <w:rFonts w:ascii="Arial" w:cs="Arial" w:eastAsia="Arial" w:hAnsi="Arial"/>
          <w:sz w:val="17"/>
          <w:szCs w:val="17"/>
          <w:color w:val="auto"/>
        </w:rPr>
        <w:t xml:space="preserve"> and </w:t>
      </w:r>
      <w:r>
        <w:rPr>
          <w:rFonts w:ascii="Arial" w:cs="Arial" w:eastAsia="Arial" w:hAnsi="Arial"/>
          <w:sz w:val="17"/>
          <w:szCs w:val="17"/>
          <w:i w:val="1"/>
          <w:iCs w:val="1"/>
          <w:color w:val="auto"/>
        </w:rPr>
        <w:t>Roundup</w:t>
      </w:r>
      <w:r>
        <w:rPr>
          <w:rFonts w:ascii="Arial" w:cs="Arial" w:eastAsia="Arial" w:hAnsi="Arial"/>
          <w:sz w:val="17"/>
          <w:szCs w:val="17"/>
          <w:color w:val="auto"/>
        </w:rPr>
        <w:t xml:space="preserve"> brands make us one of the most widely recognized companies in the consumer lawn and garden industry in the U.S. Our Hawthorne segment is the leading manufacturer, marketer and distributor of indoor and hydroponic gardening products in North America.</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divide our business into three principal business segments:</w:t>
      </w:r>
    </w:p>
    <w:p>
      <w:pPr>
        <w:spacing w:after="0" w:line="171" w:lineRule="exact"/>
        <w:rPr>
          <w:sz w:val="20"/>
          <w:szCs w:val="20"/>
          <w:color w:val="auto"/>
        </w:rPr>
      </w:pPr>
    </w:p>
    <w:p>
      <w:pPr>
        <w:ind w:left="960" w:hanging="32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U.S. Consumer. </w:t>
      </w:r>
      <w:r>
        <w:rPr>
          <w:rFonts w:ascii="Arial" w:cs="Arial" w:eastAsia="Arial" w:hAnsi="Arial"/>
          <w:sz w:val="18"/>
          <w:szCs w:val="18"/>
          <w:color w:val="auto"/>
        </w:rPr>
        <w:t>U.S. Consumer consists of our consumer lawn and garden business located in the U.S.</w:t>
      </w:r>
    </w:p>
    <w:p>
      <w:pPr>
        <w:spacing w:after="0" w:line="252" w:lineRule="exact"/>
        <w:rPr>
          <w:rFonts w:ascii="Arial" w:cs="Arial" w:eastAsia="Arial" w:hAnsi="Arial"/>
          <w:sz w:val="18"/>
          <w:szCs w:val="18"/>
          <w:color w:val="auto"/>
        </w:rPr>
      </w:pPr>
    </w:p>
    <w:p>
      <w:pPr>
        <w:ind w:left="960" w:hanging="320"/>
        <w:spacing w:after="0"/>
        <w:tabs>
          <w:tab w:leader="none" w:pos="9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Hawthorne. </w:t>
      </w:r>
      <w:r>
        <w:rPr>
          <w:rFonts w:ascii="Arial" w:cs="Arial" w:eastAsia="Arial" w:hAnsi="Arial"/>
          <w:sz w:val="17"/>
          <w:szCs w:val="17"/>
          <w:color w:val="auto"/>
        </w:rPr>
        <w:t>Hawthorne consists of our indoor and hydroponic gardening business, excluding AeroGrow International, Inc.</w:t>
      </w:r>
    </w:p>
    <w:p>
      <w:pPr>
        <w:spacing w:after="0" w:line="263" w:lineRule="exact"/>
        <w:rPr>
          <w:rFonts w:ascii="Arial" w:cs="Arial" w:eastAsia="Arial" w:hAnsi="Arial"/>
          <w:sz w:val="17"/>
          <w:szCs w:val="17"/>
          <w:i w:val="1"/>
          <w:iCs w:val="1"/>
          <w:color w:val="auto"/>
        </w:rPr>
      </w:pPr>
    </w:p>
    <w:p>
      <w:pPr>
        <w:ind w:left="960" w:hanging="320"/>
        <w:spacing w:after="0"/>
        <w:tabs>
          <w:tab w:leader="none" w:pos="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primarily consists of our consumer lawn and garden businesses outside the U.S.</w:t>
      </w:r>
    </w:p>
    <w:p>
      <w:pPr>
        <w:spacing w:after="0" w:line="25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For additional information concerning our business and our financial results and condition, please refer to the documents incorporated by reference in this prospectus. See “</w:t>
      </w:r>
      <w:r>
        <w:rPr>
          <w:rFonts w:ascii="Arial" w:cs="Arial" w:eastAsia="Arial" w:hAnsi="Arial"/>
          <w:sz w:val="18"/>
          <w:szCs w:val="18"/>
          <w:b w:val="1"/>
          <w:bCs w:val="1"/>
          <w:color w:val="auto"/>
        </w:rPr>
        <w:t>Incorporation by Reference</w:t>
      </w:r>
      <w:r>
        <w:rPr>
          <w:rFonts w:ascii="Arial" w:cs="Arial" w:eastAsia="Arial" w:hAnsi="Arial"/>
          <w:sz w:val="18"/>
          <w:szCs w:val="18"/>
          <w:color w:val="auto"/>
        </w:rPr>
        <w:t>.”</w:t>
      </w:r>
    </w:p>
    <w:p>
      <w:pPr>
        <w:spacing w:after="0" w:line="19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Our principal executive offices are located at 14111 Scottslawn Road, Marysville, Ohio 43041, and our telephone number is (937) 644-0011. We maintain websites at www.scotts.com and www.scottsmiraclegro.com where general information about us is available. The information on our websites is not a part of this prospectus or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840" w:top="1269" w:right="8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867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670925"/>
                    </a:xfrm>
                    <a:prstGeom prst="rect">
                      <a:avLst/>
                    </a:prstGeom>
                    <a:noFill/>
                  </pic:spPr>
                </pic:pic>
              </a:graphicData>
            </a:graphic>
          </wp:anchor>
        </w:drawing>
        <w:t>The Exchange Offer</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The following is a summary of the principal terms of the exchange offer. See “The Exchange Offer” section of this prospectus for a more detailed description of the terms of the exchange offer. Unless otherwise provided in this prospectus, as used in this prospectus, the term “notes” refers collectively to the original notes and the exchange notes, the term “indenture” refers to the indenture, dated as of March 17, 2021, which governs both the original notes and the exchange notes, and the term “registration rights agreement” refers to the registration rights agreement, dated as of March 17, 2021, that we entered into with the initial purchasers of the original notes. We are also conducting an exchange offer for our 4.375% senior notes due 2032 (the “2032 Notes”) at or about the same time as we are conducting this exchange offer for the original notes.</w:t>
      </w:r>
    </w:p>
    <w:p>
      <w:pPr>
        <w:sectPr>
          <w:pgSz w:w="11900" w:h="16838" w:orient="portrait"/>
          <w:cols w:equalWidth="0" w:num="1">
            <w:col w:w="10200"/>
          </w:cols>
          <w:pgMar w:left="840" w:top="1269" w:right="859" w:bottom="1440" w:gutter="0" w:footer="0" w:header="0"/>
        </w:sectPr>
      </w:pP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Original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Time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560"/>
        <w:spacing w:after="0" w:line="279" w:lineRule="auto"/>
        <w:rPr>
          <w:sz w:val="20"/>
          <w:szCs w:val="20"/>
          <w:color w:val="auto"/>
        </w:rPr>
      </w:pPr>
      <w:r>
        <w:rPr>
          <w:rFonts w:ascii="Arial" w:cs="Arial" w:eastAsia="Arial" w:hAnsi="Arial"/>
          <w:sz w:val="17"/>
          <w:szCs w:val="17"/>
          <w:color w:val="auto"/>
        </w:rPr>
        <w:t>On March 17, 2021, we issued and sold $500 million aggregate principal amount of the original notes to the initial purchasers in a private placement transaction that was exempt from the registration requirements of the Securities Act.</w:t>
      </w:r>
    </w:p>
    <w:p>
      <w:pPr>
        <w:spacing w:after="0" w:line="131" w:lineRule="exact"/>
        <w:rPr>
          <w:sz w:val="20"/>
          <w:szCs w:val="20"/>
          <w:color w:val="auto"/>
        </w:rPr>
      </w:pPr>
    </w:p>
    <w:p>
      <w:pPr>
        <w:ind w:right="1360"/>
        <w:spacing w:after="0" w:line="290" w:lineRule="auto"/>
        <w:rPr>
          <w:sz w:val="20"/>
          <w:szCs w:val="20"/>
          <w:color w:val="auto"/>
        </w:rPr>
      </w:pPr>
      <w:r>
        <w:rPr>
          <w:rFonts w:ascii="Arial" w:cs="Arial" w:eastAsia="Arial" w:hAnsi="Arial"/>
          <w:sz w:val="16"/>
          <w:szCs w:val="16"/>
          <w:color w:val="auto"/>
        </w:rPr>
        <w:t>In connection with the private placement, we entered into the registration rights agreement with the initial purchasers of the original notes, pursuant to which we agreed to exchange the original notes for exchange notes which we agreed to register under the Securities Act, and we also granted holders of the original notes rights under certain circumstances to have resales of their original notes registered under the Securities Act. The exchange offer is intended to satisfy our obligations under the registration rights agreement.</w:t>
      </w:r>
    </w:p>
    <w:p>
      <w:pPr>
        <w:spacing w:after="0" w:line="206" w:lineRule="exact"/>
        <w:rPr>
          <w:sz w:val="20"/>
          <w:szCs w:val="20"/>
          <w:color w:val="auto"/>
        </w:rPr>
      </w:pPr>
    </w:p>
    <w:p>
      <w:pPr>
        <w:ind w:right="1400"/>
        <w:spacing w:after="0" w:line="254" w:lineRule="auto"/>
        <w:rPr>
          <w:sz w:val="20"/>
          <w:szCs w:val="20"/>
          <w:color w:val="auto"/>
        </w:rPr>
      </w:pPr>
      <w:r>
        <w:rPr>
          <w:rFonts w:ascii="Arial" w:cs="Arial" w:eastAsia="Arial" w:hAnsi="Arial"/>
          <w:sz w:val="18"/>
          <w:szCs w:val="18"/>
          <w:color w:val="auto"/>
        </w:rPr>
        <w:t>We issued the original notes under the indenture among us, the subsidiary guarantors and U.S. Bank National Association, as trustee. The exchange notes will be issued under the same indenture and entitled to the benefits of the indenture. The exchange notes will evidence the same debt as the original notes. The original notes and the exchange notes will be treated as a single class of debt securities under the indenture.</w:t>
      </w:r>
    </w:p>
    <w:p>
      <w:pPr>
        <w:spacing w:after="0" w:line="154" w:lineRule="exact"/>
        <w:rPr>
          <w:sz w:val="20"/>
          <w:szCs w:val="20"/>
          <w:color w:val="auto"/>
        </w:rPr>
      </w:pPr>
    </w:p>
    <w:p>
      <w:pPr>
        <w:ind w:right="1300"/>
        <w:spacing w:after="0" w:line="254" w:lineRule="auto"/>
        <w:rPr>
          <w:sz w:val="20"/>
          <w:szCs w:val="20"/>
          <w:color w:val="auto"/>
        </w:rPr>
      </w:pPr>
      <w:r>
        <w:rPr>
          <w:rFonts w:ascii="Arial" w:cs="Arial" w:eastAsia="Arial" w:hAnsi="Arial"/>
          <w:sz w:val="18"/>
          <w:szCs w:val="18"/>
          <w:color w:val="auto"/>
        </w:rPr>
        <w:t>The issuance of the original notes is represented by one or more global notes registered in the name of a nominee of The Depository Trust Company (“DTC”). Participants in DTC’s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141" w:lineRule="exact"/>
        <w:rPr>
          <w:sz w:val="20"/>
          <w:szCs w:val="20"/>
          <w:color w:val="auto"/>
        </w:rPr>
      </w:pPr>
    </w:p>
    <w:p>
      <w:pPr>
        <w:ind w:left="20" w:right="1300"/>
        <w:spacing w:after="0" w:line="271" w:lineRule="auto"/>
        <w:rPr>
          <w:sz w:val="20"/>
          <w:szCs w:val="20"/>
          <w:color w:val="auto"/>
        </w:rPr>
      </w:pPr>
      <w:r>
        <w:rPr>
          <w:rFonts w:ascii="Arial" w:cs="Arial" w:eastAsia="Arial" w:hAnsi="Arial"/>
          <w:sz w:val="17"/>
          <w:szCs w:val="17"/>
          <w:color w:val="auto"/>
        </w:rPr>
        <w:t>We are offering to exchange up to $500 million aggregate principal amount of the exchange notes, which have been registered under the Securities Act, for an equal principal amount of the original notes that are validly tendered and accepted in the exchange offer.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38" w:lineRule="exact"/>
        <w:rPr>
          <w:sz w:val="20"/>
          <w:szCs w:val="20"/>
          <w:color w:val="auto"/>
        </w:rPr>
      </w:pPr>
    </w:p>
    <w:p>
      <w:pPr>
        <w:jc w:val="both"/>
        <w:ind w:left="20" w:right="1440"/>
        <w:spacing w:after="0" w:line="259" w:lineRule="auto"/>
        <w:rPr>
          <w:sz w:val="20"/>
          <w:szCs w:val="20"/>
          <w:color w:val="auto"/>
        </w:rPr>
      </w:pPr>
      <w:r>
        <w:rPr>
          <w:rFonts w:ascii="Arial" w:cs="Arial" w:eastAsia="Arial" w:hAnsi="Arial"/>
          <w:sz w:val="18"/>
          <w:szCs w:val="18"/>
          <w:color w:val="auto"/>
        </w:rPr>
        <w:t>If all outstanding original notes are tendered for exchange, there will be $500 million principal amount of 4.000% Senior Notes due 2031 (that have been registered under the Securities Act) outstanding after this exchange offer.</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exchange offer will expire at 11:59 p.m., New York City time, on</w:t>
      </w:r>
    </w:p>
    <w:p>
      <w:pPr>
        <w:spacing w:after="0" w:line="46" w:lineRule="exact"/>
        <w:rPr>
          <w:sz w:val="20"/>
          <w:szCs w:val="20"/>
          <w:color w:val="auto"/>
        </w:rPr>
      </w:pPr>
    </w:p>
    <w:p>
      <w:pPr>
        <w:ind w:left="20" w:right="1400" w:firstLine="1007"/>
        <w:spacing w:after="0" w:line="253" w:lineRule="auto"/>
        <w:tabs>
          <w:tab w:leader="none" w:pos="1123" w:val="left"/>
        </w:tabs>
        <w:numPr>
          <w:ilvl w:val="0"/>
          <w:numId w:val="8"/>
        </w:numPr>
        <w:rPr>
          <w:rFonts w:ascii="Arial" w:cs="Arial" w:eastAsia="Arial" w:hAnsi="Arial"/>
          <w:sz w:val="18"/>
          <w:szCs w:val="18"/>
          <w:color w:val="auto"/>
        </w:rPr>
      </w:pPr>
      <w:r>
        <w:rPr>
          <w:rFonts w:ascii="Arial" w:cs="Arial" w:eastAsia="Arial" w:hAnsi="Arial"/>
          <w:sz w:val="18"/>
          <w:szCs w:val="18"/>
          <w:color w:val="auto"/>
        </w:rPr>
        <w:t>2022, unless extended, in which case the expiration time will be the latest date and time to which we extend the exchange offer. See “The Exchange Offer—Expiration Time; Extensions; Amendments.”</w:t>
      </w:r>
    </w:p>
    <w:p>
      <w:pPr>
        <w:spacing w:after="0" w:line="200" w:lineRule="exact"/>
        <w:rPr>
          <w:sz w:val="20"/>
          <w:szCs w:val="20"/>
          <w:color w:val="auto"/>
        </w:rPr>
      </w:pPr>
    </w:p>
    <w:p>
      <w:pPr>
        <w:sectPr>
          <w:pgSz w:w="11900" w:h="16838" w:orient="portrait"/>
          <w:cols w:equalWidth="0" w:num="2">
            <w:col w:w="3060" w:space="720"/>
            <w:col w:w="6420"/>
          </w:cols>
          <w:pgMar w:left="840" w:top="1269" w:right="8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00"/>
          </w:cols>
          <w:pgMar w:left="840" w:top="1269" w:right="859" w:bottom="1440" w:gutter="0" w:footer="0" w:header="0"/>
          <w:type w:val="continuous"/>
        </w:sectPr>
      </w:pPr>
    </w:p>
    <w:bookmarkStart w:id="9" w:name="page10"/>
    <w:bookmarkEnd w:id="9"/>
    <w:p>
      <w:pPr>
        <w:ind w:left="80" w:right="120"/>
        <w:spacing w:after="0" w:line="235" w:lineRule="auto"/>
        <w:rPr>
          <w:sz w:val="20"/>
          <w:szCs w:val="20"/>
          <w:color w:val="auto"/>
        </w:rPr>
      </w:pPr>
      <w:r>
        <w:rPr>
          <w:rFonts w:ascii="Arial" w:cs="Arial" w:eastAsia="Arial" w:hAnsi="Arial"/>
          <w:sz w:val="18"/>
          <w:szCs w:val="18"/>
          <w:color w:val="auto"/>
        </w:rPr>
        <w:t>Accrued Interest on Original Notes and Exchange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Procedures for Tendering Original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color w:val="auto"/>
        </w:rPr>
        <w:t>Guaranteed Delivery Procedures</w:t>
      </w:r>
    </w:p>
    <w:p>
      <w:pPr>
        <w:spacing w:after="0" w:line="20" w:lineRule="exact"/>
        <w:rPr>
          <w:sz w:val="20"/>
          <w:szCs w:val="20"/>
          <w:color w:val="auto"/>
        </w:rPr>
      </w:pPr>
      <w:r>
        <w:rPr>
          <w:sz w:val="20"/>
          <w:szCs w:val="20"/>
          <w:color w:val="auto"/>
        </w:rPr>
        <w:br w:type="column"/>
      </w:r>
    </w:p>
    <w:p>
      <w:pPr>
        <w:ind w:left="10" w:right="819"/>
        <w:spacing w:after="0" w:line="273" w:lineRule="auto"/>
        <w:rPr>
          <w:sz w:val="20"/>
          <w:szCs w:val="20"/>
          <w:color w:val="auto"/>
        </w:rPr>
      </w:pPr>
      <w:r>
        <w:rPr>
          <w:rFonts w:ascii="Arial" w:cs="Arial" w:eastAsia="Arial" w:hAnsi="Arial"/>
          <w:sz w:val="17"/>
          <w:szCs w:val="17"/>
          <w:color w:val="auto"/>
        </w:rPr>
        <w:t>Exchanging original notes for exchange notes will not affect the amount of interest a holder will receive. The exchange notes will accrue interest from and including their date of issuance at the same rate (4.000% per annum) and on the same terms as the original notes. Interest will be payable semi-annually in arrears on each April 1 and October 1, commencing on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-1191260</wp:posOffset>
            </wp:positionV>
            <wp:extent cx="7136130" cy="831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310880"/>
                    </a:xfrm>
                    <a:prstGeom prst="rect">
                      <a:avLst/>
                    </a:prstGeom>
                    <a:noFill/>
                  </pic:spPr>
                </pic:pic>
              </a:graphicData>
            </a:graphic>
          </wp:anchor>
        </w:drawing>
      </w:r>
    </w:p>
    <w:p>
      <w:pPr>
        <w:spacing w:after="0" w:line="117" w:lineRule="exact"/>
        <w:rPr>
          <w:sz w:val="20"/>
          <w:szCs w:val="20"/>
          <w:color w:val="auto"/>
        </w:rPr>
      </w:pPr>
    </w:p>
    <w:p>
      <w:pPr>
        <w:ind w:left="10" w:right="779"/>
        <w:spacing w:after="0" w:line="272" w:lineRule="auto"/>
        <w:rPr>
          <w:sz w:val="20"/>
          <w:szCs w:val="20"/>
          <w:color w:val="auto"/>
        </w:rPr>
      </w:pPr>
      <w:r>
        <w:rPr>
          <w:rFonts w:ascii="Arial" w:cs="Arial" w:eastAsia="Arial" w:hAnsi="Arial"/>
          <w:sz w:val="17"/>
          <w:szCs w:val="17"/>
          <w:color w:val="auto"/>
        </w:rPr>
        <w:t>When the first interest payment is made with regard to the exchange notes, we will also pay interest on the original notes that are exchanged, from the date they were issued or the most recent interest date on which interest has been paid (if applicable) to, but not including, the day the exchange notes are issued. Interest on the original notes that are exchanged will cease to accrue on the day prior to the date on which the exchange notes are issued.</w:t>
      </w:r>
    </w:p>
    <w:p>
      <w:pPr>
        <w:spacing w:after="0" w:line="137" w:lineRule="exact"/>
        <w:rPr>
          <w:sz w:val="20"/>
          <w:szCs w:val="20"/>
          <w:color w:val="auto"/>
        </w:rPr>
      </w:pPr>
    </w:p>
    <w:p>
      <w:pPr>
        <w:ind w:left="10" w:right="719"/>
        <w:spacing w:after="0" w:line="254" w:lineRule="auto"/>
        <w:rPr>
          <w:sz w:val="20"/>
          <w:szCs w:val="20"/>
          <w:color w:val="auto"/>
        </w:rPr>
      </w:pPr>
      <w:r>
        <w:rPr>
          <w:rFonts w:ascii="Arial" w:cs="Arial" w:eastAsia="Arial" w:hAnsi="Arial"/>
          <w:sz w:val="18"/>
          <w:szCs w:val="18"/>
          <w:color w:val="auto"/>
        </w:rPr>
        <w:t>To exchange your original notes for exchange notes, you must validly tender and not validly withdraw your original notes at or before the expiration time. If you are a participant in DTC’s system, you may tender your original notes through book-entry transfer in accordance with DTC’s Automated Tender Offer Program, known as ATOP. If you wish to participate in the exchange offer, you must, at or prior to the expiration time:</w:t>
      </w:r>
    </w:p>
    <w:p>
      <w:pPr>
        <w:spacing w:after="0" w:line="235" w:lineRule="exact"/>
        <w:rPr>
          <w:sz w:val="20"/>
          <w:szCs w:val="20"/>
          <w:color w:val="auto"/>
        </w:rPr>
      </w:pPr>
    </w:p>
    <w:p>
      <w:pPr>
        <w:ind w:left="490" w:right="139" w:hanging="238"/>
        <w:spacing w:after="0" w:line="255"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sign and date the accompanying letter of transmittal in accordance with the instructions contained therein, and deliver the letter of transmittal, together with your original notes and any other documents required by the letter of transmittal, to the exchange agent at the address set forth under “The Exchange Offer— Exchange Agent”; or</w:t>
      </w:r>
    </w:p>
    <w:p>
      <w:pPr>
        <w:spacing w:after="0" w:line="30" w:lineRule="exact"/>
        <w:rPr>
          <w:rFonts w:ascii="Arial" w:cs="Arial" w:eastAsia="Arial" w:hAnsi="Arial"/>
          <w:sz w:val="18"/>
          <w:szCs w:val="18"/>
          <w:color w:val="auto"/>
        </w:rPr>
      </w:pPr>
    </w:p>
    <w:p>
      <w:pPr>
        <w:ind w:left="490" w:right="159" w:hanging="238"/>
        <w:spacing w:after="0" w:line="272"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your original notes are tendered pursuant to the procedures for book-entry transfer, arrange for DTC to (i) transmit to the exchange agent certain required information, including an agent’s message forming part of a book-entry transfer in which you agree to be bound by the terms of the letter of transmittal, (ii) transfer your original notes into the exchange agent’s account at DTC and (iii) send the exchange agent confirmation of such book-entry transfer.</w:t>
      </w:r>
    </w:p>
    <w:p>
      <w:pPr>
        <w:spacing w:after="0" w:line="137" w:lineRule="exact"/>
        <w:rPr>
          <w:sz w:val="20"/>
          <w:szCs w:val="20"/>
          <w:color w:val="auto"/>
        </w:rPr>
      </w:pPr>
    </w:p>
    <w:p>
      <w:pPr>
        <w:ind w:left="10" w:right="799"/>
        <w:spacing w:after="0" w:line="275" w:lineRule="auto"/>
        <w:rPr>
          <w:sz w:val="20"/>
          <w:szCs w:val="20"/>
          <w:color w:val="auto"/>
        </w:rPr>
      </w:pPr>
      <w:r>
        <w:rPr>
          <w:rFonts w:ascii="Arial" w:cs="Arial" w:eastAsia="Arial" w:hAnsi="Arial"/>
          <w:sz w:val="17"/>
          <w:szCs w:val="17"/>
          <w:color w:val="auto"/>
        </w:rPr>
        <w:t>You may tender your original notes in whole or in part. However, if you tender less than all of your original notes, you may tender your original notes only in minimum denominations of $2,000 and integral multiples of $1,000 in excess thereof. See “The Exchange Offer— Procedures for Tendering Original Notes.”</w:t>
      </w:r>
    </w:p>
    <w:p>
      <w:pPr>
        <w:spacing w:after="0" w:line="122" w:lineRule="exact"/>
        <w:rPr>
          <w:sz w:val="20"/>
          <w:szCs w:val="20"/>
          <w:color w:val="auto"/>
        </w:rPr>
      </w:pPr>
    </w:p>
    <w:p>
      <w:pPr>
        <w:ind w:left="10"/>
        <w:spacing w:after="0"/>
        <w:rPr>
          <w:sz w:val="20"/>
          <w:szCs w:val="20"/>
          <w:color w:val="auto"/>
        </w:rPr>
      </w:pPr>
      <w:r>
        <w:rPr>
          <w:rFonts w:ascii="Arial" w:cs="Arial" w:eastAsia="Arial" w:hAnsi="Arial"/>
          <w:sz w:val="18"/>
          <w:szCs w:val="18"/>
          <w:color w:val="auto"/>
        </w:rPr>
        <w:t>If you wish to tender your original notes and:</w:t>
      </w:r>
    </w:p>
    <w:p>
      <w:pPr>
        <w:spacing w:after="0" w:line="279" w:lineRule="exact"/>
        <w:rPr>
          <w:sz w:val="20"/>
          <w:szCs w:val="20"/>
          <w:color w:val="auto"/>
        </w:rPr>
      </w:pPr>
    </w:p>
    <w:p>
      <w:pPr>
        <w:ind w:left="110" w:hanging="110"/>
        <w:spacing w:after="0"/>
        <w:tabs>
          <w:tab w:leader="none" w:pos="1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certificates for your original notes are not immediately available;</w:t>
      </w:r>
    </w:p>
    <w:p>
      <w:pPr>
        <w:spacing w:after="0" w:line="63" w:lineRule="exact"/>
        <w:rPr>
          <w:rFonts w:ascii="Arial" w:cs="Arial" w:eastAsia="Arial" w:hAnsi="Arial"/>
          <w:sz w:val="18"/>
          <w:szCs w:val="18"/>
          <w:color w:val="auto"/>
        </w:rPr>
      </w:pPr>
    </w:p>
    <w:p>
      <w:pPr>
        <w:ind w:left="250" w:right="799" w:hanging="250"/>
        <w:spacing w:after="0" w:line="263"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letter of transmittal, your original notes or any other required documents cannot be delivered to the exchange agent at or prior to the expiration time; or</w:t>
      </w:r>
    </w:p>
    <w:p>
      <w:pPr>
        <w:spacing w:after="0" w:line="21" w:lineRule="exact"/>
        <w:rPr>
          <w:rFonts w:ascii="Arial" w:cs="Arial" w:eastAsia="Arial" w:hAnsi="Arial"/>
          <w:sz w:val="18"/>
          <w:szCs w:val="18"/>
          <w:color w:val="auto"/>
        </w:rPr>
      </w:pPr>
    </w:p>
    <w:p>
      <w:pPr>
        <w:ind w:left="250" w:right="1079" w:hanging="250"/>
        <w:spacing w:after="0" w:line="277"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procedures for book-entry transfer cannot be completed at or prior to the expiration time,</w:t>
      </w:r>
    </w:p>
    <w:p>
      <w:pPr>
        <w:spacing w:after="0" w:line="116" w:lineRule="exact"/>
        <w:rPr>
          <w:sz w:val="20"/>
          <w:szCs w:val="20"/>
          <w:color w:val="auto"/>
        </w:rPr>
      </w:pPr>
    </w:p>
    <w:p>
      <w:pPr>
        <w:ind w:left="10" w:right="859"/>
        <w:spacing w:after="0" w:line="263" w:lineRule="auto"/>
        <w:rPr>
          <w:sz w:val="20"/>
          <w:szCs w:val="20"/>
          <w:color w:val="auto"/>
        </w:rPr>
      </w:pPr>
      <w:r>
        <w:rPr>
          <w:rFonts w:ascii="Arial" w:cs="Arial" w:eastAsia="Arial" w:hAnsi="Arial"/>
          <w:sz w:val="18"/>
          <w:szCs w:val="18"/>
          <w:color w:val="auto"/>
        </w:rPr>
        <w:t>you may tender your original notes according to the guaranteed delivery procedures described in “The Exchange Offer—Guaranteed Delivery Procedures.”</w:t>
      </w:r>
    </w:p>
    <w:p>
      <w:pPr>
        <w:spacing w:after="0" w:line="200" w:lineRule="exact"/>
        <w:rPr>
          <w:sz w:val="20"/>
          <w:szCs w:val="20"/>
          <w:color w:val="auto"/>
        </w:rPr>
      </w:pPr>
    </w:p>
    <w:p>
      <w:pPr>
        <w:sectPr>
          <w:pgSz w:w="11900" w:h="16838" w:orient="portrait"/>
          <w:cols w:equalWidth="0" w:num="2">
            <w:col w:w="3020" w:space="170"/>
            <w:col w:w="5829"/>
          </w:cols>
          <w:pgMar w:left="1440" w:top="131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1313" w:right="1440" w:bottom="144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16"/>
          <w:szCs w:val="16"/>
          <w:color w:val="auto"/>
        </w:rPr>
        <w:t>Special Procedures for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Withdrawal of Tenders</w:t>
      </w:r>
    </w:p>
    <w:p>
      <w:pPr>
        <w:spacing w:after="0" w:line="20" w:lineRule="exact"/>
        <w:rPr>
          <w:sz w:val="20"/>
          <w:szCs w:val="20"/>
          <w:color w:val="auto"/>
        </w:rPr>
      </w:pPr>
      <w:r>
        <w:rPr>
          <w:sz w:val="20"/>
          <w:szCs w:val="20"/>
          <w:color w:val="auto"/>
        </w:rPr>
        <w:br w:type="column"/>
      </w:r>
    </w:p>
    <w:p>
      <w:pPr>
        <w:ind w:right="759"/>
        <w:spacing w:after="0" w:line="287" w:lineRule="auto"/>
        <w:rPr>
          <w:sz w:val="20"/>
          <w:szCs w:val="20"/>
          <w:color w:val="auto"/>
        </w:rPr>
      </w:pPr>
      <w:r>
        <w:rPr>
          <w:rFonts w:ascii="Arial" w:cs="Arial" w:eastAsia="Arial" w:hAnsi="Arial"/>
          <w:sz w:val="16"/>
          <w:szCs w:val="16"/>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it to tender on your behalf. If you wish to tender on your own behalf, you must either (i) make appropriate arrangements to register ownership of the original notes in your name or (ii) obtain a properly completed bond power from the registered holder of the original notes before completing, signing and delivering the letter of transmittal, together with your original notes and any other required documents, to the exchange agent. See “The Exchange Offer—Procedures for Tendering Original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-2020570</wp:posOffset>
            </wp:positionV>
            <wp:extent cx="7136130" cy="8593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593455"/>
                    </a:xfrm>
                    <a:prstGeom prst="rect">
                      <a:avLst/>
                    </a:prstGeom>
                    <a:noFill/>
                  </pic:spPr>
                </pic:pic>
              </a:graphicData>
            </a:graphic>
          </wp:anchor>
        </w:drawing>
      </w:r>
    </w:p>
    <w:p>
      <w:pPr>
        <w:spacing w:after="0" w:line="107" w:lineRule="exact"/>
        <w:rPr>
          <w:sz w:val="20"/>
          <w:szCs w:val="20"/>
          <w:color w:val="auto"/>
        </w:rPr>
      </w:pPr>
    </w:p>
    <w:p>
      <w:pPr>
        <w:ind w:right="799"/>
        <w:spacing w:after="0" w:line="279" w:lineRule="auto"/>
        <w:rPr>
          <w:sz w:val="20"/>
          <w:szCs w:val="20"/>
          <w:color w:val="auto"/>
        </w:rPr>
      </w:pPr>
      <w:r>
        <w:rPr>
          <w:rFonts w:ascii="Arial" w:cs="Arial" w:eastAsia="Arial" w:hAnsi="Arial"/>
          <w:sz w:val="17"/>
          <w:szCs w:val="17"/>
          <w:color w:val="auto"/>
        </w:rPr>
        <w:t>You may withdraw your tender of original notes at any time prior to the expiration time by delivering a written notice of withdrawal to the exchange agent in accordance with the procedures described under “The Exchange Offer—Withdrawal of Tenders.”</w:t>
      </w:r>
    </w:p>
    <w:p>
      <w:pPr>
        <w:spacing w:after="0" w:line="117" w:lineRule="exact"/>
        <w:rPr>
          <w:sz w:val="20"/>
          <w:szCs w:val="20"/>
          <w:color w:val="auto"/>
        </w:rPr>
      </w:pPr>
    </w:p>
    <w:p>
      <w:pPr>
        <w:sectPr>
          <w:pgSz w:w="11900" w:h="16838" w:orient="portrait"/>
          <w:cols w:equalWidth="0" w:num="2">
            <w:col w:w="3100" w:space="100"/>
            <w:col w:w="5819"/>
          </w:cols>
          <w:pgMar w:left="1440" w:top="1313" w:right="1440" w:bottom="1440" w:gutter="0" w:footer="0" w:header="0"/>
        </w:sectPr>
      </w:pPr>
    </w:p>
    <w:p>
      <w:pPr>
        <w:ind w:left="80"/>
        <w:spacing w:after="0"/>
        <w:rPr>
          <w:sz w:val="20"/>
          <w:szCs w:val="20"/>
          <w:color w:val="auto"/>
        </w:rPr>
      </w:pPr>
      <w:r>
        <w:rPr>
          <w:rFonts w:ascii="Arial" w:cs="Arial" w:eastAsia="Arial" w:hAnsi="Arial"/>
          <w:sz w:val="16"/>
          <w:szCs w:val="16"/>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line="258" w:lineRule="auto"/>
        <w:rPr>
          <w:sz w:val="20"/>
          <w:szCs w:val="20"/>
          <w:color w:val="auto"/>
        </w:rPr>
      </w:pPr>
      <w:r>
        <w:rPr>
          <w:rFonts w:ascii="Arial" w:cs="Arial" w:eastAsia="Arial" w:hAnsi="Arial"/>
          <w:sz w:val="17"/>
          <w:szCs w:val="17"/>
          <w:color w:val="auto"/>
        </w:rPr>
        <w:t>Acceptance of Original Notes and Delivery of Exchange Notes</w:t>
      </w:r>
    </w:p>
    <w:p>
      <w:pPr>
        <w:spacing w:after="0" w:line="20" w:lineRule="exact"/>
        <w:rPr>
          <w:sz w:val="20"/>
          <w:szCs w:val="20"/>
          <w:color w:val="auto"/>
        </w:rPr>
      </w:pPr>
      <w:r>
        <w:rPr>
          <w:sz w:val="20"/>
          <w:szCs w:val="20"/>
          <w:color w:val="auto"/>
        </w:rPr>
        <w:br w:type="column"/>
      </w:r>
    </w:p>
    <w:p>
      <w:pPr>
        <w:ind w:right="779"/>
        <w:spacing w:after="0" w:line="293" w:lineRule="auto"/>
        <w:rPr>
          <w:sz w:val="20"/>
          <w:szCs w:val="20"/>
          <w:color w:val="auto"/>
        </w:rPr>
      </w:pPr>
      <w:r>
        <w:rPr>
          <w:rFonts w:ascii="Arial" w:cs="Arial" w:eastAsia="Arial" w:hAnsi="Arial"/>
          <w:sz w:val="16"/>
          <w:szCs w:val="16"/>
          <w:color w:val="auto"/>
        </w:rPr>
        <w:t>The exchange offer is subject to customary conditions, some of which we may waive. The exchange offer is not conditioned upon the tender of any minimum principal amount of original notes. We reserve the right to amend or terminate the exchange offer at any time prior to the expiration time if any condition to the exchange offer is not satisfied. See “The Exchange Offer—Conditions to the Exchange Offer.”</w:t>
      </w:r>
    </w:p>
    <w:p>
      <w:pPr>
        <w:spacing w:after="0" w:line="110" w:lineRule="exact"/>
        <w:rPr>
          <w:sz w:val="20"/>
          <w:szCs w:val="20"/>
          <w:color w:val="auto"/>
        </w:rPr>
      </w:pPr>
    </w:p>
    <w:p>
      <w:pPr>
        <w:ind w:right="839"/>
        <w:spacing w:after="0" w:line="255" w:lineRule="auto"/>
        <w:rPr>
          <w:sz w:val="20"/>
          <w:szCs w:val="20"/>
          <w:color w:val="auto"/>
        </w:rPr>
      </w:pPr>
      <w:r>
        <w:rPr>
          <w:rFonts w:ascii="Arial" w:cs="Arial" w:eastAsia="Arial" w:hAnsi="Arial"/>
          <w:sz w:val="18"/>
          <w:szCs w:val="18"/>
          <w:color w:val="auto"/>
        </w:rPr>
        <w:t>Subject to satisfaction or waiver of the conditions to the exchange offer, promptly following the expiration time, we will accept any and all original notes that are validly tendered and not validly withdrawn and will issue the exchange notes. See “The Exchange Offer— Acceptance of Original Notes for Exchange; Delivery of Exchange Notes.”</w:t>
      </w:r>
    </w:p>
    <w:p>
      <w:pPr>
        <w:spacing w:after="0" w:line="138" w:lineRule="exact"/>
        <w:rPr>
          <w:sz w:val="20"/>
          <w:szCs w:val="20"/>
          <w:color w:val="auto"/>
        </w:rPr>
      </w:pPr>
    </w:p>
    <w:p>
      <w:pPr>
        <w:sectPr>
          <w:pgSz w:w="11900" w:h="16838" w:orient="portrait"/>
          <w:cols w:equalWidth="0" w:num="2">
            <w:col w:w="2520" w:space="680"/>
            <w:col w:w="5819"/>
          </w:cols>
          <w:pgMar w:left="1440" w:top="1313" w:right="1440" w:bottom="1440" w:gutter="0" w:footer="0" w:header="0"/>
          <w:type w:val="continuous"/>
        </w:sectPr>
      </w:pPr>
    </w:p>
    <w:tbl>
      <w:tblPr>
        <w:tblLayout w:type="fixed"/>
        <w:tblInd w:w="8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Resales of Exchange Notes</w:t>
            </w:r>
          </w:p>
        </w:tc>
        <w:tc>
          <w:tcPr>
            <w:tcW w:w="6280" w:type="dxa"/>
            <w:vAlign w:val="bottom"/>
          </w:tcPr>
          <w:p>
            <w:pPr>
              <w:ind w:left="580"/>
              <w:spacing w:after="0"/>
              <w:rPr>
                <w:sz w:val="20"/>
                <w:szCs w:val="20"/>
                <w:color w:val="auto"/>
              </w:rPr>
            </w:pPr>
            <w:r>
              <w:rPr>
                <w:rFonts w:ascii="Arial" w:cs="Arial" w:eastAsia="Arial" w:hAnsi="Arial"/>
                <w:sz w:val="18"/>
                <w:szCs w:val="18"/>
                <w:color w:val="auto"/>
              </w:rPr>
              <w:t>We believe that the exchange notes issued in the exchange offer may</w:t>
            </w:r>
          </w:p>
        </w:tc>
      </w:tr>
      <w:tr>
        <w:trPr>
          <w:trHeight w:val="216"/>
        </w:trPr>
        <w:tc>
          <w:tcPr>
            <w:tcW w:w="2540" w:type="dxa"/>
            <w:vAlign w:val="bottom"/>
          </w:tcPr>
          <w:p>
            <w:pPr>
              <w:spacing w:after="0"/>
              <w:rPr>
                <w:sz w:val="18"/>
                <w:szCs w:val="18"/>
                <w:color w:val="auto"/>
              </w:rPr>
            </w:pPr>
          </w:p>
        </w:tc>
        <w:tc>
          <w:tcPr>
            <w:tcW w:w="6280" w:type="dxa"/>
            <w:vAlign w:val="bottom"/>
          </w:tcPr>
          <w:p>
            <w:pPr>
              <w:ind w:left="580"/>
              <w:spacing w:after="0"/>
              <w:rPr>
                <w:sz w:val="20"/>
                <w:szCs w:val="20"/>
                <w:color w:val="auto"/>
              </w:rPr>
            </w:pPr>
            <w:r>
              <w:rPr>
                <w:rFonts w:ascii="Arial" w:cs="Arial" w:eastAsia="Arial" w:hAnsi="Arial"/>
                <w:sz w:val="18"/>
                <w:szCs w:val="18"/>
                <w:color w:val="auto"/>
              </w:rPr>
              <w:t>be offered for resale, resold or otherwise transferred by you without</w:t>
            </w:r>
          </w:p>
        </w:tc>
      </w:tr>
      <w:tr>
        <w:trPr>
          <w:trHeight w:val="216"/>
        </w:trPr>
        <w:tc>
          <w:tcPr>
            <w:tcW w:w="2540" w:type="dxa"/>
            <w:vAlign w:val="bottom"/>
          </w:tcPr>
          <w:p>
            <w:pPr>
              <w:spacing w:after="0"/>
              <w:rPr>
                <w:sz w:val="18"/>
                <w:szCs w:val="18"/>
                <w:color w:val="auto"/>
              </w:rPr>
            </w:pPr>
          </w:p>
        </w:tc>
        <w:tc>
          <w:tcPr>
            <w:tcW w:w="6280" w:type="dxa"/>
            <w:vAlign w:val="bottom"/>
          </w:tcPr>
          <w:p>
            <w:pPr>
              <w:ind w:left="580"/>
              <w:spacing w:after="0"/>
              <w:rPr>
                <w:sz w:val="20"/>
                <w:szCs w:val="20"/>
                <w:color w:val="auto"/>
              </w:rPr>
            </w:pPr>
            <w:r>
              <w:rPr>
                <w:rFonts w:ascii="Arial" w:cs="Arial" w:eastAsia="Arial" w:hAnsi="Arial"/>
                <w:sz w:val="18"/>
                <w:szCs w:val="18"/>
                <w:color w:val="auto"/>
              </w:rPr>
              <w:t>compliance with the registration and prospectus delivery requirements</w:t>
            </w:r>
          </w:p>
        </w:tc>
      </w:tr>
      <w:tr>
        <w:trPr>
          <w:trHeight w:val="230"/>
        </w:trPr>
        <w:tc>
          <w:tcPr>
            <w:tcW w:w="2540" w:type="dxa"/>
            <w:vAlign w:val="bottom"/>
          </w:tcPr>
          <w:p>
            <w:pPr>
              <w:spacing w:after="0"/>
              <w:rPr>
                <w:sz w:val="20"/>
                <w:szCs w:val="20"/>
                <w:color w:val="auto"/>
              </w:rPr>
            </w:pPr>
          </w:p>
        </w:tc>
        <w:tc>
          <w:tcPr>
            <w:tcW w:w="6280" w:type="dxa"/>
            <w:vAlign w:val="bottom"/>
          </w:tcPr>
          <w:p>
            <w:pPr>
              <w:ind w:left="580"/>
              <w:spacing w:after="0"/>
              <w:rPr>
                <w:sz w:val="20"/>
                <w:szCs w:val="20"/>
                <w:color w:val="auto"/>
              </w:rPr>
            </w:pPr>
            <w:r>
              <w:rPr>
                <w:rFonts w:ascii="Arial" w:cs="Arial" w:eastAsia="Arial" w:hAnsi="Arial"/>
                <w:sz w:val="18"/>
                <w:szCs w:val="18"/>
                <w:color w:val="auto"/>
              </w:rPr>
              <w:t>of the Securities Act, provided that:</w:t>
            </w:r>
          </w:p>
        </w:tc>
      </w:tr>
      <w:tr>
        <w:trPr>
          <w:trHeight w:val="473"/>
        </w:trPr>
        <w:tc>
          <w:tcPr>
            <w:tcW w:w="2540" w:type="dxa"/>
            <w:vAlign w:val="bottom"/>
          </w:tcPr>
          <w:p>
            <w:pPr>
              <w:spacing w:after="0"/>
              <w:rPr>
                <w:sz w:val="24"/>
                <w:szCs w:val="24"/>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2"/>
              </w:rPr>
              <w:t>• you acquire the exchange notes in the ordinary course of your business;</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0"/>
              </w:rPr>
              <w:t>• you have no arrangement or understanding with any person to participate,</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6"/>
              </w:rPr>
              <w:t>you are not participating, and you do not intend to participate, in the</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2"/>
              </w:rPr>
              <w:t>distribution of the exchange notes (within the meaning of the Securities</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Act);</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4"/>
              </w:rPr>
              <w:t>• you are not an “affiliate” (as such term is defined in Rule 405 under the</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Securities Act) of ours;</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7"/>
              </w:rPr>
              <w:t>• you are not tendering original notes that have, or that are reasonably</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3"/>
              </w:rPr>
              <w:t>likely to have, the status of an unsold allotment of the initial placement</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of the original notes; and</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0"/>
              </w:rPr>
              <w:t>• if you are a broker-dealer, (i) you receive the exchange notes for your own</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account, (ii) you acquired the original notes as a result of market-</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making activities or other trading activities and (iii) you deliver a</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0"/>
              </w:rPr>
              <w:t>prospectus meeting the requirements of the Securities Act in connection</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with any resale of such exchange notes.</w:t>
            </w:r>
          </w:p>
        </w:tc>
      </w:tr>
      <w:tr>
        <w:trPr>
          <w:trHeight w:val="377"/>
        </w:trPr>
        <w:tc>
          <w:tcPr>
            <w:tcW w:w="2540" w:type="dxa"/>
            <w:vAlign w:val="bottom"/>
          </w:tcPr>
          <w:p>
            <w:pPr>
              <w:spacing w:after="0"/>
              <w:rPr>
                <w:sz w:val="24"/>
                <w:szCs w:val="24"/>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If you do not meet these requirements, you may not participate in the</w:t>
            </w:r>
          </w:p>
        </w:tc>
      </w:tr>
      <w:tr>
        <w:trPr>
          <w:trHeight w:val="216"/>
        </w:trPr>
        <w:tc>
          <w:tcPr>
            <w:tcW w:w="2540" w:type="dxa"/>
            <w:vAlign w:val="bottom"/>
          </w:tcPr>
          <w:p>
            <w:pPr>
              <w:spacing w:after="0"/>
              <w:rPr>
                <w:sz w:val="18"/>
                <w:szCs w:val="18"/>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exchange offer, and any sale or transfer of your original notes must</w:t>
            </w:r>
          </w:p>
        </w:tc>
      </w:tr>
      <w:tr>
        <w:trPr>
          <w:trHeight w:val="216"/>
        </w:trPr>
        <w:tc>
          <w:tcPr>
            <w:tcW w:w="2540" w:type="dxa"/>
            <w:vAlign w:val="bottom"/>
          </w:tcPr>
          <w:p>
            <w:pPr>
              <w:spacing w:after="0"/>
              <w:rPr>
                <w:sz w:val="18"/>
                <w:szCs w:val="18"/>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comply with the registration and prospectus delivery requirements of</w:t>
            </w:r>
          </w:p>
        </w:tc>
      </w:tr>
      <w:tr>
        <w:trPr>
          <w:trHeight w:val="230"/>
        </w:trPr>
        <w:tc>
          <w:tcPr>
            <w:tcW w:w="2540" w:type="dxa"/>
            <w:vAlign w:val="bottom"/>
          </w:tcPr>
          <w:p>
            <w:pPr>
              <w:spacing w:after="0"/>
              <w:rPr>
                <w:sz w:val="20"/>
                <w:szCs w:val="20"/>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the Securities Act.</w:t>
            </w:r>
          </w:p>
        </w:tc>
      </w:tr>
    </w:tbl>
    <w:p>
      <w:pPr>
        <w:spacing w:after="0" w:line="200" w:lineRule="exact"/>
        <w:rPr>
          <w:sz w:val="20"/>
          <w:szCs w:val="20"/>
          <w:color w:val="auto"/>
        </w:rPr>
      </w:pPr>
    </w:p>
    <w:p>
      <w:pPr>
        <w:sectPr>
          <w:pgSz w:w="11900" w:h="16838" w:orient="portrait"/>
          <w:cols w:equalWidth="0" w:num="1">
            <w:col w:w="9019"/>
          </w:cols>
          <w:pgMar w:left="1440" w:top="1313"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1313" w:right="1440"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right="180"/>
        <w:spacing w:after="0" w:line="235" w:lineRule="auto"/>
        <w:rPr>
          <w:sz w:val="20"/>
          <w:szCs w:val="20"/>
          <w:color w:val="auto"/>
        </w:rPr>
      </w:pPr>
      <w:r>
        <w:rPr>
          <w:rFonts w:ascii="Arial" w:cs="Arial" w:eastAsia="Arial" w:hAnsi="Arial"/>
          <w:sz w:val="18"/>
          <w:szCs w:val="18"/>
          <w:color w:val="auto"/>
        </w:rPr>
        <w:t>Broker-Dealer Prospectus Delivery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line="235" w:lineRule="auto"/>
        <w:rPr>
          <w:sz w:val="20"/>
          <w:szCs w:val="20"/>
          <w:color w:val="auto"/>
        </w:rPr>
      </w:pPr>
      <w:r>
        <w:rPr>
          <w:rFonts w:ascii="Arial" w:cs="Arial" w:eastAsia="Arial" w:hAnsi="Arial"/>
          <w:sz w:val="18"/>
          <w:szCs w:val="18"/>
          <w:color w:val="auto"/>
        </w:rPr>
        <w:t>Consequences of Failure to Exchange Your Original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right="340"/>
        <w:spacing w:after="0" w:line="235" w:lineRule="auto"/>
        <w:rPr>
          <w:sz w:val="20"/>
          <w:szCs w:val="20"/>
          <w:color w:val="auto"/>
        </w:rPr>
      </w:pPr>
      <w:r>
        <w:rPr>
          <w:rFonts w:ascii="Arial" w:cs="Arial" w:eastAsia="Arial" w:hAnsi="Arial"/>
          <w:sz w:val="18"/>
          <w:szCs w:val="18"/>
          <w:color w:val="auto"/>
        </w:rPr>
        <w:t>Certain U.S. Federal Income Tax Consequences</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Dissenters’ Rights</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Exchange Agent</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719"/>
        <w:spacing w:after="0" w:line="287" w:lineRule="auto"/>
        <w:rPr>
          <w:sz w:val="20"/>
          <w:szCs w:val="20"/>
          <w:color w:val="auto"/>
        </w:rPr>
      </w:pPr>
      <w:r>
        <w:rPr>
          <w:rFonts w:ascii="Arial" w:cs="Arial" w:eastAsia="Arial" w:hAnsi="Arial"/>
          <w:sz w:val="16"/>
          <w:szCs w:val="16"/>
          <w:color w:val="auto"/>
        </w:rPr>
        <w:t>Our belief is based on interpretations by the staff of the SEC contained in several no-action letters issued to third parties. The staff of the SEC has not considered this exchange offer in the context of a no-action letter, and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 See “The Exchange Offer—Resales of the Exchange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-1880870</wp:posOffset>
            </wp:positionV>
            <wp:extent cx="7136130" cy="741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111" w:lineRule="exact"/>
        <w:rPr>
          <w:sz w:val="20"/>
          <w:szCs w:val="20"/>
          <w:color w:val="auto"/>
        </w:rPr>
      </w:pPr>
    </w:p>
    <w:p>
      <w:pPr>
        <w:ind w:right="719"/>
        <w:spacing w:after="0" w:line="293" w:lineRule="auto"/>
        <w:rPr>
          <w:sz w:val="20"/>
          <w:szCs w:val="20"/>
          <w:color w:val="auto"/>
        </w:rPr>
      </w:pPr>
      <w:r>
        <w:rPr>
          <w:rFonts w:ascii="Arial" w:cs="Arial" w:eastAsia="Arial" w:hAnsi="Arial"/>
          <w:sz w:val="16"/>
          <w:szCs w:val="16"/>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meeting the requirements of the Securities Act in connection with any resale of such exchange notes. See “Plan of Distribution.”</w:t>
      </w:r>
    </w:p>
    <w:p>
      <w:pPr>
        <w:spacing w:after="0" w:line="124" w:lineRule="exact"/>
        <w:rPr>
          <w:sz w:val="20"/>
          <w:szCs w:val="20"/>
          <w:color w:val="auto"/>
        </w:rPr>
      </w:pPr>
    </w:p>
    <w:p>
      <w:pPr>
        <w:ind w:right="779"/>
        <w:spacing w:after="0" w:line="287" w:lineRule="auto"/>
        <w:rPr>
          <w:sz w:val="20"/>
          <w:szCs w:val="20"/>
          <w:color w:val="auto"/>
        </w:rPr>
      </w:pPr>
      <w:r>
        <w:rPr>
          <w:rFonts w:ascii="Arial" w:cs="Arial" w:eastAsia="Arial" w:hAnsi="Arial"/>
          <w:sz w:val="16"/>
          <w:szCs w:val="16"/>
          <w:color w:val="auto"/>
        </w:rPr>
        <w:t>If you do not exchange your original notes in the exchange offer, your original notes will continue to be subject to the restrictions on transfer set forth in the indenture and the legend on the original notes. In general, the original notes may not be offered, resold or otherwise transferred unless they are registered under the Securities Act or offered or sold under an exemption from, or in a transaction not subject to, the registration requirements of the Securities Act and applicable state securities laws. If a substantial amount of the original notes is tendered and accepted for exchange, the liquidity and trading market for the original notes that you continue to own may be significantly limited. See “The Exchange Offer—Consequences of Failure to Exchange Original Notes.”</w:t>
      </w:r>
    </w:p>
    <w:p>
      <w:pPr>
        <w:spacing w:after="0" w:line="114" w:lineRule="exact"/>
        <w:rPr>
          <w:sz w:val="20"/>
          <w:szCs w:val="20"/>
          <w:color w:val="auto"/>
        </w:rPr>
      </w:pPr>
    </w:p>
    <w:p>
      <w:pPr>
        <w:ind w:right="819"/>
        <w:spacing w:after="0" w:line="257" w:lineRule="auto"/>
        <w:rPr>
          <w:sz w:val="20"/>
          <w:szCs w:val="20"/>
          <w:color w:val="auto"/>
        </w:rPr>
      </w:pPr>
      <w:r>
        <w:rPr>
          <w:rFonts w:ascii="Arial" w:cs="Arial" w:eastAsia="Arial" w:hAnsi="Arial"/>
          <w:sz w:val="18"/>
          <w:szCs w:val="18"/>
          <w:color w:val="auto"/>
        </w:rPr>
        <w:t>We are making the exchange offer to satisfy our obligations under the registration rights agreement. After the exchange offer is consummated, except in limited circumstances, you will no longer be entitled to any exchange or registration rights with respect to any original notes that you continue to own.</w:t>
      </w:r>
    </w:p>
    <w:p>
      <w:pPr>
        <w:spacing w:after="0" w:line="147" w:lineRule="exact"/>
        <w:rPr>
          <w:sz w:val="20"/>
          <w:szCs w:val="20"/>
          <w:color w:val="auto"/>
        </w:rPr>
      </w:pPr>
    </w:p>
    <w:p>
      <w:pPr>
        <w:jc w:val="both"/>
        <w:ind w:right="799"/>
        <w:spacing w:after="0" w:line="263" w:lineRule="auto"/>
        <w:rPr>
          <w:sz w:val="20"/>
          <w:szCs w:val="20"/>
          <w:color w:val="auto"/>
        </w:rPr>
      </w:pPr>
      <w:r>
        <w:rPr>
          <w:rFonts w:ascii="Arial" w:cs="Arial" w:eastAsia="Arial" w:hAnsi="Arial"/>
          <w:sz w:val="18"/>
          <w:szCs w:val="18"/>
          <w:color w:val="auto"/>
        </w:rPr>
        <w:t>The exchange of your original notes for exchange notes will not be a taxable event for U.S. federal income tax purposes. See “Certain U.S. Federal Income Tax Consequences.”</w:t>
      </w:r>
    </w:p>
    <w:p>
      <w:pPr>
        <w:spacing w:after="0" w:line="143" w:lineRule="exact"/>
        <w:rPr>
          <w:sz w:val="20"/>
          <w:szCs w:val="20"/>
          <w:color w:val="auto"/>
        </w:rPr>
      </w:pPr>
    </w:p>
    <w:p>
      <w:pPr>
        <w:ind w:right="879"/>
        <w:spacing w:after="0" w:line="277" w:lineRule="auto"/>
        <w:rPr>
          <w:sz w:val="20"/>
          <w:szCs w:val="20"/>
          <w:color w:val="auto"/>
        </w:rPr>
      </w:pPr>
      <w:r>
        <w:rPr>
          <w:rFonts w:ascii="Arial" w:cs="Arial" w:eastAsia="Arial" w:hAnsi="Arial"/>
          <w:sz w:val="18"/>
          <w:szCs w:val="18"/>
          <w:color w:val="auto"/>
        </w:rPr>
        <w:t>Holders do not have any appraisal or dissenters’ rights in connection with the exchange offer.</w:t>
      </w:r>
    </w:p>
    <w:p>
      <w:pPr>
        <w:spacing w:after="0" w:line="116" w:lineRule="exact"/>
        <w:rPr>
          <w:sz w:val="20"/>
          <w:szCs w:val="20"/>
          <w:color w:val="auto"/>
        </w:rPr>
      </w:pPr>
    </w:p>
    <w:p>
      <w:pPr>
        <w:ind w:right="899"/>
        <w:spacing w:after="0" w:line="342" w:lineRule="auto"/>
        <w:rPr>
          <w:sz w:val="20"/>
          <w:szCs w:val="20"/>
          <w:color w:val="auto"/>
        </w:rPr>
      </w:pPr>
      <w:r>
        <w:rPr>
          <w:rFonts w:ascii="Arial" w:cs="Arial" w:eastAsia="Arial" w:hAnsi="Arial"/>
          <w:sz w:val="16"/>
          <w:szCs w:val="16"/>
          <w:color w:val="auto"/>
        </w:rPr>
        <w:t>U.S. Bank National Association is serving as the exchange agent for the exchange offer. See “The Exchange Offer—Exchange Agent.”</w:t>
      </w:r>
    </w:p>
    <w:p>
      <w:pPr>
        <w:spacing w:after="0" w:line="83" w:lineRule="exact"/>
        <w:rPr>
          <w:sz w:val="20"/>
          <w:szCs w:val="20"/>
          <w:color w:val="auto"/>
        </w:rPr>
      </w:pPr>
    </w:p>
    <w:p>
      <w:pPr>
        <w:ind w:right="939"/>
        <w:spacing w:after="0" w:line="277" w:lineRule="auto"/>
        <w:rPr>
          <w:sz w:val="20"/>
          <w:szCs w:val="20"/>
          <w:color w:val="auto"/>
        </w:rPr>
      </w:pPr>
      <w:r>
        <w:rPr>
          <w:rFonts w:ascii="Arial" w:cs="Arial" w:eastAsia="Arial" w:hAnsi="Arial"/>
          <w:sz w:val="18"/>
          <w:szCs w:val="18"/>
          <w:color w:val="auto"/>
        </w:rPr>
        <w:t>We will receive no proceeds from the issuance of exchange notes in the exchange offer. See “Use of Proceeds.”</w:t>
      </w:r>
    </w:p>
    <w:p>
      <w:pPr>
        <w:spacing w:after="0" w:line="200" w:lineRule="exact"/>
        <w:rPr>
          <w:sz w:val="20"/>
          <w:szCs w:val="20"/>
          <w:color w:val="auto"/>
        </w:rPr>
      </w:pPr>
    </w:p>
    <w:p>
      <w:pPr>
        <w:sectPr>
          <w:pgSz w:w="11900" w:h="16838" w:orient="portrait"/>
          <w:cols w:equalWidth="0" w:num="2">
            <w:col w:w="2800" w:space="400"/>
            <w:col w:w="5819"/>
          </w:cols>
          <w:pgMar w:left="1440" w:top="1327"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1327" w:right="1440" w:bottom="1440" w:gutter="0" w:footer="0" w:header="0"/>
          <w:type w:val="continuous"/>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7444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444740"/>
                    </a:xfrm>
                    <a:prstGeom prst="rect">
                      <a:avLst/>
                    </a:prstGeom>
                    <a:noFill/>
                  </pic:spPr>
                </pic:pic>
              </a:graphicData>
            </a:graphic>
          </wp:anchor>
        </w:drawing>
        <w:t>The Exchange Notes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The terms of the exchange notes are substantially identical to the terms of the original notes, except that the exchange notes have been registered under the Securities Act and, therefore, will not be subject to the transfer restrictions, registration rights and additional interest provisions applicable to the original notes. This summary describes the principal terms of the exchange notes, certain of which are subject to important limitations and exceptions. For a more complete understanding of the exchange notes, please refer to the section of this prospectus entitled “Description of Notes.” In this section of the prospectus, unless otherwise indicated or required by the context, the terms “we,” “our,” “us,” the “Company,” and “Scotts” refer only to The Scotts Miracle-Gro Company and not any subsidiaries of The Scotts Miracle-Gro Company.</w:t>
      </w:r>
    </w:p>
    <w:p>
      <w:pPr>
        <w:spacing w:after="0" w:line="114" w:lineRule="exact"/>
        <w:rPr>
          <w:sz w:val="20"/>
          <w:szCs w:val="20"/>
          <w:color w:val="auto"/>
        </w:rPr>
      </w:pPr>
    </w:p>
    <w:p>
      <w:pPr>
        <w:ind w:left="660"/>
        <w:spacing w:after="0"/>
        <w:tabs>
          <w:tab w:leader="none" w:pos="376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The Scotts Miracle-Gro Company.</w:t>
      </w:r>
    </w:p>
    <w:p>
      <w:pPr>
        <w:spacing w:after="0" w:line="185" w:lineRule="exact"/>
        <w:rPr>
          <w:sz w:val="20"/>
          <w:szCs w:val="20"/>
          <w:color w:val="auto"/>
        </w:rPr>
      </w:pPr>
    </w:p>
    <w:p>
      <w:pPr>
        <w:ind w:left="680"/>
        <w:spacing w:after="0"/>
        <w:tabs>
          <w:tab w:leader="none" w:pos="3780" w:val="left"/>
        </w:tabs>
        <w:rPr>
          <w:sz w:val="20"/>
          <w:szCs w:val="20"/>
          <w:color w:val="auto"/>
        </w:rPr>
      </w:pPr>
      <w:r>
        <w:rPr>
          <w:rFonts w:ascii="Arial" w:cs="Arial" w:eastAsia="Arial" w:hAnsi="Arial"/>
          <w:sz w:val="18"/>
          <w:szCs w:val="18"/>
          <w:color w:val="auto"/>
        </w:rPr>
        <w:t>Notes Offered</w:t>
      </w:r>
      <w:r>
        <w:rPr>
          <w:sz w:val="20"/>
          <w:szCs w:val="20"/>
          <w:color w:val="auto"/>
        </w:rPr>
        <w:tab/>
      </w:r>
      <w:r>
        <w:rPr>
          <w:rFonts w:ascii="Arial" w:cs="Arial" w:eastAsia="Arial" w:hAnsi="Arial"/>
          <w:sz w:val="16"/>
          <w:szCs w:val="16"/>
          <w:color w:val="auto"/>
        </w:rPr>
        <w:t>$500 million aggregate principal amount of 4.000% Senior Notes due</w:t>
      </w:r>
    </w:p>
    <w:p>
      <w:pPr>
        <w:spacing w:after="0" w:line="3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2031 (the “exchange notes”).</w:t>
      </w:r>
    </w:p>
    <w:p>
      <w:pPr>
        <w:spacing w:after="0" w:line="143" w:lineRule="exact"/>
        <w:rPr>
          <w:sz w:val="20"/>
          <w:szCs w:val="20"/>
          <w:color w:val="auto"/>
        </w:rPr>
      </w:pPr>
    </w:p>
    <w:p>
      <w:pPr>
        <w:ind w:left="680"/>
        <w:spacing w:after="0"/>
        <w:tabs>
          <w:tab w:leader="none" w:pos="378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April 1, 2031.</w:t>
      </w:r>
    </w:p>
    <w:p>
      <w:pPr>
        <w:spacing w:after="0" w:line="144" w:lineRule="exact"/>
        <w:rPr>
          <w:sz w:val="20"/>
          <w:szCs w:val="20"/>
          <w:color w:val="auto"/>
        </w:rPr>
      </w:pPr>
    </w:p>
    <w:p>
      <w:pPr>
        <w:ind w:left="680"/>
        <w:spacing w:after="0"/>
        <w:tabs>
          <w:tab w:leader="none" w:pos="3780" w:val="left"/>
        </w:tabs>
        <w:rPr>
          <w:sz w:val="20"/>
          <w:szCs w:val="20"/>
          <w:color w:val="auto"/>
        </w:rPr>
      </w:pPr>
      <w:r>
        <w:rPr>
          <w:rFonts w:ascii="Arial" w:cs="Arial" w:eastAsia="Arial" w:hAnsi="Arial"/>
          <w:sz w:val="18"/>
          <w:szCs w:val="18"/>
          <w:color w:val="auto"/>
        </w:rPr>
        <w:t>Interest</w:t>
      </w:r>
      <w:r>
        <w:rPr>
          <w:sz w:val="20"/>
          <w:szCs w:val="20"/>
          <w:color w:val="auto"/>
        </w:rPr>
        <w:tab/>
      </w:r>
      <w:r>
        <w:rPr>
          <w:rFonts w:ascii="Arial" w:cs="Arial" w:eastAsia="Arial" w:hAnsi="Arial"/>
          <w:sz w:val="18"/>
          <w:szCs w:val="18"/>
          <w:color w:val="auto"/>
        </w:rPr>
        <w:t>The exchange notes will bear interest at a rate of 4.000% per annum.</w:t>
      </w:r>
    </w:p>
    <w:p>
      <w:pPr>
        <w:spacing w:after="0" w:line="37" w:lineRule="exact"/>
        <w:rPr>
          <w:sz w:val="20"/>
          <w:szCs w:val="20"/>
          <w:color w:val="auto"/>
        </w:rPr>
      </w:pPr>
    </w:p>
    <w:p>
      <w:pPr>
        <w:ind w:left="3800" w:right="1180"/>
        <w:spacing w:after="0" w:line="255" w:lineRule="auto"/>
        <w:rPr>
          <w:sz w:val="20"/>
          <w:szCs w:val="20"/>
          <w:color w:val="auto"/>
        </w:rPr>
      </w:pPr>
      <w:r>
        <w:rPr>
          <w:rFonts w:ascii="Arial" w:cs="Arial" w:eastAsia="Arial" w:hAnsi="Arial"/>
          <w:sz w:val="18"/>
          <w:szCs w:val="18"/>
          <w:color w:val="auto"/>
        </w:rPr>
        <w:t>Interest on the exchange notes will be payable semi-annually in cash in arrears on each April 1 and October 1, commencing on October 1, 2021.</w:t>
      </w:r>
    </w:p>
    <w:p>
      <w:pPr>
        <w:sectPr>
          <w:pgSz w:w="11900" w:h="16838" w:orient="portrait"/>
          <w:cols w:equalWidth="0" w:num="1">
            <w:col w:w="10100"/>
          </w:cols>
          <w:pgMar w:left="840" w:top="1269" w:right="959" w:bottom="1440" w:gutter="0" w:footer="0" w:header="0"/>
        </w:sectPr>
      </w:pPr>
    </w:p>
    <w:p>
      <w:pPr>
        <w:spacing w:after="0" w:line="13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1320"/>
        <w:spacing w:after="0" w:line="257" w:lineRule="auto"/>
        <w:rPr>
          <w:sz w:val="20"/>
          <w:szCs w:val="20"/>
          <w:color w:val="auto"/>
        </w:rPr>
      </w:pPr>
      <w:r>
        <w:rPr>
          <w:rFonts w:ascii="Arial" w:cs="Arial" w:eastAsia="Arial" w:hAnsi="Arial"/>
          <w:sz w:val="18"/>
          <w:szCs w:val="18"/>
          <w:color w:val="auto"/>
        </w:rPr>
        <w:t>At any time prior to April 1, 2024, we may on one or more occasions redeem up to 35% of the notes with the net cash proceeds of certain equity offerings at the redemption price, plus accrued and unpaid interest to the date of redemption, as set forth under “Description of Notes—Optional Redemption.”</w:t>
      </w:r>
    </w:p>
    <w:p>
      <w:pPr>
        <w:spacing w:after="0" w:line="120" w:lineRule="exact"/>
        <w:rPr>
          <w:sz w:val="20"/>
          <w:szCs w:val="20"/>
          <w:color w:val="auto"/>
        </w:rPr>
      </w:pPr>
    </w:p>
    <w:p>
      <w:pPr>
        <w:ind w:right="1220"/>
        <w:spacing w:after="0" w:line="211" w:lineRule="auto"/>
        <w:rPr>
          <w:sz w:val="20"/>
          <w:szCs w:val="20"/>
          <w:color w:val="auto"/>
        </w:rPr>
      </w:pPr>
      <w:r>
        <w:rPr>
          <w:rFonts w:ascii="Arial" w:cs="Arial" w:eastAsia="Arial" w:hAnsi="Arial"/>
          <w:sz w:val="18"/>
          <w:szCs w:val="18"/>
          <w:color w:val="auto"/>
        </w:rPr>
        <w:t>At any time prior to April 1, 2026, we may redeem the notes, in whole or in part, at a “make-whole” redemption price, plus accrued and unpaid interest to the date of redemption, as set forth under “Description of Notes—Optional Redemption.” On and after April 1, 2026, we may redeem the notes, in whole or in part, at the applicable redemption prices plus accrued and unpaid interest to the date of redemption, as set forth under “Description of Notes—Optional Redemption.”</w:t>
      </w:r>
    </w:p>
    <w:p>
      <w:pPr>
        <w:spacing w:after="0" w:line="137" w:lineRule="exact"/>
        <w:rPr>
          <w:sz w:val="20"/>
          <w:szCs w:val="20"/>
          <w:color w:val="auto"/>
        </w:rPr>
      </w:pPr>
    </w:p>
    <w:p>
      <w:pPr>
        <w:ind w:right="1200"/>
        <w:spacing w:after="0" w:line="272" w:lineRule="auto"/>
        <w:rPr>
          <w:sz w:val="20"/>
          <w:szCs w:val="20"/>
          <w:color w:val="auto"/>
        </w:rPr>
      </w:pPr>
      <w:r>
        <w:rPr>
          <w:rFonts w:ascii="Arial" w:cs="Arial" w:eastAsia="Arial" w:hAnsi="Arial"/>
          <w:sz w:val="17"/>
          <w:szCs w:val="17"/>
          <w:color w:val="auto"/>
        </w:rPr>
        <w:t>If we experience specific kinds of changes of control and we have not previously exercised our right to redeem all of the outstanding notes as described under “Description of Notes—Optional Redemption,” we will be required to make an offer to purchase all of the notes at a purchase price of 101% of the principal amount, plus accrued and unpaid interest to the date of repurchase, as set forth under “Description of Notes—Change of Control.”</w:t>
      </w:r>
    </w:p>
    <w:p>
      <w:pPr>
        <w:spacing w:after="0" w:line="200" w:lineRule="exact"/>
        <w:rPr>
          <w:sz w:val="20"/>
          <w:szCs w:val="20"/>
          <w:color w:val="auto"/>
        </w:rPr>
      </w:pPr>
    </w:p>
    <w:p>
      <w:pPr>
        <w:sectPr>
          <w:pgSz w:w="11900" w:h="16838" w:orient="portrait"/>
          <w:cols w:equalWidth="0" w:num="2">
            <w:col w:w="3080" w:space="720"/>
            <w:col w:w="6300"/>
          </w:cols>
          <w:pgMar w:left="840" w:top="1269" w:right="959" w:bottom="1440" w:gutter="0" w:footer="0" w:header="0"/>
          <w:type w:val="continuous"/>
        </w:sectPr>
      </w:pPr>
    </w:p>
    <w:p>
      <w:pPr>
        <w:spacing w:after="0" w:line="4" w:lineRule="exact"/>
        <w:rPr>
          <w:sz w:val="20"/>
          <w:szCs w:val="20"/>
          <w:color w:val="auto"/>
        </w:rPr>
      </w:pPr>
    </w:p>
    <w:p>
      <w:pPr>
        <w:ind w:left="660"/>
        <w:spacing w:after="0"/>
        <w:tabs>
          <w:tab w:leader="none" w:pos="3760" w:val="left"/>
        </w:tabs>
        <w:rPr>
          <w:sz w:val="20"/>
          <w:szCs w:val="20"/>
          <w:color w:val="auto"/>
        </w:rPr>
      </w:pPr>
      <w:r>
        <w:rPr>
          <w:rFonts w:ascii="Arial" w:cs="Arial" w:eastAsia="Arial" w:hAnsi="Arial"/>
          <w:sz w:val="16"/>
          <w:szCs w:val="16"/>
          <w:color w:val="auto"/>
        </w:rPr>
        <w:t>Guarantees</w:t>
      </w:r>
      <w:r>
        <w:rPr>
          <w:sz w:val="20"/>
          <w:szCs w:val="20"/>
          <w:color w:val="auto"/>
        </w:rPr>
        <w:tab/>
      </w:r>
      <w:r>
        <w:rPr>
          <w:rFonts w:ascii="Arial" w:cs="Arial" w:eastAsia="Arial" w:hAnsi="Arial"/>
          <w:sz w:val="16"/>
          <w:szCs w:val="16"/>
          <w:color w:val="auto"/>
        </w:rPr>
        <w:t>The exchange notes will be fully and unconditionally guaranteed on a</w:t>
      </w:r>
    </w:p>
    <w:p>
      <w:pPr>
        <w:spacing w:after="0" w:line="60" w:lineRule="exact"/>
        <w:rPr>
          <w:sz w:val="20"/>
          <w:szCs w:val="20"/>
          <w:color w:val="auto"/>
        </w:rPr>
      </w:pPr>
    </w:p>
    <w:p>
      <w:pPr>
        <w:ind w:left="3780" w:right="1200"/>
        <w:spacing w:after="0" w:line="270" w:lineRule="auto"/>
        <w:rPr>
          <w:sz w:val="20"/>
          <w:szCs w:val="20"/>
          <w:color w:val="auto"/>
        </w:rPr>
      </w:pPr>
      <w:r>
        <w:rPr>
          <w:rFonts w:ascii="Arial" w:cs="Arial" w:eastAsia="Arial" w:hAnsi="Arial"/>
          <w:sz w:val="17"/>
          <w:szCs w:val="17"/>
          <w:color w:val="auto"/>
        </w:rPr>
        <w:t>senior unsecured basis by all of our subsidiaries that have guaranteed the original notes. Our non-guarantor subsidiaries generated 8.5% of our consolidated net sales and 0.5% of our consolidated net income for the fiscal year ended September 30, 2021 and accounted for 10.0% of our consolidated assets and 3.6% of our consolidated liabilities as of September 30,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00"/>
          </w:cols>
          <w:pgMar w:left="840" w:top="1269" w:right="959" w:bottom="1440" w:gutter="0" w:footer="0" w:header="0"/>
          <w:type w:val="continuous"/>
        </w:sectPr>
      </w:pPr>
    </w:p>
    <w:bookmarkStart w:id="13" w:name="page14"/>
    <w:bookmarkEnd w:id="13"/>
    <w:p>
      <w:pPr>
        <w:ind w:left="60"/>
        <w:spacing w:after="0"/>
        <w:tabs>
          <w:tab w:leader="none" w:pos="31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9288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9288145"/>
                    </a:xfrm>
                    <a:prstGeom prst="rect">
                      <a:avLst/>
                    </a:prstGeom>
                    <a:noFill/>
                  </pic:spPr>
                </pic:pic>
              </a:graphicData>
            </a:graphic>
          </wp:anchor>
        </w:drawing>
        <w:t>Ranking</w:t>
      </w:r>
      <w:r>
        <w:rPr>
          <w:sz w:val="20"/>
          <w:szCs w:val="20"/>
          <w:color w:val="auto"/>
        </w:rPr>
        <w:tab/>
      </w:r>
      <w:r>
        <w:rPr>
          <w:rFonts w:ascii="Arial" w:cs="Arial" w:eastAsia="Arial" w:hAnsi="Arial"/>
          <w:sz w:val="17"/>
          <w:szCs w:val="17"/>
          <w:color w:val="auto"/>
        </w:rPr>
        <w:t>The exchange notes and the guarantees of the exchange notes will be</w:t>
      </w:r>
    </w:p>
    <w:p>
      <w:pPr>
        <w:spacing w:after="0" w:line="48" w:lineRule="exact"/>
        <w:rPr>
          <w:sz w:val="20"/>
          <w:szCs w:val="20"/>
          <w:color w:val="auto"/>
        </w:rPr>
      </w:pPr>
    </w:p>
    <w:p>
      <w:pPr>
        <w:ind w:left="3200" w:right="719"/>
        <w:spacing w:after="0" w:line="284" w:lineRule="auto"/>
        <w:rPr>
          <w:sz w:val="20"/>
          <w:szCs w:val="20"/>
          <w:color w:val="auto"/>
        </w:rPr>
      </w:pPr>
      <w:r>
        <w:rPr>
          <w:rFonts w:ascii="Arial" w:cs="Arial" w:eastAsia="Arial" w:hAnsi="Arial"/>
          <w:sz w:val="16"/>
          <w:szCs w:val="16"/>
          <w:color w:val="auto"/>
        </w:rPr>
        <w:t>our and our subsidiary guarantors’ unsecured senior obligations and will: (i) rank equally in right of payment with all our and our subsidiary guarantors’ existing and future senior indebtedness; (ii) rank senior in right of payment to all our and our subsidiary guarantors’ existing and future subordinated indebtedness; and (iii) be effectively subordinated to all our and our subsidiary guarantors’ existing and future secured indebtedness to the extent of the value of the assets securing such indebtedness, including our fifth amended and restated senior secured credit agreement dated July 5, 2018 (the “senior secured credit agreement”). The senior secured credit agreement provides us and certain of our subsidiaries with five-year senior secured loan facilities in the aggregate principal amount of $2.3 billion, comprised of a revolving credit facility of $1.5 billion (the “senior secured revolving credit facility”) and a term loan in the original principal amount of $800 million. The exchange notes will be structurally subordinated to the liabilities of any of our subsidiaries that do not guarantee the exchange notes.</w:t>
      </w:r>
    </w:p>
    <w:p>
      <w:pPr>
        <w:spacing w:after="0" w:line="336" w:lineRule="exact"/>
        <w:rPr>
          <w:sz w:val="20"/>
          <w:szCs w:val="20"/>
          <w:color w:val="auto"/>
        </w:rPr>
      </w:pPr>
    </w:p>
    <w:p>
      <w:pPr>
        <w:ind w:left="80"/>
        <w:spacing w:after="0"/>
        <w:tabs>
          <w:tab w:leader="none" w:pos="3180" w:val="left"/>
        </w:tabs>
        <w:rPr>
          <w:sz w:val="20"/>
          <w:szCs w:val="20"/>
          <w:color w:val="auto"/>
        </w:rPr>
      </w:pPr>
      <w:r>
        <w:rPr>
          <w:rFonts w:ascii="Arial" w:cs="Arial" w:eastAsia="Arial" w:hAnsi="Arial"/>
          <w:sz w:val="18"/>
          <w:szCs w:val="18"/>
          <w:color w:val="auto"/>
        </w:rPr>
        <w:t>Certain Covenants</w:t>
      </w:r>
      <w:r>
        <w:rPr>
          <w:sz w:val="20"/>
          <w:szCs w:val="20"/>
          <w:color w:val="auto"/>
        </w:rPr>
        <w:tab/>
      </w:r>
      <w:r>
        <w:rPr>
          <w:rFonts w:ascii="Arial" w:cs="Arial" w:eastAsia="Arial" w:hAnsi="Arial"/>
          <w:sz w:val="16"/>
          <w:szCs w:val="16"/>
          <w:color w:val="auto"/>
        </w:rPr>
        <w:t>The indenture governing the notes includes, among other things,</w:t>
      </w:r>
    </w:p>
    <w:p>
      <w:pPr>
        <w:spacing w:after="0" w:line="37" w:lineRule="exact"/>
        <w:rPr>
          <w:sz w:val="20"/>
          <w:szCs w:val="20"/>
          <w:color w:val="auto"/>
        </w:rPr>
      </w:pPr>
    </w:p>
    <w:p>
      <w:pPr>
        <w:ind w:left="3200" w:right="1179"/>
        <w:spacing w:after="0" w:line="260" w:lineRule="auto"/>
        <w:rPr>
          <w:sz w:val="20"/>
          <w:szCs w:val="20"/>
          <w:color w:val="auto"/>
        </w:rPr>
      </w:pPr>
      <w:r>
        <w:rPr>
          <w:rFonts w:ascii="Arial" w:cs="Arial" w:eastAsia="Arial" w:hAnsi="Arial"/>
          <w:sz w:val="18"/>
          <w:szCs w:val="18"/>
          <w:color w:val="auto"/>
        </w:rPr>
        <w:t>covenants that restrict our ability and the ability of our restricted subsidiaries to:</w:t>
      </w:r>
    </w:p>
    <w:p>
      <w:pPr>
        <w:spacing w:after="0" w:line="226"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 incur additional indebtedness and issue certain preferred shares;</w:t>
      </w:r>
    </w:p>
    <w:p>
      <w:pPr>
        <w:spacing w:after="0" w:line="7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make certain investments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sell certain assets;</w:t>
      </w:r>
    </w:p>
    <w:p>
      <w:pPr>
        <w:spacing w:after="0" w:line="63"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 agree to restrictions on the ability of our restricted subsidiaries to make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payments to us;</w:t>
      </w:r>
    </w:p>
    <w:p>
      <w:pPr>
        <w:spacing w:after="0" w:line="4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create liens and enter into sale-leaseback transactions;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merge, consolidate or sell substantially all of our assets; and</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enter into certain transactions with affiliates.</w:t>
      </w:r>
    </w:p>
    <w:p>
      <w:pPr>
        <w:spacing w:after="0" w:line="185" w:lineRule="exact"/>
        <w:rPr>
          <w:sz w:val="20"/>
          <w:szCs w:val="20"/>
          <w:color w:val="auto"/>
        </w:rPr>
      </w:pPr>
    </w:p>
    <w:p>
      <w:pPr>
        <w:ind w:left="3200" w:right="719"/>
        <w:spacing w:after="0" w:line="342" w:lineRule="auto"/>
        <w:rPr>
          <w:sz w:val="20"/>
          <w:szCs w:val="20"/>
          <w:color w:val="auto"/>
        </w:rPr>
      </w:pPr>
      <w:r>
        <w:rPr>
          <w:rFonts w:ascii="Arial" w:cs="Arial" w:eastAsia="Arial" w:hAnsi="Arial"/>
          <w:sz w:val="16"/>
          <w:szCs w:val="16"/>
          <w:color w:val="auto"/>
        </w:rPr>
        <w:t>These covenants are subject to important exceptions and qualifications as described under “Description of Notes—Certain Covenants.”</w:t>
      </w:r>
    </w:p>
    <w:p>
      <w:pPr>
        <w:spacing w:after="0" w:line="83" w:lineRule="exact"/>
        <w:rPr>
          <w:sz w:val="20"/>
          <w:szCs w:val="20"/>
          <w:color w:val="auto"/>
        </w:rPr>
      </w:pPr>
    </w:p>
    <w:p>
      <w:pPr>
        <w:ind w:left="3200" w:right="759"/>
        <w:spacing w:after="0" w:line="257" w:lineRule="auto"/>
        <w:rPr>
          <w:sz w:val="20"/>
          <w:szCs w:val="20"/>
          <w:color w:val="auto"/>
        </w:rPr>
      </w:pPr>
      <w:r>
        <w:rPr>
          <w:rFonts w:ascii="Arial" w:cs="Arial" w:eastAsia="Arial" w:hAnsi="Arial"/>
          <w:sz w:val="18"/>
          <w:szCs w:val="18"/>
          <w:color w:val="auto"/>
        </w:rPr>
        <w:t>If the notes receive an investment grade rating by both Moody’s and Standard &amp; Poor’s and no default or event of default has occurred and is continuing, then our obligation to comply with certain of these covenants will be suspended. See “Description of Notes—Certain Covenants.”</w:t>
      </w:r>
    </w:p>
    <w:p>
      <w:pPr>
        <w:spacing w:after="0" w:line="120" w:lineRule="exact"/>
        <w:rPr>
          <w:sz w:val="20"/>
          <w:szCs w:val="20"/>
          <w:color w:val="auto"/>
        </w:rPr>
      </w:pPr>
    </w:p>
    <w:p>
      <w:pPr>
        <w:ind w:left="3200" w:right="939" w:hanging="3131"/>
        <w:spacing w:after="0" w:line="277" w:lineRule="auto"/>
        <w:rPr>
          <w:sz w:val="20"/>
          <w:szCs w:val="20"/>
          <w:color w:val="auto"/>
        </w:rPr>
      </w:pPr>
      <w:r>
        <w:rPr>
          <w:rFonts w:ascii="Arial" w:cs="Arial" w:eastAsia="Arial" w:hAnsi="Arial"/>
          <w:sz w:val="17"/>
          <w:szCs w:val="17"/>
          <w:color w:val="auto"/>
        </w:rPr>
        <w:t>Absence of an Established Trading Market The exchange notes will be a new class of securities for which no public market currently exists. We do not intend to apply for the exchange notes to be listed on any securities exchange or to arrange for their quotation on any automated dealer quotation system. We cannot assure you that any active or liquid market for the exchange notes will develop or be maintained.</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Book-Entry Form</w:t>
            </w:r>
          </w:p>
        </w:tc>
        <w:tc>
          <w:tcPr>
            <w:tcW w:w="5900" w:type="dxa"/>
            <w:vAlign w:val="bottom"/>
          </w:tcPr>
          <w:p>
            <w:pPr>
              <w:ind w:left="920"/>
              <w:spacing w:after="0"/>
              <w:rPr>
                <w:sz w:val="20"/>
                <w:szCs w:val="20"/>
                <w:color w:val="auto"/>
              </w:rPr>
            </w:pPr>
            <w:r>
              <w:rPr>
                <w:rFonts w:ascii="Arial" w:cs="Arial" w:eastAsia="Arial" w:hAnsi="Arial"/>
                <w:sz w:val="18"/>
                <w:szCs w:val="18"/>
                <w:color w:val="auto"/>
                <w:w w:val="96"/>
              </w:rPr>
              <w:t>The exchange notes will be issued in book-entry form and will be</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1"/>
              </w:rPr>
              <w:t>represented by one or more global notes deposited with a custodian</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1"/>
              </w:rPr>
              <w:t>for, and registered in the name of a nominee of, DTC, as depositary.</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7"/>
              </w:rPr>
              <w:t>Beneficial interests in the exchange notes will be shown on, and</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0"/>
              </w:rPr>
              <w:t>transfers of the exchange notes will be effected only through, records</w:t>
            </w:r>
          </w:p>
        </w:tc>
      </w:tr>
      <w:tr>
        <w:trPr>
          <w:trHeight w:val="230"/>
        </w:trPr>
        <w:tc>
          <w:tcPr>
            <w:tcW w:w="2200" w:type="dxa"/>
            <w:vAlign w:val="bottom"/>
          </w:tcPr>
          <w:p>
            <w:pPr>
              <w:spacing w:after="0"/>
              <w:rPr>
                <w:sz w:val="20"/>
                <w:szCs w:val="20"/>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rPr>
              <w:t>maintained in book-entry form by DTC and its participants.</w:t>
            </w:r>
          </w:p>
        </w:tc>
      </w:tr>
    </w:tbl>
    <w:p>
      <w:pPr>
        <w:spacing w:after="0" w:line="148" w:lineRule="exact"/>
        <w:rPr>
          <w:sz w:val="20"/>
          <w:szCs w:val="20"/>
          <w:color w:val="auto"/>
        </w:rPr>
      </w:pPr>
    </w:p>
    <w:p>
      <w:pPr>
        <w:sectPr>
          <w:pgSz w:w="11900" w:h="16838" w:orient="portrait"/>
          <w:cols w:equalWidth="0" w:num="1">
            <w:col w:w="9019"/>
          </w:cols>
          <w:pgMar w:left="1440" w:top="1313" w:right="1440" w:bottom="541" w:gutter="0" w:footer="0" w:header="0"/>
        </w:sectPr>
      </w:pPr>
    </w:p>
    <w:p>
      <w:pPr>
        <w:ind w:left="60"/>
        <w:spacing w:after="0"/>
        <w:rPr>
          <w:sz w:val="20"/>
          <w:szCs w:val="20"/>
          <w:color w:val="auto"/>
        </w:rPr>
      </w:pPr>
      <w:r>
        <w:rPr>
          <w:rFonts w:ascii="Arial" w:cs="Arial" w:eastAsia="Arial" w:hAnsi="Arial"/>
          <w:sz w:val="18"/>
          <w:szCs w:val="18"/>
          <w:color w:val="auto"/>
        </w:rPr>
        <w:t>Trustee</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 Bank National Association.</w:t>
      </w:r>
    </w:p>
    <w:p>
      <w:pPr>
        <w:spacing w:after="0" w:line="167" w:lineRule="exact"/>
        <w:rPr>
          <w:sz w:val="20"/>
          <w:szCs w:val="20"/>
          <w:color w:val="auto"/>
        </w:rPr>
      </w:pPr>
    </w:p>
    <w:p>
      <w:pPr>
        <w:ind w:right="739"/>
        <w:spacing w:after="0" w:line="277" w:lineRule="auto"/>
        <w:rPr>
          <w:sz w:val="20"/>
          <w:szCs w:val="20"/>
          <w:color w:val="auto"/>
        </w:rPr>
      </w:pPr>
      <w:r>
        <w:rPr>
          <w:rFonts w:ascii="Arial" w:cs="Arial" w:eastAsia="Arial" w:hAnsi="Arial"/>
          <w:sz w:val="17"/>
          <w:szCs w:val="17"/>
          <w:b w:val="1"/>
          <w:bCs w:val="1"/>
          <w:color w:val="auto"/>
        </w:rPr>
        <w:t>You should carefully consider all of the information contained and incorporated by reference in this prospectus before deciding whether to participate in the exchange offer. See “Risk Factors” for a discussion of certain risks you should consider in making your investment decision.</w:t>
      </w:r>
    </w:p>
    <w:p>
      <w:pPr>
        <w:spacing w:after="0" w:line="200" w:lineRule="exact"/>
        <w:rPr>
          <w:sz w:val="20"/>
          <w:szCs w:val="20"/>
          <w:color w:val="auto"/>
        </w:rPr>
      </w:pPr>
    </w:p>
    <w:p>
      <w:pPr>
        <w:sectPr>
          <w:pgSz w:w="11900" w:h="16838" w:orient="portrait"/>
          <w:cols w:equalWidth="0" w:num="2">
            <w:col w:w="2480" w:space="720"/>
            <w:col w:w="5819"/>
          </w:cols>
          <w:pgMar w:left="1440" w:top="1313" w:right="1440" w:bottom="541"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1313" w:right="1440" w:bottom="541"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An investment in the notes involves material risks. You should carefully consider the risks described below, as well as the other information contained in this prospectus or incorporated by reference in this prospectus, before deciding whether to participate in the exchange offer. The occurrence of any of the following risks could materially adversely affect our business, financial condition, prospects, results of operations and cash flows, which in turn could adversely affect our ability to repay the notes. Additional risks and uncertainties not currently known to us or that we currently deem to be immaterial may also materially adversely affect our business, financial condition, prospects, results of operations and cash flows. Any of these risks could cause actual results to differ materially from those indicated by forward-looking statements made in this prospectus and presented elsewhere by management from time to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21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There have been increases in COVID-19 cases in many areas caused by a combination of the potentially more contagious “Delta” variant of the virus, as well as vaccine hesitancy and low vaccination rates in many areas of the U.S. This development increases the possibility of further shutdowns, production delays, staffing and resource challenges which could materially harm our financial condition and results of operations. The global pandemic and actions taken to contain COVID-19 have disrupted the global economy and financial markets.</w:t>
      </w:r>
    </w:p>
    <w:p>
      <w:pPr>
        <w:spacing w:after="0" w:line="20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While we believe that these efforts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20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spacing w:after="0" w:line="197" w:lineRule="exact"/>
        <w:rPr>
          <w:sz w:val="20"/>
          <w:szCs w:val="20"/>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spread and intensity of the pandemic;</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usage and effectiveness of vaccines or alternative treatments;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suppliers, contract manufacturers, contractors and third-party logistics providers to meet their obligations to us (including supplying us with essential raw materials, components and finished products, or shipping finished goods to customers) on a timely basis and at previously anticipated costs without significant disruption, and our ability to identify alternative sources of materials and services, if necessary;</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and at previously anticipated costs;</w:t>
      </w:r>
    </w:p>
    <w:p>
      <w:pPr>
        <w:spacing w:after="0" w:line="1" w:lineRule="exact"/>
        <w:rPr>
          <w:rFonts w:ascii="Arial" w:cs="Arial" w:eastAsia="Arial" w:hAnsi="Arial"/>
          <w:sz w:val="18"/>
          <w:szCs w:val="18"/>
          <w:color w:val="auto"/>
        </w:rPr>
      </w:pPr>
    </w:p>
    <w:p>
      <w:pPr>
        <w:ind w:left="980" w:right="160" w:hanging="324"/>
        <w:spacing w:after="0" w:line="281" w:lineRule="auto"/>
        <w:tabs>
          <w:tab w:leader="none" w:pos="7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the COVID-19 pandemic on our customers (including retailers and distributors), including their ability to remain open, continue to sell our products, pay for the products purchased from us on a timely basis or at all and collect payment from their customers;</w:t>
      </w:r>
    </w:p>
    <w:p>
      <w:pPr>
        <w:spacing w:after="0" w:line="1" w:lineRule="exact"/>
        <w:rPr>
          <w:rFonts w:ascii="Arial" w:cs="Arial" w:eastAsia="Arial" w:hAnsi="Arial"/>
          <w:sz w:val="16"/>
          <w:szCs w:val="16"/>
          <w:color w:val="auto"/>
        </w:rPr>
      </w:pPr>
    </w:p>
    <w:p>
      <w:pPr>
        <w:ind w:left="980" w:right="260" w:hanging="324"/>
        <w:spacing w:after="0" w:line="25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costs of labor, commodities, components, parts and accessories and/or transportation related costs;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attrition resulting from federal, state and local vaccine mandates; and</w:t>
      </w:r>
    </w:p>
    <w:p>
      <w:pPr>
        <w:spacing w:after="0" w:line="9" w:lineRule="exact"/>
        <w:rPr>
          <w:rFonts w:ascii="Arial" w:cs="Arial" w:eastAsia="Arial" w:hAnsi="Arial"/>
          <w:sz w:val="18"/>
          <w:szCs w:val="18"/>
          <w:color w:val="auto"/>
        </w:rPr>
      </w:pPr>
    </w:p>
    <w:p>
      <w:pPr>
        <w:ind w:left="980" w:right="60" w:hanging="324"/>
        <w:spacing w:after="0" w:line="26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products, which may be impacted by, among other things, the temporary inability of consumers to purchase our products due to illness, quarantine, travel restrictions or financial hardship, shifts in short- or long-term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15" w:name="page16"/>
    <w:bookmarkEnd w:id="15"/>
    <w:p>
      <w:pPr>
        <w:ind w:left="980" w:right="500"/>
        <w:spacing w:after="0" w:line="277" w:lineRule="auto"/>
        <w:rPr>
          <w:sz w:val="20"/>
          <w:szCs w:val="20"/>
          <w:color w:val="auto"/>
        </w:rPr>
      </w:pPr>
      <w:r>
        <w:rPr>
          <w:rFonts w:ascii="Arial" w:cs="Arial" w:eastAsia="Arial" w:hAnsi="Arial"/>
          <w:sz w:val="18"/>
          <w:szCs w:val="18"/>
          <w:color w:val="auto"/>
        </w:rPr>
        <w:t>consumer behavior including moving from one or more of our more discretionary and profitable products to less profitable products, or stockpiling and similar pantry-loading activity that could negatively impact future demand.</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Negative developments with respect to any of these items could have a material adverse effect on our business, results of operations, financial condition and/or cash flows.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19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If we overestimate or underestimate both channel and retail demand for any of our products during a given season, we may not maintain appropriate inventory levels, which could negatively impact our net sales, profit margins, net earnings, and/or working capital, hinder our ability to meet customer demand, result in loss of customers, or cause us to incur excess and obsolete inventory charges.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252" w:lineRule="exact"/>
        <w:rPr>
          <w:sz w:val="20"/>
          <w:szCs w:val="20"/>
          <w:color w:val="auto"/>
        </w:rPr>
      </w:pPr>
    </w:p>
    <w:p>
      <w:pPr>
        <w:jc w:val="both"/>
        <w:ind w:right="440" w:firstLine="648"/>
        <w:spacing w:after="0" w:line="257" w:lineRule="auto"/>
        <w:rPr>
          <w:sz w:val="20"/>
          <w:szCs w:val="20"/>
          <w:color w:val="auto"/>
        </w:rPr>
      </w:pPr>
      <w:r>
        <w:rPr>
          <w:rFonts w:ascii="Arial" w:cs="Arial" w:eastAsia="Arial" w:hAnsi="Arial"/>
          <w:sz w:val="18"/>
          <w:szCs w:val="18"/>
          <w:color w:val="auto"/>
        </w:rPr>
        <w:t>We sell certain of our products over the Internet through our online store and other e-commerce retail platforms, which represents a growing percentage of our overall net sales. The success of our e-commerce business depends on our investment in these platforms, consumer preferences and buying trends relating to e-commerce, and our ability to both maintain the continuous operation of our online store and our fulfillment operations that support both our own and retail e-commerce platforms. It is essential that these platforms provide a shopping experience that will generate orders and return visits to the respective platforms.</w:t>
      </w:r>
    </w:p>
    <w:p>
      <w:pPr>
        <w:spacing w:after="0" w:line="21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future success depends on creating and successfully competing in markets for our products including our ability to improve our existing product lines and products and to develop and manufacture new product lines and products to meet evolving consumer needs. We cannot provide any assurance that we will be successful in developing and manufacturing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192"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773" w:right="359" w:bottom="1440" w:gutter="0" w:footer="0" w:header="0"/>
        </w:sectPr>
      </w:pPr>
    </w:p>
    <w:bookmarkStart w:id="16" w:name="page17"/>
    <w:bookmarkEnd w:id="16"/>
    <w:p>
      <w:pPr>
        <w:ind w:right="180" w:firstLine="648"/>
        <w:spacing w:after="0" w:line="301" w:lineRule="auto"/>
        <w:rPr>
          <w:sz w:val="20"/>
          <w:szCs w:val="20"/>
          <w:color w:val="auto"/>
        </w:rPr>
      </w:pPr>
      <w:r>
        <w:rPr>
          <w:rFonts w:ascii="Arial" w:cs="Arial" w:eastAsia="Arial" w:hAnsi="Arial"/>
          <w:sz w:val="16"/>
          <w:szCs w:val="16"/>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including our ability to leverage new media such as digital media and social networks to reach existing and potential customers, we will have incurred significant expenses without the benefit of higher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top two retail customers together accounted for 39% of our fiscal 2021 net sales and 42% of our outstanding accounts receivable as of September 30, 2021. The loss of, or reduction in orders from, our top two retail customers, Home Depot and Lowe’s,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21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operations, including our reliance on third-party manufacturers, could harm our business.</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may not be able to maintain or develop efficient, low-cost manufacturing capability and processes that will enable us to meet the quality, price, design and product standards or production volumes required to successfully manufacture our products. Even if we are successful in maintaining and developing our manufacturing capabilities and processes, we may not be able to do so in time to satisfy the requirements of our customers.</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 to our customers.</w:t>
      </w:r>
    </w:p>
    <w:p>
      <w:pPr>
        <w:spacing w:after="0" w:line="214"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16" w:right="35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Our business is subject to risks associated with sourcing and manufacturing outside of the U.S. and risks from tariffs and/or international trade wars.</w:t>
      </w:r>
    </w:p>
    <w:p>
      <w:pPr>
        <w:spacing w:after="0" w:line="2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imports many of its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Tariffs on goods imported into the U.S., particularly goods from China, have increased the cost of goods purchased by the Company. Additional tariffs could be imposed by the U.S. with relatively short notice to the Company. These governmental actions could have, and any similar future actions may have, a material adverse effect on our business, financial condition and results of operations. The overall effect of these risks is that our costs may increase, which in turn may result in lower profitability if we are unable to offset such increases through higher prices, and/or that we may suffer a decline in sales if our customers do not accept price increases.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97"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including as a result of COVID-19,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transportation channels that we use to distribute our products may adversely affect our margins and profitability.</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experience disruptions to the transportation channels used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 For example, the COVID-19 pandemic and resulting shifts in demand or changes in our extended supply chain has resulted in several disruptions and delays, as well as quantity limits and price increases, in our transportation channels.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and/or our reporting of such matters.</w:t>
      </w:r>
    </w:p>
    <w:p>
      <w:pPr>
        <w:spacing w:after="0" w:line="25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There is an increasing focus from certain investors, customers, consumers, employees, and other stakeholders concerning corporate citizenship and sustainability matters. From time to time, we communicate certain initiatives, including goals, regarding environmental matters, responsible sourcing and social investments, including pursuant to our Corporate Responsibility Report.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51"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3" w:right="339" w:bottom="1440" w:gutter="0" w:footer="0" w:header="0"/>
        </w:sectPr>
      </w:pPr>
    </w:p>
    <w:bookmarkStart w:id="18" w:name="page19"/>
    <w:bookmarkEnd w:id="18"/>
    <w:p>
      <w:pPr>
        <w:ind w:right="180" w:firstLine="648"/>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 medicinal use, while the U.S. Controlled Substances Act and the laws of other U.S. states prohibit growing cannabis.</w:t>
      </w:r>
    </w:p>
    <w:p>
      <w:pPr>
        <w:spacing w:after="0" w:line="21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19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20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consumers,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25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Climate change continues to receive increasing global attention. The possible effects of climate change could include changes in rainfall patterns, water shortages, changing storm patterns and intensities, changing temperature levels and changes in legislation, regulation and international accords all of which could adversely impact our costs and business operations and the supply and demand for weather sensitive products such as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21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ectPr>
          <w:pgSz w:w="11900" w:h="16838" w:orient="portrait"/>
          <w:cols w:equalWidth="0" w:num="1">
            <w:col w:w="11240"/>
          </w:cols>
          <w:pgMar w:left="320" w:top="77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7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operate manufacturing, sales and service facilities outside of the United States, particularly in Canada, the Netherlands and China.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subject to risks associated with operating in foreign countries, including:</w:t>
      </w:r>
    </w:p>
    <w:p>
      <w:pPr>
        <w:spacing w:after="0" w:line="238"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23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9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In the event the Third Restated Agreement for Monsanto’s consumer Roundup® products terminates or Monsanto’s consumer Roundup® business materially declines, we would lose a substantial source of future earnings and overhead expense absorption.</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(i) become insolvent, (ii) commit a material breach, material fraud or material willful misconduct under the Third Restated Agreement, (iii) experience a change of control of the Company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2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Monsanto may also terminate the Third Restated Agreement in the event of (a) a change of control of Monsanto or a sale of the Roundup® 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 products in the lawn and garden market (a “Brand Decommissioning Event”), but, in each case, Monsanto would have to pay a termination fee to the Company.</w:t>
      </w:r>
    </w:p>
    <w:p>
      <w:pPr>
        <w:spacing w:after="0" w:line="215"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If circumstances exist or otherwise develop that result in a material decline in Monsanto’s consumer Roundup®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 business would not have a material adverse effect on our business, financial condition or results of operations.</w:t>
      </w:r>
    </w:p>
    <w:p>
      <w:pPr>
        <w:spacing w:after="0" w:line="21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the event that the Third Restated Agreement terminates or Monsanto’s consumer Roundup® business materially declines, we would lose all, or a substantial portion, of the significant source of earnings and overhead expense absorption the Third Restated Agreement provides.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16" w:right="339" w:bottom="1440" w:gutter="0" w:footer="0" w:header="0"/>
        </w:sectPr>
      </w:pPr>
    </w:p>
    <w:bookmarkStart w:id="20" w:name="page21"/>
    <w:bookmarkEnd w:id="20"/>
    <w:p>
      <w:pPr>
        <w:ind w:right="40" w:firstLine="648"/>
        <w:spacing w:after="0" w:line="296" w:lineRule="auto"/>
        <w:rPr>
          <w:sz w:val="20"/>
          <w:szCs w:val="20"/>
          <w:color w:val="auto"/>
        </w:rPr>
      </w:pPr>
      <w:r>
        <w:rPr>
          <w:rFonts w:ascii="Arial" w:cs="Arial" w:eastAsia="Arial" w:hAnsi="Arial"/>
          <w:sz w:val="16"/>
          <w:szCs w:val="16"/>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14" w:lineRule="exact"/>
        <w:rPr>
          <w:sz w:val="20"/>
          <w:szCs w:val="20"/>
          <w:color w:val="auto"/>
        </w:rPr>
      </w:pPr>
    </w:p>
    <w:p>
      <w:pPr>
        <w:ind w:right="660"/>
        <w:spacing w:after="0" w:line="381" w:lineRule="auto"/>
        <w:rPr>
          <w:sz w:val="20"/>
          <w:szCs w:val="20"/>
          <w:color w:val="auto"/>
        </w:rPr>
      </w:pPr>
      <w:r>
        <w:rPr>
          <w:rFonts w:ascii="Arial" w:cs="Arial" w:eastAsia="Arial" w:hAnsi="Arial"/>
          <w:sz w:val="15"/>
          <w:szCs w:val="15"/>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2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involved in legal proceedings and are subject to investigations, inspections, audits, inquiries and similar actions by governmental authorities, arising in the course of our business.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20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M&amp;A, Lending and Financing Activities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214"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ind w:left="980" w:right="200" w:hanging="324"/>
        <w:spacing w:after="0" w:line="25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 w:lineRule="exact"/>
        <w:rPr>
          <w:rFonts w:ascii="Arial" w:cs="Arial" w:eastAsia="Arial" w:hAnsi="Arial"/>
          <w:sz w:val="18"/>
          <w:szCs w:val="18"/>
          <w:color w:val="auto"/>
        </w:rPr>
      </w:pPr>
    </w:p>
    <w:p>
      <w:pPr>
        <w:ind w:left="980" w:right="780" w:hanging="324"/>
        <w:spacing w:after="0" w:line="26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3" w:right="339" w:bottom="1440" w:gutter="0" w:footer="0" w:header="0"/>
        </w:sectPr>
      </w:pPr>
    </w:p>
    <w:bookmarkStart w:id="21" w:name="page22"/>
    <w:bookmarkEnd w:id="21"/>
    <w:p>
      <w:pPr>
        <w:ind w:left="980" w:hanging="324"/>
        <w:spacing w:after="0" w:line="258" w:lineRule="auto"/>
        <w:tabs>
          <w:tab w:leader="none" w:pos="7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 w:lineRule="exact"/>
        <w:rPr>
          <w:rFonts w:ascii="Arial" w:cs="Arial" w:eastAsia="Arial" w:hAnsi="Arial"/>
          <w:sz w:val="18"/>
          <w:szCs w:val="18"/>
          <w:color w:val="auto"/>
        </w:rPr>
      </w:pPr>
    </w:p>
    <w:p>
      <w:pPr>
        <w:ind w:left="980" w:right="140" w:hanging="324"/>
        <w:spacing w:after="0" w:line="281" w:lineRule="auto"/>
        <w:tabs>
          <w:tab w:leader="none" w:pos="7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 w:lineRule="exact"/>
        <w:rPr>
          <w:rFonts w:ascii="Arial" w:cs="Arial" w:eastAsia="Arial" w:hAnsi="Arial"/>
          <w:sz w:val="16"/>
          <w:szCs w:val="16"/>
          <w:color w:val="auto"/>
        </w:rPr>
      </w:pPr>
    </w:p>
    <w:p>
      <w:pPr>
        <w:ind w:left="980" w:right="900" w:hanging="324"/>
        <w:spacing w:after="0" w:line="260" w:lineRule="auto"/>
        <w:tabs>
          <w:tab w:leader="none" w:pos="7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21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as well as legal, regulatory and macroeconomic factors beyond our control, such as deteriorating conditions in the world economy or in the industries served by the borrowers and federal legalization of the cannabis market.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As of September 30, 2021, we had $2,315.3 million of debt and $1,480.2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spacing w:after="0" w:line="211" w:lineRule="exact"/>
        <w:rPr>
          <w:sz w:val="20"/>
          <w:szCs w:val="20"/>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ind w:left="980" w:hanging="324"/>
        <w:spacing w:after="0" w:line="250" w:lineRule="auto"/>
        <w:tabs>
          <w:tab w:leader="none" w:pos="7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7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ability to make payments on or to refinance our indebtedness, fund planned capital expenditures and acquisitions, pay dividends and make repurchases of our common shares will depend on our ability to generate cash in the future which,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under our credit facility in amounts sufficient to enable us to pay our indebtedness or to fund our other liquidity needs.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773" w:right="359" w:bottom="1440" w:gutter="0" w:footer="0" w:header="0"/>
          <w:type w:val="continuous"/>
        </w:sectPr>
      </w:pPr>
    </w:p>
    <w:bookmarkStart w:id="22" w:name="page23"/>
    <w:bookmarkEnd w:id="22"/>
    <w:p>
      <w:pPr>
        <w:ind w:right="20" w:firstLine="648"/>
        <w:spacing w:after="0" w:line="271" w:lineRule="auto"/>
        <w:rPr>
          <w:sz w:val="20"/>
          <w:szCs w:val="20"/>
          <w:color w:val="auto"/>
        </w:rPr>
      </w:pPr>
      <w:r>
        <w:rPr>
          <w:rFonts w:ascii="Arial" w:cs="Arial" w:eastAsia="Arial" w:hAnsi="Arial"/>
          <w:sz w:val="17"/>
          <w:szCs w:val="17"/>
          <w:color w:val="auto"/>
        </w:rPr>
        <w:t>In addition, our credit facility and the indentures governing our 5.250% Senior Notes due 2026 (the “2026 Notes”), our 4.500% Senior Notes due 2029 (the “2029 Notes”), our 4.000% Senior Notes due 2031 (the “2031 Notes”) and our 4.375% Senior Notes due 2032 (the “2032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20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Subject to compliance with certain covenants under our credit facility and the indentures governing the 2026 Notes, the 2029 Notes, the 2031 Notes and the 2032 Notes, we may incur additional debt in the future. If we incur additional debt, the risks described above could intensify.</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our 2026 Notes, 2029 Notes, 2031 Notes and 2032 Notes.</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NRSROs rate the 2026 Notes, the 2029 Notes, the 2031 Notes, the 2032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2026 Notes, the 2029 Notes, the 2031 Notes or the 2032 Notes or placing us on a watch list for possible future downgrading could increase our cost of financing, limit our access to the capital markets and have an adverse effect on the market price of the 2026 Notes, the 2029 Notes, the 2031 Notes and the 2032 Notes.</w:t>
      </w: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Uncertainty regarding the LIBOR replacement process and expected discontinuance of LIBOR may adversely impact our current or future debt obligations, including under our credit facility and certain hedging arrangements.</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Certain of our debt obligations and instruments, including our credit facility and certain hedging arrangements, use the London Interbank Offered Rate (“LIBOR”) as a reference rate for establishing the variable interest rate applicable to such debt obligations and instruments. On July 27, 2017, the United Kingdom’s Financial Conduct Authority, which regulates LIBOR, announced that it intends to phase out LIBOR by the end of 2021. However, for U.S. dollar LIBOR, the cessation date has been deferred to June 30, 2023 for the most commonly used tenors (overnight and one, three and six months). This extension to 2023 means that many legacy U.S. dollar LIBOR contracts would terminate before related LIBOR rates cease to be published. The Federal Reserve System, in conjunction with the Alternative Reference Rates Committee, has recommended the replacement of LIBOR with a new index, calculated by short-term repurchase agreements collateralized by U.S. Treasury securities, called the Secured Overnight Financing Rate (“SOFR”). At this time, it is not certain that SOFR will prevail as the primary LIBOR replacement.</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LIBOR ceases to exist, we may need to renegotiate our credit facility since it utilizes LIBOR as a reference rate in determining the applicable interest rate. Our credit facility specifies that if it is not possible to ascertain LIBOR or certain other circumstances exist, we will endeavor to establish with the agent an alternative rate of interest that gives due consideration to the then prevailing market convention for determining a rate of interest for syndicated credit facilities in the United States at such time, which alternative rate shall not be objected to by a majority of lenders under our credit facility within a specified period of time. If we are not able to agree on an alternative rate of interest under our credit facility, then our indebtedness under the credit facility will bear interest with reference to the alternate base rate.</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also entered into LIBOR based interest rate swap agreements to manage our exposure to interest rate movements under certain of our variable-rate debt obligations Any replacement of LIBOR as the basis on which interest on our variable-rate debt and/or under our interest rate swaps is calculated may result in interest rates and/or payments that do not directly correlate over time with the interest rates and/or payments that would have been made on our obligations if LIBOR was available in its current form.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effect of the replacement of LIBOR on our cost of capital cannot yet be determined.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3" w:right="339" w:bottom="1440" w:gutter="0" w:footer="0" w:header="0"/>
        </w:sectPr>
      </w:pPr>
    </w:p>
    <w:bookmarkStart w:id="23" w:name="page24"/>
    <w:bookmarkEnd w:id="23"/>
    <w:p>
      <w:pPr>
        <w:ind w:right="80"/>
        <w:spacing w:after="0" w:line="277" w:lineRule="auto"/>
        <w:rPr>
          <w:sz w:val="20"/>
          <w:szCs w:val="20"/>
          <w:color w:val="auto"/>
        </w:rPr>
      </w:pPr>
      <w:r>
        <w:rPr>
          <w:rFonts w:ascii="Arial" w:cs="Arial" w:eastAsia="Arial" w:hAnsi="Arial"/>
          <w:sz w:val="18"/>
          <w:szCs w:val="18"/>
          <w:color w:val="auto"/>
        </w:rPr>
        <w:t>the hedge agreements, whether as a result of weakening financial stability or otherwise, could adversely affect our financial condition, results of operations or cash flows.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19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Company</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9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20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the use of certain fertilizer and pesticide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w:t>
      </w:r>
    </w:p>
    <w:p>
      <w:pPr>
        <w:spacing w:after="0" w:line="2" w:lineRule="exact"/>
        <w:rPr>
          <w:sz w:val="20"/>
          <w:szCs w:val="20"/>
          <w:color w:val="auto"/>
        </w:rPr>
      </w:pPr>
    </w:p>
    <w:p>
      <w:pPr>
        <w:ind w:right="140" w:firstLine="8"/>
        <w:spacing w:after="0" w:line="271"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20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21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the remediation of contaminated sites, air and water discharges from our facilities, and workplace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24" w:name="page25"/>
    <w:bookmarkEnd w:id="24"/>
    <w:p>
      <w:pPr>
        <w:ind w:right="80"/>
        <w:spacing w:after="0" w:line="273" w:lineRule="auto"/>
        <w:rPr>
          <w:sz w:val="20"/>
          <w:szCs w:val="20"/>
          <w:color w:val="auto"/>
        </w:rPr>
      </w:pPr>
      <w:r>
        <w:rPr>
          <w:rFonts w:ascii="Arial" w:cs="Arial" w:eastAsia="Arial" w:hAnsi="Arial"/>
          <w:sz w:val="17"/>
          <w:szCs w:val="17"/>
          <w:color w:val="auto"/>
        </w:rPr>
        <w:t>health and safety. 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20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9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on October 18, 2021, the Biden Administration announced a multi-agency plan to address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first term of the Biden Administration. It is possible that some of these actions may have an impact – direct or indirect – on our business. Until further detail is provided, we cannot predict the outcome or the severity of the impact of these proposed actions.</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9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2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19, 2021.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3" w:right="339" w:bottom="1440" w:gutter="0" w:footer="0" w:header="0"/>
        </w:sectPr>
      </w:pPr>
    </w:p>
    <w:bookmarkStart w:id="25" w:name="page26"/>
    <w:bookmarkEnd w:id="25"/>
    <w:p>
      <w:pPr>
        <w:ind w:right="620"/>
        <w:spacing w:after="0" w:line="311" w:lineRule="auto"/>
        <w:rPr>
          <w:sz w:val="20"/>
          <w:szCs w:val="20"/>
          <w:color w:val="auto"/>
        </w:rPr>
      </w:pPr>
      <w:r>
        <w:rPr>
          <w:rFonts w:ascii="Arial" w:cs="Arial" w:eastAsia="Arial" w:hAnsi="Arial"/>
          <w:sz w:val="16"/>
          <w:szCs w:val="16"/>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17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payment of quarterly cash dividends on and repurchase of our common shares pursuant to our stock repurchase program are subject to, among other things, our financial position and results of operations, available cash and cash flow, capital requirements, credit facility provisions and other factors. We have, over the past few years, increased the rate of cash dividends on, and repurchases of, our common shares. In the fourth quarter of fiscal 2021, we increased the amount of our quarterly cash dividend by 6% to $0.66 per common share. On February 6, 2020, the Scotts Miracle-Gro Board of Directors authorized a new share repurchase program allowing for repurchases of up to $750.0 million of common shares from April 30, 2020 through March 25, 2023. The total remaining share repurchase authorization as of September 30, 2021 is $636.9 million.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Notes and the Exchange Offer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original notes if you do not exchange them for exchange notes in the exchange offer.</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you do not exchange your original notes for exchange notes in the exchange offer, your original notes will continue to be subject to the restrictions on transfer as stated in the indenture and the legend on the original notes. In general, you may not offer, resell or otherwise transfer the original notes in the United States unless they are:</w:t>
      </w:r>
    </w:p>
    <w:p>
      <w:pPr>
        <w:spacing w:after="0" w:line="21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registered under the Securities Act;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offered or sold under an exemption from the registration requirements of the Securities Act and applicable state securities laws; or</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offered or sold in a transaction not subject to the registration requirements of the Securities Act and applicable state securities laws.</w:t>
      </w:r>
    </w:p>
    <w:p>
      <w:pPr>
        <w:spacing w:after="0" w:line="2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do not currently anticipate that we will register the original notes that are not exchanged in the exchange offer under the Securities Act or any state securities laws.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Holders of the original notes who do not tender their original notes will generally have no further registration rights under the registration rights agreement.</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Once the exchange offer is consummated, holders who do not tender their original notes will not, except in limited circumstances, have any further registration rights under the registration rights agreement. 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If you are eligible to participate in the exchange offer, you should not decline to do so based on the assumption that a shelf registration statement will be on file and effective when you intend to resell your original notes.</w:t>
      </w:r>
    </w:p>
    <w:p>
      <w:pPr>
        <w:spacing w:after="0" w:line="2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for the original notes may be significantly limited after the exchange offer, and you may be unable to sell your original notes after the exchange offer.</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 substantial amount of the original notes is tendered and accepted for exchange in the exchange offer, the trading market for the original notes that remain outstanding may be significantly limited. As a result, the liquidity of the original notes not tendered for exchange could be adversely affected. The extent of the market for the original notes and the availability of price quotations for the original notes will depend upon a number of factors, including the number of holders and the amount of original notes remaining outstanding and the interest of securities firms in maintaining a market in the original notes. If a substantially smaller amount of original notes remains outstanding after the exchange offer, the trading price for such remaining original notes may decline and become more volatile.</w:t>
      </w:r>
    </w:p>
    <w:p>
      <w:pPr>
        <w:spacing w:after="0" w:line="21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you fail to follow the exchange offer procedures, your original notes may not be accepted for exchange, and if your original notes are not accepted for exchange, they will continue to be subject to their existing transfer restrictions and you may be unable to sell them.</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73" w:right="339" w:bottom="1440" w:gutter="0" w:footer="0" w:header="0"/>
        </w:sectPr>
      </w:pPr>
    </w:p>
    <w:bookmarkStart w:id="26" w:name="page27"/>
    <w:bookmarkEnd w:id="26"/>
    <w:p>
      <w:pPr>
        <w:ind w:firstLine="648"/>
        <w:spacing w:after="0" w:line="271" w:lineRule="auto"/>
        <w:rPr>
          <w:sz w:val="20"/>
          <w:szCs w:val="20"/>
          <w:color w:val="auto"/>
        </w:rPr>
      </w:pPr>
      <w:r>
        <w:rPr>
          <w:rFonts w:ascii="Arial" w:cs="Arial" w:eastAsia="Arial" w:hAnsi="Arial"/>
          <w:sz w:val="17"/>
          <w:szCs w:val="17"/>
          <w:color w:val="auto"/>
        </w:rPr>
        <w:t>We are not required to accept your original notes for exchange if you do not comply with all of the exchange offer procedures. We are required to issue exchange notes in the exchange offer only upon satisfaction of the procedures described under “The Exchange Offer—Procedures for Tendering Original Notes.” Therefore, if you wish to tender your original notes, please carefully review the exchange offer procedures and allow sufficient time to ensure timely satisfaction of all such procedures. If we do not receive all required documentation at or prior to the expiration time, or if there are defects or irregularities with respect to your tender of original notes for exchange, we may not accept your original notes for exchange. Neither we nor the exchange agent are obligated to extend the expiration time or notify you of any defects or irregularities with respect to your tender of original notes for exchange. We have the right to waive any defects or irregularities, but we are not obligated to do so. If we do not accept your original notes for exchange, your original notes will continue to be subject to their existing transfer restrictions and you may be unable to sell them.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holders who participate in the exchange offer must deliver a prospectus in connection with any resales of their exchange notes.</w:t>
      </w:r>
    </w:p>
    <w:p>
      <w:pPr>
        <w:spacing w:after="0" w:line="2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Based on interpretations of the staff of the SEC contained in several no-action letters issued to third parties, we believe that the exchange notes issued in the exchange offer may be offered for resale, resold or otherwise transferred by you without compliance with the registration and prospectus delivery requirements of the Securities Act, assuming the truth of certain representations required to be made by you as described under “The Exchange Offer—Procedures for Tendering Original Notes.” If you do not meet these requirements, you must comply with the registration and prospectus delivery requirements of the Securities Act in connection with any resale transaction. In addition, a broker-dealer that purchased original notes for its own account as part of market-making activities or other trading activities must deliver a prospectus meeting the requirements of the Securities Act whenever it sells any exchange notes it receives in the exchange offer.</w:t>
      </w:r>
    </w:p>
    <w:p>
      <w:pPr>
        <w:spacing w:after="0" w:line="22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Our indebtedness could limit our flexibility, adversely affect our financial condition and prevent us from making payments on the notes. The terms of our senior secured credit agreement and the indentures governing the notes, our 5.250% senior notes due 2026 (the “2026 Notes”), our 4.500% senior notes due 2029 (the “2029 Notes”), and our 4.375% senior notes due 2032 (the “2032 Notes”) impose significant operating and financial restrictions on us and our subsidiaries, which could also adversely affect our operating flexibility and put us at a competitive disadvantage by preventing us from capitalizing on business opportunities.</w:t>
      </w:r>
    </w:p>
    <w:p>
      <w:pPr>
        <w:spacing w:after="0" w:line="21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of September 30, 2021, we had $2,315.3 million of debt outstanding (excluding $19.8 million of letters of credit outstanding) and $1,480.2 million of debt was available to be borrowed under our senior secured revolving credit facility. Our inability to meet restrictive financial and non-financial covenants associated with our senior secured credit agreement and the indentures governing the notes, the 2026 Notes, the 2029 Notes and the 2032 Notes, or to generate sufficient cash flow to repay maturing debt, could adversely affect our financial condition. For example, our debt level could:</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jc w:val="both"/>
        <w:ind w:left="980" w:right="12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3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ability to make payments on or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you any assurance that our business will generate sufficient cash flow from operating activities or that future borrowings will be available to us under our senior secured credit agreement in amounts sufficient to enable us to pay our indebtedness or to fund our other liquidity needs.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773" w:right="379" w:bottom="1440" w:gutter="0" w:footer="0" w:header="0"/>
        </w:sectPr>
      </w:pPr>
    </w:p>
    <w:bookmarkStart w:id="27" w:name="page28"/>
    <w:bookmarkEnd w:id="27"/>
    <w:p>
      <w:pPr>
        <w:ind w:firstLine="648"/>
        <w:spacing w:after="0" w:line="269" w:lineRule="auto"/>
        <w:rPr>
          <w:sz w:val="20"/>
          <w:szCs w:val="20"/>
          <w:color w:val="auto"/>
        </w:rPr>
      </w:pPr>
      <w:r>
        <w:rPr>
          <w:rFonts w:ascii="Arial" w:cs="Arial" w:eastAsia="Arial" w:hAnsi="Arial"/>
          <w:sz w:val="17"/>
          <w:szCs w:val="17"/>
          <w:color w:val="auto"/>
        </w:rPr>
        <w:t>In addition, our senior secured credit agreement and the indentures governing the notes, the 2026 Notes, the 2029 Notes and the 2032 Notes contain restrictive covenants and cross-default provisions. Our senior secured credit agreement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Any default under the agreements governing our indebtedness, including a default under the senior secured credit agreement or a default under the indentures governing the notes, the 2026 Notes, the 2029 Notes and the 2032 Notes that is not waived by the required lenders and the holders, respectively, and the remedies sought by the required lenders and the holders, respectively, could render us unable to pay the principal and interest on the notes and substantially decrease the market value of the notes. See “Description of Certain Other Indebtedness” and “Description of Notes.”</w:t>
      </w:r>
    </w:p>
    <w:p>
      <w:pPr>
        <w:spacing w:after="0" w:line="212"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Subject to compliance with certain covenants under our senior secured credit agreement and the indentures governing the notes, the 2026 Notes, the 2029 Notes and the 2032 Notes, we may incur additional debt in the future. If we incur additional debt, the risks described above could intensify.</w:t>
      </w:r>
    </w:p>
    <w:p>
      <w:pPr>
        <w:spacing w:after="0" w:line="15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senior secured credit agreement and the indentures governing the notes, the 2026 Notes, the 2029 Notes and the 2032 Notes impose significant operating and financial restrictions on us and our subsidiaries, which may prevent us from capitalizing on business opportunities.</w:t>
      </w:r>
    </w:p>
    <w:p>
      <w:pPr>
        <w:spacing w:after="0" w:line="151"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Our senior secured credit agreement and the indentures governing the notes, the 2026 Notes, the 2029 Notes and the 2032 Notes contain affirmative and negative covenants that restrict, among other things, our and our restricted subsidiaries’ ability to:</w:t>
      </w:r>
    </w:p>
    <w:p>
      <w:pPr>
        <w:spacing w:after="0" w:line="17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pay dividends or make distributions to our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repurchase or redeem our capital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980" w:right="160" w:hanging="324"/>
        <w:spacing w:after="0" w:line="265" w:lineRule="auto"/>
        <w:tabs>
          <w:tab w:leader="none" w:pos="97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color w:val="auto"/>
        </w:rPr>
        <w:t>in the case of the indentures governing the notes, the 2026 Notes, the 2029 Notes and the 2032 Notes, incur liens without granting equal and ratable liens to the holders of the notes, the 2026 Notes, the 2029 Notes and the 2032 Notes, as applicable;</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23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a result of these covenants, we will be limited in how we conduct our business and we may be unable to raise additional debt or equity financing that is necessary for us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 the holders and/or amend the covenants.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ability to generate sufficient cash flow from operations to make scheduled payments on the notes and our other debt service obligations will depend on our future financial performance, which will be affected by a range of general economic, competitive, legislative, regulatory, business and other factors, many of which are outside of our control. If we do not generate sufficient cash flow from operations to satisfy our debt service obligations, including interest payments and the payment of principal when due, we may have to undertake alternative financing plans, such as refinancing or restructuring our debt, selling assets, reducing or delaying capital investments, or seeking to raise additional capital. We cannot assure you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credit markets. Our inability to generate sufficient cash flow to satisfy our debt service obligations, or to refinance our obligations on commercially reasonable terms or on a timely basis, would have adverse material effect on our business, results of operations, financial condition and our ability to make payments on the notes. In addition, we are dependent on the cash flow of and dividends and distributions to us from our subsidiaries in order to service our current indebtedness. Our subsidiaries are separate and distinct legal entities and have no obligation, contingent or otherwise, to pay any amounts due pursuant to any indebtedness of ours, including the notes offered hereby, or to make any funds available therefor, whether by dividend, loan, distribution, payment or otherwise, except for those subsidiaries that have guaranteed our obligations under our outstanding indebtedness and that will guarantee our obligations under the notes. The ability of our subsidiaries to pay any dividends and distributions will be subject to, among other things, the terms of any debt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73" w:right="33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instruments of our subsidiaries then in effect as well as applicable law. There can be no assurance that our subsidiaries will generate cash flow sufficient to pay dividends or distributions to us that enable us to pay interest or principal on our existing indebtedness or the notes.</w:t>
      </w:r>
    </w:p>
    <w:p>
      <w:pPr>
        <w:spacing w:after="0" w:line="18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b w:val="1"/>
          <w:bCs w:val="1"/>
          <w:i w:val="1"/>
          <w:iCs w:val="1"/>
          <w:color w:val="auto"/>
        </w:rPr>
        <w:t>The notes and the guarantees will be unsecured and as such will be effectively subordinated to all of our and the subsidiary guarantors’ secured obligations to the extent of the value of the assets secured by such obligations.</w:t>
      </w:r>
    </w:p>
    <w:p>
      <w:pPr>
        <w:spacing w:after="0" w:line="21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notes and the guarantees will not be secured by any of our or our subsidiaries’ assets. The indenture governing the notes permits us and our subsidiaries to incur secured debt, including pursuant to our senior secured credit agreement and other forms of secured debt. As a result, the notes and the guarantees will be effectively subordinated to all of our and the subsidiary guarantors’ secured obligations to the extent of the value of the assets securing such obligations. As of September 30, 2021, we had total secured debt of $670.0 million (excluding $19.8 million of letters of credit outstanding), and $1,480.2 million of additional secured debt was available to be borrowed under our senior secured revolving credit facility.</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event that The Scotts Miracle-Gro Company or a subsidiary guarantor is declared bankrupt, becomes insolvent or is liquidated or reorganized, creditors whose debt is secured by assets of such company or subsidiary guarantor will be entitled to the remedies available to secured holders under applicable laws, including the foreclosure of the collateral securing such debt, before any payment may be made with respect to the notes or the affected guarantees. As a result, there may be insufficient assets to pay amounts due on the notes, and holders of the notes may receive less, ratably, than holders of our secured indebtedness.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assets of our non-guarantor subsidiaries may not be available to make payments on the notes and the notes will be structurally subordinated to any existing and future liabilities of our non-guarantor subsidiaries.</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Not all of our subsidiaries will be guarantors of the notes. Our present and future foreign subsidiaries and certain of our domestic subsidiaries will not be guarantors of the notes. Payments on the notes are only required to be made by the guarantors and us. As a result, no payments are required to be made from the assets of subsidiaries that do not guarantee the notes, unless those assets are transferred by dividend or otherwise to us or a guarantor. Our non-guarantor subsidiaries generated 8.5% of our consolidated net sales and 0.5% of our consolidated net income for the fiscal year ended September 30, 2021 and accounted for 10.0% of our consolidated assets and 3.6% of our consolidated liabilities as of September 30, 2021. As of September 30, 2021, the notes and the guarantees would have been structurally subordinated to $12.0 million of indebtedness of the non-guarantor subsidiaries.</w:t>
      </w:r>
    </w:p>
    <w:p>
      <w:pPr>
        <w:spacing w:after="0" w:line="191"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In the event of a bankruptcy, insolvency,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notes are effectively subordinated to all the liabilities of the non-guarantor subsidiaries.</w:t>
      </w:r>
    </w:p>
    <w:p>
      <w:pPr>
        <w:spacing w:after="0" w:line="1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the notes are rated investment grade at any time by both Moody’s and Standard &amp; Poor’s and there is no default or event of default occurring or continuing under the indenture governing the notes, most of the restrictive covenants and corresponding events of default contained in the indenture governing the notes will be suspended.</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at any time, the notes receive an investment grade rating from both Moody’s Investors Service and Standard &amp; Poor’s Ratings Services and there is no event of default occurring or continuing under the indenture governing the notes,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notes later fall below these thresholds or in certain other circumstances. However, during any period in which these restrictive covenants are suspended, we may incur other indebtedness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notes will have less credit protection than at the time the notes are issued.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of the notes may not be enforceable because of fraudulent conveyance laws.</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notes and the guarantees of the notes may be subject to review under federal bankruptcy laws or relevant state fraudulent conveyance or fraudulent transfer laws in an action commenced by us or a subsidiary guarantor (as debtors-in-possession), any bankruptcy trustee that has been appointed in a bankruptcy case, or by or on behalf of our creditors or the creditors of one or more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773" w:right="359" w:bottom="1440" w:gutter="0" w:footer="0" w:header="0"/>
        </w:sectPr>
      </w:pPr>
    </w:p>
    <w:bookmarkStart w:id="29" w:name="page30"/>
    <w:bookmarkEnd w:id="29"/>
    <w:p>
      <w:pPr>
        <w:ind w:right="680"/>
        <w:spacing w:after="0" w:line="277" w:lineRule="auto"/>
        <w:rPr>
          <w:sz w:val="20"/>
          <w:szCs w:val="20"/>
          <w:color w:val="auto"/>
        </w:rPr>
      </w:pPr>
      <w:r>
        <w:rPr>
          <w:rFonts w:ascii="Arial" w:cs="Arial" w:eastAsia="Arial" w:hAnsi="Arial"/>
          <w:sz w:val="18"/>
          <w:szCs w:val="18"/>
          <w:color w:val="auto"/>
        </w:rPr>
        <w:t>subsidiary guarantor. Generally, under these laws, if in such an action or case a court were to find that at the time we issued the notes or one of our subsidiaries issued a guarantee of the notes:</w:t>
      </w:r>
    </w:p>
    <w:p>
      <w:pPr>
        <w:spacing w:after="0" w:line="19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issued the notes or such subsidiary issued a guarantee with the intent of hindering, delaying or defrauding current or future creditors; or</w:t>
      </w:r>
    </w:p>
    <w:p>
      <w:pPr>
        <w:spacing w:after="0" w:line="46" w:lineRule="exact"/>
        <w:rPr>
          <w:rFonts w:ascii="Arial" w:cs="Arial" w:eastAsia="Arial" w:hAnsi="Arial"/>
          <w:sz w:val="16"/>
          <w:szCs w:val="16"/>
          <w:color w:val="auto"/>
        </w:rPr>
      </w:pPr>
    </w:p>
    <w:p>
      <w:pPr>
        <w:ind w:left="980" w:right="40" w:hanging="324"/>
        <w:spacing w:after="0" w:line="250"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such subsidiary guarantor received less than reasonably equivalent value or fair consideration for issuing the notes or a guarantee of the notes, as the case may be, and we or such subsidiary guarantor:</w:t>
      </w: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 or such guarantee,</w:t>
      </w:r>
    </w:p>
    <w:p>
      <w:pPr>
        <w:spacing w:after="0" w:line="9" w:lineRule="exact"/>
        <w:rPr>
          <w:rFonts w:ascii="Arial" w:cs="Arial" w:eastAsia="Arial" w:hAnsi="Arial"/>
          <w:sz w:val="18"/>
          <w:szCs w:val="18"/>
          <w:color w:val="auto"/>
        </w:rPr>
      </w:pPr>
    </w:p>
    <w:p>
      <w:pPr>
        <w:ind w:left="1300" w:right="600" w:hanging="320"/>
        <w:spacing w:after="0" w:line="250"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or such subsidiary guarantor’s remaining assets constituted unreasonably small capital to carry on our or such subsidiary guarantor’s business, or</w:t>
      </w:r>
    </w:p>
    <w:p>
      <w:pPr>
        <w:jc w:val="both"/>
        <w:ind w:left="980" w:right="280" w:hanging="324"/>
        <w:spacing w:after="0" w:line="255"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intended to incur, or believed that we or such subsidiary guarantor would incur, indebtedness or other obligations beyond the ability to pay such indebtedness or obligations as they matured (as all of the foregoing terms are defined in, or interpreted under, the relevant fraudulent transfer or conveyance statutes);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 the court could void the notes or such guarantee, as the case may be, subordinate the amounts owing under the notes or such guarantee to our presently existing or future indebtedness, or take other actions detrimental to you.</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we or a subsidiary guarantor did not receive reasonably equivalent value or fair consideration for the notes or its subsidiary guarantee to the extent we or such subsidiary guarantor did not obtain a reasonably equivalent benefit from the issuance of the notes.</w:t>
      </w:r>
    </w:p>
    <w:p>
      <w:pPr>
        <w:spacing w:after="0" w:line="21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measure of insolvency for purposes of the foregoing considerations will vary depending upon the law of the jurisdiction that is being applied in any such proceeding, such that we cannot assure you which standard a court would apply in determining whether we or a subsidiary guarantor was “insolvent” at the relevant time or that, regardless of method of valuation, a court would not determine that we or a subsidiary guarantor was insolvent on that date, or that a court would not determine, regardless of whether or not we or a subsidiary guarantor was insolvent on the date the notes or subsidiary guarantee was issued, that payments to holders of the notes constituted preferences, fraudulent transfers or conveyances on other grounds. Generally, a company would be considered insolvent if, at the time it incurred indebtedness or issued a guarantee:</w:t>
      </w:r>
    </w:p>
    <w:p>
      <w:pPr>
        <w:spacing w:after="0" w:line="20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its assets, at fair valuation; or</w:t>
      </w:r>
    </w:p>
    <w:p>
      <w:pPr>
        <w:spacing w:after="0" w:line="9" w:lineRule="exact"/>
        <w:rPr>
          <w:rFonts w:ascii="Arial" w:cs="Arial" w:eastAsia="Arial" w:hAnsi="Arial"/>
          <w:sz w:val="18"/>
          <w:szCs w:val="18"/>
          <w:color w:val="auto"/>
        </w:rPr>
      </w:pPr>
    </w:p>
    <w:p>
      <w:pPr>
        <w:ind w:left="980" w:right="560" w:hanging="324"/>
        <w:spacing w:after="0" w:line="260"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required to pay the probable liability on its total existing debts and liabilities (including contingent liabilities) as they become absolute and mature.</w:t>
      </w:r>
    </w:p>
    <w:p>
      <w:pPr>
        <w:spacing w:after="0" w:line="21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a note or subsidiary guarantee is voided as a fraudulent conveyance or is found to be unenforceable for any other reason, you will not have a claim against us or such subsidiary guarantor. In addition, bankruptcy or similar laws may also apply to the avoidance of any subsidiary guarantee granted in the future by any of our subsidiaries pursuant to the indenture governing the notes, which are subject to the risk of being declared an avoidable preference to the extent they are issued after the date the notes are issued.</w:t>
      </w:r>
    </w:p>
    <w:p>
      <w:pPr>
        <w:spacing w:after="0" w:line="21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Each subsidiary guarantee contains a provision intended to limit the subsidiary guarantor’s liability to the maximum amount that it could incur without causing the incurrence of obligations under its subsidiary guarantee to be a fraudulent conveyance. However, there can be no assurance as to what standard a court will apply in making a determination of the maximum liability of each subsidiary guarantor. Moreover, this provision may not be effective to protect the subsidiary guarantees from being voided under fraudulent conveyance laws; in a Florida bankruptcy case, which was reversed by a district court on other grounds and then reinstated by the applicable circuit court of appeals, this kind of provision was found to be ineffective to protect the guarantees. There is a possibility that the entire guarantee may be set aside, in which case the entire liability may be extinguished.</w:t>
      </w:r>
    </w:p>
    <w:p>
      <w:pPr>
        <w:spacing w:after="0" w:line="19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To the extent a court voids a subsidiary guarantee as a fraudulent transfer, preference or conveyance or holds it unenforceable for any other reason, holders of the notes would cease to have a direct claim against the subsidiary guarantor that delivered the subsidiary guarantee and would be creditors solely of us and, if applicable, of any other subsidiary guarantor under the relevant subsidiary guarantees that have not been declared void. In the event that any subsidiary guarantee is declared invalid or unenforceable, in whole or in part, the notes would be, to the extent of such invalidity or unenforceability, effectively subordinated to all liabilities of the applicable subsidiary guarantor, and if we cannot satisfy our obligations under the notes or any subsidiary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773" w:right="35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guarantee is found to be a preference, fraudulent transfer or conveyance or is otherwise set aside, we cannot assure you that we can ever repay in full any amounts outstanding under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or be permitted by our existing indebtedness to purchase notes upon a change of control.</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there is a change of control under the terms of the indenture governing the notes, each holder of notes may require us to purchase all or a portion of its notes at a purchase price equal to 101% of the principal amount thereof, plus accrued and unpaid interest, if any, to the date of purchase. However, we can provide no assurance that we will have or will be able to borrow sufficient funds at the time of any change of control to make the required repurchases of the notes, or that restrictions in our senior secured credit agreement or the documents governing our other indebtedness would permit us to make the required repurchases. Any failure by us to repurchase the notes upon a change of control would result in a default under the indenture governing the notes. In addition, a change of control may constitute an event of default under our senior secured credit agreement or the documents governing our other indebtedness, and the indenture governing the 2026 Notes, the 2029 Notes and the 2032 Notes requires that the 2026 Notes, the 2029 Notes and the 2032 Notes be repurchased or repaid upon the occurrence of certain kinds of change of control events. A default under our senior secured credit agreement or the documents governing our other indebtedness could result in a default under the indenture governing the notes if the lenders elect to accelerate the indebtedness under such documents. See “Description of Notes—Repurchase at the Option of Holders—Offer to Repurchase upon Change of Control.”</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19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exchange notes are a new issue of securities for which there is currently no active trading market. We do not intend to list the exchange notes on any national securities exchange or to seek their quotation on any automated dealer quotation system. The liquidity of a trading market in the exchange notes, if any, and the future trading prices of the exchange notes will depend on many factors including:</w:t>
      </w:r>
    </w:p>
    <w:p>
      <w:pPr>
        <w:spacing w:after="0" w:line="21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similar securities;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including general economic conditions and our financial condition, performance and prospects.</w:t>
      </w:r>
    </w:p>
    <w:p>
      <w:pPr>
        <w:spacing w:after="0" w:line="23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market for non-investment grade debt securities has historically been subject to disruptions that have caused price volatility independent of the operating and financial performance of the issuers of these securities. It is possible that the market for the exchange notes will be subject to these kinds of disruptions. Accordingly, declines in the liquidity and market price of the exchange notes may occur independent of our operating and financial performance. We can provide no assurances that an active trading market for the exchange notes will develop or be maintained. If an active trading market does not develop or is not maintained, the market price and liquidity of the exchange notes may be adversely affected. In that case, a holder of exchange notes may not be able to sell its exchange notes at a particular time or at a favorable price.</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initial purchasers of the original notes have advised us that they intend to make a market in the exchange notes, but they are not obligated to do so. The initial purchasers may also discontinue market making activities at any time for any or no reason, without notice, which could further negatively impact the ability of a holder of notes to sell its exchange notes or the prevailing market price at the time it chooses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the exchange notes may be subject to substantial volatility.</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real or perceived economic downturn or higher interest rates could cause a decline in the value of, or otherwise negatively impact the market for, the exchange notes. Because an active trading market may not develop for the exchange notes, it may be more difficult to sell and accurately value the exchange notes. In addition, the market for high-yield notes can experience sudden and sharp price swings, which may impact the valuation of the exchange notes and may be further exacerbated by large or sustained sales by major investors in the exchange notes, a high-profile default by another issuer or a change in the market for high-yield notes.</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may adversely affect our cost of financing and the market price of the notes, the 2026 Notes, the 2029 Notes and the 2032 Notes.</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NRSROs rate the notes, the 2026 Notes, the 2029 Notes, the 2032 Notes and us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notes, the 2026 Notes, the 2029 Notes or the 2032 Notes or placing us on a watch list for possible future downgrading could increase our cost of financing, limit our access to the capital markets and have an adverse effect on the market price of the notes, the 2026 Notes, the 2029 Notes and the 2032 Notes.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3"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we will receive an equal principal amount of the original notes. We will cancel all of the original notes that are tendered and accepted for exchange. Accordingly, no additional debt will result from the exchange offer. We have agreed to bear all expenses of the exchange offer.</w:t>
      </w:r>
    </w:p>
    <w:p>
      <w:pPr>
        <w:spacing w:after="0" w:line="21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used the net proceeds from the private placement of the original notes to reduce borrowings under our senior secured revolving credit facility and held the remaining funds in short term investments pending business needs. Amounts repaid under our senior secured revolving credit facility may be reborrowed.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cash and cash equivalents and capitalization as of September 30, 2021. See “Use of Proceeds.”</w:t>
      </w:r>
    </w:p>
    <w:p>
      <w:pPr>
        <w:spacing w:after="0" w:line="27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You should read this table in conjunction with our consolidated financial statements and the notes thereto and our “Management’s Discussion and Analysis of Financial Condition and Results of Operations” contained in our Annual Report on Form 10-K for the fiscal year ended September 30, 2021, which is incorporated by reference in this prospectus.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As of September 30, 2021</w:t>
            </w:r>
          </w:p>
        </w:tc>
        <w:tc>
          <w:tcPr>
            <w:tcW w:w="0" w:type="dxa"/>
            <w:vAlign w:val="bottom"/>
          </w:tcPr>
          <w:p>
            <w:pPr>
              <w:spacing w:after="0"/>
              <w:rPr>
                <w:sz w:val="1"/>
                <w:szCs w:val="1"/>
                <w:color w:val="auto"/>
              </w:rPr>
            </w:pPr>
          </w:p>
        </w:tc>
      </w:tr>
      <w:tr>
        <w:trPr>
          <w:trHeight w:val="195"/>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412"/>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61"/>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debt (including current portions):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agreement—term loan</w:t>
            </w:r>
            <w:r>
              <w:rPr>
                <w:rFonts w:ascii="Arial" w:cs="Arial" w:eastAsia="Arial" w:hAnsi="Arial"/>
                <w:sz w:val="9"/>
                <w:szCs w:val="9"/>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Senior secured credit agreement—senior secured revolving credit facility</w:t>
            </w:r>
            <w:r>
              <w:rPr>
                <w:rFonts w:ascii="Arial" w:cs="Arial" w:eastAsia="Arial" w:hAnsi="Arial"/>
                <w:sz w:val="9"/>
                <w:szCs w:val="9"/>
                <w:color w:val="auto"/>
              </w:rPr>
              <w:t>(1)(2)</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facility</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5.250% senior notes due 2026</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4.500% senior notes due 2029</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4.000% senior notes due 2031</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notes due 2032</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2,315.3</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23"/>
        </w:trPr>
        <w:tc>
          <w:tcPr>
            <w:tcW w:w="6580" w:type="dxa"/>
            <w:vAlign w:val="bottom"/>
          </w:tcPr>
          <w:p>
            <w:pPr>
              <w:ind w:left="660"/>
              <w:spacing w:after="0"/>
              <w:rPr>
                <w:sz w:val="20"/>
                <w:szCs w:val="20"/>
                <w:color w:val="auto"/>
              </w:rPr>
            </w:pPr>
            <w:r>
              <w:rPr>
                <w:rFonts w:ascii="Arial" w:cs="Arial" w:eastAsia="Arial" w:hAnsi="Arial"/>
                <w:sz w:val="18"/>
                <w:szCs w:val="18"/>
                <w:color w:val="auto"/>
              </w:rPr>
              <w:t>Total capitalization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180" w:hanging="492"/>
        <w:spacing w:after="0" w:line="277" w:lineRule="auto"/>
        <w:tabs>
          <w:tab w:leader="none" w:pos="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senior secured credit agreement provides us with secured loan facilities in the aggregate principal amount of $2.3 billion, comprised of a senior secured revolving credit facility of $1.5 billion and a term loan in the original principal amount of $800 million.</w:t>
      </w:r>
    </w:p>
    <w:p>
      <w:pPr>
        <w:spacing w:after="0" w:line="197" w:lineRule="exact"/>
        <w:rPr>
          <w:rFonts w:ascii="Arial" w:cs="Arial" w:eastAsia="Arial" w:hAnsi="Arial"/>
          <w:sz w:val="18"/>
          <w:szCs w:val="18"/>
          <w:color w:val="auto"/>
        </w:rPr>
      </w:pPr>
    </w:p>
    <w:p>
      <w:pPr>
        <w:ind w:left="500" w:right="400" w:hanging="492"/>
        <w:spacing w:after="0" w:line="277"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outstanding borrowings under our senior secured revolving credit facility as of September 30, 2021 exclude $19.8 million of letters of credit outstanding. See “Description of Certain Other Indebtedness—Senior Secured Credit Agreement.”</w:t>
      </w:r>
    </w:p>
    <w:p>
      <w:pPr>
        <w:spacing w:after="0" w:line="197" w:lineRule="exact"/>
        <w:rPr>
          <w:rFonts w:ascii="Arial" w:cs="Arial" w:eastAsia="Arial" w:hAnsi="Arial"/>
          <w:sz w:val="18"/>
          <w:szCs w:val="18"/>
          <w:color w:val="auto"/>
        </w:rPr>
      </w:pPr>
    </w:p>
    <w:p>
      <w:pPr>
        <w:ind w:left="500" w:hanging="492"/>
        <w:spacing w:after="0" w:line="259" w:lineRule="auto"/>
        <w:tabs>
          <w:tab w:leader="none" w:pos="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receivables facility, we may sell a portfolio of available and eligible outstanding customer accounts receivable to the purchasers and simultaneously agree to repurchase the receivables on a weekly basis. The eligible amount of customer accounts receivables which may be sold is up to $400 million and the commitment amount during the seasonal commitment period is up to $160 million. See “Description of Certain Other Indebtedness—Receivables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5"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5.250% Senior Notes due 2026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December 15, 2016, we completed the sale of $250 million aggregate principal amount of our 2026 Notes. The 2026 Notes were sold in a private placement exempt from the registration requirements under the Securities Act pursuant to a purchase agreement, dated December 12, 2016 (the “2026 Purchase Agreement”), among the Company, the subsidiary guarantors party thereto and Merrill Lynch, Pierce, Fenner &amp; Smith Incorporated, as an initial purchaser and representative of the several other initial purchasers named in the 2026 Purchase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2026 Notes are our unsecured senior obligations and rank equal in right of payment with our existing and future senior debt. Our obligations under the 2026 Notes are fully and unconditionally guaranteed by each of our domestic subsidiaries that guarantee our senior secured credit agreement (the “2026 Notes Guarantees”). The 2026 Notes Guarantees are unsecured general obligations of the subsidiary guarantors and rank equal in right of payment with all existing and future liabilities of the subsidiary guarantors that are not subordinated in right of payment to the 2026 Notes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52"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At any time prior to December 15, 2021, we may redeem the 2026 Notes, in whole or in part, at a “make-whole” redemption price, plus accrued and unpaid interest to the date of redemption as set forth in the indenture governing the 2026 Notes. On and after December 15, 2021, we may redeem the notes, in whole or in part, at the applicable redemption prices plus accrued and unpaid interest, as set forth in the indenture governing the 2026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on the 2026 Notes accrues at a rate of 5.250% per annum from December 15, 2016. Interest on the 2026 Notes is payable semi-annually in cash in arrears on June 15 and December 15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indenture governing the 2026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2021, we were in compliance with all covenants under the indenture governing the 2026 Notes.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on any date following the issue date of the 2026 Notes, the 2026 Notes have an investment grade rating from both ratings agencies agreed to the in the indenture governing the 2026 Notes, and no default or event of default has occurred and is continuing under the indenture governing the 2026 Notes, then beginning on that day our obligation to comply with certain of the covenants above will be suspended.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terms of our 2026 Notes include customary events of default, including: (i) non-payment for 30 days of interest on the 2026 Notes; (ii) non-payment when due of the principal of or premium, if any, on the 2026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indenture governing the 2026 Notes which default continues for a period of 60 days after we receive written notice specifying the default from the 2026 Notes trustee or the holders of at least 25% of the outstanding principal amount of the 2026 Notes; (vi) defaults under other debt instruments or contingent obligations in excess of $100 million, including a default under the notes offered in this offering memorandum; (vii) judgments entered against us or any of our significant subsidiaries involving a liability in excess of $100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4.500% Senior Notes due 2029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October 22, 2019, we completed the sale of $450 million aggregate principal amount of our 2029 Notes. The 2029 Notes were sold in a private placement exempt from the registration requirements under the Securities Act pursuant to a purchase agreement, dated October 8, 2019 (the “2029 Purchase Agreement”), among the Company, the subsidiary guarantors party thereto and J.P. Morgan Securities LLC, as an initial purchaser and representative of the several other initial purchasers named in the 2029 Purchase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2029 Notes are our unsecured senior obligations and rank equal in right of payment with our existing and future senior debt. Our obligations under the 2029 Notes are fully and unconditionally guaranteed by each of our domestic subsidiaries that guarantee our senior secured credit agreement (the “2029 Notes Guarantees”). The 2029 Notes Guarantees are unsecured general obligations of the subsidiary guarantors and rank equal in right of payment with all existing and future liabilities of the subsidiary guarantors that are not subordinated in right of payment to the 2029 Notes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52"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At any time prior to October 15, 2024, we may redeem the 2029 Notes, in whole or in part, at a “make-whole” redemption price, plus accrued and unpaid interest to the date of redemption as set forth in the indenture governing the 2029 Notes. On and after October 15, 2024, we may redeem the notes, in whole or in part, at the applicable redemption prices plus accrued and unpaid interest, as set forth in the indenture governing the 2029 Notes.</w:t>
      </w:r>
    </w:p>
    <w:p>
      <w:pPr>
        <w:spacing w:after="0" w:line="17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Prior to October 15, 2022, we may on any one or more occasions redeem up to 35% of the aggregate principal amount of the 2029 Notes with net cash proceeds of one or more equity offerings at a redemption price of 104.500% of the principal amount thereof, plus accrued and unpaid interest, if any,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least 65% of the aggregate principal amount of the notes issued under the indenture governing the 2029 Notes remains outstanding after each such redemption and (ii) the redemption occurs within 60 days after the closing of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on the 2029 Notes accrues at a rate of 4.500% per annum from October 22, 2019. Interest on the 2029 Notes is payable semi-annually in cash in arrears on April 15 and October 15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indenture governing the 2029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2021, we were in compliance with all covenants under the indenture governing the 2029 Notes.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on any date following the issue date of the 2029 Notes, the 2029 Notes have an investment grade rating from both ratings agencies agreed to the in the indenture governing the 2029 Notes, and no default or event of default has occurred and is continuing under the indenture governing the 2029 Notes, then beginning on that day our obligation to comply with certain of the covenants above will be suspended.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terms of our 2029 Notes include customary events of default, including: (i) non-payment for 30 days of interest on the 2029 Notes; (ii) non-payment when due of the principal of or premium, if any, on the 2029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indenture governing the 2029 Notes which default continues for a period of 60 days after we receive written notice specifying the default from the 2029 Notes trustee or the holders of at least 25% of the outstanding principal amount of the 2029 Notes; (vi) defaults under other debt instruments or contingent obligations in excess of $100 million, including a default under the notes offered in this offering memorandum; (vii) judgments entered against us or any of our significant subsidiaries involving a liability in excess of $100 million; (viii) failure of a subsidiary guarantee of any significant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69" w:right="339" w:bottom="1440" w:gutter="0" w:footer="0" w:header="0"/>
        </w:sectPr>
      </w:pPr>
    </w:p>
    <w:bookmarkStart w:id="34" w:name="page35"/>
    <w:bookmarkEnd w:id="34"/>
    <w:p>
      <w:pPr>
        <w:jc w:val="both"/>
        <w:ind w:right="760"/>
        <w:spacing w:after="0" w:line="342" w:lineRule="auto"/>
        <w:rPr>
          <w:sz w:val="20"/>
          <w:szCs w:val="20"/>
          <w:color w:val="auto"/>
        </w:rPr>
      </w:pPr>
      <w:r>
        <w:rPr>
          <w:rFonts w:ascii="Arial" w:cs="Arial" w:eastAsia="Arial" w:hAnsi="Arial"/>
          <w:sz w:val="16"/>
          <w:szCs w:val="16"/>
          <w:color w:val="auto"/>
        </w:rPr>
        <w:t>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4.375% Senior Notes due 2032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On August 13, 2021, we completed the sale of $400 million aggregate principal amount of our 2032 Notes. The 2032 Notes were sold in a private placement exempt from the registration requirements under the Securities Act pursuant to a purchase agreement, dated August 10, 2021 (the “2032 Purchase Agreement”), among the Company, the subsidiary guarantors party thereto and Wells Fargo Securities, LLC, as an initial purchaser and representative of the several other initial purchasers named in the 2032 Purchase Agreement. We are conducting an exchange offer for the 2032 Notes at or about the same time as we are conducting this exchange offer for the 2031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2032 Notes are our unsecured senior obligations and rank equal in right of payment with our existing and future senior debt. Our obligations under the 2032 Notes are fully and unconditionally guaranteed by each of our domestic subsidiaries that guarantee our senior secured credit agreement (the “2032 Notes Guarantees”). The 2032 Notes Guarantees are unsecured general obligations of the subsidiary guarantors and rank equal in right of payment with all existing and future liabilities of the subsidiary guarantors that are not subordinated in right of payment to the 2032 Notes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52"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At any time prior to August 1, 2026, we may redeem the 2032 Notes, in whole or in part, at a “make-whole” redemption price, plus accrued and unpaid interest to the date of redemption as set forth in the indenture governing the 2032 Notes. On and after August 1, 2026, we may redeem the notes, in whole or in part, at the applicable redemption prices plus accrued and unpaid interest, as set forth in the indenture governing the 2032 Notes.</w:t>
      </w:r>
    </w:p>
    <w:p>
      <w:pPr>
        <w:spacing w:after="0" w:line="176"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Prior to August 1, 2024, we may on any one or more occasions redeem up to 35% of the aggregate principal amount of the 2032 Notes with net cash proceeds of one or more equity offerings at a redemption price of 104.375% of the principal amount thereof, plus accrued and unpaid interest, if any,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least 65% of the aggregate principal amount of the notes issued under the indenture governing the 2032 Notes remains outstanding after each such redemption and (ii) the redemption occurs within 60 days after the closing of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Interest on the 2032 Notes accrues at a rate of 4.375% per annum from August 13, 2021. Interest on the 2032 Notes is payable semi-annually in cash in arrears on February 1 and August 1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indenture governing the 2032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2021, we were in compliance with all covenants under the indenture governing the 2032 Notes.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on any date following the issue date of the 2032 Notes, the 2032 Notes have an investment grade rating from both ratings agencies agreed to the in the indenture governing the 2032 Notes, and no default or event of default has occurred and is continuing under the indenture governing the 2032 Notes, then beginning on that day our obligation to comply with certain of the covenants above will be suspended.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terms of our 2032 Notes include customary events of default, including: (i) non-payment for 30 days of interest on the 2032 Notes; (ii) non-payment when due of the principal of or premium, if any, on the 2032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73" w:right="339" w:bottom="1440" w:gutter="0" w:footer="0" w:header="0"/>
        </w:sectPr>
      </w:pPr>
    </w:p>
    <w:bookmarkStart w:id="35" w:name="page36"/>
    <w:bookmarkEnd w:id="35"/>
    <w:p>
      <w:pPr>
        <w:ind w:right="40"/>
        <w:spacing w:after="0" w:line="254" w:lineRule="auto"/>
        <w:rPr>
          <w:sz w:val="20"/>
          <w:szCs w:val="20"/>
          <w:color w:val="auto"/>
        </w:rPr>
      </w:pPr>
      <w:r>
        <w:rPr>
          <w:rFonts w:ascii="Arial" w:cs="Arial" w:eastAsia="Arial" w:hAnsi="Arial"/>
          <w:sz w:val="18"/>
          <w:szCs w:val="18"/>
          <w:color w:val="auto"/>
        </w:rPr>
        <w:t>performance of any other covenant or agreement contained in the indenture governing the 2032 Notes which default continues for a period of 60 days after we receive written notice specifying the default from the 2032 Notes trustee or the holders of at least 25% of the outstanding principal amount of the 2032 Notes; (vi) defaults under other debt instruments or contingent obligations in excess of $250 million, including a default under the notes offered in this offering memorandum; (vii) judgments entered against us or any of our significant subsidiaries involving a liability in excess of $250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July 5, 2018, we entered into a fifth amended and restated credit agreement providing us and certain of our subsidiaries with five-year senior secured loan facilities in the aggregate principal amount of $2.3 billion, comprised of a revolving credit facility of $1.5 billion and a term loan in the original principal amount of $800.0 million.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$75.0 million. Borrowings on the senior secured revolving credit facility may be made in various currencies, including U.S. dollars, euro, British pounds and Canadian dollars. The senior secured credit agreement terminates on July 5,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senior secured credit agreement is secured by (i) a perfected first priority security interest in all of the accounts receivable, inventory and equipment of us and those of our domestic subsidiaries that are parties to the fifth amended and restated guarantee and collateral agreement and (ii) the pledge of all of the capital stock of our domestic subsidiaries that are parties to the fifth amended and restated guarantee and collateral agreement and 65% of the capital stock of our first-tier foreign subsidiaries, in each case subject to exceptions and minimum thresholds. The collateral does not include any of our or our subsidiaries’ intellectual property.</w:t>
      </w:r>
    </w:p>
    <w:p>
      <w:pPr>
        <w:spacing w:after="0" w:line="21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obligations under the senior secured credit agreement are guaranteed by substantially all of our domestic subsidiaries. The same subsidiaries that have guaranteed our obligations under the senior secured credit agreement will guarantee the notes offered in this offering memorandum.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Loans made under our senior secured credit agreement bear interest, at our election, at a per annum rate equal to either (i) the Alternate Base Rate plus the Applicable Spread (each, as defined in the senior secured credit agreement) or (ii) the Adjusted LIBO Rate for the Interest Period in effect for such borrowing plus the Applicable Spread (all as defined in the senior secured credit agreement). Swingline loans shall bear interest at the applicable Swingline Rate (as defined in the senior secured credit agreement) set forth in the senior secured credit agreement. As of September 30, 2021, the Applicable Spread per annum was 0.80% with respect to Eurocurrency Revolving Loans, 1.00% with respect to Eurocurrency Tranche A Term Loans, 0.00% with respect to ABR Revolving Loans and 0.00% with respect to ABR Tranche A Term Loans. The corresponding annual facility fee rate on the senior secured revolving credit facility was 0.20% as of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terms of our senior secured credit agreement include negative covenants setting forth limitations, subject to negotiated exceptions, on:</w:t>
      </w:r>
    </w:p>
    <w:p>
      <w:pPr>
        <w:spacing w:after="0" w:line="35" w:lineRule="exact"/>
        <w:rPr>
          <w:sz w:val="20"/>
          <w:szCs w:val="20"/>
          <w:color w:val="auto"/>
        </w:rPr>
      </w:pPr>
    </w:p>
    <w:p>
      <w:pPr>
        <w:ind w:firstLine="8"/>
        <w:spacing w:after="0" w:line="281" w:lineRule="auto"/>
        <w:tabs>
          <w:tab w:leader="none" w:pos="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(ii) fundamental changes; (iii) acquisitions, investments, loans and advances; (iv) indebtedness; (v) restrictions on subsidiary liens and subsidiary distributions; (vi) transactions with affiliates; (vii) sales of assets; (viii) sale and leaseback transactions; (ix) changing our fiscal year end; (x) modifications of certain debt instruments; (xi) entering into new lines of business; and (xii) certain restricted payments (if after giving effect to any restricted payment the Leverage Ratio is greater than 4.0 to 1.0, we may only make restricted payments in an aggregate amount for each fiscal year not to exceed $225 million).</w:t>
      </w:r>
    </w:p>
    <w:p>
      <w:pPr>
        <w:spacing w:after="0" w:line="2"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Our senior secured credit agreement also provides for customary representations and warranties and affirmative covenants and further requires the maintenance of a specified Leverage Ratio and Interest Coverage Ratio. As of September 30, 2021, we were in compliance with the covenants under our senior secured credit agreement.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77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terms of our senior secured credit agreement provide for customary events of default, including: (i) non-payment of principal when due;</w:t>
      </w:r>
    </w:p>
    <w:p>
      <w:pPr>
        <w:spacing w:after="0" w:line="35" w:lineRule="exact"/>
        <w:rPr>
          <w:sz w:val="20"/>
          <w:szCs w:val="20"/>
          <w:color w:val="auto"/>
        </w:rPr>
      </w:pPr>
    </w:p>
    <w:p>
      <w:pPr>
        <w:ind w:firstLine="8"/>
        <w:spacing w:after="0" w:line="265"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non-payment of interest, fees or other amounts after a grace period; (iii) failure of any representation or warranty to be true in all material respects when made or deemed made; (iv) failure to maintain financial ratios; (v) violation of any other covenants subject to a grace period; (vi) defaults under other debt instruments or contingent obligations in excess of $100 million, including a default under the notes offered in this offering memorandum;</w:t>
      </w:r>
    </w:p>
    <w:p>
      <w:pPr>
        <w:ind w:right="60" w:firstLine="8"/>
        <w:spacing w:after="0" w:line="255" w:lineRule="auto"/>
        <w:tabs>
          <w:tab w:leader="none" w:pos="3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bankruptcy or similar proceedings by or on behalf of us or one of our material subsidiaries; (viii) change of control; (ix) judgments entered against us or any of our material subsidiaries involving a liability in excess of $100 million; (x) failure of any security document to remain in full force and effect in accordance with its terms; and (xi) certain ERISA violations.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Facility</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April 7, 2017, we entered into a Master Repurchase Agreement (including the annexes thereto, the “Repurchase Agreement”) and a Master Framework Agreement, as amended annually (the “Framework Amendment” and, together with the Repurchase Agreement (each, as previously amended, the “Receivables Facility”)). Under the Receivables Facility, we may sell a portfolio of available and eligible outstanding customer accounts receivable to the purchasers and simultaneously agree to repurchase the receivables on a weekly basis.</w:t>
      </w:r>
    </w:p>
    <w:p>
      <w:pPr>
        <w:spacing w:after="0" w:line="21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eligible amount of customer accounts receivable which may be sold under the Receivables Facility is up to $400 million and the commitment amount during the Seasonal Commitment Period of February 25, 2022 to June 17, 2022 is up to $160 million (such amount, the “Seasonal Committed Amount”).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sold during (i) the Seasonal Commitment Period (a) in amounts up to the Seasonal Committed Amount, is the sum of the daily simple secured overnight financing rate (“Daily Simple SOFR”) (with a floor of zero) plus 0.90% and (b) in amounts in excess of the Seasonal Committed Amount, is the sum of Daily Simple SOFR plus an applicable margin rate agreed between the parties at the time of any such transaction, and (ii) any period other than the Seasonal Commitment Period, is the sum of Daily Simple SOFR (with a floor of zero) plus an applicable margin rate agreed between the parties at time of any such transaction. The Receivables Facility expires on August 19, 2022.</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Consolidated Balance Sheet, primarily as a result of our requirement to repurchase receivables sold. As of September 30, 2021 and 2020, there were $0.0 million and $20.0 million, respectively, in borrowings on receivables pledged as collateral under the Receivables Facility, and the carrying value of the receivables pledged as collateral was $0.0 million and $22.3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773"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are offering to exchange in the exchange offer any and all of the original notes for an equal principal amount of the exchange notes on the terms and subject to the conditions set forth in this prospectus and the accompanying letter of transmittal. The original notes are, and the exchange notes will be, part of a single class of notes in the aggregate principal amount of $500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March 17, 2021, we issued and sold $500 million aggregate principal amount of the original notes to the initial purchasers in a private placement transaction that was exempt from the registration requirements of the Securities Act. In connection with the private placement, we entered into the registration rights agreement with the initial purchasers, pursuant to which we agreed to exchange the original notes for exchange notes which we agreed to register under the Securities Act, and we also granted holders of the original notes rights under limited circumstances to have resales of their original notes registered under the Securities Act.</w:t>
      </w:r>
    </w:p>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registration rights agreement, we agreed to file within 465 days after March 17, 2021 a registration statement with the SEC for the exchange of the original notes for the exchange notes. This prospectus is a part of the registration statement we filed to satisfy that obligation. We also agreed to use our reasonable best efforts to cause the registration statement to be declared effective by the SEC within 555 days after March 17, 2021, and to commence the exchange offer following the effectiveness of the registration statement.</w:t>
      </w:r>
    </w:p>
    <w:p>
      <w:pPr>
        <w:spacing w:after="0" w:line="21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urge you to read the registration rights agreement, a copy of which is filed as an exhibit to the registration statement of which this prospectus forms a part. Copies of the registration rights agreement are also available as set forth under the caption “Where You Can Find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25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Upon the terms and subject to the conditions described in this prospectus and the accompanying letter of transmittal, we will accept for exchange any and all original notes that are validly tendered at or prior to the expiration time and not validly withdrawn. The principal amount of the exchange notes issued in the exchange offer will be the same as the principal amount of the original notes that are validly tendered and accepted for exchange. You may tender your original notes in whole or in part. However, if you tender less than all of your original notes, you may tender your original notes only in minimum denominations of $2,000 and integral multiples of $1,000 in excess thereof.</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terms of the exchange notes are substantially identical to the terms of the original notes, except that the exchange notes will not be subject to the transfer restrictions, registration rights and additional interest provisions applicable to the original notes. Upon consummation of the exchange offer, the rights of holders of the notes under the registration rights agreement, including rights relating to registration and payment of additional interest upon a registration default, generally will terminate.</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exchange notes will evidence the same debt as the original notes, and will be fully and unconditionally guaranteed on a senior unsecured basis by the same subsidiary guarantors that guarantee the original notes. The indenture governing the exchange notes will be the same indenture that governs the original notes. The exchange notes and any original notes that remain outstanding after the consummation of the exchange offer will constitute a single class of debt securities under the indenture.</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the date of this prospectus, $500 million aggregate principal amount of the original notes are outstanding and registered in the name of Cede &amp; Co., as nominee of DTC. Only registered holders of the original notes, or their legal representatives or attorneys-in-fact, as reflected on the records of the trustee under the indenture, may participate in the exchange offer. We will not set a fixed record date for determining registered holders of the original notes entitled to participate in the exchange offer.</w:t>
      </w:r>
    </w:p>
    <w:p>
      <w:pPr>
        <w:spacing w:after="0" w:line="21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You do not have any appraisal or dissenters’ rights in connection with the exchange offer. We intend to conduct the exchange offer in accordance with the provisions of the registration rights agreement and the applicable requirements of the Securities Act, the Exchange Act, and the rules and regulations of the SEC promulgated thereunder. Except for the federal securities laws, no federal or state regulatory requirements must be complied with and no federal or state regulatory approvals must be obtained in connection with the consummation of the exchange offer.</w:t>
      </w:r>
    </w:p>
    <w:p>
      <w:pPr>
        <w:spacing w:after="0" w:line="19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will be deemed to accept all of the original notes that are validly tendered in the exchange offer and not validly withdrawn if, as, and when we give oral or written notice of acceptance to the exchange agent. The exchange agent will act as your agent for the purposes of receiving the exchange notes from us.</w:t>
      </w:r>
    </w:p>
    <w:p>
      <w:pPr>
        <w:sectPr>
          <w:pgSz w:w="11900" w:h="16838" w:orient="portrait"/>
          <w:cols w:equalWidth="0" w:num="1">
            <w:col w:w="11240"/>
          </w:cols>
          <w:pgMar w:left="320" w:top="7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769" w:right="339" w:bottom="1440" w:gutter="0" w:footer="0" w:header="0"/>
          <w:type w:val="continuous"/>
        </w:sectPr>
      </w:pPr>
    </w:p>
    <w:bookmarkStart w:id="38" w:name="page39"/>
    <w:bookmarkEnd w:id="38"/>
    <w:p>
      <w:pPr>
        <w:ind w:right="180" w:firstLine="648"/>
        <w:spacing w:after="0" w:line="263" w:lineRule="auto"/>
        <w:rPr>
          <w:sz w:val="20"/>
          <w:szCs w:val="20"/>
          <w:color w:val="auto"/>
        </w:rPr>
      </w:pPr>
      <w:r>
        <w:rPr>
          <w:rFonts w:ascii="Arial" w:cs="Arial" w:eastAsia="Arial" w:hAnsi="Arial"/>
          <w:sz w:val="18"/>
          <w:szCs w:val="18"/>
          <w:color w:val="auto"/>
        </w:rPr>
        <w:t>If you tender your original notes in the exchange offer, you will not be required to pay any brokerage commissions or fees with respect to the exchange of your original notes for the exchange notes or, except as described below under “—Transfer Taxes,” pay any transfer taxes in connection with such exchange.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 Extensions; Amendments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expiration time for the exchange offer is 11:59 p.m., New York City time, on , 2022, unless we, in our sole discretion, extend the exchange offer, in which case the expiration time for the exchange offer will be the latest date and time to which we extend the exchange offer.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extend the exchange offer, we will, before 9:00 a.m., New York City time, on the next business day after the previously scheduled expiration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3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notify the exchange agent of any extension orally or in writing;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 public announcement of the extension.</w:t>
      </w:r>
    </w:p>
    <w:p>
      <w:pPr>
        <w:spacing w:after="0" w:line="23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During an extension of the expiration time, all original notes previously validly tendered will remain subject to the terms and conditions of the exchange offer and will be accepted for exchange by us, upon expiration of the exchange offer, unless validly withdrawn.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expressly reserve the right:</w:t>
      </w:r>
    </w:p>
    <w:p>
      <w:pPr>
        <w:spacing w:after="0" w:line="252"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extend the expiration time;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delay accepting any original notes due to an extension of the exchange offer;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amend the exchange offer in any manner; or</w:t>
      </w:r>
    </w:p>
    <w:p>
      <w:pPr>
        <w:spacing w:after="0" w:line="9" w:lineRule="exact"/>
        <w:rPr>
          <w:rFonts w:ascii="Arial" w:cs="Arial" w:eastAsia="Arial" w:hAnsi="Arial"/>
          <w:sz w:val="18"/>
          <w:szCs w:val="18"/>
          <w:color w:val="auto"/>
        </w:rPr>
      </w:pPr>
    </w:p>
    <w:p>
      <w:pPr>
        <w:ind w:left="980" w:right="20" w:hanging="324"/>
        <w:spacing w:after="0" w:line="260"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conditions listed below under “—Conditions to the Exchange Offer” are not satisfied or waived, to terminate the exchange offer and not accept any original notes for exchange.</w:t>
      </w:r>
    </w:p>
    <w:p>
      <w:pPr>
        <w:spacing w:after="0" w:line="2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Any extension, delay in acceptance, amendment or termination will be followed promptly by notice to the registered holders of the original notes. If we amend the exchange offer in a manner that we determine constitutes a material change (including waiver of a material condition to the exchange offer), we will promptly disclose the amendment by means reasonably calculated to inform the registered holders of the original notes of such amendment, and we will extend the exchange offer to the extent required by law. Generally, we must keep the exchange offer open for at least five business days following a material change.</w:t>
      </w:r>
    </w:p>
    <w:p>
      <w:pPr>
        <w:spacing w:after="0" w:line="22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Without limiting the manner in which we may choose to make a public announcement of any extension, delay in acceptance, amendment or termination of the exchange offer, we will have no obligation to publish, advertise or otherwise communicate such public announcement, other than by making a timely press release to an appropriate news agency.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Exchanging original notes for exchange notes will not affect the amount of interest a holder will receive. The exchange notes will accrue interest at the same rate (4.000% per annum) and on the same terms as the original notes. Interest will be payable semi-annually in arrears on each April 1 and October 1, commencing on October 1, 2021.</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When the first interest payment is made with regard to the exchange notes, we will also pay interest on the original notes that are exchanged, from the most recent interest date on which interest has been paid to, but not including, the day the exchange notes are issued. Interest on the original notes that are exchanged will cease to accrue on the day prior to the date on which the exchange notes are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Only a record holder of original notes may tender original notes in the exchange offer. When a record holder tenders original notes for exchange and we accept such original notes for exchange, a binding agreement between us and the tendering holder is created, subject to the terms and conditions set forth in this prospectus and the accompanying letter of transmittal. Except as set forth below, a record holder who wishes to tender original notes for exchange must, at or prior to the expiration time:</w:t>
      </w:r>
    </w:p>
    <w:p>
      <w:pPr>
        <w:spacing w:after="0" w:line="214" w:lineRule="exact"/>
        <w:rPr>
          <w:sz w:val="20"/>
          <w:szCs w:val="20"/>
          <w:color w:val="auto"/>
        </w:rPr>
      </w:pPr>
    </w:p>
    <w:p>
      <w:pPr>
        <w:jc w:val="both"/>
        <w:ind w:left="980" w:right="2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transmit a properly completed and duly executed letter of transmittal, together with the original notes being tendered and any other documents required by the letter of transmittal, to U.S. Bank National Association, the exchange agent, at the address set forth below under “—Exchange Agent”; or</w:t>
      </w:r>
    </w:p>
    <w:p>
      <w:pPr>
        <w:sectPr>
          <w:pgSz w:w="11900" w:h="16838" w:orient="portrait"/>
          <w:cols w:equalWidth="0" w:num="1">
            <w:col w:w="11240"/>
          </w:cols>
          <w:pgMar w:left="320" w:top="77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773" w:right="339" w:bottom="1440" w:gutter="0" w:footer="0" w:header="0"/>
          <w:type w:val="continuous"/>
        </w:sectPr>
      </w:pPr>
    </w:p>
    <w:bookmarkStart w:id="39" w:name="page40"/>
    <w:bookmarkEnd w:id="39"/>
    <w:p>
      <w:pPr>
        <w:ind w:left="980" w:right="20" w:hanging="324"/>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original notes are tendered pursuant to DTC’s book-entry transfer procedures, arrange for an “agent’s message” to be transmitted by DTC to the exchange agent at the address set forth below under “—Exchange Agent,” and the exchange agent must receive, at or prior to the expiration time, a confirmation of the book-entry transfer of the original notes being tendered into the exchange agent’s account at DTC, along with the agent’s message.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“agent’s message” means a message that:</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electronically transmitted by DTC to the exchange agent;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received by the exchange agent and forms a part of a book-entry transfer;</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states that DTC has received an express acknowledgement that the tendering holder has received and agrees to be bound by, and makes each of the representations contained in, the letter of transmittal; and</w:t>
      </w: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states that we may enforce the letter of transmittal against such holder.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tender original notes and:</w:t>
      </w:r>
    </w:p>
    <w:p>
      <w:pPr>
        <w:spacing w:after="0" w:line="252"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w:t>
      </w:r>
    </w:p>
    <w:p>
      <w:pPr>
        <w:spacing w:after="0" w:line="23" w:lineRule="exact"/>
        <w:rPr>
          <w:rFonts w:ascii="Arial" w:cs="Arial" w:eastAsia="Arial" w:hAnsi="Arial"/>
          <w:sz w:val="18"/>
          <w:szCs w:val="18"/>
          <w:color w:val="auto"/>
        </w:rPr>
      </w:pPr>
    </w:p>
    <w:p>
      <w:pPr>
        <w:ind w:left="980" w:right="620" w:hanging="324"/>
        <w:spacing w:after="0" w:line="250"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the exchange agent at or prior to the expiration time; or</w:t>
      </w:r>
    </w:p>
    <w:p>
      <w:pPr>
        <w:ind w:left="980" w:right="800" w:hanging="324"/>
        <w:spacing w:after="0" w:line="290"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procedures for book-entry transfer cannot be completed at or prior to the expiration time, you may tender your original notes by complying with the guaranteed delivery procedures described below under “—Guaranteed Delivery Procedures.”</w:t>
      </w:r>
    </w:p>
    <w:p>
      <w:pPr>
        <w:spacing w:after="0" w:line="198"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The method of delivery of the original notes, the letter of transmittal or an agent’s message, and any other required documents to the exchange agent is at your election and sole risk. We recommend that you use overnight or hand delivery service. If such delivery is by mail, we recommend that you use properly insured registered mail, return receipt requested. In all cases, you should allow sufficient time to assure delivery to the exchange agent before the expiration time. No letters of transmittal or original notes should be sent directly to us.</w:t>
      </w:r>
    </w:p>
    <w:p>
      <w:pPr>
        <w:spacing w:after="0" w:line="1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before completing, signing and delivering the letter of transmittal, together with your original notes and any other required documents, to the exchange agent, you must either:</w:t>
      </w:r>
    </w:p>
    <w:p>
      <w:pPr>
        <w:spacing w:after="0" w:line="21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note that the transfer of registered ownership may take considerable time.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Signatures on a letter of transmittal or notice of withdrawal must be guaranteed unless the original notes tendered for exchange are tendered:</w:t>
      </w:r>
    </w:p>
    <w:p>
      <w:pPr>
        <w:spacing w:after="0" w:line="261" w:lineRule="exact"/>
        <w:rPr>
          <w:sz w:val="20"/>
          <w:szCs w:val="20"/>
          <w:color w:val="auto"/>
        </w:rPr>
      </w:pPr>
    </w:p>
    <w:p>
      <w:pPr>
        <w:ind w:left="980" w:right="380" w:hanging="324"/>
        <w:spacing w:after="0" w:line="258"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registered holder of the original notes who has not completed the box entitled “Special Issuance Instructions” or “Special Delivery Instructions” on the letter of transmittal; or</w:t>
      </w:r>
    </w:p>
    <w:p>
      <w:pPr>
        <w:spacing w:after="0" w:line="1" w:lineRule="exact"/>
        <w:rPr>
          <w:rFonts w:ascii="Arial" w:cs="Arial" w:eastAsia="Arial" w:hAnsi="Arial"/>
          <w:sz w:val="18"/>
          <w:szCs w:val="18"/>
          <w:color w:val="auto"/>
        </w:rPr>
      </w:pPr>
    </w:p>
    <w:p>
      <w:pPr>
        <w:ind w:left="980" w:right="40" w:hanging="324"/>
        <w:spacing w:after="0" w:line="295"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account of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 each of the foregoing being referred to herein as an “eligible institution.”</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signatures on a letter of transmittal or notice of withdrawal are required to be guaranteed, the guarantor must be an eligible institution. If original notes are registered in the name of a person other than the person who signed the letter of transmittal, the original notes tendered for exchange must be endorsed by, or accompanied by a written instrument of transfer or exchange, in satisfactory form as determined by us in our sole discretion, duly executed by the registered holder with the registered holder’s signature guaranteed by an eligible institution.</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trustees, executors, administrators, guardians, attorneys-in-fact, officers of corporations or others acting in a fiduciary or representative capacity sign the letter of transmittal, any original notes, any notice of withdrawal or any instrument of transfer, such persons must so indicate when signing and must submit proper evidence satisfactory to us of such person’s authority to so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73" w:right="339" w:bottom="1440" w:gutter="0" w:footer="0" w:header="0"/>
        </w:sectPr>
      </w:pPr>
    </w:p>
    <w:bookmarkStart w:id="40" w:name="page41"/>
    <w:bookmarkEnd w:id="40"/>
    <w:p>
      <w:pPr>
        <w:ind w:right="420" w:firstLine="648"/>
        <w:spacing w:after="0" w:line="277"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and acceptance of original notes tendered for exchange and all other required documents. We reserve the absolute right to:</w:t>
      </w:r>
    </w:p>
    <w:p>
      <w:pPr>
        <w:spacing w:after="0" w:line="19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reject any and all tenders of any original notes not validly tendered;</w:t>
      </w:r>
    </w:p>
    <w:p>
      <w:pPr>
        <w:spacing w:after="0" w:line="23" w:lineRule="exact"/>
        <w:rPr>
          <w:rFonts w:ascii="Arial" w:cs="Arial" w:eastAsia="Arial" w:hAnsi="Arial"/>
          <w:sz w:val="18"/>
          <w:szCs w:val="18"/>
          <w:color w:val="auto"/>
        </w:rPr>
      </w:pPr>
    </w:p>
    <w:p>
      <w:pPr>
        <w:ind w:left="980" w:right="600" w:hanging="324"/>
        <w:spacing w:after="0" w:line="250"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accept any original notes if, in our judgment or the judgment of our counsel, acceptance of the original notes may be deemed unlawful;</w:t>
      </w: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any defects or irregularities as to all or any particular original notes, either before or after the expiration time;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any conditions of the exchange offer;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 the eligibility of any holder who seeks to tender original notes in the exchange offer.</w:t>
      </w:r>
    </w:p>
    <w:p>
      <w:pPr>
        <w:spacing w:after="0" w:line="25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determinations, either before or after the expiration time, with respect to the exchange offer, including the letter of transmittal and the instructions to the letter of transmittal, or as to any questions with respect to the tender of any original notes, will be final and binding on all parties. To the extent we waive any conditions to the exchange offer, we will waive such conditions as to all original notes. Holders must cure any defects and irregularities in connection with tenders of original notes for exchange within such reasonable period of time as we may determine, unless we waive such defects or irregularities. Neither we nor the exchange agent will be under any duty to give notification of any defect or irregularity with respect to any tender of original notes for exchange, or to waive any such defects or irregularities, nor will either of us incur any liability for failure to give such notification or waiver.</w:t>
      </w:r>
    </w:p>
    <w:p>
      <w:pPr>
        <w:spacing w:after="0" w:line="22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to purchase any original notes that remain outstanding after consummation of the exchange offer. We also reserve the right to terminate the exchange offer, as described below under “—Conditions to the Exchange Offer,” and, to the extent permitted by applicable law, purchase the original notes in the open market, in privately negotiated transactions or otherwise. The terms of any such purchases or offers could differ materially from the terms of the exchange offer.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tender your original notes for exchange notes in the exchange offer, we will require you to represent that:</w:t>
      </w:r>
    </w:p>
    <w:p>
      <w:pPr>
        <w:spacing w:after="0" w:line="25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3" w:lineRule="exact"/>
        <w:rPr>
          <w:rFonts w:ascii="Arial" w:cs="Arial" w:eastAsia="Arial" w:hAnsi="Arial"/>
          <w:sz w:val="18"/>
          <w:szCs w:val="18"/>
          <w:color w:val="auto"/>
        </w:rPr>
      </w:pPr>
    </w:p>
    <w:p>
      <w:pPr>
        <w:ind w:left="980" w:right="260" w:hanging="324"/>
        <w:spacing w:after="0" w:line="250"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you are not participating, and you do not intend to participate, in the distribution of the exchange notes (within the meaning of the Securities Act);</w:t>
      </w: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not an “affiliate” (as such term is defined in Rule 405 under the Securities Act) of ours;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not tendering original notes that have, or that are reasonably likely to have, the status of an unsold allotment of the initial placement of the original notes; and</w:t>
      </w:r>
    </w:p>
    <w:p>
      <w:pPr>
        <w:ind w:left="980" w:right="280" w:hanging="324"/>
        <w:spacing w:after="0" w:line="255"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are a broker-dealer, (i) you will receive the exchange notes for your own account, (ii) you acquired the original notes as a result of market-making activities or other trading activities and (iii) you will deliver a prospectus meeting the requirements of the Securities Act in connection with any resale of such exchange notes.</w:t>
      </w:r>
    </w:p>
    <w:p>
      <w:pPr>
        <w:spacing w:after="0" w:line="2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you do not meet these requirements and are unable to make the foregoing representations, you may not participate in the exchange offer, and any sale or transfer of your original notes must comply with the registration and prospectus delivery requirements of the Securities Act, unless such sale or transfer is made pursuant to an exemption from those requirements. See “—Consequences of Failure to Exchange Original Notes” below for additional information.</w:t>
      </w:r>
    </w:p>
    <w:p>
      <w:pPr>
        <w:spacing w:after="0" w:line="21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We make no recommendation as to whether you should exchange or refrain from exchanging all or any portion of your original notes in the exchange offer. In addition, we have </w:t>
      </w:r>
      <w:r>
        <w:rPr>
          <w:rFonts w:ascii="Arial" w:cs="Arial" w:eastAsia="Arial" w:hAnsi="Arial"/>
          <w:sz w:val="18"/>
          <w:szCs w:val="18"/>
          <w:color w:val="auto"/>
        </w:rPr>
        <w:t>not</w:t>
      </w:r>
      <w:r>
        <w:rPr>
          <w:rFonts w:ascii="Arial" w:cs="Arial" w:eastAsia="Arial" w:hAnsi="Arial"/>
          <w:sz w:val="18"/>
          <w:szCs w:val="18"/>
          <w:b w:val="1"/>
          <w:bCs w:val="1"/>
          <w:color w:val="auto"/>
        </w:rPr>
        <w:t xml:space="preserve"> authorized anyone to make any such recommendation. You must make your own decision as to whether to exchange your original notes in the exchange offer and, if so, the aggregate amount of original notes to exchange, after reading this prospectus and the letter of transmittal and consulting with your advisors.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the Exchange Notes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Based on interpretations by the staff of the SEC contained in several no-action letters issued to third parties, we believe that a holder of original notes who meets the requirements and is able to make the representations described above under “—Procedures for Tendering Original Notes” may offer for resale, resell or otherwise transfer the exchange notes received in the exchange offer without further registration and, except as described below, without the need to deliver a prospectus under the Securities Act. Any holder who does not meet these requirements and is unable to make such representations:</w:t>
      </w:r>
    </w:p>
    <w:p>
      <w:pPr>
        <w:spacing w:after="0" w:line="1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such no-action letters;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73" w:right="339" w:bottom="1440" w:gutter="0" w:footer="0" w:header="0"/>
        </w:sectPr>
      </w:pPr>
    </w:p>
    <w:bookmarkStart w:id="41" w:name="page42"/>
    <w:bookmarkEnd w:id="41"/>
    <w:p>
      <w:pPr>
        <w:ind w:left="980" w:right="200" w:hanging="324"/>
        <w:spacing w:after="0" w:line="308"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registration rights agreement, we agreed, among other matters, to file a shelf registration statement covering resales of the original notes</w:t>
      </w:r>
    </w:p>
    <w:p>
      <w:pPr>
        <w:spacing w:after="0" w:line="46" w:lineRule="exact"/>
        <w:rPr>
          <w:sz w:val="20"/>
          <w:szCs w:val="20"/>
          <w:color w:val="auto"/>
        </w:rPr>
      </w:pPr>
    </w:p>
    <w:p>
      <w:pPr>
        <w:ind w:right="160" w:firstLine="8"/>
        <w:spacing w:after="0" w:line="290" w:lineRule="auto"/>
        <w:tabs>
          <w:tab w:leader="none" w:pos="2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applicable law or SEC policy do not permit us to effect the exchange offer, (ii) if for any reason the exchange offer is not consummated within 555 days following March 17, 2021,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See “—Filing of Shelf Registration Statement” below for additional information. We do not intend to file a shelf registration statement covering resales of the original notes unless we are required to do so under the registration rights agreement.</w:t>
      </w:r>
    </w:p>
    <w:p>
      <w:pPr>
        <w:spacing w:after="0" w:line="19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connection with the resale of exchange notes, any participating broker-dealer who acquired the original notes for its own account as a result of market-making activities or other trading activities may be a statutory underwriter and must deliver a prospectus meeting the requirements of the Securities Act. In no-action letters issued to third parties, the SEC has taken the position that participating broker-dealers may fulfill their prospectus delivery requirements with respect to the exchange notes by delivery of the prospectus relating to the exchange offer.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the exchange notes during the one-year period following the consummation of the exchange offer. See “Plan of Distribution” for a discussion of certain exchange and resale obligations of broker-dealers in connection with the exchange offer.</w:t>
      </w:r>
    </w:p>
    <w:p>
      <w:pPr>
        <w:spacing w:after="0" w:line="21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have not requested, and do not intend to request, an interpretation by the staff of the SEC as to whether the exchange notes issued in the exchange offer may be offered for resale, resold or otherwise transferred by any holder without compliance with the registration and prospectus delivery provisions of the Securities Act. 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 Original Notes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you do not exchange your original notes in the exchange offer, whether because you are not eligible to participate in the exchange offer or you decline to tender your original notes for exchange, your original notes will, following the consummation of the exchange offer, continue to be subject to the restrictions on transfer as stated in the indenture and the legend on the original notes. In general, original notes, unless the transfer is registered under the Securities Act, may not be offered, resold or otherwise transferred except pursuant to an exemption from, or in a transaction not subject to, the registration requirements of the Securities Act and applicable state securities laws.</w:t>
      </w:r>
    </w:p>
    <w:p>
      <w:pPr>
        <w:spacing w:after="0" w:line="215"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See “—Filing of Shelf Registration Statement” below for additional information. If you are eligible to participate in the exchange offer, you should not decline to do so based on the assumption that a shelf registration statement will be on file and effective when you intend to resell your original notes.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See “Risk Factors—Risks Related to the Exchange Notes and the Exchange Offer” for a discussion of certain risks you should consider before deciding whether to participate in the exchange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Within two business days after receipt of this prospectus, the exchange agent is obligated to make a request to establish an account for the original notes at DTC for purposes of the exchange offer, unless the exchange agent already has established an account with DTC suitable for the exchange offer. Subject to the establishment of the account, any financial institution that is a participant in DTC’s system may make book-entry delivery of the original notes by causing DTC to transfer the original notes into the exchange agent’s account at DTC in accordance with DTC’s Automated Tender Offer Program, known as ATOP. Such participant should transmit its acceptance to DTC at or prior to the expiration time or comply with the guaranteed delivery procedures described below under “—Guaranteed Delivery Procedures.” DTC will verify such acceptance, execute a book-entry transfer of the tendered original notes into the exchange agent’s account at DTC and then send to the exchange agent confirmation of such book-entry transfer.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73" w:right="339" w:bottom="1440" w:gutter="0" w:footer="0" w:header="0"/>
        </w:sectPr>
      </w:pPr>
    </w:p>
    <w:bookmarkStart w:id="42" w:name="page43"/>
    <w:bookmarkEnd w:id="42"/>
    <w:p>
      <w:pPr>
        <w:ind w:right="140" w:firstLine="648"/>
        <w:spacing w:after="0" w:line="259" w:lineRule="auto"/>
        <w:rPr>
          <w:sz w:val="20"/>
          <w:szCs w:val="20"/>
          <w:color w:val="auto"/>
        </w:rPr>
      </w:pPr>
      <w:r>
        <w:rPr>
          <w:rFonts w:ascii="Arial" w:cs="Arial" w:eastAsia="Arial" w:hAnsi="Arial"/>
          <w:sz w:val="18"/>
          <w:szCs w:val="18"/>
          <w:color w:val="auto"/>
        </w:rPr>
        <w:t>The confirmation of such book-entry transfer will include an agent’s message or a validly completed and duly executed letter of transmittal. The agent’s message or letter of transmittal, with any required signature guarantees, and any other required documents, must be transmitted to and received by the exchange agent at the address set forth below under “—Exchange Agent” at or prior to the expiration time, or the holder must comply with the guaranteed delivery procedures described below under “—Guaranteed Delivery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you wish to tender your original notes and: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you may effect a tender if:</w:t>
      </w:r>
    </w:p>
    <w:p>
      <w:pPr>
        <w:spacing w:after="0" w:line="211" w:lineRule="exact"/>
        <w:rPr>
          <w:sz w:val="20"/>
          <w:szCs w:val="20"/>
          <w:color w:val="auto"/>
        </w:rPr>
      </w:pPr>
    </w:p>
    <w:p>
      <w:pPr>
        <w:ind w:left="980" w:right="120" w:hanging="324"/>
        <w:spacing w:after="0" w:line="252"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receives from an eligible institution a validly completed and duly executed notice of guaranteed delivery, substantially in the form accompanying the letter of transmittal, setting forth your name and address and the amount of the original notes being tendered. The notice of guaranteed delivery will state that the tender is being made and will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will be transmitted to the exchange agent; and</w:t>
      </w:r>
    </w:p>
    <w:p>
      <w:pPr>
        <w:spacing w:after="0" w:line="5" w:lineRule="exact"/>
        <w:rPr>
          <w:rFonts w:ascii="Arial" w:cs="Arial" w:eastAsia="Arial" w:hAnsi="Arial"/>
          <w:sz w:val="18"/>
          <w:szCs w:val="18"/>
          <w:color w:val="auto"/>
        </w:rPr>
      </w:pPr>
    </w:p>
    <w:p>
      <w:pPr>
        <w:ind w:left="980" w:right="540" w:hanging="324"/>
        <w:spacing w:after="0" w:line="253"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agent receives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within three business days after the expiration 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You may withdraw tenders of your original notes at any time prior to the expiration time. For a withdrawal to be effective, a written notice of withdrawal must be received by the exchange agent at the address set forth below under “—Exchange Agent” prior to the expiration time. Any such notice of withdrawal must:</w:t>
      </w:r>
    </w:p>
    <w:p>
      <w:pPr>
        <w:spacing w:after="0" w:line="211"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9" w:lineRule="exact"/>
        <w:rPr>
          <w:rFonts w:ascii="Arial" w:cs="Arial" w:eastAsia="Arial" w:hAnsi="Arial"/>
          <w:sz w:val="18"/>
          <w:szCs w:val="18"/>
          <w:color w:val="auto"/>
        </w:rPr>
      </w:pPr>
    </w:p>
    <w:p>
      <w:pPr>
        <w:ind w:left="980" w:right="200" w:hanging="324"/>
        <w:spacing w:after="0" w:line="265"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ind w:left="980" w:hanging="324"/>
        <w:spacing w:after="0" w:line="265"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DTC’s book-entry transfer procedures; and</w:t>
      </w:r>
    </w:p>
    <w:p>
      <w:pPr>
        <w:ind w:left="980" w:right="220" w:hanging="324"/>
        <w:spacing w:after="0" w:line="290"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holder is an eligible institution.</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notices of withdrawal, and our determination will be final and binding on all parties. Any original notes validly withdrawn will be deemed not to have been validly tendered for exchange for purposes of the exchange offer, and we will not issue exchange notes with respect to such original notes, unless such original notes are validly re-tendered. Validly withdrawn notes may be re-tendered by following one of the procedures described above under “—Procedures for Tendering Original Notes” at any time at or prior to the expiration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Original Notes for Exchange; Delivery of Exchange Notes</w:t>
      </w:r>
    </w:p>
    <w:p>
      <w:pPr>
        <w:spacing w:after="0" w:line="25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Subject to the satisfaction or waiver of the conditions to the exchange offer, promptly following the expiration time, we will accept for exchange all original notes that are validly tendered and not validly withdrawn and will issue the exchange notes. For purposes of the exchange offer, we will be deemed to have accepted validly tendered original notes for exchange when, as, and if we have given oral or written notice of acceptance to the exchange agent. For each original note accepted for exchange, the holder will receive an exchange note, the issuance of which is registered under the Securities Act, having a principal amount equal to, and in the denomination of, that of the tendered original note.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77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Return of Notes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we do not accept any tendered original notes, or if a holder withdraws previously tendered original notes or submits original notes for a greater principal amount than the holder desires to exchange, we will return such unaccepted, withdrawn or non-exchanged original notes without cost to the tendering holder promptly following the rejection of the tender, withdrawal or expiration or termination of the exchange offer, as applicable. In the case of original notes tendered by book-entry transfer into the exchange agent’s account at DTC, such unaccepted, withdrawn or non-exchanged original notes will be credited to an account maintained with DTC.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exchange offer is not conditioned upon the tender of any minimum principal amount of original notes. Notwithstanding any other provision of the exchange offer, or any extension of the exchange offer, we will not be required to accept for exchange, or to issue exchange notes in exchange for, any original notes, and we may amend or terminate the exchange offer as provided in this prospectus if, at any time before the expiration time, any of the following circumstances or events occurs and is not waived:</w:t>
      </w:r>
    </w:p>
    <w:p>
      <w:pPr>
        <w:spacing w:after="0" w:line="21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action or proceeding is instituted or threatened in any court or by or before any governmental agency with respect to the exchange offer;</w:t>
      </w:r>
    </w:p>
    <w:p>
      <w:pPr>
        <w:spacing w:after="0" w:line="46" w:lineRule="exact"/>
        <w:rPr>
          <w:rFonts w:ascii="Arial" w:cs="Arial" w:eastAsia="Arial" w:hAnsi="Arial"/>
          <w:sz w:val="16"/>
          <w:szCs w:val="16"/>
          <w:color w:val="auto"/>
        </w:rPr>
      </w:pPr>
    </w:p>
    <w:p>
      <w:pPr>
        <w:ind w:left="980" w:right="340" w:hanging="324"/>
        <w:spacing w:after="0" w:line="250"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stop order is threatened or in effect with respect to either (i) the registration statement of which this prospectus forms a part or (ii) the qualification of the indenture under the Trust Indenture Act of 1939, as amended; or</w:t>
      </w:r>
    </w:p>
    <w:p>
      <w:pPr>
        <w:ind w:left="980" w:right="140" w:hanging="324"/>
        <w:spacing w:after="0" w:line="260"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 prior to the expiration time, any of the foregoing circumstances or events has occurred, we may:</w:t>
      </w:r>
    </w:p>
    <w:p>
      <w:pPr>
        <w:spacing w:after="0" w:line="25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accept any original notes and return all tendered original notes to the respective holders;</w:t>
      </w:r>
    </w:p>
    <w:p>
      <w:pPr>
        <w:spacing w:after="0" w:line="23"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 the exchange offer and retain all original notes tendered at or prior to the expiration time, subject, however, to your rights to withdraw such original notes; or</w:t>
      </w:r>
    </w:p>
    <w:p>
      <w:pPr>
        <w:ind w:left="980" w:right="60" w:hanging="324"/>
        <w:spacing w:after="0" w:line="260"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the occurrence of such circumstance or event with respect to the exchange offer and accept all validly tendered original notes that have not been validly withdrawn.</w:t>
      </w:r>
    </w:p>
    <w:p>
      <w:pPr>
        <w:spacing w:after="0" w:line="212" w:lineRule="exact"/>
        <w:rPr>
          <w:sz w:val="20"/>
          <w:szCs w:val="20"/>
          <w:color w:val="auto"/>
        </w:rPr>
      </w:pPr>
    </w:p>
    <w:p>
      <w:pPr>
        <w:ind w:right="600" w:firstLine="648"/>
        <w:spacing w:after="0" w:line="286" w:lineRule="auto"/>
        <w:rPr>
          <w:sz w:val="20"/>
          <w:szCs w:val="20"/>
          <w:color w:val="auto"/>
        </w:rPr>
      </w:pPr>
      <w:r>
        <w:rPr>
          <w:rFonts w:ascii="Arial" w:cs="Arial" w:eastAsia="Arial" w:hAnsi="Arial"/>
          <w:sz w:val="17"/>
          <w:szCs w:val="17"/>
          <w:color w:val="auto"/>
        </w:rPr>
        <w:t>If the waiver constitutes a material change to the terms of the exchange offer, we will promptly disclose the waiver by means reasonably calculated to inform the registered holders of the original notes of such waiver, and we will extend the exchange offer to the extent required by law. Generally, we must keep the exchange offer open for at least five business days following a material change.</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condition that none of the foregoing circumstances or events have occurred is for our sole benefit and may be asserted by us, regardless of the circumstances giving rise to such circumstances or events, and the occurrence of any circumstance or event may be waived by us, in whole or in part, in our sole discretion. Any determination by us concerning the circumstances or events described above will be final and binding on all parties. Our rights hereunder will be deemed an ongoing right which may be asserted at any time and from time to time by us prior to the expiration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Rights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you are a holder of original notes, your rights under the registration rights agreement will generally terminate upon consummation of the exchange offer, except with respect to our continuing obligations to indemnify you and your related parties against certain liabilities, including liabilities under the Securities Act. After the exchange offer is consummated, except in limited circumstances, you will no longer be entitled to any exchange or registration rights with respect to any original notes that you continue to own.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of Shelf Registration Statement</w:t>
      </w:r>
    </w:p>
    <w:p>
      <w:pPr>
        <w:spacing w:after="0" w:line="2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Under the registration rights agreement, we agreed, among other matters, that (i) if applicable law or SEC policy do not permit us to effect the exchange offer, (ii) if for any reason the exchange offer is not consummated within 555 days following March 17, 2021,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012" w:right="359" w:bottom="1440" w:gutter="0" w:footer="0" w:header="0"/>
        </w:sectPr>
      </w:pPr>
    </w:p>
    <w:bookmarkStart w:id="44" w:name="page45"/>
    <w:bookmarkEnd w:id="44"/>
    <w:p>
      <w:pPr>
        <w:ind w:right="460"/>
        <w:spacing w:after="0" w:line="277" w:lineRule="auto"/>
        <w:rPr>
          <w:sz w:val="20"/>
          <w:szCs w:val="20"/>
          <w:color w:val="auto"/>
        </w:rPr>
      </w:pPr>
      <w:r>
        <w:rPr>
          <w:rFonts w:ascii="Arial" w:cs="Arial" w:eastAsia="Arial" w:hAnsi="Arial"/>
          <w:sz w:val="18"/>
          <w:szCs w:val="18"/>
          <w:color w:val="auto"/>
        </w:rPr>
        <w:t>holder is a broker-dealer and holds the notes acquired directly from us or one of our affiliates, then, upon such holder’s request, we and the subsidiary guarantors will, at our cost:</w:t>
      </w:r>
    </w:p>
    <w:p>
      <w:pPr>
        <w:spacing w:after="0" w:line="197" w:lineRule="exact"/>
        <w:rPr>
          <w:sz w:val="20"/>
          <w:szCs w:val="20"/>
          <w:color w:val="auto"/>
        </w:rPr>
      </w:pPr>
    </w:p>
    <w:p>
      <w:pPr>
        <w:ind w:left="980" w:right="60" w:hanging="324"/>
        <w:spacing w:after="0" w:line="254"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promptly as practicable and in any event on or prior to the earliest to occur of (i) the 30th day after the date on which we determine that we are not required to file the exchange offer registration statement, (ii) the 30th day after the date on which we receive notice from a holder of the notes as contemplated under this section and (iii) the 525th day after March 17, 2021 (such earlier date being the “shelf filing deadline”), file a shelf registration statement covering resales of the original notes;</w:t>
      </w:r>
    </w:p>
    <w:p>
      <w:pPr>
        <w:spacing w:after="0" w:line="2" w:lineRule="exact"/>
        <w:rPr>
          <w:rFonts w:ascii="Arial" w:cs="Arial" w:eastAsia="Arial" w:hAnsi="Arial"/>
          <w:sz w:val="18"/>
          <w:szCs w:val="18"/>
          <w:color w:val="auto"/>
        </w:rPr>
      </w:pPr>
    </w:p>
    <w:p>
      <w:pPr>
        <w:ind w:left="980" w:right="180" w:hanging="324"/>
        <w:spacing w:after="0" w:line="250"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use our respective reasonable best efforts to cause the shelf registration statement to be declared effective under the Securities Act within 60 days after the shelf filing deadline; and</w:t>
      </w:r>
    </w:p>
    <w:p>
      <w:pPr>
        <w:ind w:left="980" w:right="20" w:hanging="324"/>
        <w:spacing w:after="0" w:line="260"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continuously effective for a period of at least one year following the effective date of such shelf registration.</w:t>
      </w:r>
    </w:p>
    <w:p>
      <w:pPr>
        <w:spacing w:after="0" w:line="21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We do not intend to file a shelf registration statement covering resales of the original notes unless we are required to do so under the registration rights agreement. If we file a shelf registration statement, we will provide to each holder of the original notes copies of the shelf registration statement and the prospectus which forms a part of the shelf registration statement, notify each holder when the shelf registration statement for the original notes has been filed with the SEC and become effective and take other actions as are required to permit unrestricted resales of the original notes. A holder of original notes that sells the original notes pursuant to the shelf registration statement generally will be:</w:t>
      </w:r>
    </w:p>
    <w:p>
      <w:pPr>
        <w:spacing w:after="0" w:line="20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required to be named as a selling security holder in the related prospectus and deliver a prospectus to purchasers;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certain of the civil liability provisions under the Securities Act in connection with the sales;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bound by the provisions of the registration rights agreement which are applicable to such a holder, including indemnification obligations.</w:t>
      </w:r>
    </w:p>
    <w:p>
      <w:pPr>
        <w:spacing w:after="0" w:line="249"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In addition, each holder of the original notes will be required to deliver information to be used in connection with the shelf registration statement and to provide any comments on the shelf registration statement within the time periods described in the registration rights agreement to have their notes included in the shelf registration statement and to benefit from the provisions regarding additional interest described in “—Additional Interest”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following (each a “registration default”) occurs:</w:t>
      </w:r>
    </w:p>
    <w:p>
      <w:pPr>
        <w:spacing w:after="0" w:line="25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registration statement is not filed with the SEC on or before the 465th calendar day following March 17, 2021;</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registration statement is not declared effective on or before the 555th calendar day following March 17, 2021;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is not consummated on or before the 555th calendar day following March 17, 2021; or</w:t>
      </w:r>
    </w:p>
    <w:p>
      <w:pPr>
        <w:spacing w:after="0" w:line="9" w:lineRule="exact"/>
        <w:rPr>
          <w:rFonts w:ascii="Arial" w:cs="Arial" w:eastAsia="Arial" w:hAnsi="Arial"/>
          <w:sz w:val="18"/>
          <w:szCs w:val="18"/>
          <w:color w:val="auto"/>
        </w:rPr>
      </w:pPr>
    </w:p>
    <w:p>
      <w:pPr>
        <w:ind w:left="980" w:right="140" w:hanging="324"/>
        <w:spacing w:after="0" w:line="255"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registration statement has been filed and declared effective but thereafter ceases to be effective or fails to be usable for its intended purpose without being succeeded immediately by a post-effective amendment that cures such failure and that is itself immediately declared effective,</w:t>
      </w:r>
    </w:p>
    <w:p>
      <w:pPr>
        <w:spacing w:after="0" w:line="2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interest rate payable with respect to the original notes will be increased by 0.25% per annum during the 90-day period immediately following the occurrence of such registration default. After such 90-day period, if such registration default has not yet been cured, the interest rate will increase by an additional 0.25% per annum with respect to the next subsequent 90-day period; provided, however, in no event shall any increase exceed an aggregate of 0.50% per annum. Such interest is payable in addition to any other interest payable from time to time with respect to the original notes in cash on each interest payment date to the holders of record for such interest payment date. Following the cure of all registration defaults, the accrual of additional interest will stop and the interest rate will be reduced to the original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appointed U.S. Bank National Association as the exchange agent for the exchange offer. All executed letters of transmittal and any other required documents should be directed to the exchange agent at the address set forth below. Questions and requests for assistance with respect to the exchange offer, and requests for additional copies of this prospectus, the letter of transmittal and any other required documents, should also be directed to the exchange agent at the address set forth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73" w:right="3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By registered mail, certified mail, overnight courier or hand delivery: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facsimile (for eligible institutions only):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information or confirmation by telephone: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 934-6802</w:t>
      </w:r>
    </w:p>
    <w:p>
      <w:pPr>
        <w:spacing w:after="0" w:line="234"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Delivery of the letter of transmittal or any other required documents to an address other than as set forth above or transmission of the letter of transmittal or any other required documents via facsimile to a number other than the one listed above will not constitute a valid delivery.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will bear the expenses of soliciting tenders for the exchange offer. We are making the principal solicitation of tenders through DTC. However, solicitations may also be made by mail, electronic mail, facsimile or telephone or in person by our officers and regular employees.</w:t>
      </w:r>
    </w:p>
    <w:p>
      <w:pPr>
        <w:spacing w:after="0" w:line="17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not retained any dealer manager in connection with the exchange offer, and we will not make any payments to brokers, dealers or other persons soliciting acceptances of the exchange offer. We will, however, pay the exchange agent reasonable and customary fees for its services and reimburse the exchange agent for its reasonable out-of-pocket expenses. We will also reimburse brokers, dealers, commercial banks, trust companies and other nominees for the reasonable out-of-pocket expenses they incur in forwarding copies of this prospectus, the letter of transmittal and related documents to the beneficial owners of the original notes and in handling or forwarding tenders of the original notes for exchange.</w:t>
      </w:r>
    </w:p>
    <w:p>
      <w:pPr>
        <w:spacing w:after="0" w:line="188" w:lineRule="exact"/>
        <w:rPr>
          <w:sz w:val="20"/>
          <w:szCs w:val="20"/>
          <w:color w:val="auto"/>
        </w:rPr>
      </w:pPr>
    </w:p>
    <w:p>
      <w:pPr>
        <w:jc w:val="both"/>
        <w:ind w:right="720" w:firstLine="648"/>
        <w:spacing w:after="0" w:line="381" w:lineRule="auto"/>
        <w:rPr>
          <w:sz w:val="20"/>
          <w:szCs w:val="20"/>
          <w:color w:val="auto"/>
        </w:rPr>
      </w:pPr>
      <w:r>
        <w:rPr>
          <w:rFonts w:ascii="Arial" w:cs="Arial" w:eastAsia="Arial" w:hAnsi="Arial"/>
          <w:sz w:val="15"/>
          <w:szCs w:val="15"/>
          <w:color w:val="auto"/>
        </w:rPr>
        <w:t>We estimate that our cash expenses in connection with the exchange offer will be approximately $150,000. These expenses include SEC registration fees, fees and expenses of the exchange agent and the trustee, accounting and legal fees, printing costs and related fees and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will pay all transfer taxes, if any, applicable to the exchange of original notes in the exchange offer. The tendering holder, however, will be required to pay any transfer taxes, whether imposed on the record holder or any other person, if we are instructed to register exchange notes in the name of, or requested to return any original notes not tendered or accepted for exchange to, a person other than the registered tendering holder, or if a transfer tax is imposed for any other reason, other than by reason of the exchange of the original notes in the exchange offer. If satisfactory evidence of payment of such transfer taxes or exemption from payment is not submitted with the letter of transmittal, the amount of the transfer taxes will be billed directly to the tendering 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5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exchange notes will be recorded in our accounting records at the same carrying value as the original notes for which they are exchanged. Accordingly, we will not recognize any gain or loss for accounting purposes as a result of the exchange offer. We will amortize expenses incurred in connection with the issuance of the exchange notes over the term of the exchange notes.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769" w:right="3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can find the definitions of certain terms used in this description under the caption “—Certain Definitions.” In this description, the words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Issuer</w:t>
      </w:r>
      <w:r>
        <w:rPr>
          <w:rFonts w:ascii="Arial" w:cs="Arial" w:eastAsia="Arial" w:hAnsi="Arial"/>
          <w:sz w:val="17"/>
          <w:szCs w:val="17"/>
          <w:color w:val="auto"/>
        </w:rPr>
        <w:t>,” “</w:t>
      </w:r>
      <w:r>
        <w:rPr>
          <w:rFonts w:ascii="Arial" w:cs="Arial" w:eastAsia="Arial" w:hAnsi="Arial"/>
          <w:sz w:val="17"/>
          <w:szCs w:val="17"/>
          <w:i w:val="1"/>
          <w:iCs w:val="1"/>
          <w:color w:val="auto"/>
        </w:rPr>
        <w:t>Scotts</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and “</w:t>
      </w:r>
      <w:r>
        <w:rPr>
          <w:rFonts w:ascii="Arial" w:cs="Arial" w:eastAsia="Arial" w:hAnsi="Arial"/>
          <w:sz w:val="17"/>
          <w:szCs w:val="17"/>
          <w:i w:val="1"/>
          <w:iCs w:val="1"/>
          <w:color w:val="auto"/>
        </w:rPr>
        <w:t>our</w:t>
      </w:r>
      <w:r>
        <w:rPr>
          <w:rFonts w:ascii="Arial" w:cs="Arial" w:eastAsia="Arial" w:hAnsi="Arial"/>
          <w:sz w:val="17"/>
          <w:szCs w:val="17"/>
          <w:color w:val="auto"/>
        </w:rPr>
        <w:t>” refer only to The Scotts Miracle-Gro Company and not to any of its subsidiaries. The term “</w:t>
      </w:r>
      <w:r>
        <w:rPr>
          <w:rFonts w:ascii="Arial" w:cs="Arial" w:eastAsia="Arial" w:hAnsi="Arial"/>
          <w:sz w:val="17"/>
          <w:szCs w:val="17"/>
          <w:i w:val="1"/>
          <w:iCs w:val="1"/>
          <w:color w:val="auto"/>
        </w:rPr>
        <w:t>Notes,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description, means the Issuer’s senior debt securities designated as its 4.000% Senior Notes due 2031, including the original notes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notes, in each case except as otherwise expressly provided or as the context otherwise requires.</w:t>
      </w:r>
    </w:p>
    <w:p>
      <w:pPr>
        <w:spacing w:after="0" w:line="2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issued the original notes, and will issue the exchange notes, under an indenture, dated as of March 17, 2021, among the Issuer, the Guarantors and U.S. Bank National Association, as trustee (the “Indenture”). You may obtain a copy of the Indenture from the Issuer at its address set forth under “Where You Can Find More Information.”</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 The terms of the exchange notes are substantially identical to the terms of the original notes, including interest rates and maturity, except that the exchange notes will not be subject to the transfer restrictions, registration rights and additional interest provisions applicable to the original notes.</w:t>
      </w:r>
    </w:p>
    <w:p>
      <w:pPr>
        <w:spacing w:after="0" w:line="21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exchange notes and any original notes that remain outstanding after the consummation of the exchange offer will have the same terms, will constitute a single class of debt securities under the Indenture and, therefore, will vote together as a single class for purposes of determining whether holders of the requisite percentage in principal amount thereof have taken actions or exercised rights they are entitled to take or exercise under the Indenture.</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registered holder of a Note (each, a “</w:t>
      </w:r>
      <w:r>
        <w:rPr>
          <w:rFonts w:ascii="Arial" w:cs="Arial" w:eastAsia="Arial" w:hAnsi="Arial"/>
          <w:sz w:val="18"/>
          <w:szCs w:val="18"/>
          <w:i w:val="1"/>
          <w:iCs w:val="1"/>
          <w:color w:val="auto"/>
        </w:rPr>
        <w:t>Holder</w:t>
      </w:r>
      <w:r>
        <w:rPr>
          <w:rFonts w:ascii="Arial" w:cs="Arial" w:eastAsia="Arial" w:hAnsi="Arial"/>
          <w:sz w:val="18"/>
          <w:szCs w:val="18"/>
          <w:color w:val="auto"/>
        </w:rPr>
        <w:t>”) will be treated as its owner for all purposes. Only registered Holders will have rights under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w:t>
      </w:r>
    </w:p>
    <w:p>
      <w:pPr>
        <w:spacing w:after="0" w:line="252"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23"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pari passu in right of payment with all of the Company’s existing and future unsecured, unsubordinated Indebtedness, including Indebtedness arising under the 2026 Notes, the 2029 Notes and the 2032 Notes;</w:t>
      </w:r>
    </w:p>
    <w:p>
      <w:pPr>
        <w:ind w:left="980" w:hanging="324"/>
        <w:spacing w:after="0" w:line="250"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under the Credit Agreement, to the extent of the value of the assets securing such Indebtedness;</w:t>
      </w:r>
    </w:p>
    <w:p>
      <w:pPr>
        <w:ind w:left="980" w:right="100" w:hanging="324"/>
        <w:spacing w:after="0" w:line="250"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the Issue Date, the Notes will be guaranteed by all of the Restricted Subsidiaries of the Company that are guarantors of the 2026 Notes, the 2029 Notes and the 2032 Notes and the Indebtedness under the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Guarantees of the Notes will be:</w:t>
      </w:r>
    </w:p>
    <w:p>
      <w:pPr>
        <w:spacing w:after="0" w:line="252"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23"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each Guarantor, including Indebtedness arising under such Guarantor’s guarantee of the 2026 Notes, the 2029 Notes and the 2032 Notes;</w:t>
      </w:r>
    </w:p>
    <w:p>
      <w:pPr>
        <w:ind w:left="980" w:right="80" w:hanging="324"/>
        <w:spacing w:after="0" w:line="250"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ind w:left="980" w:right="260" w:hanging="324"/>
        <w:spacing w:after="0" w:line="260"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21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w:t>
      </w:r>
    </w:p>
    <w:p>
      <w:pPr>
        <w:sectPr>
          <w:pgSz w:w="11900" w:h="16838" w:orient="portrait"/>
          <w:cols w:equalWidth="0" w:num="1">
            <w:col w:w="11240"/>
          </w:cols>
          <w:pgMar w:left="320" w:top="769"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769" w:right="339" w:bottom="1440" w:gutter="0" w:footer="0" w:header="0"/>
          <w:type w:val="continuous"/>
        </w:sectPr>
      </w:pPr>
    </w:p>
    <w:bookmarkStart w:id="47" w:name="page48"/>
    <w:bookmarkEnd w:id="47"/>
    <w:p>
      <w:pPr>
        <w:ind w:right="260"/>
        <w:spacing w:after="0" w:line="311" w:lineRule="auto"/>
        <w:rPr>
          <w:sz w:val="20"/>
          <w:szCs w:val="20"/>
          <w:color w:val="auto"/>
        </w:rPr>
      </w:pPr>
      <w:r>
        <w:rPr>
          <w:rFonts w:ascii="Arial" w:cs="Arial" w:eastAsia="Arial" w:hAnsi="Arial"/>
          <w:sz w:val="16"/>
          <w:szCs w:val="16"/>
          <w:color w:val="auto"/>
        </w:rPr>
        <w:t>pursuant to its contribution obligations under the Indenture, result in the obligations of such Guarantor under its Subsidiary Guarantee not constituting a fraudulent conveyance or fraudulent transfer under federal or state law. Each Guarantor that makes a payment for distribution under its Subsidiary Guarantee is entitled to a contribution from each other Guarantor in a pro rata amount based on adjusted net assets of each Guarantor.</w:t>
      </w:r>
    </w:p>
    <w:p>
      <w:pPr>
        <w:spacing w:after="0" w:line="17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September 30, 2021, the Company and the Guarantors had total secured Indebtedness of $670.0 million (excluding $19.8 million of letters of credit outstanding), and $1,480.2 million of additional secured Indebtedness was available to be borrowed under the Credit Agreement. The Indenture permits us and the Guarantors to incur additional Indebtedness, including secured Indebtedness. As of the date hereof, all of our subsidiaries, including our Foreign Subsidiaries, are “Restricted Subsidiaries,” other than The Scotts Miracle-Gro Foundation, which is an “Unrestricted Subsidiary.” Under the circumstances described below under the caption “—Certain Covenants—Unrestricted Subsidiaries,” we are permitted to designate additional subsidiaries as “Unrestricted Subsidiaries.” Unrestricted Subsidiaries are not subject to many of the restrictive covenants in the Indenture and will not guarantee the Notes. As of the date hereof, all of our Subsidiaries, except for our Foreign Subsidiaries; Scotts Global Services, Inc., an Ohio corporation; and The Scotts Miracle-Gro Foundation, a 501(c)(3) Ohio corporation, will guarantee the Notes. With the exception of The Scotts Miracle-Gro Foundation, in the event of a bankruptcy, liquidation or reorganization of any of these non-guarantor subsidiaries, these non-guarantor subsidiaries will pay the holders of their debt and their trade creditors before they will be able to distribute any of their assets to us. Pursuant to federal tax law, the assets of The Scotts Miracle-Gro Foundation may only be applied for charitable endeavors. Our non-guarantor subsidiaries generated 8.5% of our consolidated net sales and 0.5% of our consolidated net income for the fiscal year ended September 30, 2021, and accounted for 10.0% of our consolidated assets and 3.6% of our consolidated liabilities as of September 30, 2021. As of September 30, 2021, the Notes and the guarantees were structurally subordinated to $12.0 million of indebtedness of the non-guarantor subsidiaries.</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252" w:lineRule="exact"/>
        <w:rPr>
          <w:sz w:val="20"/>
          <w:szCs w:val="20"/>
          <w:color w:val="auto"/>
        </w:rPr>
      </w:pPr>
    </w:p>
    <w:p>
      <w:pPr>
        <w:ind w:left="660" w:right="900" w:firstLine="644"/>
        <w:spacing w:after="0" w:line="308" w:lineRule="auto"/>
        <w:tabs>
          <w:tab w:leader="none" w:pos="15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173" w:lineRule="exact"/>
        <w:rPr>
          <w:rFonts w:ascii="Arial" w:cs="Arial" w:eastAsia="Arial" w:hAnsi="Arial"/>
          <w:sz w:val="17"/>
          <w:szCs w:val="17"/>
          <w:color w:val="auto"/>
        </w:rPr>
      </w:pPr>
    </w:p>
    <w:p>
      <w:pPr>
        <w:ind w:left="1560" w:hanging="256"/>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252" w:lineRule="exact"/>
        <w:rPr>
          <w:rFonts w:ascii="Arial" w:cs="Arial" w:eastAsia="Arial" w:hAnsi="Arial"/>
          <w:sz w:val="18"/>
          <w:szCs w:val="18"/>
          <w:color w:val="auto"/>
        </w:rPr>
      </w:pPr>
    </w:p>
    <w:p>
      <w:pPr>
        <w:ind w:left="660" w:right="300" w:firstLine="644"/>
        <w:spacing w:after="0" w:line="277"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197" w:lineRule="exact"/>
        <w:rPr>
          <w:rFonts w:ascii="Arial" w:cs="Arial" w:eastAsia="Arial" w:hAnsi="Arial"/>
          <w:sz w:val="18"/>
          <w:szCs w:val="18"/>
          <w:color w:val="auto"/>
        </w:rPr>
      </w:pPr>
    </w:p>
    <w:p>
      <w:pPr>
        <w:ind w:left="660" w:right="200" w:firstLine="644"/>
        <w:spacing w:after="0" w:line="263"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 Satisfaction and Discharge”;</w:t>
      </w:r>
    </w:p>
    <w:p>
      <w:pPr>
        <w:spacing w:after="0" w:line="210" w:lineRule="exact"/>
        <w:rPr>
          <w:rFonts w:ascii="Arial" w:cs="Arial" w:eastAsia="Arial" w:hAnsi="Arial"/>
          <w:sz w:val="18"/>
          <w:szCs w:val="18"/>
          <w:color w:val="auto"/>
        </w:rPr>
      </w:pPr>
    </w:p>
    <w:p>
      <w:pPr>
        <w:ind w:left="660" w:right="340" w:firstLine="644"/>
        <w:spacing w:after="0" w:line="277"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Guarantor ceases to be a Restricted Subsidiary and such Guarantor is not otherwise required to provide a Guarantee of the Notes pursuant to the provisions described under “—Certain Covenants—Additional Subsidiary Guarantees”;</w:t>
      </w:r>
    </w:p>
    <w:p>
      <w:pPr>
        <w:spacing w:after="0" w:line="210"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election of the Company following such Guarantor’s release as a guarantor under the Credit Agreement and the 2026 Notes, the 2029 Notes and the 2032 Notes, except a release by or as a result of the repayment of the Credit Agreement or the 2026 Notes, the 2029 Notes and the 2032 Notes; or</w:t>
      </w:r>
    </w:p>
    <w:p>
      <w:pPr>
        <w:spacing w:after="0" w:line="210" w:lineRule="exact"/>
        <w:rPr>
          <w:rFonts w:ascii="Arial" w:cs="Arial" w:eastAsia="Arial" w:hAnsi="Arial"/>
          <w:sz w:val="18"/>
          <w:szCs w:val="18"/>
          <w:color w:val="auto"/>
        </w:rPr>
      </w:pPr>
    </w:p>
    <w:p>
      <w:pPr>
        <w:ind w:left="660" w:right="20" w:firstLine="644"/>
        <w:spacing w:after="0" w:line="259"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Domestic Restricted Subsidiary required to become a Guarantor following the Issue Date by virtue of the provisions described under “—Certain Covenants—Additional Subsidiary Guarantees” thereafter ceases to Guarantee or be a primary obligor with respect to (as applicable) the underlying obligation (other than the Credit Agreement or the 2026 Notes, the 2029 Notes and the 2032 Notes) initially giving rise to the creation of such Guarantee.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5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Company may issue additional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identical terms and conditions as the Notes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original notes were and the exchange notes will be issued only in denominations of $2,000 and integral multiples of $1,000 in excess thereof.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mature on April 1, 2031.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773" w:right="379" w:bottom="1440" w:gutter="0" w:footer="0" w:header="0"/>
        </w:sectPr>
      </w:pPr>
    </w:p>
    <w:bookmarkStart w:id="48" w:name="page49"/>
    <w:bookmarkEnd w:id="48"/>
    <w:p>
      <w:pPr>
        <w:ind w:right="180" w:firstLine="648"/>
        <w:spacing w:after="0" w:line="263" w:lineRule="auto"/>
        <w:rPr>
          <w:sz w:val="20"/>
          <w:szCs w:val="20"/>
          <w:color w:val="auto"/>
        </w:rPr>
      </w:pPr>
      <w:r>
        <w:rPr>
          <w:rFonts w:ascii="Arial" w:cs="Arial" w:eastAsia="Arial" w:hAnsi="Arial"/>
          <w:sz w:val="18"/>
          <w:szCs w:val="18"/>
          <w:color w:val="auto"/>
        </w:rPr>
        <w:t>Interest on the Notes will accrue at the rate of 4.000% per annum from the Issue Date. Interest is payable semi-annually in arrears on April 1 and October 1, commencing on October 1, 2021. The Company will make each interest payment to the Holders of record of the Notes on the immediately preceding March 15 and September 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on the Notes will accrue from the date of original issuance or, if interest has already been paid, from the date it was most recently paid.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21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will pay principal of, premium, if any, and interest on, the Notes in global form registered in the name of The Depository Trust Company (“DTC”) or its nominee in immediately available funds to DTC or its nominee, as the case may be, as the registered holder of such global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5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On or after April 1, 2026, the Company may redeem all or a part of the Notes upon not less than 15 nor more than 60 days’ notice, at the redemption prices (expressed as percentages of principal amount) set forth below plus accrued and unpaid interest to the applicable redemption date, if redeemed during the twelve-month period beginning on October 15 of the years indicated below:</w:t>
      </w:r>
    </w:p>
    <w:p>
      <w:pPr>
        <w:spacing w:after="0" w:line="91" w:lineRule="exact"/>
        <w:rPr>
          <w:sz w:val="20"/>
          <w:szCs w:val="20"/>
          <w:color w:val="auto"/>
        </w:rPr>
      </w:pPr>
    </w:p>
    <w:tbl>
      <w:tblPr>
        <w:tblLayout w:type="fixed"/>
        <w:tblInd w:w="3500" w:type="dxa"/>
        <w:tblCellMar>
          <w:top w:w="0" w:type="dxa"/>
          <w:left w:w="0" w:type="dxa"/>
          <w:bottom w:w="0" w:type="dxa"/>
          <w:right w:w="0" w:type="dxa"/>
        </w:tblCellMar>
      </w:tblPr>
      <w:tr>
        <w:trPr>
          <w:trHeight w:val="161"/>
        </w:trPr>
        <w:tc>
          <w:tcPr>
            <w:tcW w:w="2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 Year</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7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102.000%</w:t>
            </w:r>
          </w:p>
        </w:tc>
      </w:tr>
      <w:tr>
        <w:trPr>
          <w:trHeight w:val="229"/>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17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101.333%</w:t>
            </w:r>
          </w:p>
        </w:tc>
      </w:tr>
      <w:tr>
        <w:trPr>
          <w:trHeight w:val="230"/>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7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100.667%</w:t>
            </w:r>
          </w:p>
        </w:tc>
      </w:tr>
      <w:tr>
        <w:trPr>
          <w:trHeight w:val="230"/>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2029 and thereafter</w:t>
            </w:r>
          </w:p>
        </w:tc>
        <w:tc>
          <w:tcPr>
            <w:tcW w:w="1440" w:type="dxa"/>
            <w:vAlign w:val="bottom"/>
            <w:gridSpan w:val="2"/>
          </w:tcPr>
          <w:p>
            <w:pPr>
              <w:spacing w:after="0"/>
              <w:rPr>
                <w:sz w:val="20"/>
                <w:szCs w:val="20"/>
                <w:color w:val="auto"/>
              </w:rPr>
            </w:pPr>
            <w:r>
              <w:rPr>
                <w:rFonts w:ascii="Arial" w:cs="Arial" w:eastAsia="Arial" w:hAnsi="Arial"/>
                <w:sz w:val="18"/>
                <w:szCs w:val="18"/>
                <w:color w:val="auto"/>
              </w:rPr>
              <w:t>100.000%</w:t>
            </w: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Prior to April 1, 2024, the Company may on any one or more occasions redeem up to 35% of the aggregate principal amount of Notes issued under the Indenture with the Net Cash Proceeds of one or more Equity Offerings at a redemption price of 104.000%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at least 65% of the aggregate principal amount of Notes issued under the Indenture remains outstanding after each such redemption;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the redemption occurs within 60 days after the closing of such Equity Offering.</w:t>
      </w:r>
    </w:p>
    <w:p>
      <w:pPr>
        <w:spacing w:after="0" w:line="25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In addition, at any time prior to April 1, 2026, the Company may redeem all or a part of the Notes upon not less than 15 nor more than 60 days’ notice, at a redemption price equal to 100% of the principal amount thereof plus the Applicable Premium plus accrued and unpaid interest, if any, to the redemption date.</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 Note at any redemption date, the greater of (i) 1.0% of the principal amount of such Note and (ii) the excess of (A) the present value at such time of (1) the redemption price of such Note at April 1, 2026 (such redemption price being set forth in the table above) plus (2) all required interest payments due on such Note (excluding accrued and unpaid interest to such redemption date) through April 1, 2026, computed using a discount rate equal to the Treasury Rate plus 50 basis points, over (B) the principal amount of such Note.</w:t>
      </w:r>
    </w:p>
    <w:p>
      <w:pPr>
        <w:spacing w:after="0" w:line="1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the weekly average of the yield to maturity at the time of computation of United States Treasury securities with a constant maturity (as compiled and published in each statistical release for the immediately preceding week</w:t>
      </w:r>
    </w:p>
    <w:p>
      <w:pPr>
        <w:sectPr>
          <w:pgSz w:w="11900" w:h="16838" w:orient="portrait"/>
          <w:cols w:equalWidth="0" w:num="1">
            <w:col w:w="11240"/>
          </w:cols>
          <w:pgMar w:left="320" w:top="1016"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016" w:right="339" w:bottom="1440" w:gutter="0" w:footer="0" w:header="0"/>
          <w:type w:val="continuous"/>
        </w:sectPr>
      </w:pPr>
    </w:p>
    <w:bookmarkStart w:id="49" w:name="page50"/>
    <w:bookmarkEnd w:id="49"/>
    <w:p>
      <w:pPr>
        <w:ind w:right="40"/>
        <w:spacing w:after="0" w:line="293" w:lineRule="auto"/>
        <w:rPr>
          <w:sz w:val="20"/>
          <w:szCs w:val="20"/>
          <w:color w:val="auto"/>
        </w:rPr>
      </w:pPr>
      <w:r>
        <w:rPr>
          <w:rFonts w:ascii="Arial" w:cs="Arial" w:eastAsia="Arial" w:hAnsi="Arial"/>
          <w:sz w:val="16"/>
          <w:szCs w:val="16"/>
          <w:color w:val="auto"/>
        </w:rPr>
        <w:t xml:space="preserve">designated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Redemption Date (or, if such statistical release is no longer published, any publicly available source of similar market data)) most nearly equal to the period from the redemption date to April 1, 2026;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April 1, 2026 is less than one year, the weekly average yield on actually traded United States Treasury securities adjusted to a constant maturity of one year shall be used.</w:t>
      </w:r>
    </w:p>
    <w:p>
      <w:pPr>
        <w:spacing w:after="0" w:line="19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if the Notes are listed, in compliance with the requirements of the principal national securities exchange on which the Notes are listed;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5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No Notes of $2,000 or less shall be redeemed in part. Notices of redemption shall be mailed by first class mail or electronically delivered if held by DTC at least 15 but not more than 60 days before the redemption date to each Holder of Notes to be redeemed at its registered address.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Notice of any redemption of Notes may, at the Company’s discretion, be subject to one or more conditions precedent. If such redemption is subject to satisfaction of one or more conditions precedent, such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redemption date as so delayed. The Company may provide in such notice that payment of the redemption price and performance of the Company’s obligations with respect to such redemption may be performed by another Person. The Company will provide prompt written notice to the Trustee rescinding any such conditional redemption in the event that any such condition precedent shall not have occurred, and thereafter such redemption and notice of redemption shall be rescinded and of no force or effect. Upon receipt of such notice from the Company rescinding such conditional redemption, the Trustee will promptly send a copy of such notice to the Holders of the Notes to be redeemed.</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 Change of Control occurs, unless the Company at such time has given an unconditional notice of an optional redemption with respect to all outstanding Notes,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unless the Company at such time has given an unconditional notice of an optional redemption with respect to all outstanding Notes, the Company will mail or electronically deliver if held by DTC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73" w:right="339" w:bottom="1440" w:gutter="0" w:footer="0" w:header="0"/>
        </w:sectPr>
      </w:pPr>
    </w:p>
    <w:bookmarkStart w:id="50" w:name="page51"/>
    <w:bookmarkEnd w:id="50"/>
    <w:p>
      <w:pPr>
        <w:ind w:right="180"/>
        <w:spacing w:after="0" w:line="301" w:lineRule="auto"/>
        <w:rPr>
          <w:sz w:val="20"/>
          <w:szCs w:val="20"/>
          <w:color w:val="auto"/>
        </w:rPr>
      </w:pPr>
      <w:r>
        <w:rPr>
          <w:rFonts w:ascii="Arial" w:cs="Arial" w:eastAsia="Arial" w:hAnsi="Arial"/>
          <w:sz w:val="16"/>
          <w:szCs w:val="16"/>
          <w:color w:val="auto"/>
        </w:rPr>
        <w:t>with the requirements of Rule 14e-1 under the Exchange Act and any other securities laws and regulations thereunder to the extent such laws and regulations are applicable in connection with the repurchase of the Notes as a result of a Change of Control. To the extent the provisions of any securities laws or regulations conflict with the Change of Control provisions of the Indenture, the Company will comply with the applicable securities laws and regulations and will not be deemed to have breached its obligations under the Change of Control provisions of the Indenture by virtue of such conflict.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252" w:lineRule="exact"/>
        <w:rPr>
          <w:sz w:val="20"/>
          <w:szCs w:val="20"/>
          <w:color w:val="auto"/>
        </w:rPr>
      </w:pPr>
    </w:p>
    <w:p>
      <w:pPr>
        <w:ind w:left="1560" w:hanging="256"/>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252" w:lineRule="exact"/>
        <w:rPr>
          <w:rFonts w:ascii="Arial" w:cs="Arial" w:eastAsia="Arial" w:hAnsi="Arial"/>
          <w:sz w:val="18"/>
          <w:szCs w:val="18"/>
          <w:color w:val="auto"/>
        </w:rPr>
      </w:pPr>
    </w:p>
    <w:p>
      <w:pPr>
        <w:ind w:left="660" w:right="520" w:firstLine="644"/>
        <w:spacing w:after="0" w:line="277" w:lineRule="auto"/>
        <w:tabs>
          <w:tab w:leader="none" w:pos="1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thereof so tendered; and</w:t>
      </w:r>
    </w:p>
    <w:p>
      <w:pPr>
        <w:spacing w:after="0" w:line="197" w:lineRule="exact"/>
        <w:rPr>
          <w:rFonts w:ascii="Arial" w:cs="Arial" w:eastAsia="Arial" w:hAnsi="Arial"/>
          <w:sz w:val="18"/>
          <w:szCs w:val="18"/>
          <w:color w:val="auto"/>
        </w:rPr>
      </w:pPr>
    </w:p>
    <w:p>
      <w:pPr>
        <w:ind w:left="660" w:right="600" w:firstLine="644"/>
        <w:spacing w:after="0" w:line="277" w:lineRule="auto"/>
        <w:tabs>
          <w:tab w:leader="none" w:pos="1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Paying Agent will promptly mail or electronically deliver if held by DTC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21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(including the 2026 Notes, the 2029 Notes and the 2032 Notes)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(including the 2026 Notes, the 2029 Notes and the 2032 Notes), and as a result, a “change of control” offer may be made to holders of all or some of such other Indebtedness after a transaction that does not constitute a Change of Control under the Indenture.</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773"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52" w:lineRule="exact"/>
        <w:rPr>
          <w:sz w:val="20"/>
          <w:szCs w:val="20"/>
          <w:color w:val="auto"/>
        </w:rPr>
      </w:pPr>
    </w:p>
    <w:p>
      <w:pPr>
        <w:jc w:val="both"/>
        <w:ind w:left="660" w:right="120" w:firstLine="644"/>
        <w:spacing w:after="0" w:line="263" w:lineRule="auto"/>
        <w:tabs>
          <w:tab w:leader="none" w:pos="15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210" w:lineRule="exact"/>
        <w:rPr>
          <w:rFonts w:ascii="Arial" w:cs="Arial" w:eastAsia="Arial" w:hAnsi="Arial"/>
          <w:sz w:val="18"/>
          <w:szCs w:val="18"/>
          <w:color w:val="auto"/>
        </w:rPr>
      </w:pPr>
    </w:p>
    <w:p>
      <w:pPr>
        <w:ind w:left="660" w:right="140" w:firstLine="644"/>
        <w:spacing w:after="0" w:line="263" w:lineRule="auto"/>
        <w:tabs>
          <w:tab w:leader="none" w:pos="15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210" w:lineRule="exact"/>
        <w:rPr>
          <w:rFonts w:ascii="Arial" w:cs="Arial" w:eastAsia="Arial" w:hAnsi="Arial"/>
          <w:sz w:val="18"/>
          <w:szCs w:val="18"/>
          <w:color w:val="auto"/>
        </w:rPr>
      </w:pPr>
    </w:p>
    <w:p>
      <w:pPr>
        <w:ind w:left="1300" w:right="20" w:firstLine="652"/>
        <w:spacing w:after="0" w:line="259" w:lineRule="auto"/>
        <w:tabs>
          <w:tab w:leader="none" w:pos="21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(x) assumed by the transferee of any such assets or (y) discharged in a transaction pursuant to which neither the Company nor any Restricted Subsidiary has any liability following such Asset Sale;</w:t>
      </w:r>
    </w:p>
    <w:p>
      <w:pPr>
        <w:spacing w:after="0" w:line="213" w:lineRule="exact"/>
        <w:rPr>
          <w:rFonts w:ascii="Arial" w:cs="Arial" w:eastAsia="Arial" w:hAnsi="Arial"/>
          <w:sz w:val="18"/>
          <w:szCs w:val="18"/>
          <w:color w:val="auto"/>
        </w:rPr>
      </w:pPr>
    </w:p>
    <w:p>
      <w:pPr>
        <w:ind w:left="1300" w:right="220" w:firstLine="652"/>
        <w:spacing w:after="0" w:line="263" w:lineRule="auto"/>
        <w:tabs>
          <w:tab w:leader="none" w:pos="22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 and</w:t>
      </w:r>
    </w:p>
    <w:p>
      <w:pPr>
        <w:spacing w:after="0" w:line="210" w:lineRule="exact"/>
        <w:rPr>
          <w:rFonts w:ascii="Arial" w:cs="Arial" w:eastAsia="Arial" w:hAnsi="Arial"/>
          <w:sz w:val="18"/>
          <w:szCs w:val="18"/>
          <w:color w:val="auto"/>
        </w:rPr>
      </w:pPr>
    </w:p>
    <w:p>
      <w:pPr>
        <w:ind w:left="1300" w:right="20" w:firstLine="652"/>
        <w:spacing w:after="0" w:line="255" w:lineRule="auto"/>
        <w:tabs>
          <w:tab w:leader="none" w:pos="22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provided that the determination of the fair market value of assets or Equity Interests in excess of $250.0 million received in any transaction or series of related transactions shall be evidenced by an officers’ certificate delivered to the Trustee.</w:t>
      </w:r>
    </w:p>
    <w:p>
      <w:pPr>
        <w:spacing w:after="0" w:line="21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Within a period of 450 days (commencing after the Issue Date) before or after the receipt of any Net Proceeds of any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during such 450-day period after the receipt of any such Net Proceeds the Company (or the applicable Restricted Subsidiary) enters into a definitive binding agreement committing it to apply such Net Proceeds in accordance with the requirements of clause (B), (D) or (E) of this paragraph after such 450th day, such 450-day period will be extended with respect to the amount of Net Proceeds so committed for a period not to exceed 180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205" w:lineRule="exact"/>
        <w:rPr>
          <w:sz w:val="20"/>
          <w:szCs w:val="20"/>
          <w:color w:val="auto"/>
        </w:rPr>
      </w:pPr>
    </w:p>
    <w:p>
      <w:pPr>
        <w:ind w:left="660" w:right="160" w:firstLine="644"/>
        <w:spacing w:after="0" w:line="275" w:lineRule="auto"/>
        <w:tabs>
          <w:tab w:leader="none" w:pos="160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203" w:lineRule="exact"/>
        <w:rPr>
          <w:rFonts w:ascii="Arial" w:cs="Arial" w:eastAsia="Arial" w:hAnsi="Arial"/>
          <w:sz w:val="17"/>
          <w:szCs w:val="17"/>
          <w:color w:val="auto"/>
        </w:rPr>
      </w:pPr>
    </w:p>
    <w:p>
      <w:pPr>
        <w:ind w:left="660" w:firstLine="644"/>
        <w:spacing w:after="0" w:line="342" w:lineRule="auto"/>
        <w:tabs>
          <w:tab w:leader="none" w:pos="15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150" w:lineRule="exact"/>
        <w:rPr>
          <w:rFonts w:ascii="Arial" w:cs="Arial" w:eastAsia="Arial" w:hAnsi="Arial"/>
          <w:sz w:val="16"/>
          <w:szCs w:val="16"/>
          <w:color w:val="auto"/>
        </w:rPr>
      </w:pPr>
    </w:p>
    <w:p>
      <w:pPr>
        <w:ind w:left="1580" w:hanging="276"/>
        <w:spacing w:after="0"/>
        <w:tabs>
          <w:tab w:leader="none" w:pos="1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252" w:lineRule="exact"/>
        <w:rPr>
          <w:rFonts w:ascii="Arial" w:cs="Arial" w:eastAsia="Arial" w:hAnsi="Arial"/>
          <w:sz w:val="18"/>
          <w:szCs w:val="18"/>
          <w:color w:val="auto"/>
        </w:rPr>
      </w:pPr>
    </w:p>
    <w:p>
      <w:pPr>
        <w:ind w:left="660" w:right="160" w:firstLine="644"/>
        <w:spacing w:after="0" w:line="277" w:lineRule="auto"/>
        <w:tabs>
          <w:tab w:leader="none" w:pos="16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 or will replace assets that are subject to such an Asset Sale;</w:t>
      </w:r>
    </w:p>
    <w:p>
      <w:pPr>
        <w:spacing w:after="0" w:line="197" w:lineRule="exact"/>
        <w:rPr>
          <w:rFonts w:ascii="Arial" w:cs="Arial" w:eastAsia="Arial" w:hAnsi="Arial"/>
          <w:sz w:val="18"/>
          <w:szCs w:val="18"/>
          <w:color w:val="auto"/>
        </w:rPr>
      </w:pPr>
    </w:p>
    <w:p>
      <w:pPr>
        <w:ind w:left="1580" w:hanging="276"/>
        <w:spacing w:after="0"/>
        <w:tabs>
          <w:tab w:leader="none" w:pos="1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773" w:right="359" w:bottom="1440" w:gutter="0" w:footer="0" w:header="0"/>
        </w:sectPr>
      </w:pPr>
    </w:p>
    <w:bookmarkStart w:id="52" w:name="page53"/>
    <w:bookmarkEnd w:id="52"/>
    <w:p>
      <w:pPr>
        <w:ind w:firstLine="648"/>
        <w:spacing w:after="0" w:line="284" w:lineRule="auto"/>
        <w:rPr>
          <w:sz w:val="20"/>
          <w:szCs w:val="20"/>
          <w:color w:val="auto"/>
        </w:rPr>
      </w:pPr>
      <w:r>
        <w:rPr>
          <w:rFonts w:ascii="Arial" w:cs="Arial" w:eastAsia="Arial" w:hAnsi="Arial"/>
          <w:sz w:val="16"/>
          <w:szCs w:val="16"/>
          <w:color w:val="auto"/>
        </w:rPr>
        <w:t>Pending the final application of such Net Proceeds, the Company or any Restricted Subsidiary may temporarily reduce borrowings under the Credit Facilities or any other revolving credit facility or Receivables Financings, if any, or otherwise invest such Net Proceeds in Cash Equivalents, in each case in a manner not prohibited by the Indenture. Subject to the last sentence of this paragraph, on the 451st day (as extended pursuant to the provisions in the preceding paragraph) after an Asset Sale or such earlier date, if any, as the Board of Directors of the Company or of such Restricted Subsidiary determines not to apply the Net Proceeds relating to such Asset Sale as set forth in clause (A), (B), (C), (D), (E) or (F) of the second preceding sentence (each, a “</w:t>
      </w:r>
      <w:r>
        <w:rPr>
          <w:rFonts w:ascii="Arial" w:cs="Arial" w:eastAsia="Arial" w:hAnsi="Arial"/>
          <w:sz w:val="16"/>
          <w:szCs w:val="16"/>
          <w:i w:val="1"/>
          <w:iCs w:val="1"/>
          <w:color w:val="auto"/>
        </w:rPr>
        <w:t>Net Proceeds Offer Trigger Date</w:t>
      </w:r>
      <w:r>
        <w:rPr>
          <w:rFonts w:ascii="Arial" w:cs="Arial" w:eastAsia="Arial" w:hAnsi="Arial"/>
          <w:sz w:val="16"/>
          <w:szCs w:val="16"/>
          <w:color w:val="auto"/>
        </w:rPr>
        <w:t>”), such aggregate amount of Net Proceeds which have not been applied (or committed to be applied pursuant to a definitive agreement as described above) on or before such Net Proceeds Offer Trigger Date as permitted in clauses (A), (B), (C), (D), (E) or (F) of the second preceding sentence (each a “</w:t>
      </w:r>
      <w:r>
        <w:rPr>
          <w:rFonts w:ascii="Arial" w:cs="Arial" w:eastAsia="Arial" w:hAnsi="Arial"/>
          <w:sz w:val="16"/>
          <w:szCs w:val="16"/>
          <w:i w:val="1"/>
          <w:iCs w:val="1"/>
          <w:color w:val="auto"/>
        </w:rPr>
        <w:t>Net Proceeds Offer Amount</w:t>
      </w:r>
      <w:r>
        <w:rPr>
          <w:rFonts w:ascii="Arial" w:cs="Arial" w:eastAsia="Arial" w:hAnsi="Arial"/>
          <w:sz w:val="16"/>
          <w:szCs w:val="16"/>
          <w:color w:val="auto"/>
        </w:rPr>
        <w:t>”) shall be applied by the Company or such Restricted Subsidiary to make an offer to purchase (the “</w:t>
      </w:r>
      <w:r>
        <w:rPr>
          <w:rFonts w:ascii="Arial" w:cs="Arial" w:eastAsia="Arial" w:hAnsi="Arial"/>
          <w:sz w:val="16"/>
          <w:szCs w:val="16"/>
          <w:i w:val="1"/>
          <w:iCs w:val="1"/>
          <w:color w:val="auto"/>
        </w:rPr>
        <w:t>Net Proceeds Offer</w:t>
      </w:r>
      <w:r>
        <w:rPr>
          <w:rFonts w:ascii="Arial" w:cs="Arial" w:eastAsia="Arial" w:hAnsi="Arial"/>
          <w:sz w:val="16"/>
          <w:szCs w:val="16"/>
          <w:color w:val="auto"/>
        </w:rPr>
        <w:t>”) on a date (the “</w:t>
      </w:r>
      <w:r>
        <w:rPr>
          <w:rFonts w:ascii="Arial" w:cs="Arial" w:eastAsia="Arial" w:hAnsi="Arial"/>
          <w:sz w:val="16"/>
          <w:szCs w:val="16"/>
          <w:i w:val="1"/>
          <w:iCs w:val="1"/>
          <w:color w:val="auto"/>
        </w:rPr>
        <w:t>Net Proceeds Offer Payment Date</w:t>
      </w:r>
      <w:r>
        <w:rPr>
          <w:rFonts w:ascii="Arial" w:cs="Arial" w:eastAsia="Arial" w:hAnsi="Arial"/>
          <w:sz w:val="16"/>
          <w:szCs w:val="16"/>
          <w:color w:val="auto"/>
        </w:rPr>
        <w:t xml:space="preserve">”) not less than 30 nor more than 60 days following the applicable Net Proceeds Offer Trigger Date, from all Holders (and, if required by the terms of any other Indebtedness of the Company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in right of payment and which has similar provisions requiring the Company either to make an offer to repurchase or to otherwise repurchase, redeem or repay such Indebtedness with the proceeds from Asset Sales, including the 2026 Notes, the 2029 Notes and the 2032 Notes and, in each case, the related Guarantees thereof (the “</w:t>
      </w:r>
      <w:r>
        <w:rPr>
          <w:rFonts w:ascii="Arial" w:cs="Arial" w:eastAsia="Arial" w:hAnsi="Arial"/>
          <w:sz w:val="16"/>
          <w:szCs w:val="16"/>
          <w:i w:val="1"/>
          <w:iCs w:val="1"/>
          <w:color w:val="auto"/>
        </w:rPr>
        <w:t>Pari Passu Indebtedness</w:t>
      </w:r>
      <w:r>
        <w:rPr>
          <w:rFonts w:ascii="Arial" w:cs="Arial" w:eastAsia="Arial" w:hAnsi="Arial"/>
          <w:sz w:val="16"/>
          <w:szCs w:val="16"/>
          <w:color w:val="auto"/>
        </w:rPr>
        <w:t xml:space="preserve">”), from the holders of such Pari Passu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proportion to the respective principal amounts or accreted value, as the case may be, of the Notes and any such Pari Passu Indebtedness) an aggregate principal amount of Notes (plus, if applicable, an aggregate principal amount or accreted value, as the case may be, of Pari Passu Indebtedness) equal to the Net Proceeds Offer Amount at a price equal to 100% of the principal amount of the Notes (or 100% of the principal amount or accreted value, as the case may be, of such Pari Passu Indebtedness), plus accrued and unpaid interest thereon, if any, to the Net Proceeds Offer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at any time any non-cash consideration received by the Company or any Restricted Subsidiary, as the case may be, in connection with any Asset Sale is converted into or sold or otherwise disposed of for cash (other than interest received with respect to any such non-cash consideration), then such conversion or disposition shall be deemed to constitute an Asset Sale hereunder and the Net Proceeds thereof shall be applied in accordance with this covenant. The Company may defer the Net Proceeds Offer until there is an aggregate unutilized Net Proceeds Offer Amount equal to or in excess of $250.0 million resulting from one or more Asset Sales (at which time the entire unutilized Net Proceeds Offer Amount, and not just the amount in excess of $250.0 million, shall be applied as required pursuant to this paragraph, and in which case the Net Proceeds Offer Trigger Date shall be deemed to be the earliest date that the Net Proceeds Offer Amount is equal to or in excess of $250.0 million).</w:t>
      </w:r>
    </w:p>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Each Net Proceeds Offer will be mailed or electronically delivered if held by DTC to the record Holders as shown on the register of Holders within 25 days following the Net Proceeds Offer Trigger Date, with a copy to the Trustee, and shall comply with the procedures set forth in the Indenture. Upon receiving notice of the Net Proceeds Offer, Holders may elect to tender their Notes in whole or in part in denominations of $2,000 or integral multiples of $1,000 in excess thereof in exchange for cash. To the extent that the aggregate principal amount of Notes (plus, if applicable, the aggregate principal amount or accreted value, as the case may be, of Pari Passu Indebtedness) validly tendered by the Holders thereof and not withdrawn exceeds the Net Proceeds Offer Amount, Notes of tendering Holders (and, if applicable, Pari Passu Indebtedness tendered by the holders thereof) will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principal amount of the Notes and, if applicable, the principal amount or accreted 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the Indenture. Upon completion of any such Net Proceeds Offer, the Net Proceeds Offer Amount shall be reset at zero. A Net Proceeds Offer shall remain open for a period of 20 Business Days or such longer period as may be required by law.</w:t>
      </w:r>
    </w:p>
    <w:p>
      <w:pPr>
        <w:spacing w:after="0" w:line="20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 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on any date following the Issue Date the Notes have an Investment Grade Rating from both Rating Agencies and no Default or Event of Default has occurred and is continuing under the Indenture, then beginning on that day and subject to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77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provisions of the following paragraph, the provisions specifically listed under the following captions in this prospectus will be suspended:</w:t>
      </w:r>
    </w:p>
    <w:p>
      <w:pPr>
        <w:spacing w:after="0" w:line="25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clause (a)(ii) of “—Certain Covenants—Merger, Consolidation or Sale of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27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Investments made and Indebtedness incurred after the time of such withdrawal, Default or Event of Default will be calculated in accordance with the terms of the covenant described below under the caption “—Restricted Investments” and “—Incurrence of Indebtedness and Issuance of Preferred Stock” as though such covenant had been in effect during the entire period of time from the Issue Date.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 actions taken or events occurring during a Suspension Period (including without limitation any agreements,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Restricted Investment unless, at the time of and after giving effect to such Restricted Investment:</w:t>
      </w:r>
    </w:p>
    <w:p>
      <w:pPr>
        <w:spacing w:after="0" w:line="197" w:lineRule="exact"/>
        <w:rPr>
          <w:sz w:val="20"/>
          <w:szCs w:val="20"/>
          <w:color w:val="auto"/>
        </w:rPr>
      </w:pPr>
    </w:p>
    <w:p>
      <w:pPr>
        <w:ind w:left="1540" w:hanging="236"/>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252" w:lineRule="exact"/>
        <w:rPr>
          <w:rFonts w:ascii="Arial" w:cs="Arial" w:eastAsia="Arial" w:hAnsi="Arial"/>
          <w:sz w:val="18"/>
          <w:szCs w:val="18"/>
          <w:color w:val="auto"/>
        </w:rPr>
      </w:pPr>
    </w:p>
    <w:p>
      <w:pPr>
        <w:jc w:val="both"/>
        <w:ind w:left="660" w:right="200" w:firstLine="644"/>
        <w:spacing w:after="0" w:line="259" w:lineRule="auto"/>
        <w:tabs>
          <w:tab w:leader="none" w:pos="15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would, at the time of such Restricted Investment and after giving pro forma effect thereto as if such Restricted Investment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213" w:lineRule="exact"/>
        <w:rPr>
          <w:rFonts w:ascii="Arial" w:cs="Arial" w:eastAsia="Arial" w:hAnsi="Arial"/>
          <w:sz w:val="18"/>
          <w:szCs w:val="18"/>
          <w:color w:val="auto"/>
        </w:rPr>
      </w:pPr>
    </w:p>
    <w:p>
      <w:pPr>
        <w:ind w:left="660" w:right="100" w:firstLine="644"/>
        <w:spacing w:after="0" w:line="263" w:lineRule="auto"/>
        <w:tabs>
          <w:tab w:leader="none" w:pos="15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Restricted Investment, together with the aggregate amount of all other Restricted Investments made by the Company and its Restricted Subsidiaries (excluding Restricted Investments permitted by clauses (1) and (2) of the next succeeding paragraph) after the 2018 Notes Issue Date, is less than the sum, without duplication, of:</w:t>
      </w:r>
    </w:p>
    <w:p>
      <w:pPr>
        <w:spacing w:after="0" w:line="210" w:lineRule="exact"/>
        <w:rPr>
          <w:rFonts w:ascii="Arial" w:cs="Arial" w:eastAsia="Arial" w:hAnsi="Arial"/>
          <w:sz w:val="18"/>
          <w:szCs w:val="18"/>
          <w:color w:val="auto"/>
        </w:rPr>
      </w:pPr>
    </w:p>
    <w:p>
      <w:pPr>
        <w:ind w:left="1300" w:right="320" w:firstLine="652"/>
        <w:spacing w:after="0" w:line="279" w:lineRule="auto"/>
        <w:tabs>
          <w:tab w:leader="none" w:pos="2163"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Investment (or, if such Consolidated Net Income for such period is a deficit, less 100% of such deficit); </w:t>
      </w:r>
      <w:r>
        <w:rPr>
          <w:rFonts w:ascii="Arial" w:cs="Arial" w:eastAsia="Arial" w:hAnsi="Arial"/>
          <w:sz w:val="17"/>
          <w:szCs w:val="17"/>
          <w:i w:val="1"/>
          <w:iCs w:val="1"/>
          <w:color w:val="auto"/>
        </w:rPr>
        <w:t>plus</w:t>
      </w:r>
    </w:p>
    <w:p>
      <w:pPr>
        <w:spacing w:after="0" w:line="198" w:lineRule="exact"/>
        <w:rPr>
          <w:rFonts w:ascii="Arial" w:cs="Arial" w:eastAsia="Arial" w:hAnsi="Arial"/>
          <w:sz w:val="17"/>
          <w:szCs w:val="17"/>
          <w:color w:val="auto"/>
        </w:rPr>
      </w:pPr>
    </w:p>
    <w:p>
      <w:pPr>
        <w:ind w:left="1300" w:right="20" w:firstLine="652"/>
        <w:spacing w:after="0" w:line="257" w:lineRule="auto"/>
        <w:tabs>
          <w:tab w:leader="none" w:pos="2213"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73" w:right="339" w:bottom="1440" w:gutter="0" w:footer="0" w:header="0"/>
        </w:sectPr>
      </w:pPr>
    </w:p>
    <w:bookmarkStart w:id="54" w:name="page55"/>
    <w:bookmarkEnd w:id="54"/>
    <w:p>
      <w:pPr>
        <w:jc w:val="both"/>
        <w:ind w:left="1300" w:firstLine="652"/>
        <w:spacing w:after="0" w:line="311" w:lineRule="auto"/>
        <w:tabs>
          <w:tab w:leader="none" w:pos="22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to the extent that any Restricted Investment that was made after the date of the Indenture is sold for cash (other than a sale to the Company or a Restricted Subsidiary) or otherwise liquidated or repaid for cash, the lesser of (x) the cash return of capital with respect to such Restricted Investment (less the cost of disposition, if any) and (y) the initial amount of such Restricted Investment; </w:t>
      </w:r>
      <w:r>
        <w:rPr>
          <w:rFonts w:ascii="Arial" w:cs="Arial" w:eastAsia="Arial" w:hAnsi="Arial"/>
          <w:sz w:val="16"/>
          <w:szCs w:val="16"/>
          <w:i w:val="1"/>
          <w:iCs w:val="1"/>
          <w:color w:val="auto"/>
        </w:rPr>
        <w:t>plus</w:t>
      </w:r>
    </w:p>
    <w:p>
      <w:pPr>
        <w:spacing w:after="0" w:line="175" w:lineRule="exact"/>
        <w:rPr>
          <w:rFonts w:ascii="Arial" w:cs="Arial" w:eastAsia="Arial" w:hAnsi="Arial"/>
          <w:sz w:val="16"/>
          <w:szCs w:val="16"/>
          <w:color w:val="auto"/>
        </w:rPr>
      </w:pPr>
    </w:p>
    <w:p>
      <w:pPr>
        <w:ind w:left="2260" w:hanging="308"/>
        <w:spacing w:after="0"/>
        <w:tabs>
          <w:tab w:leader="none" w:pos="2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redesignation of an Unrestricted Subsidiary as a Restricted Subsidiary, the fair market value of such Subsidiary.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the amount available for Restricted Investments pursuant to clause (c) above was $1,474.3 million.</w:t>
      </w:r>
    </w:p>
    <w:p>
      <w:pPr>
        <w:spacing w:after="0" w:line="252"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The preceding provision will not prohibit: (1) Restricted Investments in an amount not to exceed $600.0 million outstanding at any time and (2) Permitted Additional Restricted Investments, in each case, so long as no Default shall have occurred and be continuing at the time of the making thereof. For purposes of determining compliance with this covenant, in the event that a</w:t>
      </w:r>
    </w:p>
    <w:p>
      <w:pPr>
        <w:spacing w:after="0" w:line="3" w:lineRule="exact"/>
        <w:rPr>
          <w:sz w:val="20"/>
          <w:szCs w:val="20"/>
          <w:color w:val="auto"/>
        </w:rPr>
      </w:pPr>
    </w:p>
    <w:p>
      <w:pPr>
        <w:ind w:right="1520"/>
        <w:spacing w:after="0" w:line="225" w:lineRule="auto"/>
        <w:rPr>
          <w:sz w:val="20"/>
          <w:szCs w:val="20"/>
          <w:color w:val="auto"/>
        </w:rPr>
      </w:pPr>
      <w:r>
        <w:rPr>
          <w:rFonts w:ascii="Arial" w:cs="Arial" w:eastAsia="Arial" w:hAnsi="Arial"/>
          <w:sz w:val="18"/>
          <w:szCs w:val="18"/>
          <w:color w:val="auto"/>
        </w:rPr>
        <w:t>Restricted Investment or Permitted Investment meets the criteria of more than one of the categories described in the immediately preceding sentence, described in clauses (1) through (14) of the definition of Permitted Investments or is permitted pursuant to the first paragraph of this covenant, the Company will be entitled to divide or classify (or later divide, classify or reclassify in whole or in part in its sole discretion) such Restricted Investment or Permitted Investment in any manner that complies with this covenant or the definition of Permitted Investment.</w:t>
      </w:r>
    </w:p>
    <w:p>
      <w:pPr>
        <w:spacing w:after="0" w:line="2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amount of all Restricted Investments (other than cash) shall be the fair market value on the date of the Restricted Investment of the asset(s) or securities in which the Company or its Restricted Subsidiary, as the case may be, proposes to invest. The fair market value of any assets or securities that are required to be valued by this covenant shall be approved in good faith by the Board of Directors whose resolution with respect thereto shall be delivered to the Trustee. Not later than the date of a Permitted Additional Restricted Investment, the Company shall deliver to the Trustee an officers’ certificate stating that such Permitted Additional Restricted Investment is permitted and setting forth the basis upon which the calculations required by this “Restricted Investments” covenant were computed.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Subsidiaries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Investments or Permitted Investments, as applicable. All such outstanding Investments will be treated as Restricted Investments equal to the fair market value of such Investments at the time of the designation. The designation will not be permitted if such Restricted Investment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and any of its Restricted Subsidiaries may incur Indebtedness (including Acquired Debt) or issue Disqualified Stock, and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of Indebtedness (including Acquired Debt), Disqualified Stock or preferred stock that may be incurred or issued, as applicable, by Restricted Subsidiaries that are not Guarantors, pursuant to the foregoing, shall not exceed $500.0 million at any one time outstanding.</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275" w:lineRule="exact"/>
        <w:rPr>
          <w:sz w:val="20"/>
          <w:szCs w:val="20"/>
          <w:color w:val="auto"/>
        </w:rPr>
      </w:pPr>
    </w:p>
    <w:p>
      <w:pPr>
        <w:ind w:left="660" w:right="540" w:firstLine="644"/>
        <w:spacing w:after="0" w:line="263" w:lineRule="auto"/>
        <w:tabs>
          <w:tab w:leader="none" w:pos="1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$2.80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sum of (i)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773" w:right="339" w:bottom="1440" w:gutter="0" w:footer="0" w:header="0"/>
        </w:sectPr>
      </w:pPr>
    </w:p>
    <w:bookmarkStart w:id="55" w:name="page56"/>
    <w:bookmarkEnd w:id="55"/>
    <w:p>
      <w:pPr>
        <w:ind w:right="200"/>
        <w:spacing w:after="0" w:line="259" w:lineRule="auto"/>
        <w:rPr>
          <w:sz w:val="20"/>
          <w:szCs w:val="20"/>
          <w:color w:val="auto"/>
        </w:rPr>
      </w:pPr>
      <w:r>
        <w:rPr>
          <w:rFonts w:ascii="Arial" w:cs="Arial" w:eastAsia="Arial" w:hAnsi="Arial"/>
          <w:sz w:val="18"/>
          <w:szCs w:val="18"/>
          <w:color w:val="auto"/>
        </w:rPr>
        <w:t>aggregate amount of all Net Proceeds of Asset Sales applied by the Company or any of its Restricted Subsidiaries to repay Indebtedness under Credit Facilities pursuant to the covenant described above under the caption “—Repurchase at the Option of Holders—Offer to Repurchase by Application of Excess Proceeds of Asset Sales” and (ii) the amount of Indebtedness in excess of $500.0 million incurred pursuant to clause (10) below of this paragraph;</w:t>
      </w:r>
    </w:p>
    <w:p>
      <w:pPr>
        <w:spacing w:after="0" w:line="214" w:lineRule="exact"/>
        <w:rPr>
          <w:sz w:val="20"/>
          <w:szCs w:val="20"/>
          <w:color w:val="auto"/>
        </w:rPr>
      </w:pPr>
    </w:p>
    <w:p>
      <w:pPr>
        <w:ind w:left="900" w:hanging="25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252" w:lineRule="exact"/>
        <w:rPr>
          <w:rFonts w:ascii="Arial" w:cs="Arial" w:eastAsia="Arial" w:hAnsi="Arial"/>
          <w:sz w:val="18"/>
          <w:szCs w:val="18"/>
          <w:color w:val="auto"/>
        </w:rPr>
      </w:pPr>
    </w:p>
    <w:p>
      <w:pPr>
        <w:jc w:val="both"/>
        <w:ind w:right="160" w:firstLine="644"/>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the Subsidiary Guarantees of all Notes, the 2026 Notes, Subsidiary Guarantees of all 2026 Notes, the 2029 Notes, Subsidiary Guarantees of all 2029 Notes, the 2032 Notes and Subsidiary Guarantees of all 2032 Notes;</w:t>
      </w:r>
    </w:p>
    <w:p>
      <w:pPr>
        <w:spacing w:after="0" w:line="210" w:lineRule="exact"/>
        <w:rPr>
          <w:rFonts w:ascii="Arial" w:cs="Arial" w:eastAsia="Arial" w:hAnsi="Arial"/>
          <w:sz w:val="18"/>
          <w:szCs w:val="18"/>
          <w:color w:val="auto"/>
        </w:rPr>
      </w:pPr>
    </w:p>
    <w:p>
      <w:pPr>
        <w:ind w:firstLine="644"/>
        <w:spacing w:after="0" w:line="275" w:lineRule="auto"/>
        <w:tabs>
          <w:tab w:leader="none" w:pos="9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Finance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$400.0 million at any time outstanding;</w:t>
      </w:r>
    </w:p>
    <w:p>
      <w:pPr>
        <w:spacing w:after="0" w:line="203" w:lineRule="exact"/>
        <w:rPr>
          <w:rFonts w:ascii="Arial" w:cs="Arial" w:eastAsia="Arial" w:hAnsi="Arial"/>
          <w:sz w:val="17"/>
          <w:szCs w:val="17"/>
          <w:color w:val="auto"/>
        </w:rPr>
      </w:pPr>
    </w:p>
    <w:p>
      <w:pPr>
        <w:jc w:val="both"/>
        <w:ind w:right="20" w:firstLine="644"/>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210" w:lineRule="exact"/>
        <w:rPr>
          <w:rFonts w:ascii="Arial" w:cs="Arial" w:eastAsia="Arial" w:hAnsi="Arial"/>
          <w:sz w:val="18"/>
          <w:szCs w:val="18"/>
          <w:color w:val="auto"/>
        </w:rPr>
      </w:pPr>
    </w:p>
    <w:p>
      <w:pPr>
        <w:ind w:right="300" w:firstLine="644"/>
        <w:spacing w:after="0" w:line="277"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97" w:lineRule="exact"/>
        <w:rPr>
          <w:rFonts w:ascii="Arial" w:cs="Arial" w:eastAsia="Arial" w:hAnsi="Arial"/>
          <w:sz w:val="18"/>
          <w:szCs w:val="18"/>
          <w:color w:val="auto"/>
        </w:rPr>
      </w:pPr>
    </w:p>
    <w:p>
      <w:pPr>
        <w:ind w:left="640" w:right="600" w:firstLine="652"/>
        <w:spacing w:after="0" w:line="259" w:lineRule="auto"/>
        <w:tabs>
          <w:tab w:leader="none" w:pos="1533"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213" w:lineRule="exact"/>
        <w:rPr>
          <w:rFonts w:ascii="Arial" w:cs="Arial" w:eastAsia="Arial" w:hAnsi="Arial"/>
          <w:sz w:val="18"/>
          <w:szCs w:val="18"/>
          <w:color w:val="auto"/>
        </w:rPr>
      </w:pPr>
    </w:p>
    <w:p>
      <w:pPr>
        <w:ind w:left="640" w:right="100" w:firstLine="652"/>
        <w:spacing w:after="0" w:line="301" w:lineRule="auto"/>
        <w:tabs>
          <w:tab w:leader="none" w:pos="1543" w:val="left"/>
        </w:tabs>
        <w:numPr>
          <w:ilvl w:val="1"/>
          <w:numId w:val="57"/>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184" w:lineRule="exact"/>
        <w:rPr>
          <w:rFonts w:ascii="Arial" w:cs="Arial" w:eastAsia="Arial" w:hAnsi="Arial"/>
          <w:sz w:val="16"/>
          <w:szCs w:val="16"/>
          <w:color w:val="auto"/>
        </w:rPr>
      </w:pPr>
    </w:p>
    <w:p>
      <w:pPr>
        <w:jc w:val="both"/>
        <w:ind w:right="220" w:firstLine="644"/>
        <w:spacing w:after="0" w:line="301" w:lineRule="auto"/>
        <w:tabs>
          <w:tab w:leader="none" w:pos="903"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184" w:lineRule="exact"/>
        <w:rPr>
          <w:rFonts w:ascii="Arial" w:cs="Arial" w:eastAsia="Arial" w:hAnsi="Arial"/>
          <w:sz w:val="16"/>
          <w:szCs w:val="16"/>
          <w:color w:val="auto"/>
        </w:rPr>
      </w:pPr>
    </w:p>
    <w:p>
      <w:pPr>
        <w:ind w:right="20" w:firstLine="644"/>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210" w:lineRule="exact"/>
        <w:rPr>
          <w:rFonts w:ascii="Arial" w:cs="Arial" w:eastAsia="Arial" w:hAnsi="Arial"/>
          <w:sz w:val="18"/>
          <w:szCs w:val="18"/>
          <w:color w:val="auto"/>
        </w:rPr>
      </w:pPr>
    </w:p>
    <w:p>
      <w:pPr>
        <w:ind w:right="40" w:firstLine="644"/>
        <w:spacing w:after="0" w:line="279" w:lineRule="auto"/>
        <w:tabs>
          <w:tab w:leader="none" w:pos="9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$200.0 million at any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(y) $200.0 million at any time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under this subclause (y) shall be supported by a letter of credit incurred under one or more Credit Facilities pursuant to clause (1) of this paragraph;</w:t>
      </w:r>
    </w:p>
    <w:p>
      <w:pPr>
        <w:spacing w:after="0" w:line="198" w:lineRule="exact"/>
        <w:rPr>
          <w:rFonts w:ascii="Arial" w:cs="Arial" w:eastAsia="Arial" w:hAnsi="Arial"/>
          <w:sz w:val="17"/>
          <w:szCs w:val="17"/>
          <w:color w:val="auto"/>
        </w:rPr>
      </w:pPr>
    </w:p>
    <w:p>
      <w:pPr>
        <w:ind w:left="980" w:hanging="336"/>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pursuant to a Receivables Financing;</w:t>
      </w:r>
    </w:p>
    <w:p>
      <w:pPr>
        <w:spacing w:after="0" w:line="263" w:lineRule="exact"/>
        <w:rPr>
          <w:rFonts w:ascii="Arial" w:cs="Arial" w:eastAsia="Arial" w:hAnsi="Arial"/>
          <w:sz w:val="17"/>
          <w:szCs w:val="17"/>
          <w:color w:val="auto"/>
        </w:rPr>
      </w:pPr>
    </w:p>
    <w:p>
      <w:pPr>
        <w:ind w:right="180" w:firstLine="644"/>
        <w:spacing w:after="0" w:line="263"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60"/>
          </w:cols>
          <w:pgMar w:left="980" w:top="773" w:right="359" w:bottom="1440" w:gutter="0" w:footer="0" w:header="0"/>
        </w:sectPr>
      </w:pPr>
    </w:p>
    <w:bookmarkStart w:id="56" w:name="page57"/>
    <w:bookmarkEnd w:id="56"/>
    <w:p>
      <w:pPr>
        <w:ind w:left="660" w:right="40" w:firstLine="644"/>
        <w:spacing w:after="0" w:line="342" w:lineRule="auto"/>
        <w:tabs>
          <w:tab w:leader="none" w:pos="165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150" w:lineRule="exact"/>
        <w:rPr>
          <w:rFonts w:ascii="Arial" w:cs="Arial" w:eastAsia="Arial" w:hAnsi="Arial"/>
          <w:sz w:val="16"/>
          <w:szCs w:val="16"/>
          <w:color w:val="auto"/>
        </w:rPr>
      </w:pPr>
    </w:p>
    <w:p>
      <w:pPr>
        <w:ind w:left="660" w:right="40" w:firstLine="644"/>
        <w:spacing w:after="0" w:line="272" w:lineRule="auto"/>
        <w:tabs>
          <w:tab w:leader="none" w:pos="1653"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provided that (a) any amount of such obligations included on the face of the balance sheet of the 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204" w:lineRule="exact"/>
        <w:rPr>
          <w:rFonts w:ascii="Arial" w:cs="Arial" w:eastAsia="Arial" w:hAnsi="Arial"/>
          <w:sz w:val="17"/>
          <w:szCs w:val="17"/>
          <w:color w:val="auto"/>
        </w:rPr>
      </w:pPr>
    </w:p>
    <w:p>
      <w:pPr>
        <w:ind w:left="660" w:right="80" w:firstLine="644"/>
        <w:spacing w:after="0" w:line="263" w:lineRule="auto"/>
        <w:tabs>
          <w:tab w:leader="none" w:pos="16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$750.0 million.</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Fixed Charges of the Company as accrued. Notwithstanding the foregoing, any Indebtedness outstanding pursuant to the Credit Agreement on the date of the Indenture will be deemed to have been incurred pursuant to clause (1) of the definition of “Permitted Debt.”</w:t>
      </w:r>
    </w:p>
    <w:p>
      <w:pPr>
        <w:spacing w:after="0" w:line="20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For purposes of determining compliance with any U.S. dollar denominated restriction on the incurrence of Indebtedness where the Indebtedness incurred is denominated in a different currency, the amount of such Indebtedness will be the U.S. Dollar Equivalent determined on the date of the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Indebtedness denominated in a different currency is subject to a Currency Protection Agreement with respect to U.S. dollars covering all principal, premium, if any, and interest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the principal amount of the Permitted Refinancing Indebtedness exceeds the principal amount of the Indebtedness being refinanced, in which case the U.S. Dollar Equivalent of such excess, as appropriate, will be determined on the date such Permitted Refinancing Debt is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773"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Liens</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214" w:lineRule="exact"/>
        <w:rPr>
          <w:sz w:val="20"/>
          <w:szCs w:val="20"/>
          <w:color w:val="auto"/>
        </w:rPr>
      </w:pPr>
    </w:p>
    <w:p>
      <w:pPr>
        <w:ind w:left="660" w:firstLine="644"/>
        <w:spacing w:after="0" w:line="263"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210" w:lineRule="exact"/>
        <w:rPr>
          <w:rFonts w:ascii="Arial" w:cs="Arial" w:eastAsia="Arial" w:hAnsi="Arial"/>
          <w:sz w:val="18"/>
          <w:szCs w:val="18"/>
          <w:color w:val="auto"/>
        </w:rPr>
      </w:pPr>
    </w:p>
    <w:p>
      <w:pPr>
        <w:ind w:left="660" w:right="140" w:firstLine="644"/>
        <w:spacing w:after="0" w:line="259"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 in each case, for so long as such Obligation is secured by such Lien.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197" w:lineRule="exact"/>
        <w:rPr>
          <w:sz w:val="20"/>
          <w:szCs w:val="20"/>
          <w:color w:val="auto"/>
        </w:rPr>
      </w:pPr>
    </w:p>
    <w:p>
      <w:pPr>
        <w:ind w:left="660" w:right="160" w:firstLine="644"/>
        <w:spacing w:after="0" w:line="263" w:lineRule="auto"/>
        <w:tabs>
          <w:tab w:leader="none" w:pos="15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52" w:lineRule="exact"/>
        <w:rPr>
          <w:sz w:val="20"/>
          <w:szCs w:val="20"/>
          <w:color w:val="auto"/>
        </w:rPr>
      </w:pPr>
    </w:p>
    <w:p>
      <w:pPr>
        <w:ind w:left="660" w:firstLine="644"/>
        <w:spacing w:after="0" w:line="272" w:lineRule="auto"/>
        <w:tabs>
          <w:tab w:leader="none" w:pos="15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Existing Indebtedness, the 2026 Notes, the 2026 Notes Indenture, the 2029 Notes, the 2029 Notes Indenture, the 2032 Notes, the 2032 Notes Indenture, Hedging Obligations and the Credit Agreement as in effect on the date of the Indenture and any amendments, modifications, restatements, renewals, increases, supplements, refundings, replacements or refinancings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the 2026 Notes, the 2026 Notes Indenture, the 2029 Notes, the 2029 Notes Indenture, the 2032 Notes, the 2032 Notes Indenture, Hedging Obligations or the Credit Agreement, as in effect on the date of the Indenture;</w:t>
      </w:r>
    </w:p>
    <w:p>
      <w:pPr>
        <w:spacing w:after="0" w:line="204" w:lineRule="exact"/>
        <w:rPr>
          <w:rFonts w:ascii="Arial" w:cs="Arial" w:eastAsia="Arial" w:hAnsi="Arial"/>
          <w:sz w:val="17"/>
          <w:szCs w:val="17"/>
          <w:color w:val="auto"/>
        </w:rPr>
      </w:pPr>
    </w:p>
    <w:p>
      <w:pPr>
        <w:ind w:left="1560" w:hanging="256"/>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applicable law, rule, regulation, order, license, permit or similar restriction;</w:t>
      </w:r>
    </w:p>
    <w:p>
      <w:pPr>
        <w:spacing w:after="0" w:line="252" w:lineRule="exact"/>
        <w:rPr>
          <w:rFonts w:ascii="Arial" w:cs="Arial" w:eastAsia="Arial" w:hAnsi="Arial"/>
          <w:sz w:val="18"/>
          <w:szCs w:val="18"/>
          <w:color w:val="auto"/>
        </w:rPr>
      </w:pPr>
    </w:p>
    <w:p>
      <w:pPr>
        <w:ind w:left="660" w:right="20" w:firstLine="644"/>
        <w:spacing w:after="0" w:line="25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instrument governing Indebtedness or Capital Stock of a Person acquired by the Company (including by way of merger)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214" w:lineRule="exact"/>
        <w:rPr>
          <w:rFonts w:ascii="Arial" w:cs="Arial" w:eastAsia="Arial" w:hAnsi="Arial"/>
          <w:sz w:val="18"/>
          <w:szCs w:val="18"/>
          <w:color w:val="auto"/>
        </w:rPr>
      </w:pPr>
    </w:p>
    <w:p>
      <w:pPr>
        <w:ind w:left="660" w:right="600" w:firstLine="644"/>
        <w:spacing w:after="0" w:line="27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197" w:lineRule="exact"/>
        <w:rPr>
          <w:rFonts w:ascii="Arial" w:cs="Arial" w:eastAsia="Arial" w:hAnsi="Arial"/>
          <w:sz w:val="18"/>
          <w:szCs w:val="18"/>
          <w:color w:val="auto"/>
        </w:rPr>
      </w:pPr>
    </w:p>
    <w:p>
      <w:pPr>
        <w:ind w:left="660" w:right="540" w:firstLine="644"/>
        <w:spacing w:after="0" w:line="27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ectPr>
          <w:pgSz w:w="11900" w:h="16838" w:orient="portrait"/>
          <w:cols w:equalWidth="0" w:num="1">
            <w:col w:w="11240"/>
          </w:cols>
          <w:pgMar w:left="320" w:top="1016"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016" w:right="339" w:bottom="1440" w:gutter="0" w:footer="0" w:header="0"/>
          <w:type w:val="continuous"/>
        </w:sectPr>
      </w:pPr>
    </w:p>
    <w:bookmarkStart w:id="58" w:name="page59"/>
    <w:bookmarkEnd w:id="58"/>
    <w:p>
      <w:pPr>
        <w:ind w:left="660" w:right="340" w:firstLine="644"/>
        <w:spacing w:after="0" w:line="277" w:lineRule="auto"/>
        <w:tabs>
          <w:tab w:leader="none" w:pos="1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197" w:lineRule="exact"/>
        <w:rPr>
          <w:rFonts w:ascii="Arial" w:cs="Arial" w:eastAsia="Arial" w:hAnsi="Arial"/>
          <w:sz w:val="18"/>
          <w:szCs w:val="18"/>
          <w:color w:val="auto"/>
        </w:rPr>
      </w:pPr>
    </w:p>
    <w:p>
      <w:pPr>
        <w:ind w:left="660" w:right="20" w:firstLine="644"/>
        <w:spacing w:after="0" w:line="263" w:lineRule="auto"/>
        <w:tabs>
          <w:tab w:leader="none" w:pos="1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Permitted Refinancing Indebtedness, provided that the restrictions contained in the agreements governing such Permitted Refinancing Indebtedness are not materially more restrictive, taken as a whole, than those contained in the agreements governing the Indebtedness being refinanced;</w:t>
      </w:r>
    </w:p>
    <w:p>
      <w:pPr>
        <w:spacing w:after="0" w:line="210" w:lineRule="exact"/>
        <w:rPr>
          <w:rFonts w:ascii="Arial" w:cs="Arial" w:eastAsia="Arial" w:hAnsi="Arial"/>
          <w:sz w:val="18"/>
          <w:szCs w:val="18"/>
          <w:color w:val="auto"/>
        </w:rPr>
      </w:pPr>
    </w:p>
    <w:p>
      <w:pPr>
        <w:ind w:left="660" w:right="40" w:firstLine="644"/>
        <w:spacing w:after="0" w:line="263" w:lineRule="auto"/>
        <w:tabs>
          <w:tab w:leader="none" w:pos="1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210" w:lineRule="exact"/>
        <w:rPr>
          <w:rFonts w:ascii="Arial" w:cs="Arial" w:eastAsia="Arial" w:hAnsi="Arial"/>
          <w:sz w:val="18"/>
          <w:szCs w:val="18"/>
          <w:color w:val="auto"/>
        </w:rPr>
      </w:pPr>
    </w:p>
    <w:p>
      <w:pPr>
        <w:ind w:left="660" w:right="760" w:firstLine="644"/>
        <w:spacing w:after="0" w:line="277" w:lineRule="auto"/>
        <w:tabs>
          <w:tab w:leader="none" w:pos="16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197" w:lineRule="exact"/>
        <w:rPr>
          <w:rFonts w:ascii="Arial" w:cs="Arial" w:eastAsia="Arial" w:hAnsi="Arial"/>
          <w:sz w:val="18"/>
          <w:szCs w:val="18"/>
          <w:color w:val="auto"/>
        </w:rPr>
      </w:pPr>
    </w:p>
    <w:p>
      <w:pPr>
        <w:ind w:left="660" w:right="40" w:firstLine="644"/>
        <w:spacing w:after="0" w:line="279" w:lineRule="auto"/>
        <w:tabs>
          <w:tab w:leader="none" w:pos="16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customary provisions applicable to Foreign Subsidiaries and other Non-Guarantors under terms of Indebtedness applicable thereto, in each case permitted to be incurred under the Indenture and in “support agreements” and Guarantees of any such Indebtedness, so long as, in the case of Non-Guarantors that are Domestic Restricted Subsidiaries, the Company determines in good faith that such restrictions or encumbrances will not adversely affect the Company’s ability to make payments of principal or interest on the Notes;</w:t>
      </w:r>
    </w:p>
    <w:p>
      <w:pPr>
        <w:spacing w:after="0" w:line="198" w:lineRule="exact"/>
        <w:rPr>
          <w:rFonts w:ascii="Arial" w:cs="Arial" w:eastAsia="Arial" w:hAnsi="Arial"/>
          <w:sz w:val="17"/>
          <w:szCs w:val="17"/>
          <w:color w:val="auto"/>
        </w:rPr>
      </w:pPr>
    </w:p>
    <w:p>
      <w:pPr>
        <w:ind w:left="1640" w:hanging="336"/>
        <w:spacing w:after="0"/>
        <w:tabs>
          <w:tab w:leader="none" w:pos="1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37" w:lineRule="exact"/>
        <w:rPr>
          <w:rFonts w:ascii="Arial" w:cs="Arial" w:eastAsia="Arial" w:hAnsi="Arial"/>
          <w:sz w:val="17"/>
          <w:szCs w:val="17"/>
          <w:color w:val="auto"/>
        </w:rPr>
      </w:pPr>
    </w:p>
    <w:p>
      <w:pPr>
        <w:ind w:left="1640" w:hanging="336"/>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w:t>
      </w:r>
    </w:p>
    <w:p>
      <w:pPr>
        <w:spacing w:after="0" w:line="252" w:lineRule="exact"/>
        <w:rPr>
          <w:rFonts w:ascii="Arial" w:cs="Arial" w:eastAsia="Arial" w:hAnsi="Arial"/>
          <w:sz w:val="18"/>
          <w:szCs w:val="18"/>
          <w:color w:val="auto"/>
        </w:rPr>
      </w:pPr>
    </w:p>
    <w:p>
      <w:pPr>
        <w:ind w:left="660" w:right="280" w:firstLine="644"/>
        <w:spacing w:after="0" w:line="277" w:lineRule="auto"/>
        <w:tabs>
          <w:tab w:leader="none" w:pos="16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operating lease or Finance Lease Obligation, insofar as the provisions thereof limit the grant of a security interest in, or other assignment of, the related leasehold interest to any other Person; and</w:t>
      </w:r>
    </w:p>
    <w:p>
      <w:pPr>
        <w:spacing w:after="0" w:line="197" w:lineRule="exact"/>
        <w:rPr>
          <w:rFonts w:ascii="Arial" w:cs="Arial" w:eastAsia="Arial" w:hAnsi="Arial"/>
          <w:sz w:val="18"/>
          <w:szCs w:val="18"/>
          <w:color w:val="auto"/>
        </w:rPr>
      </w:pPr>
    </w:p>
    <w:p>
      <w:pPr>
        <w:ind w:left="660" w:right="240" w:firstLine="644"/>
        <w:spacing w:after="0" w:line="342" w:lineRule="auto"/>
        <w:tabs>
          <w:tab w:leader="none" w:pos="16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other agreement governing Indebtedness entered into after the Issue Date that contains encumbrances and restrictions that are not materially more restrictive, taken as a whole, than those in effect on the Issue Date pursuant to agreements in effect on the Issue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52" w:lineRule="exact"/>
        <w:rPr>
          <w:sz w:val="20"/>
          <w:szCs w:val="20"/>
          <w:color w:val="auto"/>
        </w:rPr>
      </w:pPr>
    </w:p>
    <w:p>
      <w:pPr>
        <w:ind w:right="80" w:firstLine="656"/>
        <w:spacing w:after="0" w:line="279" w:lineRule="auto"/>
        <w:tabs>
          <w:tab w:leader="none" w:pos="89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198" w:lineRule="exact"/>
        <w:rPr>
          <w:rFonts w:ascii="Arial" w:cs="Arial" w:eastAsia="Arial" w:hAnsi="Arial"/>
          <w:sz w:val="17"/>
          <w:szCs w:val="17"/>
          <w:color w:val="auto"/>
        </w:rPr>
      </w:pPr>
    </w:p>
    <w:p>
      <w:pPr>
        <w:ind w:left="1520" w:hanging="216"/>
        <w:spacing w:after="0"/>
        <w:tabs>
          <w:tab w:leader="none" w:pos="15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w:t>
      </w:r>
    </w:p>
    <w:p>
      <w:pPr>
        <w:spacing w:after="0" w:line="252" w:lineRule="exact"/>
        <w:rPr>
          <w:rFonts w:ascii="Arial" w:cs="Arial" w:eastAsia="Arial" w:hAnsi="Arial"/>
          <w:sz w:val="18"/>
          <w:szCs w:val="18"/>
          <w:color w:val="auto"/>
        </w:rPr>
      </w:pPr>
    </w:p>
    <w:p>
      <w:pPr>
        <w:ind w:left="2200" w:hanging="248"/>
        <w:spacing w:after="0"/>
        <w:tabs>
          <w:tab w:leader="none" w:pos="22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252" w:lineRule="exact"/>
        <w:rPr>
          <w:rFonts w:ascii="Arial" w:cs="Arial" w:eastAsia="Arial" w:hAnsi="Arial"/>
          <w:sz w:val="18"/>
          <w:szCs w:val="18"/>
          <w:color w:val="auto"/>
        </w:rPr>
      </w:pPr>
    </w:p>
    <w:p>
      <w:pPr>
        <w:ind w:left="1300" w:right="280" w:firstLine="652"/>
        <w:spacing w:after="0" w:line="286" w:lineRule="auto"/>
        <w:tabs>
          <w:tab w:leader="none" w:pos="2203" w:val="left"/>
        </w:tabs>
        <w:numPr>
          <w:ilvl w:val="2"/>
          <w:numId w:val="63"/>
        </w:numPr>
        <w:rPr>
          <w:rFonts w:ascii="Arial" w:cs="Arial" w:eastAsia="Arial" w:hAnsi="Arial"/>
          <w:sz w:val="17"/>
          <w:szCs w:val="17"/>
          <w:color w:val="auto"/>
        </w:rPr>
      </w:pPr>
      <w:r>
        <w:rPr>
          <w:rFonts w:ascii="Arial" w:cs="Arial" w:eastAsia="Arial" w:hAnsi="Arial"/>
          <w:sz w:val="17"/>
          <w:szCs w:val="17"/>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7"/>
          <w:szCs w:val="17"/>
          <w:i w:val="1"/>
          <w:iCs w:val="1"/>
          <w:color w:val="auto"/>
        </w:rPr>
        <w:t>Surviving Entity</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960" w:firstLine="640"/>
        <w:spacing w:after="0" w:line="277" w:lineRule="auto"/>
        <w:tabs>
          <w:tab w:leader="none" w:pos="2863" w:val="left"/>
        </w:tabs>
        <w:numPr>
          <w:ilvl w:val="3"/>
          <w:numId w:val="63"/>
        </w:numPr>
        <w:rPr>
          <w:rFonts w:ascii="Arial" w:cs="Arial" w:eastAsia="Arial" w:hAnsi="Arial"/>
          <w:sz w:val="18"/>
          <w:szCs w:val="18"/>
          <w:color w:val="auto"/>
        </w:rPr>
      </w:pPr>
      <w:r>
        <w:rPr>
          <w:rFonts w:ascii="Arial" w:cs="Arial" w:eastAsia="Arial" w:hAnsi="Arial"/>
          <w:sz w:val="18"/>
          <w:szCs w:val="18"/>
          <w:color w:val="auto"/>
        </w:rPr>
        <w:t>shall be an entity organized and validly existing under the laws of the United States, any State thereof or the District of Columbia; and</w:t>
      </w:r>
    </w:p>
    <w:p>
      <w:pPr>
        <w:spacing w:after="0" w:line="197" w:lineRule="exact"/>
        <w:rPr>
          <w:rFonts w:ascii="Arial" w:cs="Arial" w:eastAsia="Arial" w:hAnsi="Arial"/>
          <w:sz w:val="18"/>
          <w:szCs w:val="18"/>
          <w:color w:val="auto"/>
        </w:rPr>
      </w:pPr>
    </w:p>
    <w:p>
      <w:pPr>
        <w:ind w:left="1960" w:right="120" w:firstLine="640"/>
        <w:spacing w:after="0" w:line="259" w:lineRule="auto"/>
        <w:tabs>
          <w:tab w:leader="none" w:pos="2863" w:val="left"/>
        </w:tabs>
        <w:numPr>
          <w:ilvl w:val="3"/>
          <w:numId w:val="63"/>
        </w:numPr>
        <w:rPr>
          <w:rFonts w:ascii="Arial" w:cs="Arial" w:eastAsia="Arial" w:hAnsi="Arial"/>
          <w:sz w:val="18"/>
          <w:szCs w:val="18"/>
          <w:color w:val="auto"/>
        </w:rPr>
      </w:pPr>
      <w:r>
        <w:rPr>
          <w:rFonts w:ascii="Arial" w:cs="Arial" w:eastAsia="Arial" w:hAnsi="Arial"/>
          <w:sz w:val="18"/>
          <w:szCs w:val="18"/>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214" w:lineRule="exact"/>
        <w:rPr>
          <w:sz w:val="20"/>
          <w:szCs w:val="20"/>
          <w:color w:val="auto"/>
        </w:rPr>
      </w:pPr>
    </w:p>
    <w:p>
      <w:pPr>
        <w:ind w:left="1560" w:hanging="256"/>
        <w:spacing w:after="0"/>
        <w:tabs>
          <w:tab w:leader="none" w:pos="15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immediately after giving pro forma effect to such transaction or series of transactions and the assumption contemplated by clause (i)</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(2)(y) above (including giving effect to any Indebtedness and Acquired Debt, in each case,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773" w:right="359" w:bottom="1440" w:gutter="0" w:footer="0" w:header="0"/>
        </w:sectPr>
      </w:pPr>
    </w:p>
    <w:bookmarkStart w:id="59" w:name="page60"/>
    <w:bookmarkEnd w:id="59"/>
    <w:p>
      <w:pPr>
        <w:ind w:left="660"/>
        <w:spacing w:after="0" w:line="311" w:lineRule="auto"/>
        <w:rPr>
          <w:sz w:val="20"/>
          <w:szCs w:val="20"/>
          <w:color w:val="auto"/>
        </w:rPr>
      </w:pPr>
      <w:r>
        <w:rPr>
          <w:rFonts w:ascii="Arial" w:cs="Arial" w:eastAsia="Arial" w:hAnsi="Arial"/>
          <w:sz w:val="16"/>
          <w:szCs w:val="16"/>
          <w:color w:val="auto"/>
        </w:rPr>
        <w:t xml:space="preserve">incurred or anticipated to be incurred in connection with or in respect of such transaction), the Company or such Surviving Entity, as the case may be, shall be able to incur at least $1.00 of additional Indebtedness (other than Permitted Debt) pursuant to the covenant described under “— Incurrence of Indebtedness and Issuance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(ii) shall not apply during any Suspension Period;</w:t>
      </w:r>
    </w:p>
    <w:p>
      <w:pPr>
        <w:spacing w:after="0" w:line="176" w:lineRule="exact"/>
        <w:rPr>
          <w:sz w:val="20"/>
          <w:szCs w:val="20"/>
          <w:color w:val="auto"/>
        </w:rPr>
      </w:pPr>
    </w:p>
    <w:p>
      <w:pPr>
        <w:ind w:left="660" w:right="40" w:firstLine="644"/>
        <w:spacing w:after="0" w:line="311" w:lineRule="auto"/>
        <w:tabs>
          <w:tab w:leader="none" w:pos="16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(i)(2)(y)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175" w:lineRule="exact"/>
        <w:rPr>
          <w:rFonts w:ascii="Arial" w:cs="Arial" w:eastAsia="Arial" w:hAnsi="Arial"/>
          <w:sz w:val="16"/>
          <w:szCs w:val="16"/>
          <w:color w:val="auto"/>
        </w:rPr>
      </w:pPr>
    </w:p>
    <w:p>
      <w:pPr>
        <w:ind w:left="660" w:right="80" w:firstLine="644"/>
        <w:spacing w:after="0" w:line="279" w:lineRule="auto"/>
        <w:tabs>
          <w:tab w:leader="none" w:pos="161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98" w:lineRule="exact"/>
        <w:rPr>
          <w:sz w:val="20"/>
          <w:szCs w:val="20"/>
          <w:color w:val="auto"/>
        </w:rPr>
      </w:pPr>
    </w:p>
    <w:p>
      <w:pPr>
        <w:jc w:val="both"/>
        <w:ind w:right="100" w:firstLine="648"/>
        <w:spacing w:after="0" w:line="275" w:lineRule="auto"/>
        <w:rPr>
          <w:sz w:val="20"/>
          <w:szCs w:val="20"/>
          <w:color w:val="auto"/>
        </w:rPr>
      </w:pPr>
      <w:r>
        <w:rPr>
          <w:rFonts w:ascii="Arial" w:cs="Arial" w:eastAsia="Arial" w:hAnsi="Arial"/>
          <w:sz w:val="17"/>
          <w:szCs w:val="17"/>
          <w:color w:val="auto"/>
        </w:rPr>
        <w:t>Notwithstanding the foregoing, the merger of the Company with an Affiliate incorporated solely for the purpose of reincorporating the Company in another jurisdiction shall be permitted without regard to clause (ii) of 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w:t>
      </w:r>
    </w:p>
    <w:p>
      <w:pPr>
        <w:spacing w:after="0" w:line="20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191" w:lineRule="exact"/>
        <w:rPr>
          <w:sz w:val="20"/>
          <w:szCs w:val="20"/>
          <w:color w:val="auto"/>
        </w:rPr>
      </w:pPr>
    </w:p>
    <w:p>
      <w:pPr>
        <w:ind w:right="140" w:firstLine="656"/>
        <w:spacing w:after="0" w:line="277" w:lineRule="auto"/>
        <w:tabs>
          <w:tab w:leader="none" w:pos="9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197" w:lineRule="exact"/>
        <w:rPr>
          <w:rFonts w:ascii="Arial" w:cs="Arial" w:eastAsia="Arial" w:hAnsi="Arial"/>
          <w:sz w:val="18"/>
          <w:szCs w:val="18"/>
          <w:color w:val="auto"/>
        </w:rPr>
      </w:pPr>
    </w:p>
    <w:p>
      <w:pPr>
        <w:ind w:left="660" w:right="60" w:firstLine="644"/>
        <w:spacing w:after="0" w:line="286" w:lineRule="auto"/>
        <w:tabs>
          <w:tab w:leader="none" w:pos="1523"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192" w:lineRule="exact"/>
        <w:rPr>
          <w:rFonts w:ascii="Arial" w:cs="Arial" w:eastAsia="Arial" w:hAnsi="Arial"/>
          <w:sz w:val="17"/>
          <w:szCs w:val="17"/>
          <w:color w:val="auto"/>
        </w:rPr>
      </w:pPr>
    </w:p>
    <w:p>
      <w:pPr>
        <w:ind w:left="1560" w:hanging="256"/>
        <w:spacing w:after="0"/>
        <w:tabs>
          <w:tab w:leader="none" w:pos="15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 and</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the Notes and the Guarantees—The Subsidiary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$25.0 million, unless:</w:t>
      </w:r>
    </w:p>
    <w:p>
      <w:pPr>
        <w:spacing w:after="0" w:line="214" w:lineRule="exact"/>
        <w:rPr>
          <w:sz w:val="20"/>
          <w:szCs w:val="20"/>
          <w:color w:val="auto"/>
        </w:rPr>
      </w:pPr>
    </w:p>
    <w:p>
      <w:pPr>
        <w:jc w:val="both"/>
        <w:ind w:left="660" w:right="160" w:firstLine="644"/>
        <w:spacing w:after="0" w:line="342" w:lineRule="auto"/>
        <w:tabs>
          <w:tab w:leader="none" w:pos="15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773" w:right="359" w:bottom="1440" w:gutter="0" w:footer="0" w:header="0"/>
        </w:sectPr>
      </w:pPr>
    </w:p>
    <w:bookmarkStart w:id="60" w:name="page61"/>
    <w:bookmarkEnd w:id="60"/>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252" w:lineRule="exact"/>
        <w:rPr>
          <w:rFonts w:ascii="Arial" w:cs="Arial" w:eastAsia="Arial" w:hAnsi="Arial"/>
          <w:sz w:val="18"/>
          <w:szCs w:val="18"/>
          <w:color w:val="auto"/>
        </w:rPr>
      </w:pPr>
    </w:p>
    <w:p>
      <w:pPr>
        <w:ind w:left="1300" w:right="40" w:firstLine="652"/>
        <w:spacing w:after="0" w:line="259" w:lineRule="auto"/>
        <w:tabs>
          <w:tab w:leader="none" w:pos="219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13" w:lineRule="exact"/>
        <w:rPr>
          <w:rFonts w:ascii="Arial" w:cs="Arial" w:eastAsia="Arial" w:hAnsi="Arial"/>
          <w:sz w:val="18"/>
          <w:szCs w:val="18"/>
          <w:color w:val="auto"/>
        </w:rPr>
      </w:pPr>
    </w:p>
    <w:p>
      <w:pPr>
        <w:ind w:left="1300" w:right="200" w:firstLine="652"/>
        <w:spacing w:after="0" w:line="263" w:lineRule="auto"/>
        <w:tabs>
          <w:tab w:leader="none" w:pos="22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opinion as to the fairness to the Holders of such Affiliate Transaction from a financial point of view issued by an accounting, appraisal or investment banking firm of national standing.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items shall not be deemed to be Affiliate Transactions and, therefore, will not be subject to the provisions of the prior paragraph:</w:t>
      </w:r>
    </w:p>
    <w:p>
      <w:pPr>
        <w:spacing w:after="0" w:line="275" w:lineRule="exact"/>
        <w:rPr>
          <w:sz w:val="20"/>
          <w:szCs w:val="20"/>
          <w:color w:val="auto"/>
        </w:rPr>
      </w:pPr>
    </w:p>
    <w:p>
      <w:pPr>
        <w:ind w:left="660" w:right="660" w:firstLine="644"/>
        <w:spacing w:after="0" w:line="27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 and transactions between or among Restricted Subsidiaries;</w:t>
      </w:r>
    </w:p>
    <w:p>
      <w:pPr>
        <w:spacing w:after="0" w:line="197" w:lineRule="exact"/>
        <w:rPr>
          <w:rFonts w:ascii="Arial" w:cs="Arial" w:eastAsia="Arial" w:hAnsi="Arial"/>
          <w:sz w:val="18"/>
          <w:szCs w:val="18"/>
          <w:color w:val="auto"/>
        </w:rPr>
      </w:pPr>
    </w:p>
    <w:p>
      <w:pPr>
        <w:ind w:left="660" w:right="700" w:firstLine="644"/>
        <w:spacing w:after="0" w:line="27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Restricted Investments that are permitted by the provisions of the Indenture described above under the caption “—Restricted Investments”;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252" w:lineRule="exact"/>
        <w:rPr>
          <w:rFonts w:ascii="Arial" w:cs="Arial" w:eastAsia="Arial" w:hAnsi="Arial"/>
          <w:sz w:val="18"/>
          <w:szCs w:val="18"/>
          <w:color w:val="auto"/>
        </w:rPr>
      </w:pPr>
    </w:p>
    <w:p>
      <w:pPr>
        <w:ind w:left="660" w:right="40" w:firstLine="644"/>
        <w:spacing w:after="0" w:line="259"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213" w:lineRule="exact"/>
        <w:rPr>
          <w:rFonts w:ascii="Arial" w:cs="Arial" w:eastAsia="Arial" w:hAnsi="Arial"/>
          <w:sz w:val="18"/>
          <w:szCs w:val="18"/>
          <w:color w:val="auto"/>
        </w:rPr>
      </w:pPr>
    </w:p>
    <w:p>
      <w:pPr>
        <w:ind w:left="660" w:firstLine="644"/>
        <w:spacing w:after="0" w:line="259"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(x) any agreement in effect on the Issue Date and disclosed in this prospectus (including by incorporation by reference), as in effect on the Issue Date or as thereafter amended or replaced in any manner, that, taken as a whole, is not more disadvantageous to the Holders or the Company in any material respect than such agreement as it was in effect on the Issue Date or (y) any transaction pursuant to any agreement referred to in the immediately preceding clause (x);</w:t>
      </w:r>
    </w:p>
    <w:p>
      <w:pPr>
        <w:spacing w:after="0" w:line="213" w:lineRule="exact"/>
        <w:rPr>
          <w:rFonts w:ascii="Arial" w:cs="Arial" w:eastAsia="Arial" w:hAnsi="Arial"/>
          <w:sz w:val="18"/>
          <w:szCs w:val="18"/>
          <w:color w:val="auto"/>
        </w:rPr>
      </w:pPr>
    </w:p>
    <w:p>
      <w:pPr>
        <w:ind w:left="660" w:right="180" w:firstLine="644"/>
        <w:spacing w:after="0" w:line="27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transactions with The Scotts Miracle-Gro Foundation, an Ohio non-profit corporation; or</w:t>
      </w:r>
    </w:p>
    <w:p>
      <w:pPr>
        <w:spacing w:after="0" w:line="252" w:lineRule="exact"/>
        <w:rPr>
          <w:rFonts w:ascii="Arial" w:cs="Arial" w:eastAsia="Arial" w:hAnsi="Arial"/>
          <w:sz w:val="18"/>
          <w:szCs w:val="18"/>
          <w:color w:val="auto"/>
        </w:rPr>
      </w:pPr>
    </w:p>
    <w:p>
      <w:pPr>
        <w:ind w:left="660" w:right="220" w:firstLine="644"/>
        <w:spacing w:after="0" w:line="263"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payment or distribution on the account of the Company’s Equity Interests or to the direct or indirect holders of the Company’s Equity Interests and any purchase, redemption or other acquisition of any Equity Interests of the Company or any direct or indirect parent of the Company, in each case not otherwise prohibited by the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252"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If, after the date of the Indenture, (a) any Domestic Restricted Subsidiary of the Company (including any newly formed, newly acquired or newly redesignated Domestic Restricted Subsidiary) (x) guarantees any revolving loans, term loans or capital markets Indebtedness of the Company or a Guarantor or (y) otherwise incurs any revolving loans, term loans or capital markets Indebtedness, in the case of either (x) or (y) above in an aggregate principal amount in excess of $50.0 million, (b) any Domestic Restricted Subsidiary of the Company (including any newly formed, newly acquired or newly redesignated Restricted Subsidiary) becomes a borrower or guarantor under any revolving loans, term loans or capital markets Indebtedness (including, without limitation, the Credit Agreement and any Credit Facility incurred pursuant to clause (1) of the covenant described under “—Incurrence of Indebtedness and Issuance of Preferred Stock”) in an aggregate principal amount in excess of $50.0 million or a guarantor under the 2026 Notes, the 2029 Notes or the 2032 Notes or (c) the Company otherwise elects to have any Restricted Subsidiary become a Guarantor, then, in the case of clauses (a) and (b) within 15 Business Days of the event under such clause occurring (so long as such Domestic Restricted Subsidiary was not a Guarantor immediately prior to such event) and in the case of clause (c) at the Company’s election, the Company shall cause such Restricted Subsidiary to:</w:t>
      </w:r>
    </w:p>
    <w:p>
      <w:pPr>
        <w:spacing w:after="0" w:line="195" w:lineRule="exact"/>
        <w:rPr>
          <w:sz w:val="20"/>
          <w:szCs w:val="20"/>
          <w:color w:val="auto"/>
        </w:rPr>
      </w:pPr>
    </w:p>
    <w:p>
      <w:pPr>
        <w:ind w:left="660" w:right="160" w:firstLine="644"/>
        <w:spacing w:after="0" w:line="263" w:lineRule="auto"/>
        <w:tabs>
          <w:tab w:leader="none" w:pos="15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ectPr>
          <w:pgSz w:w="11900" w:h="16838" w:orient="portrait"/>
          <w:cols w:equalWidth="0" w:num="1">
            <w:col w:w="11240"/>
          </w:cols>
          <w:pgMar w:left="320" w:top="773"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773" w:right="339" w:bottom="1440" w:gutter="0" w:footer="0" w:header="0"/>
          <w:type w:val="continuous"/>
        </w:sectPr>
      </w:pPr>
    </w:p>
    <w:bookmarkStart w:id="61" w:name="page62"/>
    <w:bookmarkEnd w:id="61"/>
    <w:p>
      <w:pPr>
        <w:ind w:left="660" w:firstLine="644"/>
        <w:spacing w:after="0" w:line="263" w:lineRule="auto"/>
        <w:tabs>
          <w:tab w:leader="none" w:pos="15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not, and shall not permit any of its Restricted Subsidiaries to, enter into any Sale and Leaseback Transaction unless:</w:t>
      </w:r>
    </w:p>
    <w:p>
      <w:pPr>
        <w:spacing w:after="0" w:line="264" w:lineRule="exact"/>
        <w:rPr>
          <w:sz w:val="20"/>
          <w:szCs w:val="20"/>
          <w:color w:val="auto"/>
        </w:rPr>
      </w:pPr>
    </w:p>
    <w:p>
      <w:pPr>
        <w:ind w:left="1560" w:hanging="256"/>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252" w:lineRule="exact"/>
        <w:rPr>
          <w:rFonts w:ascii="Arial" w:cs="Arial" w:eastAsia="Arial" w:hAnsi="Arial"/>
          <w:sz w:val="18"/>
          <w:szCs w:val="18"/>
          <w:color w:val="auto"/>
        </w:rPr>
      </w:pPr>
    </w:p>
    <w:p>
      <w:pPr>
        <w:ind w:left="1300" w:right="40" w:firstLine="652"/>
        <w:spacing w:after="0" w:line="308" w:lineRule="auto"/>
        <w:tabs>
          <w:tab w:leader="none" w:pos="2193"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173" w:lineRule="exact"/>
        <w:rPr>
          <w:rFonts w:ascii="Arial" w:cs="Arial" w:eastAsia="Arial" w:hAnsi="Arial"/>
          <w:sz w:val="17"/>
          <w:szCs w:val="17"/>
          <w:color w:val="auto"/>
        </w:rPr>
      </w:pPr>
    </w:p>
    <w:p>
      <w:pPr>
        <w:ind w:left="1300" w:right="300" w:firstLine="652"/>
        <w:spacing w:after="0" w:line="277" w:lineRule="auto"/>
        <w:tabs>
          <w:tab w:leader="none" w:pos="22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197" w:lineRule="exact"/>
        <w:rPr>
          <w:rFonts w:ascii="Arial" w:cs="Arial" w:eastAsia="Arial" w:hAnsi="Arial"/>
          <w:sz w:val="18"/>
          <w:szCs w:val="18"/>
          <w:color w:val="auto"/>
        </w:rPr>
      </w:pPr>
    </w:p>
    <w:p>
      <w:pPr>
        <w:ind w:left="660" w:right="260" w:firstLine="644"/>
        <w:spacing w:after="0" w:line="277" w:lineRule="auto"/>
        <w:tabs>
          <w:tab w:leader="none" w:pos="15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Holders—Offer to Repurchase by Application of Excess Proceeds of Asset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5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173" w:lineRule="exact"/>
        <w:rPr>
          <w:sz w:val="20"/>
          <w:szCs w:val="20"/>
          <w:color w:val="auto"/>
        </w:rPr>
      </w:pPr>
    </w:p>
    <w:p>
      <w:pPr>
        <w:ind w:left="660" w:right="60" w:firstLine="644"/>
        <w:spacing w:after="0" w:line="259" w:lineRule="auto"/>
        <w:tabs>
          <w:tab w:leader="none" w:pos="15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13" w:lineRule="exact"/>
        <w:rPr>
          <w:rFonts w:ascii="Arial" w:cs="Arial" w:eastAsia="Arial" w:hAnsi="Arial"/>
          <w:sz w:val="18"/>
          <w:szCs w:val="18"/>
          <w:color w:val="auto"/>
        </w:rPr>
      </w:pPr>
    </w:p>
    <w:p>
      <w:pPr>
        <w:ind w:left="1560" w:hanging="256"/>
        <w:spacing w:after="0"/>
        <w:tabs>
          <w:tab w:leader="none" w:pos="1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Company were required to file such reports.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whether or not required by the SEC, the Company will file a copy of all of the information and reports referred to in clauses (1) and</w:t>
      </w:r>
    </w:p>
    <w:p>
      <w:pPr>
        <w:spacing w:after="0" w:line="46" w:lineRule="exact"/>
        <w:rPr>
          <w:sz w:val="20"/>
          <w:szCs w:val="20"/>
          <w:color w:val="auto"/>
        </w:rPr>
      </w:pPr>
    </w:p>
    <w:p>
      <w:pPr>
        <w:ind w:firstLine="8"/>
        <w:spacing w:after="0" w:line="292"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above with the SEC for public availability within the time periods specified in the SEC’s rules and regulations for a company subject to reporting under Section 13(a)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 (2) 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w:t>
      </w:r>
    </w:p>
    <w:p>
      <w:pPr>
        <w:spacing w:after="0" w:line="252" w:lineRule="exact"/>
        <w:rPr>
          <w:sz w:val="20"/>
          <w:szCs w:val="20"/>
          <w:color w:val="auto"/>
        </w:rPr>
      </w:pPr>
    </w:p>
    <w:p>
      <w:pPr>
        <w:ind w:left="1560" w:hanging="256"/>
        <w:spacing w:after="0"/>
        <w:tabs>
          <w:tab w:leader="none" w:pos="1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52" w:lineRule="exact"/>
        <w:rPr>
          <w:rFonts w:ascii="Arial" w:cs="Arial" w:eastAsia="Arial" w:hAnsi="Arial"/>
          <w:sz w:val="18"/>
          <w:szCs w:val="18"/>
          <w:color w:val="auto"/>
        </w:rPr>
      </w:pPr>
    </w:p>
    <w:p>
      <w:pPr>
        <w:ind w:left="660" w:right="520" w:firstLine="644"/>
        <w:spacing w:after="0" w:line="263" w:lineRule="auto"/>
        <w:tabs>
          <w:tab w:leader="none" w:pos="15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obligations under “—Certain Covenants Merger, Consolidation or Sale of Assets”;</w:t>
      </w:r>
    </w:p>
    <w:p>
      <w:pPr>
        <w:spacing w:after="0" w:line="263" w:lineRule="exact"/>
        <w:rPr>
          <w:rFonts w:ascii="Arial" w:cs="Arial" w:eastAsia="Arial" w:hAnsi="Arial"/>
          <w:sz w:val="17"/>
          <w:szCs w:val="17"/>
          <w:color w:val="auto"/>
        </w:rPr>
      </w:pPr>
    </w:p>
    <w:p>
      <w:pPr>
        <w:ind w:left="660" w:right="120" w:firstLine="644"/>
        <w:spacing w:after="0" w:line="277" w:lineRule="auto"/>
        <w:tabs>
          <w:tab w:leader="none" w:pos="15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320" w:top="773" w:right="399" w:bottom="1440" w:gutter="0" w:footer="0" w:header="0"/>
        </w:sectPr>
      </w:pPr>
    </w:p>
    <w:bookmarkStart w:id="62" w:name="page63"/>
    <w:bookmarkEnd w:id="62"/>
    <w:p>
      <w:pPr>
        <w:ind w:left="660" w:right="40" w:firstLine="644"/>
        <w:spacing w:after="0" w:line="286" w:lineRule="auto"/>
        <w:tabs>
          <w:tab w:leader="none" w:pos="1563"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192" w:lineRule="exact"/>
        <w:rPr>
          <w:rFonts w:ascii="Arial" w:cs="Arial" w:eastAsia="Arial" w:hAnsi="Arial"/>
          <w:sz w:val="17"/>
          <w:szCs w:val="17"/>
          <w:color w:val="auto"/>
        </w:rPr>
      </w:pPr>
    </w:p>
    <w:p>
      <w:pPr>
        <w:ind w:left="660" w:firstLine="644"/>
        <w:spacing w:after="0" w:line="285" w:lineRule="auto"/>
        <w:tabs>
          <w:tab w:leader="none" w:pos="156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$250.0 million or more at any time; provided that if any such default is cured or waived or any acceleration rescinded or such Indebtedness is repaid within a period of ten</w:t>
      </w:r>
    </w:p>
    <w:p>
      <w:pPr>
        <w:spacing w:after="0" w:line="1" w:lineRule="exact"/>
        <w:rPr>
          <w:rFonts w:ascii="Arial" w:cs="Arial" w:eastAsia="Arial" w:hAnsi="Arial"/>
          <w:sz w:val="16"/>
          <w:szCs w:val="16"/>
          <w:color w:val="auto"/>
        </w:rPr>
      </w:pPr>
    </w:p>
    <w:p>
      <w:pPr>
        <w:ind w:left="660" w:right="320" w:hanging="4"/>
        <w:spacing w:after="0" w:line="250" w:lineRule="auto"/>
        <w:tabs>
          <w:tab w:leader="none" w:pos="10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days from 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1" w:lineRule="exact"/>
        <w:rPr>
          <w:rFonts w:ascii="Arial" w:cs="Arial" w:eastAsia="Arial" w:hAnsi="Arial"/>
          <w:sz w:val="18"/>
          <w:szCs w:val="18"/>
          <w:color w:val="auto"/>
        </w:rPr>
      </w:pPr>
    </w:p>
    <w:p>
      <w:pPr>
        <w:ind w:left="660" w:firstLine="644"/>
        <w:spacing w:after="0" w:line="253" w:lineRule="auto"/>
        <w:tabs>
          <w:tab w:leader="none" w:pos="15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one or more judgments in an aggregate amount in excess of $250.0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219" w:lineRule="exact"/>
        <w:rPr>
          <w:rFonts w:ascii="Arial" w:cs="Arial" w:eastAsia="Arial" w:hAnsi="Arial"/>
          <w:sz w:val="18"/>
          <w:szCs w:val="18"/>
          <w:color w:val="auto"/>
        </w:rPr>
      </w:pPr>
    </w:p>
    <w:p>
      <w:pPr>
        <w:ind w:left="660" w:right="60" w:firstLine="644"/>
        <w:spacing w:after="0" w:line="286" w:lineRule="auto"/>
        <w:tabs>
          <w:tab w:leader="none" w:pos="1563" w:val="left"/>
        </w:tabs>
        <w:numPr>
          <w:ilvl w:val="1"/>
          <w:numId w:val="77"/>
        </w:numPr>
        <w:rPr>
          <w:rFonts w:ascii="Arial" w:cs="Arial" w:eastAsia="Arial" w:hAnsi="Arial"/>
          <w:sz w:val="17"/>
          <w:szCs w:val="17"/>
          <w:color w:val="auto"/>
        </w:rPr>
      </w:pPr>
      <w:r>
        <w:rPr>
          <w:rFonts w:ascii="Arial" w:cs="Arial" w:eastAsia="Arial" w:hAnsi="Arial"/>
          <w:sz w:val="17"/>
          <w:szCs w:val="17"/>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192" w:lineRule="exact"/>
        <w:rPr>
          <w:rFonts w:ascii="Arial" w:cs="Arial" w:eastAsia="Arial" w:hAnsi="Arial"/>
          <w:sz w:val="17"/>
          <w:szCs w:val="17"/>
          <w:color w:val="auto"/>
        </w:rPr>
      </w:pPr>
    </w:p>
    <w:p>
      <w:pPr>
        <w:ind w:left="1560" w:hanging="256"/>
        <w:spacing w:after="0"/>
        <w:tabs>
          <w:tab w:leader="none" w:pos="15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the Company or any of its Restricted Subsidiaries that is a Significant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38"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provided, however,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20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any time after a declaration of acceleration with respect to the Notes as described in the two preceding paragraphs, the Holders of a majority in principal amount of the Notes may rescind and cancel such declaration and its consequences:</w:t>
      </w:r>
    </w:p>
    <w:p>
      <w:pPr>
        <w:spacing w:after="0" w:line="197" w:lineRule="exact"/>
        <w:rPr>
          <w:sz w:val="20"/>
          <w:szCs w:val="20"/>
          <w:color w:val="auto"/>
        </w:rPr>
      </w:pPr>
    </w:p>
    <w:p>
      <w:pPr>
        <w:ind w:left="1560" w:hanging="256"/>
        <w:spacing w:after="0"/>
        <w:tabs>
          <w:tab w:leader="none" w:pos="1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252" w:lineRule="exact"/>
        <w:rPr>
          <w:rFonts w:ascii="Arial" w:cs="Arial" w:eastAsia="Arial" w:hAnsi="Arial"/>
          <w:sz w:val="18"/>
          <w:szCs w:val="18"/>
          <w:color w:val="auto"/>
        </w:rPr>
      </w:pPr>
    </w:p>
    <w:p>
      <w:pPr>
        <w:ind w:left="660" w:right="280" w:firstLine="644"/>
        <w:spacing w:after="0" w:line="277" w:lineRule="auto"/>
        <w:tabs>
          <w:tab w:leader="none" w:pos="15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197" w:lineRule="exact"/>
        <w:rPr>
          <w:rFonts w:ascii="Arial" w:cs="Arial" w:eastAsia="Arial" w:hAnsi="Arial"/>
          <w:sz w:val="18"/>
          <w:szCs w:val="18"/>
          <w:color w:val="auto"/>
        </w:rPr>
      </w:pPr>
    </w:p>
    <w:p>
      <w:pPr>
        <w:ind w:left="660" w:right="440" w:firstLine="644"/>
        <w:spacing w:after="0" w:line="277" w:lineRule="auto"/>
        <w:tabs>
          <w:tab w:leader="none" w:pos="15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97" w:lineRule="exact"/>
        <w:rPr>
          <w:rFonts w:ascii="Arial" w:cs="Arial" w:eastAsia="Arial" w:hAnsi="Arial"/>
          <w:sz w:val="18"/>
          <w:szCs w:val="18"/>
          <w:color w:val="auto"/>
        </w:rPr>
      </w:pPr>
    </w:p>
    <w:p>
      <w:pPr>
        <w:ind w:left="660" w:right="300" w:firstLine="644"/>
        <w:spacing w:after="0" w:line="532" w:lineRule="auto"/>
        <w:tabs>
          <w:tab w:leader="none" w:pos="15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have paid the Trustee its reasonable compensation and reimbursed the Trustee for its expenses, disbursements and advances. No such rescission shall affect any subsequent Default or impair any right consequent thereto.</w:t>
      </w:r>
    </w:p>
    <w:p>
      <w:pPr>
        <w:ind w:right="580" w:firstLine="648"/>
        <w:spacing w:after="0" w:line="277" w:lineRule="auto"/>
        <w:rPr>
          <w:sz w:val="20"/>
          <w:szCs w:val="20"/>
          <w:color w:val="auto"/>
        </w:rPr>
      </w:pPr>
      <w:r>
        <w:rPr>
          <w:rFonts w:ascii="Arial" w:cs="Arial" w:eastAsia="Arial" w:hAnsi="Arial"/>
          <w:sz w:val="18"/>
          <w:szCs w:val="18"/>
          <w:color w:val="auto"/>
        </w:rPr>
        <w:t>The Holders of a majority in principal amount of the then outstanding Notes may waive any existing Default or Event of Default under the Indenture, and its consequences, except a default in the payment of the principal of or interest on any Notes.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773" w:right="359" w:bottom="1440" w:gutter="0" w:footer="0" w:header="0"/>
        </w:sectPr>
      </w:pPr>
    </w:p>
    <w:bookmarkStart w:id="63" w:name="page64"/>
    <w:bookmarkEnd w:id="63"/>
    <w:p>
      <w:pPr>
        <w:ind w:right="60" w:firstLine="648"/>
        <w:spacing w:after="0" w:line="269" w:lineRule="auto"/>
        <w:rPr>
          <w:sz w:val="20"/>
          <w:szCs w:val="20"/>
          <w:color w:val="auto"/>
        </w:rPr>
      </w:pPr>
      <w:r>
        <w:rPr>
          <w:rFonts w:ascii="Arial" w:cs="Arial" w:eastAsia="Arial" w:hAnsi="Arial"/>
          <w:sz w:val="17"/>
          <w:szCs w:val="17"/>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20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officers shall provide such certification at least annually whether or not they know of any Default or Event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Condition Transactions</w:t>
      </w:r>
    </w:p>
    <w:p>
      <w:pPr>
        <w:spacing w:after="0" w:line="24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When calculating the availability under any basket, test or ratio under the Indenture or compliance with any provision of the Indenture in connection with any Limited Condition Transaction and any actions or transactions related thereto (including any such ratio, test or basket (and any related requirements and conditions) with respect to such Limited Condition Transactions (including any incurrence or issuance of Indebtedness, Disqualified Stock or preferred stock and the use of proceeds thereof, the incurrence of any Lien, any acquisition or the making of any Investment, Asset Sales or any disposition, issuance or other transaction excluded from the definition of Asset Sale), in each case, at the option of the Company (the Company’s election to exercise such option, an “</w:t>
      </w:r>
      <w:r>
        <w:rPr>
          <w:rFonts w:ascii="Arial" w:cs="Arial" w:eastAsia="Arial" w:hAnsi="Arial"/>
          <w:sz w:val="16"/>
          <w:szCs w:val="16"/>
          <w:i w:val="1"/>
          <w:iCs w:val="1"/>
          <w:color w:val="auto"/>
        </w:rPr>
        <w:t>LCT Election</w:t>
      </w:r>
      <w:r>
        <w:rPr>
          <w:rFonts w:ascii="Arial" w:cs="Arial" w:eastAsia="Arial" w:hAnsi="Arial"/>
          <w:sz w:val="16"/>
          <w:szCs w:val="16"/>
          <w:color w:val="auto"/>
        </w:rPr>
        <w:t>”), the date of determination for availability under any such basket or ratio and whether any such action or transaction is permitted (or any requirement or condition therefor is complied with or satisfied (including as to the absence of any Default or Event of Default)) under the Indenture shall be deemed to be the date (the “</w:t>
      </w:r>
      <w:r>
        <w:rPr>
          <w:rFonts w:ascii="Arial" w:cs="Arial" w:eastAsia="Arial" w:hAnsi="Arial"/>
          <w:sz w:val="16"/>
          <w:szCs w:val="16"/>
          <w:i w:val="1"/>
          <w:iCs w:val="1"/>
          <w:color w:val="auto"/>
        </w:rPr>
        <w:t>LCT Test Date</w:t>
      </w:r>
      <w:r>
        <w:rPr>
          <w:rFonts w:ascii="Arial" w:cs="Arial" w:eastAsia="Arial" w:hAnsi="Arial"/>
          <w:sz w:val="16"/>
          <w:szCs w:val="16"/>
          <w:color w:val="auto"/>
        </w:rPr>
        <w:t xml:space="preserve">”) the definitive agreement(s) for such Limited Condition Transaction is entered into and if, immediately after giving pro forma effect to the Limited Condition Transaction and any actions or transactions related thereto (including any incurrence or issuance of Indebtedness, Disqualified Stock or preferred stock and the use of proceeds thereof, the incurrence of any Lien, any acquisition or the making of any Investment, Asset Sales or any disposition, issuance or other transaction excluded from the definition of Asset Sale)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deemed to be the applicable LCT Test Date for purposes of such ratios, tests or baskets,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any incurrence or issuance of Indebtedness, Disqualified Stock or preferred stock and the use of proceeds thereof, the incurrence of any Lien, any acquisition or the making of any Investment, Asset Sales or any disposition, issuance or other transaction excluded from the definition of “Asset Sale”) and (c) Consolidated Cash Flow for purposes of the Fixed Charge Coverage Ratio will be calculated using an assumed interest rate based on the indicative interest margin contained in any financing commitment documentation with respect to such Indebtedness or, if no such indicative interest margin exists, as reasonably determined by the Company in good faith.</w:t>
      </w:r>
    </w:p>
    <w:p>
      <w:pPr>
        <w:spacing w:after="0" w:line="20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Cash Flow or Consolidated Total Assets of the Company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 for purposes of determining whether any action being taken in connection with such Limited Condition Transaction is permitted under the Indenture); and</w:t>
      </w:r>
    </w:p>
    <w:p>
      <w:pPr>
        <w:spacing w:after="0" w:line="6" w:lineRule="exact"/>
        <w:rPr>
          <w:sz w:val="20"/>
          <w:szCs w:val="20"/>
          <w:color w:val="auto"/>
        </w:rPr>
      </w:pPr>
    </w:p>
    <w:p>
      <w:pPr>
        <w:ind w:right="860" w:firstLine="8"/>
        <w:spacing w:after="0" w:line="260"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calculating the availability under any ratio, test or basket in connection with any action or transaction unrelated to such Limited Condition Transaction following the relevant LCT Test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773" w:right="339" w:bottom="1440" w:gutter="0" w:footer="0" w:header="0"/>
        </w:sectPr>
      </w:pPr>
    </w:p>
    <w:bookmarkStart w:id="64" w:name="page65"/>
    <w:bookmarkEnd w:id="64"/>
    <w:p>
      <w:pPr>
        <w:jc w:val="both"/>
        <w:ind w:right="80"/>
        <w:spacing w:after="0" w:line="311" w:lineRule="auto"/>
        <w:rPr>
          <w:sz w:val="20"/>
          <w:szCs w:val="20"/>
          <w:color w:val="auto"/>
        </w:rPr>
      </w:pPr>
      <w:r>
        <w:rPr>
          <w:rFonts w:ascii="Arial" w:cs="Arial" w:eastAsia="Arial" w:hAnsi="Arial"/>
          <w:sz w:val="16"/>
          <w:szCs w:val="16"/>
          <w:color w:val="auto"/>
        </w:rPr>
        <w:t>and prior to the earlier of the date on which such Limited Condition Transaction is consummated or the date that the definitive agreement for such Limited Condition Transaction is terminated, expires or passes, as applicable, without consummation of such Limited Condition Transaction, any such ratio, test or basket shall be determined or tested giving pro forma effect to such Limited Condition Transaction and any actions or transactions related thereto.</w:t>
      </w:r>
    </w:p>
    <w:p>
      <w:pPr>
        <w:spacing w:after="0" w:line="17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connection with any action being taken in connection with a Limited Condition Transaction, for purposes of determining compliance with any provision of the Indenture which requires that no Default or Event of Default, as applicable, has occurred, is continuing or would result from any such action, as applicable, such condition shall, at the option of the Company, be deemed satisfied, so long as no Default or Event of Default, as applicable, exists on the date of the definitive agreement, for such Limited Condition Transaction. For the avoidance of doubt, if the Company has exercised an LCT Election, and any Default or Event of Default occurs following the date the definitive agreements for the applicable Limited Condition Transaction were entered into and prior to the consummation of such Limited Condition Transaction, any such Default or Event of Default shall be deemed to not have occurred or be continuing for purposes of determining whether any action being taken in connection with such Limited Condition Transaction is permitted under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No director, officer, employee, incorporator or shareholder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197" w:lineRule="exact"/>
        <w:rPr>
          <w:sz w:val="20"/>
          <w:szCs w:val="20"/>
          <w:color w:val="auto"/>
        </w:rPr>
      </w:pPr>
    </w:p>
    <w:p>
      <w:pPr>
        <w:ind w:left="660" w:right="320" w:firstLine="644"/>
        <w:spacing w:after="0" w:line="277" w:lineRule="auto"/>
        <w:tabs>
          <w:tab w:leader="none" w:pos="15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197" w:lineRule="exact"/>
        <w:rPr>
          <w:rFonts w:ascii="Arial" w:cs="Arial" w:eastAsia="Arial" w:hAnsi="Arial"/>
          <w:sz w:val="18"/>
          <w:szCs w:val="18"/>
          <w:color w:val="auto"/>
        </w:rPr>
      </w:pPr>
    </w:p>
    <w:p>
      <w:pPr>
        <w:ind w:left="660" w:right="80" w:firstLine="644"/>
        <w:spacing w:after="0" w:line="308" w:lineRule="auto"/>
        <w:tabs>
          <w:tab w:leader="none" w:pos="156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73" w:lineRule="exact"/>
        <w:rPr>
          <w:rFonts w:ascii="Arial" w:cs="Arial" w:eastAsia="Arial" w:hAnsi="Arial"/>
          <w:sz w:val="17"/>
          <w:szCs w:val="17"/>
          <w:color w:val="auto"/>
        </w:rPr>
      </w:pPr>
    </w:p>
    <w:p>
      <w:pPr>
        <w:ind w:left="1560" w:hanging="256"/>
        <w:spacing w:after="0"/>
        <w:tabs>
          <w:tab w:leader="none" w:pos="1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63" w:lineRule="exact"/>
        <w:rPr>
          <w:rFonts w:ascii="Arial" w:cs="Arial" w:eastAsia="Arial" w:hAnsi="Arial"/>
          <w:sz w:val="17"/>
          <w:szCs w:val="17"/>
          <w:color w:val="auto"/>
        </w:rPr>
      </w:pPr>
    </w:p>
    <w:p>
      <w:pPr>
        <w:ind w:left="1560" w:hanging="256"/>
        <w:spacing w:after="0"/>
        <w:tabs>
          <w:tab w:leader="none" w:pos="1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52" w:lineRule="exact"/>
        <w:rPr>
          <w:sz w:val="20"/>
          <w:szCs w:val="20"/>
          <w:color w:val="auto"/>
        </w:rPr>
      </w:pPr>
    </w:p>
    <w:p>
      <w:pPr>
        <w:ind w:left="660" w:firstLine="644"/>
        <w:spacing w:after="0" w:line="257" w:lineRule="auto"/>
        <w:tabs>
          <w:tab w:leader="none" w:pos="15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214" w:lineRule="exact"/>
        <w:rPr>
          <w:rFonts w:ascii="Arial" w:cs="Arial" w:eastAsia="Arial" w:hAnsi="Arial"/>
          <w:sz w:val="18"/>
          <w:szCs w:val="18"/>
          <w:color w:val="auto"/>
        </w:rPr>
      </w:pPr>
    </w:p>
    <w:p>
      <w:pPr>
        <w:ind w:left="660" w:right="60" w:firstLine="644"/>
        <w:spacing w:after="0" w:line="257" w:lineRule="auto"/>
        <w:tabs>
          <w:tab w:leader="none" w:pos="15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beneficial owners of the outstanding Notes will not recognize income, gain or loss for federal income tax purposes as a result of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773" w:right="359" w:bottom="1440" w:gutter="0" w:footer="0" w:header="0"/>
        </w:sectPr>
      </w:pPr>
    </w:p>
    <w:bookmarkStart w:id="65" w:name="page66"/>
    <w:bookmarkEnd w:id="65"/>
    <w:p>
      <w:pPr>
        <w:ind w:left="660" w:right="180"/>
        <w:spacing w:after="0" w:line="277" w:lineRule="auto"/>
        <w:rPr>
          <w:sz w:val="20"/>
          <w:szCs w:val="20"/>
          <w:color w:val="auto"/>
        </w:rPr>
      </w:pPr>
      <w:r>
        <w:rPr>
          <w:rFonts w:ascii="Arial" w:cs="Arial" w:eastAsia="Arial" w:hAnsi="Arial"/>
          <w:sz w:val="18"/>
          <w:szCs w:val="18"/>
          <w:color w:val="auto"/>
        </w:rPr>
        <w:t>Legal Defeasance and will be subject to federal income tax on the same amounts, in the same manner and at the same times as would have been the case if such Legal Defeasance had not occurred;</w:t>
      </w:r>
    </w:p>
    <w:p>
      <w:pPr>
        <w:spacing w:after="0" w:line="197" w:lineRule="exact"/>
        <w:rPr>
          <w:sz w:val="20"/>
          <w:szCs w:val="20"/>
          <w:color w:val="auto"/>
        </w:rPr>
      </w:pPr>
    </w:p>
    <w:p>
      <w:pPr>
        <w:jc w:val="both"/>
        <w:ind w:left="660" w:right="20" w:firstLine="644"/>
        <w:spacing w:after="0" w:line="279" w:lineRule="auto"/>
        <w:tabs>
          <w:tab w:leader="none" w:pos="15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Covenant Defeasance, the Company shall have delivered to the Trustee an Opinion of Counsel reasonably acceptable to the Trustee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8" w:lineRule="exact"/>
        <w:rPr>
          <w:rFonts w:ascii="Arial" w:cs="Arial" w:eastAsia="Arial" w:hAnsi="Arial"/>
          <w:sz w:val="17"/>
          <w:szCs w:val="17"/>
          <w:color w:val="auto"/>
        </w:rPr>
      </w:pPr>
    </w:p>
    <w:p>
      <w:pPr>
        <w:ind w:left="660" w:right="200" w:firstLine="644"/>
        <w:spacing w:after="0" w:line="286" w:lineRule="auto"/>
        <w:tabs>
          <w:tab w:leader="none" w:pos="15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either: (a) on the date of such deposit (other than a Default or Event of Default resulting from the borrowing of funds to be applied to such deposit); or (b) insofar as Events of Default from bankruptcy or insolvency events are concerned, at any time in the period ending on the 91st day after the date of deposit;</w:t>
      </w:r>
    </w:p>
    <w:p>
      <w:pPr>
        <w:spacing w:after="0" w:line="192" w:lineRule="exact"/>
        <w:rPr>
          <w:rFonts w:ascii="Arial" w:cs="Arial" w:eastAsia="Arial" w:hAnsi="Arial"/>
          <w:sz w:val="17"/>
          <w:szCs w:val="17"/>
          <w:color w:val="auto"/>
        </w:rPr>
      </w:pPr>
    </w:p>
    <w:p>
      <w:pPr>
        <w:ind w:left="660" w:right="40" w:firstLine="644"/>
        <w:spacing w:after="0" w:line="311" w:lineRule="auto"/>
        <w:tabs>
          <w:tab w:leader="none" w:pos="1563"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the Indenture or any material agreement or instrument to which the Company or any of its Subsidiaries is a party or by which the Company or any of its Subsidiaries is bound (other than any such default under the Indenture resulting solely from the borrowing of funds to be applied to such deposit);</w:t>
      </w:r>
    </w:p>
    <w:p>
      <w:pPr>
        <w:spacing w:after="0" w:line="175" w:lineRule="exact"/>
        <w:rPr>
          <w:rFonts w:ascii="Arial" w:cs="Arial" w:eastAsia="Arial" w:hAnsi="Arial"/>
          <w:sz w:val="16"/>
          <w:szCs w:val="16"/>
          <w:color w:val="auto"/>
        </w:rPr>
      </w:pPr>
    </w:p>
    <w:p>
      <w:pPr>
        <w:ind w:left="660" w:right="80" w:firstLine="644"/>
        <w:spacing w:after="0" w:line="263"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210" w:lineRule="exact"/>
        <w:rPr>
          <w:rFonts w:ascii="Arial" w:cs="Arial" w:eastAsia="Arial" w:hAnsi="Arial"/>
          <w:sz w:val="18"/>
          <w:szCs w:val="18"/>
          <w:color w:val="auto"/>
        </w:rPr>
      </w:pPr>
    </w:p>
    <w:p>
      <w:pPr>
        <w:ind w:left="660" w:firstLine="644"/>
        <w:spacing w:after="0" w:line="263"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210" w:lineRule="exact"/>
        <w:rPr>
          <w:rFonts w:ascii="Arial" w:cs="Arial" w:eastAsia="Arial" w:hAnsi="Arial"/>
          <w:sz w:val="18"/>
          <w:szCs w:val="18"/>
          <w:color w:val="auto"/>
        </w:rPr>
      </w:pPr>
    </w:p>
    <w:p>
      <w:pPr>
        <w:ind w:left="660" w:right="80" w:firstLine="644"/>
        <w:spacing w:after="0" w:line="277"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will be discharged and will cease to be of further effect (except as to surviving rights of registration of transfer or exchange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as expressly provided for in the Indenture) as to all outstanding Notes when either:</w:t>
      </w:r>
    </w:p>
    <w:p>
      <w:pPr>
        <w:spacing w:after="0" w:line="238" w:lineRule="exact"/>
        <w:rPr>
          <w:sz w:val="20"/>
          <w:szCs w:val="20"/>
          <w:color w:val="auto"/>
        </w:rPr>
      </w:pPr>
    </w:p>
    <w:p>
      <w:pPr>
        <w:ind w:left="660" w:right="200" w:firstLine="644"/>
        <w:spacing w:after="0" w:line="286" w:lineRule="auto"/>
        <w:tabs>
          <w:tab w:leader="none" w:pos="1553"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192" w:lineRule="exact"/>
        <w:rPr>
          <w:rFonts w:ascii="Arial" w:cs="Arial" w:eastAsia="Arial" w:hAnsi="Arial"/>
          <w:sz w:val="17"/>
          <w:szCs w:val="17"/>
          <w:color w:val="auto"/>
        </w:rPr>
      </w:pPr>
    </w:p>
    <w:p>
      <w:pPr>
        <w:ind w:left="2160" w:hanging="208"/>
        <w:spacing w:after="0"/>
        <w:tabs>
          <w:tab w:leader="none" w:pos="2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252" w:lineRule="exact"/>
        <w:rPr>
          <w:rFonts w:ascii="Arial" w:cs="Arial" w:eastAsia="Arial" w:hAnsi="Arial"/>
          <w:sz w:val="18"/>
          <w:szCs w:val="18"/>
          <w:color w:val="auto"/>
        </w:rPr>
      </w:pPr>
    </w:p>
    <w:p>
      <w:pPr>
        <w:ind w:left="1300" w:right="520" w:firstLine="652"/>
        <w:spacing w:after="0" w:line="342" w:lineRule="auto"/>
        <w:tabs>
          <w:tab w:leader="none" w:pos="2213"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150" w:lineRule="exact"/>
        <w:rPr>
          <w:rFonts w:ascii="Arial" w:cs="Arial" w:eastAsia="Arial" w:hAnsi="Arial"/>
          <w:sz w:val="16"/>
          <w:szCs w:val="16"/>
          <w:color w:val="auto"/>
        </w:rPr>
      </w:pPr>
    </w:p>
    <w:p>
      <w:pPr>
        <w:ind w:left="660" w:right="40" w:firstLine="644"/>
        <w:spacing w:after="0" w:line="277" w:lineRule="auto"/>
        <w:tabs>
          <w:tab w:leader="none" w:pos="15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197" w:lineRule="exact"/>
        <w:rPr>
          <w:rFonts w:ascii="Arial" w:cs="Arial" w:eastAsia="Arial" w:hAnsi="Arial"/>
          <w:sz w:val="18"/>
          <w:szCs w:val="18"/>
          <w:color w:val="auto"/>
        </w:rPr>
      </w:pPr>
    </w:p>
    <w:p>
      <w:pPr>
        <w:jc w:val="both"/>
        <w:ind w:left="1300" w:firstLine="652"/>
        <w:spacing w:after="0" w:line="296" w:lineRule="auto"/>
        <w:tabs>
          <w:tab w:leader="none" w:pos="2163"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or another trustee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773" w:right="379" w:bottom="1440" w:gutter="0" w:footer="0" w:header="0"/>
        </w:sectPr>
      </w:pPr>
    </w:p>
    <w:bookmarkStart w:id="66" w:name="page67"/>
    <w:bookmarkEnd w:id="66"/>
    <w:p>
      <w:pPr>
        <w:jc w:val="both"/>
        <w:ind w:left="1300" w:right="60" w:firstLine="652"/>
        <w:spacing w:after="0" w:line="263" w:lineRule="auto"/>
        <w:tabs>
          <w:tab w:leader="none" w:pos="22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210" w:lineRule="exact"/>
        <w:rPr>
          <w:rFonts w:ascii="Arial" w:cs="Arial" w:eastAsia="Arial" w:hAnsi="Arial"/>
          <w:sz w:val="18"/>
          <w:szCs w:val="18"/>
          <w:color w:val="auto"/>
        </w:rPr>
      </w:pPr>
    </w:p>
    <w:p>
      <w:pPr>
        <w:ind w:left="2260" w:hanging="308"/>
        <w:spacing w:after="0"/>
        <w:tabs>
          <w:tab w:leader="none" w:pos="2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252" w:lineRule="exact"/>
        <w:rPr>
          <w:rFonts w:ascii="Arial" w:cs="Arial" w:eastAsia="Arial" w:hAnsi="Arial"/>
          <w:sz w:val="18"/>
          <w:szCs w:val="18"/>
          <w:color w:val="auto"/>
        </w:rPr>
      </w:pPr>
    </w:p>
    <w:p>
      <w:pPr>
        <w:ind w:left="1300" w:right="500" w:firstLine="652"/>
        <w:spacing w:after="0" w:line="308" w:lineRule="auto"/>
        <w:tabs>
          <w:tab w:leader="none" w:pos="22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the consent of each Holder affected, an amendment or waiver may not (with respect to any Notes held by a non-consenting Holder):</w:t>
      </w:r>
    </w:p>
    <w:p>
      <w:pPr>
        <w:spacing w:after="0" w:line="264" w:lineRule="exact"/>
        <w:rPr>
          <w:sz w:val="20"/>
          <w:szCs w:val="20"/>
          <w:color w:val="auto"/>
        </w:rPr>
      </w:pPr>
    </w:p>
    <w:p>
      <w:pPr>
        <w:ind w:left="660" w:right="18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Notes;</w:t>
      </w:r>
    </w:p>
    <w:p>
      <w:pPr>
        <w:spacing w:after="0" w:line="275" w:lineRule="exact"/>
        <w:rPr>
          <w:rFonts w:ascii="Arial" w:cs="Arial" w:eastAsia="Arial" w:hAnsi="Arial"/>
          <w:sz w:val="16"/>
          <w:szCs w:val="16"/>
          <w:color w:val="auto"/>
        </w:rPr>
      </w:pPr>
    </w:p>
    <w:p>
      <w:pPr>
        <w:ind w:left="660" w:right="38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252" w:lineRule="exact"/>
        <w:rPr>
          <w:rFonts w:ascii="Arial" w:cs="Arial" w:eastAsia="Arial" w:hAnsi="Arial"/>
          <w:sz w:val="18"/>
          <w:szCs w:val="18"/>
          <w:color w:val="auto"/>
        </w:rPr>
      </w:pPr>
    </w:p>
    <w:p>
      <w:pPr>
        <w:ind w:left="660" w:right="6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197" w:lineRule="exact"/>
        <w:rPr>
          <w:rFonts w:ascii="Arial" w:cs="Arial" w:eastAsia="Arial" w:hAnsi="Arial"/>
          <w:sz w:val="18"/>
          <w:szCs w:val="18"/>
          <w:color w:val="auto"/>
        </w:rPr>
      </w:pPr>
    </w:p>
    <w:p>
      <w:pPr>
        <w:ind w:left="660" w:right="100" w:firstLine="644"/>
        <w:spacing w:after="0" w:line="259"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the price payable by the Company for Notes repurchased pursuant to the provisions described above under “—Offer to Repurchase upon Change of Control” and “—Offer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213" w:lineRule="exact"/>
        <w:rPr>
          <w:rFonts w:ascii="Arial" w:cs="Arial" w:eastAsia="Arial" w:hAnsi="Arial"/>
          <w:sz w:val="18"/>
          <w:szCs w:val="18"/>
          <w:color w:val="auto"/>
        </w:rPr>
      </w:pPr>
    </w:p>
    <w:p>
      <w:pPr>
        <w:jc w:val="both"/>
        <w:ind w:left="660" w:right="420" w:firstLine="644"/>
        <w:spacing w:after="0" w:line="286" w:lineRule="auto"/>
        <w:tabs>
          <w:tab w:leader="none" w:pos="1563" w:val="left"/>
        </w:tabs>
        <w:numPr>
          <w:ilvl w:val="0"/>
          <w:numId w:val="85"/>
        </w:numPr>
        <w:rPr>
          <w:rFonts w:ascii="Arial" w:cs="Arial" w:eastAsia="Arial" w:hAnsi="Arial"/>
          <w:sz w:val="17"/>
          <w:szCs w:val="17"/>
          <w:color w:val="auto"/>
        </w:rPr>
      </w:pPr>
      <w:r>
        <w:rPr>
          <w:rFonts w:ascii="Arial" w:cs="Arial" w:eastAsia="Arial" w:hAnsi="Arial"/>
          <w:sz w:val="17"/>
          <w:szCs w:val="17"/>
          <w:color w:val="auto"/>
        </w:rPr>
        <w:t>waive a default in the payment of principal of or interest on any Note; provided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192" w:lineRule="exact"/>
        <w:rPr>
          <w:rFonts w:ascii="Arial" w:cs="Arial" w:eastAsia="Arial" w:hAnsi="Arial"/>
          <w:sz w:val="17"/>
          <w:szCs w:val="17"/>
          <w:color w:val="auto"/>
        </w:rPr>
      </w:pPr>
    </w:p>
    <w:p>
      <w:pPr>
        <w:ind w:left="660" w:right="36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252" w:lineRule="exact"/>
        <w:rPr>
          <w:rFonts w:ascii="Arial" w:cs="Arial" w:eastAsia="Arial" w:hAnsi="Arial"/>
          <w:sz w:val="18"/>
          <w:szCs w:val="18"/>
          <w:color w:val="auto"/>
        </w:rPr>
      </w:pPr>
    </w:p>
    <w:p>
      <w:pPr>
        <w:ind w:left="1640" w:hanging="336"/>
        <w:spacing w:after="0"/>
        <w:tabs>
          <w:tab w:leader="none" w:pos="1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the Company and the Trustee may amend or supplement the Indenture or the Notes: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to cure any ambiguity, defect or inconsistency;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773" w:right="359" w:bottom="1440" w:gutter="0" w:footer="0" w:header="0"/>
        </w:sectPr>
      </w:pPr>
    </w:p>
    <w:bookmarkStart w:id="67" w:name="page68"/>
    <w:bookmarkEnd w:id="67"/>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52" w:lineRule="exact"/>
        <w:rPr>
          <w:rFonts w:ascii="Arial" w:cs="Arial" w:eastAsia="Arial" w:hAnsi="Arial"/>
          <w:sz w:val="18"/>
          <w:szCs w:val="18"/>
          <w:color w:val="auto"/>
        </w:rPr>
      </w:pPr>
    </w:p>
    <w:p>
      <w:pPr>
        <w:ind w:left="660" w:right="120" w:firstLine="644"/>
        <w:spacing w:after="0" w:line="277" w:lineRule="auto"/>
        <w:tabs>
          <w:tab w:leader="none" w:pos="1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197" w:lineRule="exact"/>
        <w:rPr>
          <w:rFonts w:ascii="Arial" w:cs="Arial" w:eastAsia="Arial" w:hAnsi="Arial"/>
          <w:sz w:val="18"/>
          <w:szCs w:val="18"/>
          <w:color w:val="auto"/>
        </w:rPr>
      </w:pPr>
    </w:p>
    <w:p>
      <w:pPr>
        <w:ind w:left="660" w:right="260" w:firstLine="644"/>
        <w:spacing w:after="0" w:line="277" w:lineRule="auto"/>
        <w:tabs>
          <w:tab w:leader="none" w:pos="1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comply with any requirements of the SEC in order to effect or maintain the qualification of the Indenture under the Trust Indenture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37" w:lineRule="exact"/>
        <w:rPr>
          <w:rFonts w:ascii="Arial" w:cs="Arial" w:eastAsia="Arial" w:hAnsi="Arial"/>
          <w:sz w:val="16"/>
          <w:szCs w:val="16"/>
          <w:color w:val="auto"/>
        </w:rPr>
      </w:pPr>
    </w:p>
    <w:p>
      <w:pPr>
        <w:ind w:left="1560" w:hanging="256"/>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remove a Guarantor which, in accordance with the terms of the Indenture, ceases to be liable in respect of its Subsidiary Guarantee;</w:t>
      </w:r>
    </w:p>
    <w:p>
      <w:pPr>
        <w:spacing w:after="0" w:line="275" w:lineRule="exact"/>
        <w:rPr>
          <w:rFonts w:ascii="Arial" w:cs="Arial" w:eastAsia="Arial" w:hAnsi="Arial"/>
          <w:sz w:val="16"/>
          <w:szCs w:val="16"/>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252" w:lineRule="exact"/>
        <w:rPr>
          <w:rFonts w:ascii="Arial" w:cs="Arial" w:eastAsia="Arial" w:hAnsi="Arial"/>
          <w:sz w:val="18"/>
          <w:szCs w:val="18"/>
          <w:color w:val="auto"/>
        </w:rPr>
      </w:pPr>
    </w:p>
    <w:p>
      <w:pPr>
        <w:ind w:left="660" w:right="100" w:firstLine="644"/>
        <w:spacing w:after="0" w:line="277" w:lineRule="auto"/>
        <w:tabs>
          <w:tab w:leader="none" w:pos="16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197" w:lineRule="exact"/>
        <w:rPr>
          <w:rFonts w:ascii="Arial" w:cs="Arial" w:eastAsia="Arial" w:hAnsi="Arial"/>
          <w:sz w:val="18"/>
          <w:szCs w:val="18"/>
          <w:color w:val="auto"/>
        </w:rPr>
      </w:pPr>
    </w:p>
    <w:p>
      <w:pPr>
        <w:ind w:left="1640" w:hanging="336"/>
        <w:spacing w:after="0"/>
        <w:tabs>
          <w:tab w:leader="none" w:pos="1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the Notes.”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means those certain 5.250% senior notes due 2026 issued by the Company to certain holders thereof under the 2026 Notes Indenture on the 2026 Notes Issue Date.</w:t>
      </w:r>
    </w:p>
    <w:p>
      <w:pPr>
        <w:spacing w:after="0" w:line="19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 Indenture</w:t>
      </w:r>
      <w:r>
        <w:rPr>
          <w:rFonts w:ascii="Arial" w:cs="Arial" w:eastAsia="Arial" w:hAnsi="Arial"/>
          <w:sz w:val="18"/>
          <w:szCs w:val="18"/>
          <w:color w:val="auto"/>
        </w:rPr>
        <w:t>” means that certain indenture among the Company, the Guarantors and the Trustee, dated as of December 15, 2016, as amended, supplemented and modified by that certain First Supplemental Indenture, dated as of July 17, 2018, that certain Second Supplemental Indenture, dated as of March 24, 2020, that certain Third Supplemental Indenture, dated as of</w:t>
      </w:r>
    </w:p>
    <w:p>
      <w:pPr>
        <w:sectPr>
          <w:pgSz w:w="11900" w:h="16838" w:orient="portrait"/>
          <w:cols w:equalWidth="0" w:num="1">
            <w:col w:w="11240"/>
          </w:cols>
          <w:pgMar w:left="320" w:top="77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773"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color w:val="auto"/>
        </w:rPr>
        <w:t>March 29, 2021, and that certain Fourth Supplemental Indenture, dated as of June 24, 2021, as may be further amended, supplemented and modified.</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 Issue Date</w:t>
      </w:r>
      <w:r>
        <w:rPr>
          <w:rFonts w:ascii="Arial" w:cs="Arial" w:eastAsia="Arial" w:hAnsi="Arial"/>
          <w:sz w:val="18"/>
          <w:szCs w:val="18"/>
          <w:color w:val="auto"/>
        </w:rPr>
        <w:t>” means December 15, 2016.</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w:t>
      </w:r>
      <w:r>
        <w:rPr>
          <w:rFonts w:ascii="Arial" w:cs="Arial" w:eastAsia="Arial" w:hAnsi="Arial"/>
          <w:sz w:val="18"/>
          <w:szCs w:val="18"/>
          <w:color w:val="auto"/>
        </w:rPr>
        <w:t>” means those certain 4.500% senior notes due 2029 issued by the Company to certain holders thereof under the 2029 Notes Indenture on the 2029 Notes Issue Date.</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 Indenture</w:t>
      </w:r>
      <w:r>
        <w:rPr>
          <w:rFonts w:ascii="Arial" w:cs="Arial" w:eastAsia="Arial" w:hAnsi="Arial"/>
          <w:sz w:val="18"/>
          <w:szCs w:val="18"/>
          <w:color w:val="auto"/>
        </w:rPr>
        <w:t>” means that certain indenture among the Company, the Guarantors and the Trustee, dated as of October 22, 2019, as amended, supplemented and modified by that certain First Supplemental Indenture, dated as of March 24, 2020, that certain Second Supplemental Indenture, dated as of March 29, 2021, and that certain Third Supplemental Indenture, dated as of June 24, 2021, as may be further amended, supplemented and modified.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 Issue Date</w:t>
      </w:r>
      <w:r>
        <w:rPr>
          <w:rFonts w:ascii="Arial" w:cs="Arial" w:eastAsia="Arial" w:hAnsi="Arial"/>
          <w:sz w:val="18"/>
          <w:szCs w:val="18"/>
          <w:color w:val="auto"/>
        </w:rPr>
        <w:t>” means October 22, 2019.</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 Notes</w:t>
      </w:r>
      <w:r>
        <w:rPr>
          <w:rFonts w:ascii="Arial" w:cs="Arial" w:eastAsia="Arial" w:hAnsi="Arial"/>
          <w:sz w:val="18"/>
          <w:szCs w:val="18"/>
          <w:color w:val="auto"/>
        </w:rPr>
        <w:t>” means those certain 4.375% senior notes due 2032 issued by the Company to certain holders thereof under the 2032 Notes Indenture on the 2032 Notes Issue Date.</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 Notes Indenture</w:t>
      </w:r>
      <w:r>
        <w:rPr>
          <w:rFonts w:ascii="Arial" w:cs="Arial" w:eastAsia="Arial" w:hAnsi="Arial"/>
          <w:sz w:val="18"/>
          <w:szCs w:val="18"/>
          <w:color w:val="auto"/>
        </w:rPr>
        <w:t>” means that certain indenture among the Company, the Guarantors and the Trustee, dated as of August 13, 2021, as may be amended, supplemented and modified.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 Notes Issue Date</w:t>
      </w:r>
      <w:r>
        <w:rPr>
          <w:rFonts w:ascii="Arial" w:cs="Arial" w:eastAsia="Arial" w:hAnsi="Arial"/>
          <w:sz w:val="18"/>
          <w:szCs w:val="18"/>
          <w:color w:val="auto"/>
        </w:rPr>
        <w:t>” means August 13,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660" w:right="80" w:firstLine="644"/>
        <w:spacing w:after="0" w:line="263" w:lineRule="auto"/>
        <w:tabs>
          <w:tab w:leader="none" w:pos="156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“Additional Interest” </w:t>
      </w:r>
      <w:r>
        <w:rPr>
          <w:rFonts w:ascii="Arial" w:cs="Arial" w:eastAsia="Arial" w:hAnsi="Arial"/>
          <w:sz w:val="18"/>
          <w:szCs w:val="18"/>
          <w:color w:val="auto"/>
        </w:rPr>
        <w:t>has the meaning set forth in “Exchange Offer; Registration Rights.”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52" w:lineRule="exact"/>
        <w:rPr>
          <w:sz w:val="20"/>
          <w:szCs w:val="20"/>
          <w:color w:val="auto"/>
        </w:rPr>
      </w:pPr>
    </w:p>
    <w:p>
      <w:pPr>
        <w:ind w:left="660" w:right="20" w:firstLine="644"/>
        <w:spacing w:after="0" w:line="255" w:lineRule="auto"/>
        <w:tabs>
          <w:tab w:leader="none" w:pos="15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or rights, including by means of a Sale and Leaseback Transaction, but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 Merger, Consolidation or Sale of Assets” and not by the provisions of the “Offer to Repurchase by Application of Excess Proceeds of Asset Sales” covenant; and</w:t>
      </w:r>
    </w:p>
    <w:p>
      <w:pPr>
        <w:spacing w:after="0" w:line="219" w:lineRule="exact"/>
        <w:rPr>
          <w:rFonts w:ascii="Arial" w:cs="Arial" w:eastAsia="Arial" w:hAnsi="Arial"/>
          <w:sz w:val="18"/>
          <w:szCs w:val="18"/>
          <w:color w:val="auto"/>
        </w:rPr>
      </w:pPr>
    </w:p>
    <w:p>
      <w:pPr>
        <w:ind w:left="660" w:right="820" w:firstLine="644"/>
        <w:spacing w:after="0" w:line="277" w:lineRule="auto"/>
        <w:tabs>
          <w:tab w:leader="none" w:pos="15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issuance of Equity Interests by any of the Company’s Restricted Subsidiaries or the sale of Equity Interests in any of its Subsidiaries.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252" w:lineRule="exact"/>
        <w:rPr>
          <w:sz w:val="20"/>
          <w:szCs w:val="20"/>
          <w:color w:val="auto"/>
        </w:rPr>
      </w:pPr>
    </w:p>
    <w:p>
      <w:pPr>
        <w:ind w:left="660" w:right="460" w:firstLine="644"/>
        <w:spacing w:after="0" w:line="308" w:lineRule="auto"/>
        <w:tabs>
          <w:tab w:leader="none" w:pos="156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(a) involves assets having an aggregate fair market value of less than $250.0 million; or (b) results in aggregate net proceeds to the Company and its Subsidiaries of less than $250.0 million;</w:t>
      </w:r>
    </w:p>
    <w:p>
      <w:pPr>
        <w:spacing w:after="0" w:line="173" w:lineRule="exact"/>
        <w:rPr>
          <w:rFonts w:ascii="Arial" w:cs="Arial" w:eastAsia="Arial" w:hAnsi="Arial"/>
          <w:sz w:val="17"/>
          <w:szCs w:val="17"/>
          <w:color w:val="auto"/>
        </w:rPr>
      </w:pPr>
    </w:p>
    <w:p>
      <w:pPr>
        <w:ind w:left="660" w:right="60" w:firstLine="644"/>
        <w:spacing w:after="0" w:line="277" w:lineRule="auto"/>
        <w:tabs>
          <w:tab w:leader="none" w:pos="15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transfer of assets (a) between or among the Company and its Restricted Subsidiaries, (b) by a Restricted Subsidiary to the Company or any of its Restricted Subsidiaries or (c) by the Company or any of its Restricted Subsidiaries to</w:t>
      </w:r>
    </w:p>
    <w:p>
      <w:pPr>
        <w:sectPr>
          <w:pgSz w:w="11900" w:h="16838" w:orient="portrait"/>
          <w:cols w:equalWidth="0" w:num="1">
            <w:col w:w="11240"/>
          </w:cols>
          <w:pgMar w:left="320" w:top="773"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773" w:right="339" w:bottom="1440" w:gutter="0" w:footer="0" w:header="0"/>
          <w:type w:val="continuous"/>
        </w:sectPr>
      </w:pPr>
    </w:p>
    <w:bookmarkStart w:id="69" w:name="page70"/>
    <w:bookmarkEnd w:id="69"/>
    <w:p>
      <w:pPr>
        <w:jc w:val="both"/>
        <w:ind w:left="660" w:right="460"/>
        <w:spacing w:after="0" w:line="263" w:lineRule="auto"/>
        <w:rPr>
          <w:sz w:val="20"/>
          <w:szCs w:val="20"/>
          <w:color w:val="auto"/>
        </w:rPr>
      </w:pPr>
      <w:r>
        <w:rPr>
          <w:rFonts w:ascii="Arial" w:cs="Arial" w:eastAsia="Arial" w:hAnsi="Arial"/>
          <w:sz w:val="18"/>
          <w:szCs w:val="18"/>
          <w:color w:val="auto"/>
        </w:rPr>
        <w:t>any Restricted Subsidiary of the Company that is not a Restricted Subsidiary if, in the case of this clause (c), the Company or the Restricted Subsidiary, as the case may be, either retains title to or ownership of the assets being transferred or receives consideration at the time of such transfer at least equal to the fair market value of the transferred assets;</w:t>
      </w:r>
    </w:p>
    <w:p>
      <w:pPr>
        <w:spacing w:after="0" w:line="211" w:lineRule="exact"/>
        <w:rPr>
          <w:sz w:val="20"/>
          <w:szCs w:val="20"/>
          <w:color w:val="auto"/>
        </w:rPr>
      </w:pPr>
    </w:p>
    <w:p>
      <w:pPr>
        <w:ind w:left="1560" w:hanging="256"/>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Restricted Subsidiary;</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sale, transfer or discount of any receivables pursuant to a Receivables Financing that is otherwise permitted by the Indenture;</w:t>
      </w:r>
    </w:p>
    <w:p>
      <w:pPr>
        <w:spacing w:after="0" w:line="275" w:lineRule="exact"/>
        <w:rPr>
          <w:rFonts w:ascii="Arial" w:cs="Arial" w:eastAsia="Arial" w:hAnsi="Arial"/>
          <w:sz w:val="16"/>
          <w:szCs w:val="16"/>
          <w:color w:val="auto"/>
        </w:rPr>
      </w:pPr>
    </w:p>
    <w:p>
      <w:pPr>
        <w:ind w:left="660" w:right="160" w:firstLine="644"/>
        <w:spacing w:after="0" w:line="277" w:lineRule="auto"/>
        <w:tabs>
          <w:tab w:leader="none" w:pos="15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Permitted Investment or any Restricted Investment that is permitted by the covenant described above under the caption “Certain Covenants—Restricted Investments”;</w:t>
      </w:r>
    </w:p>
    <w:p>
      <w:pPr>
        <w:spacing w:after="0" w:line="197" w:lineRule="exact"/>
        <w:rPr>
          <w:rFonts w:ascii="Arial" w:cs="Arial" w:eastAsia="Arial" w:hAnsi="Arial"/>
          <w:sz w:val="18"/>
          <w:szCs w:val="18"/>
          <w:color w:val="auto"/>
        </w:rPr>
      </w:pPr>
    </w:p>
    <w:p>
      <w:pPr>
        <w:jc w:val="both"/>
        <w:ind w:left="660" w:right="360" w:firstLine="644"/>
        <w:spacing w:after="0" w:line="342" w:lineRule="auto"/>
        <w:tabs>
          <w:tab w:leader="none" w:pos="156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50" w:lineRule="exact"/>
        <w:rPr>
          <w:rFonts w:ascii="Arial" w:cs="Arial" w:eastAsia="Arial" w:hAnsi="Arial"/>
          <w:sz w:val="16"/>
          <w:szCs w:val="16"/>
          <w:color w:val="auto"/>
        </w:rPr>
      </w:pPr>
    </w:p>
    <w:p>
      <w:pPr>
        <w:ind w:left="660" w:right="20" w:firstLine="644"/>
        <w:spacing w:after="0" w:line="277" w:lineRule="auto"/>
        <w:tabs>
          <w:tab w:leader="none" w:pos="15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surrender or waiver of contractual rights or the settlement, release or surrender of contract, tort or other claims of any kind;</w:t>
      </w:r>
    </w:p>
    <w:p>
      <w:pPr>
        <w:spacing w:after="0" w:line="263" w:lineRule="exact"/>
        <w:rPr>
          <w:rFonts w:ascii="Arial" w:cs="Arial" w:eastAsia="Arial" w:hAnsi="Arial"/>
          <w:sz w:val="17"/>
          <w:szCs w:val="17"/>
          <w:color w:val="auto"/>
        </w:rPr>
      </w:pPr>
    </w:p>
    <w:p>
      <w:pPr>
        <w:ind w:left="660" w:right="460" w:firstLine="644"/>
        <w:spacing w:after="0" w:line="311" w:lineRule="auto"/>
        <w:tabs>
          <w:tab w:leader="none" w:pos="165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 and</w:t>
      </w:r>
    </w:p>
    <w:p>
      <w:pPr>
        <w:spacing w:after="0" w:line="175" w:lineRule="exact"/>
        <w:rPr>
          <w:rFonts w:ascii="Arial" w:cs="Arial" w:eastAsia="Arial" w:hAnsi="Arial"/>
          <w:sz w:val="16"/>
          <w:szCs w:val="16"/>
          <w:color w:val="auto"/>
        </w:rPr>
      </w:pPr>
    </w:p>
    <w:p>
      <w:pPr>
        <w:jc w:val="both"/>
        <w:ind w:left="660" w:right="220" w:firstLine="644"/>
        <w:spacing w:after="0" w:line="263" w:lineRule="auto"/>
        <w:tabs>
          <w:tab w:leader="none" w:pos="16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payment or distribution on the account of the Company’s Equity Interests or to the direct or indirect holders of the Company’s Equity Interests and any purchase, redemption or other acquisition of any Equity Interests of the Company or any direct or indirect parent of the Company, in each case not otherwise prohibited by the Indenture.</w:t>
      </w:r>
    </w:p>
    <w:p>
      <w:pPr>
        <w:spacing w:after="0" w:line="21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 annual basis) of the total obligations of the lessee for rental payments during the remaining term of the lease included in any such Sale and Leaseback Transaction.</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21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manager, member or similar governing body of such Person or any duly authorized committee thereof.</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New York are authorized or required by law to close.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in the case of a corporation, corporate stock;</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773" w:right="339" w:bottom="1440" w:gutter="0" w:footer="0" w:header="0"/>
          <w:type w:val="continuous"/>
        </w:sectPr>
      </w:pPr>
    </w:p>
    <w:bookmarkStart w:id="70" w:name="page71"/>
    <w:bookmarkEnd w:id="70"/>
    <w:p>
      <w:pPr>
        <w:ind w:right="500" w:firstLine="644"/>
        <w:spacing w:after="0" w:line="277"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263" w:lineRule="exact"/>
        <w:rPr>
          <w:rFonts w:ascii="Arial" w:cs="Arial" w:eastAsia="Arial" w:hAnsi="Arial"/>
          <w:sz w:val="17"/>
          <w:szCs w:val="17"/>
          <w:color w:val="auto"/>
        </w:rPr>
      </w:pPr>
    </w:p>
    <w:p>
      <w:pPr>
        <w:ind w:right="80" w:firstLine="644"/>
        <w:spacing w:after="0" w:line="277"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52" w:lineRule="exact"/>
        <w:rPr>
          <w:sz w:val="20"/>
          <w:szCs w:val="20"/>
          <w:color w:val="auto"/>
        </w:rPr>
      </w:pPr>
    </w:p>
    <w:p>
      <w:pPr>
        <w:ind w:right="380" w:firstLine="644"/>
        <w:spacing w:after="0" w:line="342" w:lineRule="auto"/>
        <w:tabs>
          <w:tab w:leader="none" w:pos="903"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50" w:lineRule="exact"/>
        <w:rPr>
          <w:rFonts w:ascii="Arial" w:cs="Arial" w:eastAsia="Arial" w:hAnsi="Arial"/>
          <w:sz w:val="16"/>
          <w:szCs w:val="16"/>
          <w:color w:val="auto"/>
        </w:rPr>
      </w:pPr>
    </w:p>
    <w:p>
      <w:pPr>
        <w:ind w:right="60" w:firstLine="644"/>
        <w:spacing w:after="0" w:line="25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(a) under the laws of the United States or any state thereof, (b) under the laws of any member state of the European Union or political subdivision thereof or (c) under the laws of any other sovereign nation or political subdivision thereof not targeted for sanctions by the Office of Foreign Assets Control of the U.S. Department of Treasury, in each case to the extent having combined capital and surplus of not less than $300,000,000;</w:t>
      </w:r>
    </w:p>
    <w:p>
      <w:pPr>
        <w:spacing w:after="0" w:line="214" w:lineRule="exact"/>
        <w:rPr>
          <w:rFonts w:ascii="Arial" w:cs="Arial" w:eastAsia="Arial" w:hAnsi="Arial"/>
          <w:sz w:val="18"/>
          <w:szCs w:val="18"/>
          <w:color w:val="auto"/>
        </w:rPr>
      </w:pPr>
    </w:p>
    <w:p>
      <w:pPr>
        <w:ind w:right="160" w:firstLine="644"/>
        <w:spacing w:after="0" w:line="263"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210" w:lineRule="exact"/>
        <w:rPr>
          <w:rFonts w:ascii="Arial" w:cs="Arial" w:eastAsia="Arial" w:hAnsi="Arial"/>
          <w:sz w:val="18"/>
          <w:szCs w:val="18"/>
          <w:color w:val="auto"/>
        </w:rPr>
      </w:pPr>
    </w:p>
    <w:p>
      <w:pPr>
        <w:ind w:right="80"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(2) of this definition, having a term of not more than 30 days, with respect to securities issued or fully guaranteed or insured by the United States government;</w:t>
      </w:r>
    </w:p>
    <w:p>
      <w:pPr>
        <w:spacing w:after="0" w:line="197" w:lineRule="exact"/>
        <w:rPr>
          <w:rFonts w:ascii="Arial" w:cs="Arial" w:eastAsia="Arial" w:hAnsi="Arial"/>
          <w:sz w:val="18"/>
          <w:szCs w:val="18"/>
          <w:color w:val="auto"/>
        </w:rPr>
      </w:pPr>
    </w:p>
    <w:p>
      <w:pPr>
        <w:ind w:right="40" w:firstLine="644"/>
        <w:spacing w:after="0" w:line="259"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213" w:lineRule="exact"/>
        <w:rPr>
          <w:rFonts w:ascii="Arial" w:cs="Arial" w:eastAsia="Arial" w:hAnsi="Arial"/>
          <w:sz w:val="18"/>
          <w:szCs w:val="18"/>
          <w:color w:val="auto"/>
        </w:rPr>
      </w:pPr>
    </w:p>
    <w:p>
      <w:pPr>
        <w:ind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(2) of this definition;</w:t>
      </w:r>
    </w:p>
    <w:p>
      <w:pPr>
        <w:spacing w:after="0" w:line="197" w:lineRule="exact"/>
        <w:rPr>
          <w:rFonts w:ascii="Arial" w:cs="Arial" w:eastAsia="Arial" w:hAnsi="Arial"/>
          <w:sz w:val="18"/>
          <w:szCs w:val="18"/>
          <w:color w:val="auto"/>
        </w:rPr>
      </w:pPr>
    </w:p>
    <w:p>
      <w:pPr>
        <w:ind w:right="200"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money market mutual or similar funds that invest exclusively in assets satisfying the requirements of clauses (1) through (6) of this definition; or</w:t>
      </w:r>
    </w:p>
    <w:p>
      <w:pPr>
        <w:spacing w:after="0" w:line="197" w:lineRule="exact"/>
        <w:rPr>
          <w:rFonts w:ascii="Arial" w:cs="Arial" w:eastAsia="Arial" w:hAnsi="Arial"/>
          <w:sz w:val="18"/>
          <w:szCs w:val="18"/>
          <w:color w:val="auto"/>
        </w:rPr>
      </w:pPr>
    </w:p>
    <w:p>
      <w:pPr>
        <w:ind w:right="440"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money market funds that (a) comply with the criteria set forth in SEC Rule 2a-7 under the Investment Company Act of 1940, as amended, (b) are rated AAA by S&amp;P and Aaa by Moody’s and (c) have portfolio assets of at least $5,000,000,000.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right="80" w:firstLine="644"/>
        <w:spacing w:after="0" w:line="286" w:lineRule="auto"/>
        <w:tabs>
          <w:tab w:leader="none" w:pos="86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192" w:lineRule="exact"/>
        <w:rPr>
          <w:sz w:val="20"/>
          <w:szCs w:val="20"/>
          <w:color w:val="auto"/>
        </w:rPr>
      </w:pPr>
    </w:p>
    <w:p>
      <w:pPr>
        <w:ind w:left="900" w:hanging="25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252" w:lineRule="exact"/>
        <w:rPr>
          <w:rFonts w:ascii="Arial" w:cs="Arial" w:eastAsia="Arial" w:hAnsi="Arial"/>
          <w:sz w:val="18"/>
          <w:szCs w:val="18"/>
          <w:color w:val="auto"/>
        </w:rPr>
      </w:pPr>
    </w:p>
    <w:p>
      <w:pPr>
        <w:ind w:right="220" w:firstLine="644"/>
        <w:spacing w:after="0" w:line="263" w:lineRule="auto"/>
        <w:tabs>
          <w:tab w:leader="none" w:pos="9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40"/>
          </w:cols>
          <w:pgMar w:left="980" w:top="773" w:right="379" w:bottom="1440" w:gutter="0" w:footer="0" w:header="0"/>
        </w:sectPr>
      </w:pPr>
    </w:p>
    <w:bookmarkStart w:id="71" w:name="page72"/>
    <w:bookmarkEnd w:id="71"/>
    <w:p>
      <w:pPr>
        <w:ind w:left="660" w:right="100" w:firstLine="644"/>
        <w:spacing w:after="0" w:line="255" w:lineRule="auto"/>
        <w:tabs>
          <w:tab w:leader="none" w:pos="156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19"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197" w:lineRule="exact"/>
        <w:rPr>
          <w:sz w:val="20"/>
          <w:szCs w:val="20"/>
          <w:color w:val="auto"/>
        </w:rPr>
      </w:pPr>
    </w:p>
    <w:p>
      <w:pPr>
        <w:ind w:left="660" w:right="240" w:firstLine="644"/>
        <w:spacing w:after="0" w:line="277" w:lineRule="auto"/>
        <w:tabs>
          <w:tab w:leader="none" w:pos="1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197" w:lineRule="exact"/>
        <w:rPr>
          <w:rFonts w:ascii="Arial" w:cs="Arial" w:eastAsia="Arial" w:hAnsi="Arial"/>
          <w:sz w:val="18"/>
          <w:szCs w:val="18"/>
          <w:color w:val="auto"/>
        </w:rPr>
      </w:pPr>
    </w:p>
    <w:p>
      <w:pPr>
        <w:ind w:left="660" w:right="40" w:firstLine="644"/>
        <w:spacing w:after="0" w:line="255" w:lineRule="auto"/>
        <w:tabs>
          <w:tab w:leader="none" w:pos="1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Finance Lease Obligations and Attributable Indebtedness,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219" w:lineRule="exact"/>
        <w:rPr>
          <w:rFonts w:ascii="Arial" w:cs="Arial" w:eastAsia="Arial" w:hAnsi="Arial"/>
          <w:sz w:val="18"/>
          <w:szCs w:val="18"/>
          <w:color w:val="auto"/>
        </w:rPr>
      </w:pPr>
    </w:p>
    <w:p>
      <w:pPr>
        <w:ind w:left="660" w:right="40" w:firstLine="644"/>
        <w:spacing w:after="0" w:line="255" w:lineRule="auto"/>
        <w:tabs>
          <w:tab w:leader="none" w:pos="1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plus (or minus)</w:t>
      </w:r>
    </w:p>
    <w:p>
      <w:pPr>
        <w:spacing w:after="0" w:line="219" w:lineRule="exact"/>
        <w:rPr>
          <w:rFonts w:ascii="Arial" w:cs="Arial" w:eastAsia="Arial" w:hAnsi="Arial"/>
          <w:sz w:val="18"/>
          <w:szCs w:val="18"/>
          <w:color w:val="auto"/>
        </w:rPr>
      </w:pPr>
    </w:p>
    <w:p>
      <w:pPr>
        <w:ind w:left="1560" w:hanging="256"/>
        <w:spacing w:after="0"/>
        <w:tabs>
          <w:tab w:leader="none" w:pos="1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purposes of calculating the Fixed Charge Coverage Ratio only, any non-recurring expenses or losses (or income or gains); minus</w:t>
      </w:r>
    </w:p>
    <w:p>
      <w:pPr>
        <w:spacing w:after="0" w:line="275" w:lineRule="exact"/>
        <w:rPr>
          <w:rFonts w:ascii="Arial" w:cs="Arial" w:eastAsia="Arial" w:hAnsi="Arial"/>
          <w:sz w:val="16"/>
          <w:szCs w:val="16"/>
          <w:color w:val="auto"/>
        </w:rPr>
      </w:pPr>
    </w:p>
    <w:p>
      <w:pPr>
        <w:ind w:left="1560" w:hanging="256"/>
        <w:spacing w:after="0"/>
        <w:tabs>
          <w:tab w:leader="none" w:pos="1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38" w:lineRule="exact"/>
        <w:rPr>
          <w:sz w:val="20"/>
          <w:szCs w:val="20"/>
          <w:color w:val="auto"/>
        </w:rPr>
      </w:pPr>
    </w:p>
    <w:p>
      <w:pPr>
        <w:jc w:val="both"/>
        <w:ind w:right="40" w:firstLine="656"/>
        <w:spacing w:after="0" w:line="263" w:lineRule="auto"/>
        <w:tabs>
          <w:tab w:leader="none" w:pos="9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(a) accounted for by the equity method of accounting or is not a Restricted Subsidiary or (b) an Unrestricted Subsidiary shall, in each case, be included only to the extent of the amount of dividends or distributions paid in cash to the specified Person or a Restricted Subsidiary thereof;</w:t>
      </w:r>
    </w:p>
    <w:p>
      <w:pPr>
        <w:spacing w:after="0" w:line="210" w:lineRule="exact"/>
        <w:rPr>
          <w:rFonts w:ascii="Arial" w:cs="Arial" w:eastAsia="Arial" w:hAnsi="Arial"/>
          <w:sz w:val="18"/>
          <w:szCs w:val="18"/>
          <w:color w:val="auto"/>
        </w:rPr>
      </w:pPr>
    </w:p>
    <w:p>
      <w:pPr>
        <w:ind w:left="660" w:right="300" w:firstLine="644"/>
        <w:spacing w:after="0" w:line="277" w:lineRule="auto"/>
        <w:tabs>
          <w:tab w:leader="none" w:pos="15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Net Income of any Restricted Subsidiary shall be excluded to the extent that the declaration or payment of dividends or similar distributions by that Restricted Subsidiary of that Net Income is not at the date of determination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773" w:right="339" w:bottom="1440" w:gutter="0" w:footer="0" w:header="0"/>
        </w:sectPr>
      </w:pPr>
    </w:p>
    <w:bookmarkStart w:id="72" w:name="page73"/>
    <w:bookmarkEnd w:id="72"/>
    <w:p>
      <w:pPr>
        <w:ind w:left="660" w:right="40"/>
        <w:spacing w:after="0" w:line="301" w:lineRule="auto"/>
        <w:rPr>
          <w:sz w:val="20"/>
          <w:szCs w:val="20"/>
          <w:color w:val="auto"/>
        </w:rPr>
      </w:pPr>
      <w:r>
        <w:rPr>
          <w:rFonts w:ascii="Arial" w:cs="Arial" w:eastAsia="Arial" w:hAnsi="Arial"/>
          <w:sz w:val="16"/>
          <w:szCs w:val="16"/>
          <w:color w:val="auto"/>
        </w:rPr>
        <w:t>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Covenants—Dividend and Other Payment Restrictions Affecting Subsidiaries”);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the cumulative effect of a change in accounting principles shall be excluded.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 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Fifth Amended and Restated Credit Agreement, dated as of July 5, 2018,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252" w:lineRule="exact"/>
        <w:rPr>
          <w:sz w:val="20"/>
          <w:szCs w:val="20"/>
          <w:color w:val="auto"/>
        </w:rPr>
      </w:pPr>
    </w:p>
    <w:p>
      <w:pPr>
        <w:ind w:left="1560" w:hanging="256"/>
        <w:spacing w:after="0"/>
        <w:tabs>
          <w:tab w:leader="none" w:pos="1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252" w:lineRule="exact"/>
        <w:rPr>
          <w:rFonts w:ascii="Arial" w:cs="Arial" w:eastAsia="Arial" w:hAnsi="Arial"/>
          <w:sz w:val="18"/>
          <w:szCs w:val="18"/>
          <w:color w:val="auto"/>
        </w:rPr>
      </w:pPr>
    </w:p>
    <w:p>
      <w:pPr>
        <w:ind w:left="660" w:right="40" w:firstLine="644"/>
        <w:spacing w:after="0" w:line="271" w:lineRule="auto"/>
        <w:tabs>
          <w:tab w:leader="none" w:pos="1563"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21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any State thereof or the District of Columbia.</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has the meaning set forth in “Exchange Offer; Registration Rights.”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“Exchange Offer; Registration Rights.”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320" w:top="773" w:right="359" w:bottom="1440" w:gutter="0" w:footer="0" w:header="0"/>
          <w:type w:val="continuous"/>
        </w:sectPr>
      </w:pPr>
    </w:p>
    <w:bookmarkStart w:id="73" w:name="page74"/>
    <w:bookmarkEnd w:id="73"/>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Agency and Marketing Agreement</w:t>
      </w:r>
      <w:r>
        <w:rPr>
          <w:rFonts w:ascii="Arial" w:cs="Arial" w:eastAsia="Arial" w:hAnsi="Arial"/>
          <w:sz w:val="18"/>
          <w:szCs w:val="18"/>
          <w:color w:val="auto"/>
        </w:rPr>
        <w:t>” means the Third Amended and Restated Exclusive Agency and Marketing Agreement between The Scotts Company LLC and Monsanto Company, dated as of September 30, 1998 (as amended and restated as of August 1, 2019), as the same may be amended, modified, restated, extended, renewed or replaced from time to time.</w:t>
      </w:r>
    </w:p>
    <w:p>
      <w:pPr>
        <w:spacing w:after="0" w:line="2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Indebtedness</w:t>
      </w:r>
      <w:r>
        <w:rPr>
          <w:rFonts w:ascii="Arial" w:cs="Arial" w:eastAsia="Arial" w:hAnsi="Arial"/>
          <w:sz w:val="17"/>
          <w:szCs w:val="17"/>
          <w:color w:val="auto"/>
        </w:rPr>
        <w:t>” means Indebtedness of the Company and its Restricted Subsidiaries (other than Indebtedness under the 2026 Notes, the 2029 Notes, the 2032 Notes and the Credit Agreement) in existence on the date of the Indenture, until such amounts are repaid.</w:t>
      </w:r>
    </w:p>
    <w:p>
      <w:pPr>
        <w:spacing w:after="0" w:line="17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15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Finance Lease Obligation</w:t>
      </w:r>
      <w:r>
        <w:rPr>
          <w:rFonts w:ascii="Arial" w:cs="Arial" w:eastAsia="Arial" w:hAnsi="Arial"/>
          <w:sz w:val="18"/>
          <w:szCs w:val="18"/>
          <w:color w:val="auto"/>
        </w:rPr>
        <w:t>” means, at the time any determination thereof is to be made, the amount of the liability in respect of a finance lease that would at that time be required to be accounted for as a finance lease on a balance sheet in accordance with GAAP.</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(for purposes of this definition, the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ratio of Consolidated Cash Flow of such Person for the Reference Period to the Fixed Charges of such Person for the Reference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“Calculation Date”), then the Fixed Charge Coverage Ratio shall be calculated giving pro forma effect to such incurrence, assumption, Guarantee, redemption or other repayment of Indebtedness, or such issuance or redemption of preferred stock and all other 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52" w:lineRule="exact"/>
        <w:rPr>
          <w:sz w:val="20"/>
          <w:szCs w:val="20"/>
          <w:color w:val="auto"/>
        </w:rPr>
      </w:pPr>
    </w:p>
    <w:p>
      <w:pPr>
        <w:jc w:val="both"/>
        <w:ind w:left="660" w:right="180" w:firstLine="644"/>
        <w:spacing w:after="0" w:line="311" w:lineRule="auto"/>
        <w:tabs>
          <w:tab w:leader="none" w:pos="1563" w:val="left"/>
        </w:tabs>
        <w:numPr>
          <w:ilvl w:val="0"/>
          <w:numId w:val="99"/>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75" w:lineRule="exact"/>
        <w:rPr>
          <w:rFonts w:ascii="Arial" w:cs="Arial" w:eastAsia="Arial" w:hAnsi="Arial"/>
          <w:sz w:val="16"/>
          <w:szCs w:val="16"/>
          <w:color w:val="auto"/>
        </w:rPr>
      </w:pPr>
    </w:p>
    <w:p>
      <w:pPr>
        <w:ind w:left="1560" w:hanging="256"/>
        <w:spacing w:after="0"/>
        <w:tabs>
          <w:tab w:leader="none" w:pos="1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 and</w:t>
      </w:r>
    </w:p>
    <w:p>
      <w:pPr>
        <w:spacing w:after="0" w:line="275" w:lineRule="exact"/>
        <w:rPr>
          <w:rFonts w:ascii="Arial" w:cs="Arial" w:eastAsia="Arial" w:hAnsi="Arial"/>
          <w:sz w:val="16"/>
          <w:szCs w:val="16"/>
          <w:color w:val="auto"/>
        </w:rPr>
      </w:pPr>
    </w:p>
    <w:p>
      <w:pPr>
        <w:ind w:left="660" w:firstLine="644"/>
        <w:spacing w:after="0" w:line="263" w:lineRule="auto"/>
        <w:tabs>
          <w:tab w:leader="none" w:pos="15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52" w:lineRule="exact"/>
        <w:rPr>
          <w:sz w:val="20"/>
          <w:szCs w:val="20"/>
          <w:color w:val="auto"/>
        </w:rPr>
      </w:pPr>
    </w:p>
    <w:p>
      <w:pPr>
        <w:ind w:left="660" w:right="80" w:firstLine="644"/>
        <w:spacing w:after="0" w:line="275" w:lineRule="auto"/>
        <w:tabs>
          <w:tab w:leader="none" w:pos="156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Finance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203" w:lineRule="exact"/>
        <w:rPr>
          <w:rFonts w:ascii="Arial" w:cs="Arial" w:eastAsia="Arial" w:hAnsi="Arial"/>
          <w:sz w:val="17"/>
          <w:szCs w:val="17"/>
          <w:color w:val="auto"/>
        </w:rPr>
      </w:pPr>
    </w:p>
    <w:p>
      <w:pPr>
        <w:ind w:left="1560" w:hanging="256"/>
        <w:spacing w:after="0"/>
        <w:tabs>
          <w:tab w:leader="none" w:pos="1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consolidated interest of such Person and its Restricted Subsidiaries that was capitalized during such period; plus</w:t>
      </w:r>
    </w:p>
    <w:p>
      <w:pPr>
        <w:spacing w:after="0" w:line="252" w:lineRule="exact"/>
        <w:rPr>
          <w:rFonts w:ascii="Arial" w:cs="Arial" w:eastAsia="Arial" w:hAnsi="Arial"/>
          <w:sz w:val="18"/>
          <w:szCs w:val="18"/>
          <w:color w:val="auto"/>
        </w:rPr>
      </w:pPr>
    </w:p>
    <w:p>
      <w:pPr>
        <w:ind w:left="660" w:right="400" w:firstLine="644"/>
        <w:spacing w:after="0" w:line="342" w:lineRule="auto"/>
        <w:tabs>
          <w:tab w:leader="none" w:pos="156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773" w:right="339" w:bottom="1440" w:gutter="0" w:footer="0" w:header="0"/>
        </w:sectPr>
      </w:pPr>
    </w:p>
    <w:bookmarkStart w:id="74" w:name="page75"/>
    <w:bookmarkEnd w:id="74"/>
    <w:p>
      <w:pPr>
        <w:ind w:left="660" w:firstLine="644"/>
        <w:spacing w:after="0" w:line="257" w:lineRule="auto"/>
        <w:tabs>
          <w:tab w:leader="none" w:pos="15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22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9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of America as in effect on the Issue Date. Notwithstanding the foregoing, for all purposes of financial calculations with respect to accounting for leases as either operating leases or capital leases, the impact of FASB ASC 840 and FASB ASC 842 or any subsequent pronouncement having similar effect shall be disregarded.</w:t>
      </w:r>
    </w:p>
    <w:p>
      <w:pPr>
        <w:spacing w:after="0" w:line="1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252" w:lineRule="exact"/>
        <w:rPr>
          <w:sz w:val="20"/>
          <w:szCs w:val="20"/>
          <w:color w:val="auto"/>
        </w:rPr>
      </w:pPr>
    </w:p>
    <w:p>
      <w:pPr>
        <w:ind w:left="660" w:right="40" w:firstLine="644"/>
        <w:spacing w:after="0" w:line="277" w:lineRule="auto"/>
        <w:tabs>
          <w:tab w:leader="none" w:pos="156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Restricted Subsidiary of the Company on the date of the Indenture, except for Foreign Subsidiaries and Scotts Global Services, Inc., an Ohio corporation; and</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other Subsidiary of the Company that executes a Subsidiary Guarantee in accordance with the provisions of the Indenture;</w:t>
      </w:r>
    </w:p>
    <w:p>
      <w:pPr>
        <w:spacing w:after="0" w:line="2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19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238" w:lineRule="exact"/>
        <w:rPr>
          <w:sz w:val="20"/>
          <w:szCs w:val="20"/>
          <w:color w:val="auto"/>
        </w:rPr>
      </w:pPr>
    </w:p>
    <w:p>
      <w:pPr>
        <w:ind w:left="660" w:right="120" w:firstLine="644"/>
        <w:spacing w:after="0" w:line="277"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52" w:lineRule="exact"/>
        <w:rPr>
          <w:rFonts w:ascii="Arial" w:cs="Arial" w:eastAsia="Arial" w:hAnsi="Arial"/>
          <w:sz w:val="18"/>
          <w:szCs w:val="18"/>
          <w:color w:val="auto"/>
        </w:rPr>
      </w:pPr>
    </w:p>
    <w:p>
      <w:pPr>
        <w:ind w:left="660" w:right="20" w:firstLine="644"/>
        <w:spacing w:after="0" w:line="277"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197" w:lineRule="exact"/>
        <w:rPr>
          <w:rFonts w:ascii="Arial" w:cs="Arial" w:eastAsia="Arial" w:hAnsi="Arial"/>
          <w:sz w:val="18"/>
          <w:szCs w:val="18"/>
          <w:color w:val="auto"/>
        </w:rPr>
      </w:pPr>
    </w:p>
    <w:p>
      <w:pPr>
        <w:ind w:left="660" w:right="340" w:firstLine="644"/>
        <w:spacing w:after="0" w:line="263"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Finance Lease Obligations of such Person (but excluding obligations under operating leases);</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252" w:lineRule="exact"/>
        <w:rPr>
          <w:rFonts w:ascii="Arial" w:cs="Arial" w:eastAsia="Arial" w:hAnsi="Arial"/>
          <w:sz w:val="18"/>
          <w:szCs w:val="18"/>
          <w:color w:val="auto"/>
        </w:rPr>
      </w:pPr>
    </w:p>
    <w:p>
      <w:pPr>
        <w:ind w:left="660" w:right="440" w:firstLine="644"/>
        <w:spacing w:after="0" w:line="277"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(1) through (8) of this definition of another Person and all dividends and other distributions of another Person, the payment of which, in either case, (A) such Person has Guaranteed or</w:t>
      </w:r>
    </w:p>
    <w:p>
      <w:pPr>
        <w:sectPr>
          <w:pgSz w:w="11900" w:h="16838" w:orient="portrait"/>
          <w:cols w:equalWidth="0" w:num="1">
            <w:col w:w="11120"/>
          </w:cols>
          <w:pgMar w:left="320" w:top="773" w:right="459" w:bottom="1440" w:gutter="0" w:footer="0" w:header="0"/>
        </w:sectPr>
      </w:pP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773" w:right="459" w:bottom="1440" w:gutter="0" w:footer="0" w:header="0"/>
          <w:type w:val="continuous"/>
        </w:sectPr>
      </w:pPr>
    </w:p>
    <w:bookmarkStart w:id="75" w:name="page76"/>
    <w:bookmarkEnd w:id="75"/>
    <w:p>
      <w:pPr>
        <w:ind w:left="660" w:right="40" w:hanging="4"/>
        <w:spacing w:after="0" w:line="263" w:lineRule="auto"/>
        <w:tabs>
          <w:tab w:leader="none" w:pos="9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w:t>
      </w:r>
    </w:p>
    <w:p>
      <w:pPr>
        <w:spacing w:after="0" w:line="252" w:lineRule="exact"/>
        <w:rPr>
          <w:sz w:val="20"/>
          <w:szCs w:val="20"/>
          <w:color w:val="auto"/>
        </w:rPr>
      </w:pPr>
    </w:p>
    <w:p>
      <w:pPr>
        <w:ind w:left="660" w:right="160" w:firstLine="644"/>
        <w:spacing w:after="0" w:line="259" w:lineRule="auto"/>
        <w:tabs>
          <w:tab w:leader="none" w:pos="15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provided, however, that, if such Disqualified Stock is not then permitted to be repurchased, the repurchase price shall be the book value of such Disqualified Stock;</w:t>
      </w:r>
    </w:p>
    <w:p>
      <w:pPr>
        <w:spacing w:after="0" w:line="213" w:lineRule="exact"/>
        <w:rPr>
          <w:rFonts w:ascii="Arial" w:cs="Arial" w:eastAsia="Arial" w:hAnsi="Arial"/>
          <w:sz w:val="18"/>
          <w:szCs w:val="18"/>
          <w:color w:val="auto"/>
        </w:rPr>
      </w:pPr>
    </w:p>
    <w:p>
      <w:pPr>
        <w:ind w:left="660" w:right="80" w:firstLine="644"/>
        <w:spacing w:after="0" w:line="286" w:lineRule="auto"/>
        <w:tabs>
          <w:tab w:leader="none" w:pos="156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192" w:lineRule="exact"/>
        <w:rPr>
          <w:rFonts w:ascii="Arial" w:cs="Arial" w:eastAsia="Arial" w:hAnsi="Arial"/>
          <w:sz w:val="17"/>
          <w:szCs w:val="17"/>
          <w:color w:val="auto"/>
        </w:rPr>
      </w:pPr>
    </w:p>
    <w:p>
      <w:pPr>
        <w:ind w:left="1540" w:hanging="236"/>
        <w:spacing w:after="0"/>
        <w:tabs>
          <w:tab w:leader="none" w:pos="1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of any Indebtedness described in clause (9)(A) above shall be the maximum liability under any such Guarantee;</w:t>
      </w:r>
    </w:p>
    <w:p>
      <w:pPr>
        <w:spacing w:after="0" w:line="263" w:lineRule="exact"/>
        <w:rPr>
          <w:rFonts w:ascii="Arial" w:cs="Arial" w:eastAsia="Arial" w:hAnsi="Arial"/>
          <w:sz w:val="17"/>
          <w:szCs w:val="17"/>
          <w:color w:val="auto"/>
        </w:rPr>
      </w:pPr>
    </w:p>
    <w:p>
      <w:pPr>
        <w:ind w:left="660" w:right="100" w:firstLine="644"/>
        <w:spacing w:after="0" w:line="277" w:lineRule="auto"/>
        <w:tabs>
          <w:tab w:leader="none" w:pos="15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(9)(B) above shall be the lesser of (I) the maximum amount of the obligations so secured and (II) the fair market value of such property or other assets; and</w:t>
      </w:r>
    </w:p>
    <w:p>
      <w:pPr>
        <w:spacing w:after="0" w:line="197" w:lineRule="exact"/>
        <w:rPr>
          <w:rFonts w:ascii="Arial" w:cs="Arial" w:eastAsia="Arial" w:hAnsi="Arial"/>
          <w:sz w:val="18"/>
          <w:szCs w:val="18"/>
          <w:color w:val="auto"/>
        </w:rPr>
      </w:pPr>
    </w:p>
    <w:p>
      <w:pPr>
        <w:ind w:left="1540" w:hanging="236"/>
        <w:spacing w:after="0"/>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 such payment is otherwise contingent;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amount would not be required to be reflected on the face of a balance sheet prepared in accordance with GAAP.</w:t>
      </w:r>
    </w:p>
    <w:p>
      <w:pPr>
        <w:spacing w:after="0" w:line="19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Purchasers</w:t>
      </w:r>
      <w:r>
        <w:rPr>
          <w:rFonts w:ascii="Arial" w:cs="Arial" w:eastAsia="Arial" w:hAnsi="Arial"/>
          <w:sz w:val="17"/>
          <w:szCs w:val="17"/>
          <w:color w:val="auto"/>
        </w:rPr>
        <w:t>” means J.P. Morgan Securities LLC, Wells Fargo Securities, LLC, Mizuho Securities USA LLC, BofA Securities, Inc., Fifth Third Securities, Inc., Rabo Securities USA, Inc., SMBC Nikko Securities America, Inc., TD Securities (USA) LLC, Citizens Capital Markets, Inc., Scotia Capital (USA) Inc., U.S. Bancorp Investments, Inc., Truist Securities, Inc., BBVA Securities Inc., and HSBC Securities (USA) Inc.</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 if any, on the Notes.</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covenant described above under the caption “Certain Covenants—Unrestricted Subsidiaries.”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first issuance of the Notes under the Indenture.</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773" w:right="379" w:bottom="1440" w:gutter="0" w:footer="0" w:header="0"/>
        </w:sectPr>
      </w:pPr>
    </w:p>
    <w:bookmarkStart w:id="76" w:name="page77"/>
    <w:bookmarkEnd w:id="76"/>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 (ii) Consolidated Cash Flow of such Person for the period of four consecutive fiscal quarters ending on such date (for purposes of this definition and the 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 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252" w:lineRule="exact"/>
        <w:rPr>
          <w:sz w:val="20"/>
          <w:szCs w:val="20"/>
          <w:color w:val="auto"/>
        </w:rPr>
      </w:pPr>
    </w:p>
    <w:p>
      <w:pPr>
        <w:jc w:val="both"/>
        <w:ind w:left="660" w:right="180" w:firstLine="644"/>
        <w:spacing w:after="0" w:line="311" w:lineRule="auto"/>
        <w:tabs>
          <w:tab w:leader="none" w:pos="156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75" w:lineRule="exact"/>
        <w:rPr>
          <w:rFonts w:ascii="Arial" w:cs="Arial" w:eastAsia="Arial" w:hAnsi="Arial"/>
          <w:sz w:val="16"/>
          <w:szCs w:val="16"/>
          <w:color w:val="auto"/>
        </w:rPr>
      </w:pPr>
    </w:p>
    <w:p>
      <w:pPr>
        <w:ind w:left="1560" w:hanging="256"/>
        <w:spacing w:after="0"/>
        <w:tabs>
          <w:tab w:leader="none" w:pos="1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shall be excluded;</w:t>
      </w:r>
    </w:p>
    <w:p>
      <w:pPr>
        <w:spacing w:after="0" w:line="263" w:lineRule="exact"/>
        <w:rPr>
          <w:rFonts w:ascii="Arial" w:cs="Arial" w:eastAsia="Arial" w:hAnsi="Arial"/>
          <w:sz w:val="17"/>
          <w:szCs w:val="17"/>
          <w:color w:val="auto"/>
        </w:rPr>
      </w:pPr>
    </w:p>
    <w:p>
      <w:pPr>
        <w:ind w:left="660" w:firstLine="644"/>
        <w:spacing w:after="0" w:line="263" w:lineRule="auto"/>
        <w:tabs>
          <w:tab w:leader="none" w:pos="156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210" w:lineRule="exact"/>
        <w:rPr>
          <w:rFonts w:ascii="Arial" w:cs="Arial" w:eastAsia="Arial" w:hAnsi="Arial"/>
          <w:sz w:val="18"/>
          <w:szCs w:val="18"/>
          <w:color w:val="auto"/>
        </w:rPr>
      </w:pPr>
    </w:p>
    <w:p>
      <w:pPr>
        <w:ind w:left="660" w:right="60" w:firstLine="644"/>
        <w:spacing w:after="0" w:line="311" w:lineRule="auto"/>
        <w:tabs>
          <w:tab w:leader="none" w:pos="156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7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Condition Transaction</w:t>
      </w:r>
      <w:r>
        <w:rPr>
          <w:rFonts w:ascii="Arial" w:cs="Arial" w:eastAsia="Arial" w:hAnsi="Arial"/>
          <w:sz w:val="18"/>
          <w:szCs w:val="18"/>
          <w:color w:val="auto"/>
        </w:rPr>
        <w:t>” means (1) any acquisition or other Investment, including by way of purchase, merger, amalgamation, arrangement or consolidation or similar transaction (which may include, for the avoidance of doubt, a transaction that may constitute a Change of Control) by the Company or one or more of its Restricted Subsidiaries, whose consummation is not conditioned upon the availability of, or on obtaining, third party financing and (2) any Asset Sale or a disposition excluded from the definition of Asset Sale.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197" w:lineRule="exact"/>
        <w:rPr>
          <w:sz w:val="20"/>
          <w:szCs w:val="20"/>
          <w:color w:val="auto"/>
        </w:rPr>
      </w:pPr>
    </w:p>
    <w:p>
      <w:pPr>
        <w:ind w:left="1560" w:hanging="256"/>
        <w:spacing w:after="0"/>
        <w:tabs>
          <w:tab w:leader="none" w:pos="1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19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70</w:t>
      </w:r>
    </w:p>
    <w:p>
      <w:pPr>
        <w:sectPr>
          <w:pgSz w:w="11900" w:h="16838" w:orient="portrait"/>
          <w:cols w:equalWidth="0" w:num="1">
            <w:col w:w="11240"/>
          </w:cols>
          <w:pgMar w:left="320" w:top="773" w:right="339" w:bottom="1440" w:gutter="0" w:footer="0" w:header="0"/>
        </w:sectPr>
      </w:pPr>
    </w:p>
    <w:bookmarkStart w:id="77" w:name="page78"/>
    <w:bookmarkEnd w:id="77"/>
    <w:p>
      <w:pPr>
        <w:ind w:left="1300"/>
        <w:spacing w:after="0"/>
        <w:rPr>
          <w:sz w:val="20"/>
          <w:szCs w:val="20"/>
          <w:color w:val="auto"/>
        </w:rPr>
      </w:pPr>
      <w:r>
        <w:rPr>
          <w:rFonts w:ascii="Arial" w:cs="Arial" w:eastAsia="Arial" w:hAnsi="Arial"/>
          <w:sz w:val="18"/>
          <w:szCs w:val="18"/>
          <w:color w:val="auto"/>
        </w:rPr>
        <w:t>(2) any non-cash expenses attributable to grants or exercises of employee stock options.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Indebtedness</w:t>
      </w:r>
      <w:r>
        <w:rPr>
          <w:rFonts w:ascii="Arial" w:cs="Arial" w:eastAsia="Arial" w:hAnsi="Arial"/>
          <w:sz w:val="16"/>
          <w:szCs w:val="16"/>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unrestricted cash and Cash Equivalents set forth on the consolidated balance sheet of such Person and its Restricted Subsidiaries as at such date.</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52" w:lineRule="exact"/>
        <w:rPr>
          <w:sz w:val="20"/>
          <w:szCs w:val="20"/>
          <w:color w:val="auto"/>
        </w:rPr>
      </w:pPr>
    </w:p>
    <w:p>
      <w:pPr>
        <w:ind w:left="660" w:right="320" w:firstLine="644"/>
        <w:spacing w:after="0" w:line="263" w:lineRule="auto"/>
        <w:tabs>
          <w:tab w:leader="none" w:pos="15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210" w:lineRule="exact"/>
        <w:rPr>
          <w:rFonts w:ascii="Arial" w:cs="Arial" w:eastAsia="Arial" w:hAnsi="Arial"/>
          <w:sz w:val="18"/>
          <w:szCs w:val="18"/>
          <w:color w:val="auto"/>
        </w:rPr>
      </w:pPr>
    </w:p>
    <w:p>
      <w:pPr>
        <w:ind w:left="660" w:right="240" w:firstLine="644"/>
        <w:spacing w:after="0" w:line="259" w:lineRule="auto"/>
        <w:tabs>
          <w:tab w:leader="none" w:pos="15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213" w:lineRule="exact"/>
        <w:rPr>
          <w:rFonts w:ascii="Arial" w:cs="Arial" w:eastAsia="Arial" w:hAnsi="Arial"/>
          <w:sz w:val="18"/>
          <w:szCs w:val="18"/>
          <w:color w:val="auto"/>
        </w:rPr>
      </w:pPr>
    </w:p>
    <w:p>
      <w:pPr>
        <w:ind w:left="660" w:right="20" w:firstLine="644"/>
        <w:spacing w:after="0" w:line="277" w:lineRule="auto"/>
        <w:tabs>
          <w:tab w:leader="none" w:pos="15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Investment</w:t>
      </w:r>
      <w:r>
        <w:rPr>
          <w:rFonts w:ascii="Arial" w:cs="Arial" w:eastAsia="Arial" w:hAnsi="Arial"/>
          <w:sz w:val="18"/>
          <w:szCs w:val="18"/>
          <w:color w:val="auto"/>
        </w:rPr>
        <w:t>” means additional Restricted Investments made by the Company, if before and after giving pro forma effect to such Restricted Investment, the Leverage Ratio of the Company as of the end of the most recently ended fiscal quarter for which internal financial statements are available is less than 3.25:1.00.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w:t>
      </w:r>
      <w:r>
        <w:rPr>
          <w:rFonts w:ascii="Arial" w:cs="Arial" w:eastAsia="Arial" w:hAnsi="Arial"/>
          <w:sz w:val="18"/>
          <w:szCs w:val="18"/>
          <w:color w:val="auto"/>
        </w:rPr>
        <w:t xml:space="preserve"> Investments” means:</w:t>
      </w:r>
    </w:p>
    <w:p>
      <w:pPr>
        <w:spacing w:after="0" w:line="252" w:lineRule="exact"/>
        <w:rPr>
          <w:sz w:val="20"/>
          <w:szCs w:val="20"/>
          <w:color w:val="auto"/>
        </w:rPr>
      </w:pPr>
    </w:p>
    <w:p>
      <w:pPr>
        <w:ind w:left="1560" w:hanging="256"/>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 Person, if as a result of such Investment:</w:t>
      </w:r>
    </w:p>
    <w:p>
      <w:pPr>
        <w:spacing w:after="0" w:line="263" w:lineRule="exact"/>
        <w:rPr>
          <w:rFonts w:ascii="Arial" w:cs="Arial" w:eastAsia="Arial" w:hAnsi="Arial"/>
          <w:sz w:val="17"/>
          <w:szCs w:val="17"/>
          <w:color w:val="auto"/>
        </w:rPr>
      </w:pPr>
    </w:p>
    <w:p>
      <w:pPr>
        <w:ind w:left="2200" w:hanging="248"/>
        <w:spacing w:after="0"/>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252" w:lineRule="exact"/>
        <w:rPr>
          <w:rFonts w:ascii="Arial" w:cs="Arial" w:eastAsia="Arial" w:hAnsi="Arial"/>
          <w:sz w:val="18"/>
          <w:szCs w:val="18"/>
          <w:color w:val="auto"/>
        </w:rPr>
      </w:pPr>
    </w:p>
    <w:p>
      <w:pPr>
        <w:ind w:left="1300" w:right="80" w:firstLine="652"/>
        <w:spacing w:after="0" w:line="277" w:lineRule="auto"/>
        <w:tabs>
          <w:tab w:leader="none" w:pos="220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97" w:lineRule="exact"/>
        <w:rPr>
          <w:rFonts w:ascii="Arial" w:cs="Arial" w:eastAsia="Arial" w:hAnsi="Arial"/>
          <w:sz w:val="18"/>
          <w:szCs w:val="18"/>
          <w:color w:val="auto"/>
        </w:rPr>
      </w:pPr>
    </w:p>
    <w:p>
      <w:pPr>
        <w:ind w:left="660" w:right="180" w:firstLine="644"/>
        <w:spacing w:after="0" w:line="263" w:lineRule="auto"/>
        <w:tabs>
          <w:tab w:leader="none" w:pos="15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ectPr>
          <w:pgSz w:w="11900" w:h="16838" w:orient="portrait"/>
          <w:cols w:equalWidth="0" w:num="1">
            <w:col w:w="11200"/>
          </w:cols>
          <w:pgMar w:left="320" w:top="1016" w:right="37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00"/>
          </w:cols>
          <w:pgMar w:left="320" w:top="1016" w:right="379" w:bottom="1440" w:gutter="0" w:footer="0" w:header="0"/>
          <w:type w:val="continuous"/>
        </w:sectPr>
      </w:pPr>
    </w:p>
    <w:bookmarkStart w:id="78" w:name="page79"/>
    <w:bookmarkEnd w:id="78"/>
    <w:p>
      <w:pPr>
        <w:ind w:left="900" w:hanging="256"/>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acquisition of assets solely in exchange for the issuance of Equity Interests (other than Disqualified Stock) of the Company;</w:t>
      </w:r>
    </w:p>
    <w:p>
      <w:pPr>
        <w:spacing w:after="0" w:line="263" w:lineRule="exact"/>
        <w:rPr>
          <w:rFonts w:ascii="Arial" w:cs="Arial" w:eastAsia="Arial" w:hAnsi="Arial"/>
          <w:sz w:val="17"/>
          <w:szCs w:val="17"/>
          <w:color w:val="auto"/>
        </w:rPr>
      </w:pPr>
    </w:p>
    <w:p>
      <w:pPr>
        <w:ind w:left="900" w:hanging="25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252" w:lineRule="exact"/>
        <w:rPr>
          <w:rFonts w:ascii="Arial" w:cs="Arial" w:eastAsia="Arial" w:hAnsi="Arial"/>
          <w:sz w:val="18"/>
          <w:szCs w:val="18"/>
          <w:color w:val="auto"/>
        </w:rPr>
      </w:pPr>
    </w:p>
    <w:p>
      <w:pPr>
        <w:ind w:left="900" w:hanging="25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900" w:hanging="256"/>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payment by the Company or any of its Restricted Subsidiaries pursuant to the Exclusive Agency and Marketing Agreement;</w:t>
      </w:r>
    </w:p>
    <w:p>
      <w:pPr>
        <w:spacing w:after="0" w:line="263" w:lineRule="exact"/>
        <w:rPr>
          <w:rFonts w:ascii="Arial" w:cs="Arial" w:eastAsia="Arial" w:hAnsi="Arial"/>
          <w:sz w:val="17"/>
          <w:szCs w:val="17"/>
          <w:color w:val="auto"/>
        </w:rPr>
      </w:pPr>
    </w:p>
    <w:p>
      <w:pPr>
        <w:ind w:right="200" w:firstLine="644"/>
        <w:spacing w:after="0" w:line="277" w:lineRule="auto"/>
        <w:tabs>
          <w:tab w:leader="none" w:pos="9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 one time outstanding;</w:t>
      </w:r>
    </w:p>
    <w:p>
      <w:pPr>
        <w:spacing w:after="0" w:line="197" w:lineRule="exact"/>
        <w:rPr>
          <w:rFonts w:ascii="Arial" w:cs="Arial" w:eastAsia="Arial" w:hAnsi="Arial"/>
          <w:sz w:val="18"/>
          <w:szCs w:val="18"/>
          <w:color w:val="auto"/>
        </w:rPr>
      </w:pPr>
    </w:p>
    <w:p>
      <w:pPr>
        <w:ind w:firstLine="644"/>
        <w:spacing w:after="0" w:line="257" w:lineRule="auto"/>
        <w:tabs>
          <w:tab w:leader="none" w:pos="9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214" w:lineRule="exact"/>
        <w:rPr>
          <w:rFonts w:ascii="Arial" w:cs="Arial" w:eastAsia="Arial" w:hAnsi="Arial"/>
          <w:sz w:val="18"/>
          <w:szCs w:val="18"/>
          <w:color w:val="auto"/>
        </w:rPr>
      </w:pPr>
    </w:p>
    <w:p>
      <w:pPr>
        <w:ind w:right="20" w:firstLine="644"/>
        <w:spacing w:after="0" w:line="277" w:lineRule="auto"/>
        <w:tabs>
          <w:tab w:leader="none" w:pos="9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197" w:lineRule="exact"/>
        <w:rPr>
          <w:rFonts w:ascii="Arial" w:cs="Arial" w:eastAsia="Arial" w:hAnsi="Arial"/>
          <w:sz w:val="18"/>
          <w:szCs w:val="18"/>
          <w:color w:val="auto"/>
        </w:rPr>
      </w:pPr>
    </w:p>
    <w:p>
      <w:pPr>
        <w:ind w:right="200" w:firstLine="644"/>
        <w:spacing w:after="0" w:line="342" w:lineRule="auto"/>
        <w:tabs>
          <w:tab w:leader="none" w:pos="9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reclassification of any Investment initially made in the form of equity as a loan or advance, and reclassification of any Investment initially made in the form of a loan or advance as equity; provided in each case that the amount of such Investment is not increased thereby;</w:t>
      </w:r>
    </w:p>
    <w:p>
      <w:pPr>
        <w:spacing w:after="0" w:line="150" w:lineRule="exact"/>
        <w:rPr>
          <w:rFonts w:ascii="Arial" w:cs="Arial" w:eastAsia="Arial" w:hAnsi="Arial"/>
          <w:sz w:val="16"/>
          <w:szCs w:val="16"/>
          <w:color w:val="auto"/>
        </w:rPr>
      </w:pPr>
    </w:p>
    <w:p>
      <w:pPr>
        <w:ind w:right="40" w:firstLine="644"/>
        <w:spacing w:after="0" w:line="263" w:lineRule="auto"/>
        <w:tabs>
          <w:tab w:leader="none" w:pos="9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$600.0 million; and</w:t>
      </w:r>
    </w:p>
    <w:p>
      <w:pPr>
        <w:spacing w:after="0" w:line="210" w:lineRule="exact"/>
        <w:rPr>
          <w:rFonts w:ascii="Arial" w:cs="Arial" w:eastAsia="Arial" w:hAnsi="Arial"/>
          <w:sz w:val="18"/>
          <w:szCs w:val="18"/>
          <w:color w:val="auto"/>
        </w:rPr>
      </w:pPr>
    </w:p>
    <w:p>
      <w:pPr>
        <w:ind w:right="40" w:firstLine="644"/>
        <w:spacing w:after="0" w:line="286" w:lineRule="auto"/>
        <w:tabs>
          <w:tab w:leader="none" w:pos="99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$600.0 million and (y) 20% of Consolidated Total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w:t>
      </w:r>
      <w:r>
        <w:rPr>
          <w:rFonts w:ascii="Arial" w:cs="Arial" w:eastAsia="Arial" w:hAnsi="Arial"/>
          <w:sz w:val="18"/>
          <w:szCs w:val="18"/>
          <w:color w:val="auto"/>
        </w:rPr>
        <w:t xml:space="preserve"> Liens” means:</w:t>
      </w:r>
    </w:p>
    <w:p>
      <w:pPr>
        <w:spacing w:after="0" w:line="252" w:lineRule="exact"/>
        <w:rPr>
          <w:sz w:val="20"/>
          <w:szCs w:val="20"/>
          <w:color w:val="auto"/>
        </w:rPr>
      </w:pPr>
    </w:p>
    <w:p>
      <w:pPr>
        <w:jc w:val="both"/>
        <w:ind w:right="160" w:firstLine="644"/>
        <w:spacing w:after="0" w:line="259"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(and any Liens securing cash management obligations, hedging obligations and not more than $50.0 million aggregate principal amount of bilateral letters of credit (in the aggregate) that are secured under the documentation providing for such Credit Facilities) incurred pursuant to clause (1) of the second paragraph under “—Certain Covenants—Incurrence of Indebtedness and Issuance of Preferred Stock”;</w:t>
      </w:r>
    </w:p>
    <w:p>
      <w:pPr>
        <w:spacing w:after="0" w:line="213" w:lineRule="exact"/>
        <w:rPr>
          <w:rFonts w:ascii="Arial" w:cs="Arial" w:eastAsia="Arial" w:hAnsi="Arial"/>
          <w:sz w:val="18"/>
          <w:szCs w:val="18"/>
          <w:color w:val="auto"/>
        </w:rPr>
      </w:pPr>
    </w:p>
    <w:p>
      <w:pPr>
        <w:ind w:left="900" w:hanging="25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52" w:lineRule="exact"/>
        <w:rPr>
          <w:rFonts w:ascii="Arial" w:cs="Arial" w:eastAsia="Arial" w:hAnsi="Arial"/>
          <w:sz w:val="18"/>
          <w:szCs w:val="18"/>
          <w:color w:val="auto"/>
        </w:rPr>
      </w:pPr>
    </w:p>
    <w:p>
      <w:pPr>
        <w:ind w:firstLine="644"/>
        <w:spacing w:after="0" w:line="263"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210" w:lineRule="exact"/>
        <w:rPr>
          <w:rFonts w:ascii="Arial" w:cs="Arial" w:eastAsia="Arial" w:hAnsi="Arial"/>
          <w:sz w:val="18"/>
          <w:szCs w:val="18"/>
          <w:color w:val="auto"/>
        </w:rPr>
      </w:pPr>
    </w:p>
    <w:p>
      <w:pPr>
        <w:ind w:right="160" w:firstLine="644"/>
        <w:spacing w:after="0" w:line="277"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the Company or any Subsidiary of the Company; provided that such Liens were not entered into in contemplation of such acquisition;</w:t>
      </w:r>
    </w:p>
    <w:p>
      <w:pPr>
        <w:spacing w:after="0" w:line="197" w:lineRule="exact"/>
        <w:rPr>
          <w:rFonts w:ascii="Arial" w:cs="Arial" w:eastAsia="Arial" w:hAnsi="Arial"/>
          <w:sz w:val="18"/>
          <w:szCs w:val="18"/>
          <w:color w:val="auto"/>
        </w:rPr>
      </w:pPr>
    </w:p>
    <w:p>
      <w:pPr>
        <w:ind w:right="100" w:firstLine="644"/>
        <w:spacing w:after="0" w:line="263"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to secure Indebtedness (including Finance Lease Obligations) permitted by clause (4) of the second paragraph of the covenant entitled “—Certain Covenants—Incurrence of Indebtedness and Issuance of Preferred Stock” covering only the assets financed with such Indebtedness and additions and improvements thereon;</w:t>
      </w:r>
    </w:p>
    <w:p>
      <w:pPr>
        <w:spacing w:after="0" w:line="210" w:lineRule="exact"/>
        <w:rPr>
          <w:rFonts w:ascii="Arial" w:cs="Arial" w:eastAsia="Arial" w:hAnsi="Arial"/>
          <w:sz w:val="18"/>
          <w:szCs w:val="18"/>
          <w:color w:val="auto"/>
        </w:rPr>
      </w:pPr>
    </w:p>
    <w:p>
      <w:pPr>
        <w:ind w:left="900" w:hanging="25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20"/>
          </w:cols>
          <w:pgMar w:left="980" w:top="773" w:right="399" w:bottom="1440" w:gutter="0" w:footer="0" w:header="0"/>
        </w:sectPr>
      </w:pPr>
    </w:p>
    <w:bookmarkStart w:id="79" w:name="page80"/>
    <w:bookmarkEnd w:id="79"/>
    <w:p>
      <w:pPr>
        <w:jc w:val="both"/>
        <w:ind w:right="20" w:firstLine="644"/>
        <w:spacing w:after="0" w:line="263" w:lineRule="auto"/>
        <w:tabs>
          <w:tab w:leader="none" w:pos="9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210" w:lineRule="exact"/>
        <w:rPr>
          <w:rFonts w:ascii="Arial" w:cs="Arial" w:eastAsia="Arial" w:hAnsi="Arial"/>
          <w:sz w:val="18"/>
          <w:szCs w:val="18"/>
          <w:color w:val="auto"/>
        </w:rPr>
      </w:pPr>
    </w:p>
    <w:p>
      <w:pPr>
        <w:ind w:right="220" w:firstLine="644"/>
        <w:spacing w:after="0" w:line="277" w:lineRule="auto"/>
        <w:tabs>
          <w:tab w:leader="none" w:pos="9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securing Indebtedness or trade payables and any related obligations; provided that the aggregate amount of Indebtedness and trade payables secured by this clause (8) shall not exceed $300.0 million at any one time outstanding;</w:t>
      </w:r>
    </w:p>
    <w:p>
      <w:pPr>
        <w:spacing w:after="0" w:line="197" w:lineRule="exact"/>
        <w:rPr>
          <w:rFonts w:ascii="Arial" w:cs="Arial" w:eastAsia="Arial" w:hAnsi="Arial"/>
          <w:sz w:val="18"/>
          <w:szCs w:val="18"/>
          <w:color w:val="auto"/>
        </w:rPr>
      </w:pPr>
    </w:p>
    <w:p>
      <w:pPr>
        <w:jc w:val="both"/>
        <w:ind w:right="40" w:firstLine="644"/>
        <w:spacing w:after="0" w:line="263" w:lineRule="auto"/>
        <w:tabs>
          <w:tab w:leader="none" w:pos="9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securing Attributable Indebtedness under Sale and Leaseback Transactions incurred in compliance with the covenant described under “—Certain Covenants—Limitation on Sale and Leaseback Transactions”; provided that the aggregate amount of Attributable Indebtedness secured by this clause (9) shall not exceed $300.0 million at any one time outstanding;</w:t>
      </w:r>
    </w:p>
    <w:p>
      <w:pPr>
        <w:spacing w:after="0" w:line="210" w:lineRule="exact"/>
        <w:rPr>
          <w:rFonts w:ascii="Arial" w:cs="Arial" w:eastAsia="Arial" w:hAnsi="Arial"/>
          <w:sz w:val="18"/>
          <w:szCs w:val="18"/>
          <w:color w:val="auto"/>
        </w:rPr>
      </w:pPr>
    </w:p>
    <w:p>
      <w:pPr>
        <w:ind w:right="40" w:firstLine="644"/>
        <w:spacing w:after="0" w:line="259"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213" w:lineRule="exact"/>
        <w:rPr>
          <w:rFonts w:ascii="Arial" w:cs="Arial" w:eastAsia="Arial" w:hAnsi="Arial"/>
          <w:sz w:val="18"/>
          <w:szCs w:val="18"/>
          <w:color w:val="auto"/>
        </w:rPr>
      </w:pPr>
    </w:p>
    <w:p>
      <w:pPr>
        <w:ind w:right="100" w:firstLine="644"/>
        <w:spacing w:after="0" w:line="257" w:lineRule="auto"/>
        <w:tabs>
          <w:tab w:leader="none" w:pos="9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214" w:lineRule="exact"/>
        <w:rPr>
          <w:rFonts w:ascii="Arial" w:cs="Arial" w:eastAsia="Arial" w:hAnsi="Arial"/>
          <w:sz w:val="18"/>
          <w:szCs w:val="18"/>
          <w:color w:val="auto"/>
        </w:rPr>
      </w:pPr>
    </w:p>
    <w:p>
      <w:pPr>
        <w:ind w:firstLine="644"/>
        <w:spacing w:after="0" w:line="263"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210" w:lineRule="exact"/>
        <w:rPr>
          <w:rFonts w:ascii="Arial" w:cs="Arial" w:eastAsia="Arial" w:hAnsi="Arial"/>
          <w:sz w:val="18"/>
          <w:szCs w:val="18"/>
          <w:color w:val="auto"/>
        </w:rPr>
      </w:pPr>
    </w:p>
    <w:p>
      <w:pPr>
        <w:ind w:right="4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197" w:lineRule="exact"/>
        <w:rPr>
          <w:rFonts w:ascii="Arial" w:cs="Arial" w:eastAsia="Arial" w:hAnsi="Arial"/>
          <w:sz w:val="18"/>
          <w:szCs w:val="18"/>
          <w:color w:val="auto"/>
        </w:rPr>
      </w:pPr>
    </w:p>
    <w:p>
      <w:pPr>
        <w:ind w:right="10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interest or title of a lessor under any lease, whether or not characterized as capital or operating; provided that such Liens do not extend to any property or assets which is not leased property subject to such lease;</w:t>
      </w:r>
    </w:p>
    <w:p>
      <w:pPr>
        <w:spacing w:after="0" w:line="197" w:lineRule="exact"/>
        <w:rPr>
          <w:rFonts w:ascii="Arial" w:cs="Arial" w:eastAsia="Arial" w:hAnsi="Arial"/>
          <w:sz w:val="18"/>
          <w:szCs w:val="18"/>
          <w:color w:val="auto"/>
        </w:rPr>
      </w:pPr>
    </w:p>
    <w:p>
      <w:pPr>
        <w:ind w:right="200" w:firstLine="644"/>
        <w:spacing w:after="0" w:line="263"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10" w:lineRule="exact"/>
        <w:rPr>
          <w:rFonts w:ascii="Arial" w:cs="Arial" w:eastAsia="Arial" w:hAnsi="Arial"/>
          <w:sz w:val="18"/>
          <w:szCs w:val="18"/>
          <w:color w:val="auto"/>
        </w:rPr>
      </w:pPr>
    </w:p>
    <w:p>
      <w:pPr>
        <w:ind w:right="8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197" w:lineRule="exact"/>
        <w:rPr>
          <w:rFonts w:ascii="Arial" w:cs="Arial" w:eastAsia="Arial" w:hAnsi="Arial"/>
          <w:sz w:val="18"/>
          <w:szCs w:val="18"/>
          <w:color w:val="auto"/>
        </w:rPr>
      </w:pPr>
    </w:p>
    <w:p>
      <w:pPr>
        <w:ind w:right="20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97" w:lineRule="exact"/>
        <w:rPr>
          <w:rFonts w:ascii="Arial" w:cs="Arial" w:eastAsia="Arial" w:hAnsi="Arial"/>
          <w:sz w:val="18"/>
          <w:szCs w:val="18"/>
          <w:color w:val="auto"/>
        </w:rPr>
      </w:pPr>
    </w:p>
    <w:p>
      <w:pPr>
        <w:ind w:left="980" w:hanging="336"/>
        <w:spacing w:after="0"/>
        <w:tabs>
          <w:tab w:leader="none" w:pos="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the Company or its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37" w:lineRule="exact"/>
        <w:rPr>
          <w:rFonts w:ascii="Arial" w:cs="Arial" w:eastAsia="Arial" w:hAnsi="Arial"/>
          <w:sz w:val="17"/>
          <w:szCs w:val="17"/>
          <w:color w:val="auto"/>
        </w:rPr>
      </w:pPr>
    </w:p>
    <w:p>
      <w:pPr>
        <w:ind w:right="10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197" w:lineRule="exact"/>
        <w:rPr>
          <w:rFonts w:ascii="Arial" w:cs="Arial" w:eastAsia="Arial" w:hAnsi="Arial"/>
          <w:sz w:val="18"/>
          <w:szCs w:val="18"/>
          <w:color w:val="auto"/>
        </w:rPr>
      </w:pPr>
    </w:p>
    <w:p>
      <w:pPr>
        <w:ind w:left="980" w:hanging="336"/>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w:t>
      </w:r>
    </w:p>
    <w:p>
      <w:pPr>
        <w:spacing w:after="0" w:line="252" w:lineRule="exact"/>
        <w:rPr>
          <w:rFonts w:ascii="Arial" w:cs="Arial" w:eastAsia="Arial" w:hAnsi="Arial"/>
          <w:sz w:val="18"/>
          <w:szCs w:val="18"/>
          <w:color w:val="auto"/>
        </w:rPr>
      </w:pPr>
    </w:p>
    <w:p>
      <w:pPr>
        <w:ind w:right="2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on securities and cash securing Hedging Obligations incurred pursuant to clause (7) of the second paragraph under “—Certain Covenants—Incurrence of Indebtedness and Issuance of Preferred Stock”;</w:t>
      </w:r>
    </w:p>
    <w:p>
      <w:pPr>
        <w:spacing w:after="0" w:line="197" w:lineRule="exact"/>
        <w:rPr>
          <w:rFonts w:ascii="Arial" w:cs="Arial" w:eastAsia="Arial" w:hAnsi="Arial"/>
          <w:sz w:val="18"/>
          <w:szCs w:val="18"/>
          <w:color w:val="auto"/>
        </w:rPr>
      </w:pPr>
    </w:p>
    <w:p>
      <w:pPr>
        <w:ind w:right="18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arising from licensing agreements granted in the ordinary course of business and consistent with past practices which do not materially interfere with the ordinary conduct of business of the Company and its Restricted Subsidiaries; and</w:t>
      </w:r>
    </w:p>
    <w:p>
      <w:pPr>
        <w:sectPr>
          <w:pgSz w:w="11900" w:h="16838" w:orient="portrait"/>
          <w:cols w:equalWidth="0" w:num="1">
            <w:col w:w="10540"/>
          </w:cols>
          <w:pgMar w:left="980" w:top="773" w:right="379" w:bottom="1440" w:gutter="0" w:footer="0" w:header="0"/>
        </w:sectPr>
      </w:pP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540"/>
          </w:cols>
          <w:pgMar w:left="980" w:top="773" w:right="379" w:bottom="1440" w:gutter="0" w:footer="0" w:header="0"/>
          <w:type w:val="continuous"/>
        </w:sectPr>
      </w:pPr>
    </w:p>
    <w:bookmarkStart w:id="80" w:name="page81"/>
    <w:bookmarkEnd w:id="80"/>
    <w:p>
      <w:pPr>
        <w:ind w:left="660" w:right="40" w:firstLine="644"/>
        <w:spacing w:after="0" w:line="286" w:lineRule="auto"/>
        <w:tabs>
          <w:tab w:leader="none" w:pos="165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9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15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7"/>
          <w:szCs w:val="17"/>
          <w:i w:val="1"/>
          <w:iCs w:val="1"/>
          <w:color w:val="auto"/>
        </w:rPr>
        <w:t>Refinanced Indebtedness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92" w:lineRule="exact"/>
        <w:rPr>
          <w:sz w:val="20"/>
          <w:szCs w:val="20"/>
          <w:color w:val="auto"/>
        </w:rPr>
      </w:pPr>
    </w:p>
    <w:p>
      <w:pPr>
        <w:ind w:left="660" w:right="400" w:firstLine="644"/>
        <w:spacing w:after="0" w:line="263" w:lineRule="auto"/>
        <w:tabs>
          <w:tab w:leader="none" w:pos="1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210" w:lineRule="exact"/>
        <w:rPr>
          <w:rFonts w:ascii="Arial" w:cs="Arial" w:eastAsia="Arial" w:hAnsi="Arial"/>
          <w:sz w:val="18"/>
          <w:szCs w:val="18"/>
          <w:color w:val="auto"/>
        </w:rPr>
      </w:pPr>
    </w:p>
    <w:p>
      <w:pPr>
        <w:ind w:left="660" w:right="160" w:firstLine="644"/>
        <w:spacing w:after="0" w:line="301" w:lineRule="auto"/>
        <w:tabs>
          <w:tab w:leader="none" w:pos="15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184" w:lineRule="exact"/>
        <w:rPr>
          <w:rFonts w:ascii="Arial" w:cs="Arial" w:eastAsia="Arial" w:hAnsi="Arial"/>
          <w:sz w:val="16"/>
          <w:szCs w:val="16"/>
          <w:color w:val="auto"/>
        </w:rPr>
      </w:pPr>
    </w:p>
    <w:p>
      <w:pPr>
        <w:ind w:left="660" w:right="480" w:firstLine="644"/>
        <w:spacing w:after="0" w:line="263" w:lineRule="auto"/>
        <w:tabs>
          <w:tab w:leader="none" w:pos="1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210" w:lineRule="exact"/>
        <w:rPr>
          <w:rFonts w:ascii="Arial" w:cs="Arial" w:eastAsia="Arial" w:hAnsi="Arial"/>
          <w:sz w:val="18"/>
          <w:szCs w:val="18"/>
          <w:color w:val="auto"/>
        </w:rPr>
      </w:pPr>
    </w:p>
    <w:p>
      <w:pPr>
        <w:ind w:left="660" w:right="440" w:firstLine="644"/>
        <w:spacing w:after="0" w:line="277" w:lineRule="auto"/>
        <w:tabs>
          <w:tab w:leader="none" w:pos="1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Indebtedness shall not be incurred by a Restricted Subsidiary that is not a Guarantor to refinance debt of the Company or a Guarantor; and</w:t>
      </w:r>
    </w:p>
    <w:p>
      <w:pPr>
        <w:spacing w:after="0" w:line="197" w:lineRule="exact"/>
        <w:rPr>
          <w:rFonts w:ascii="Arial" w:cs="Arial" w:eastAsia="Arial" w:hAnsi="Arial"/>
          <w:sz w:val="18"/>
          <w:szCs w:val="18"/>
          <w:color w:val="auto"/>
        </w:rPr>
      </w:pPr>
    </w:p>
    <w:p>
      <w:pPr>
        <w:ind w:left="660" w:firstLine="644"/>
        <w:spacing w:after="0" w:line="293" w:lineRule="auto"/>
        <w:tabs>
          <w:tab w:leader="none" w:pos="15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proceeds of the Permitted Refinancing Indebtedness shall be used substantially concurrently with the incurrence thereof to redeem or refinance the Refinanced Indebtedness, unless, in the case of a 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 period lapses and then shall be used to refinance the Refinanced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the Refinanced Indebtedness shall be redeemed or refinanced within six months of the incurrence of the Refinancing Indebtedness.</w:t>
      </w:r>
    </w:p>
    <w:p>
      <w:pPr>
        <w:spacing w:after="0" w:line="19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the Issue Date and, in the case of such individuals, their respective executors, administrators and heirs and their families and trusts for their benefit.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w:t>
      </w:r>
      <w:r>
        <w:rPr>
          <w:rFonts w:ascii="Arial" w:cs="Arial" w:eastAsia="Arial" w:hAnsi="Arial"/>
          <w:sz w:val="18"/>
          <w:szCs w:val="18"/>
          <w:color w:val="auto"/>
        </w:rPr>
        <w:t>” means, with respect to the Company or any of its Restricted Subsidiaries, any discounting, factoring or securitization arrangement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773" w:right="379" w:bottom="1440" w:gutter="0" w:footer="0" w:header="0"/>
        </w:sectPr>
      </w:pPr>
    </w:p>
    <w:bookmarkStart w:id="81" w:name="page82"/>
    <w:bookmarkEnd w:id="81"/>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the Issue Date, among the Company, the Guarantors and the Initial Purchasers, as amended, supplemented or modified from time to time, and any similar agreement entered into in connection with the issuance of any Additional Notes.</w:t>
      </w:r>
    </w:p>
    <w:p>
      <w:pPr>
        <w:spacing w:after="0" w:line="21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Business</w:t>
      </w:r>
      <w:r>
        <w:rPr>
          <w:rFonts w:ascii="Arial" w:cs="Arial" w:eastAsia="Arial" w:hAnsi="Arial"/>
          <w:sz w:val="17"/>
          <w:szCs w:val="17"/>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 Services, a division of S&amp;P Global Inc., a New York corporation, or any successor rating agency.</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17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w:t>
      </w:r>
      <w:r>
        <w:rPr>
          <w:rFonts w:ascii="Arial" w:cs="Arial" w:eastAsia="Arial" w:hAnsi="Arial"/>
          <w:sz w:val="18"/>
          <w:szCs w:val="18"/>
          <w:i w:val="1"/>
          <w:iCs w:val="1"/>
          <w:color w:val="auto"/>
        </w:rPr>
        <w:t>Permitted Investments</w:t>
      </w:r>
      <w:r>
        <w:rPr>
          <w:rFonts w:ascii="Arial" w:cs="Arial" w:eastAsia="Arial" w:hAnsi="Arial"/>
          <w:sz w:val="18"/>
          <w:szCs w:val="18"/>
          <w:color w:val="auto"/>
        </w:rPr>
        <w:t>” and any Restricted Investments pursuant to the first paragraph and clauses (1) and (2) of the covenant “—Certain Covenants—Restricted Investments,” in each case, to the extent made in cash.</w:t>
      </w:r>
    </w:p>
    <w:p>
      <w:pPr>
        <w:spacing w:after="0" w:line="21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52" w:lineRule="exact"/>
        <w:rPr>
          <w:sz w:val="20"/>
          <w:szCs w:val="20"/>
          <w:color w:val="auto"/>
        </w:rPr>
      </w:pPr>
    </w:p>
    <w:p>
      <w:pPr>
        <w:ind w:left="660" w:right="220" w:firstLine="644"/>
        <w:spacing w:after="0" w:line="259" w:lineRule="auto"/>
        <w:tabs>
          <w:tab w:leader="none" w:pos="156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213" w:lineRule="exact"/>
        <w:rPr>
          <w:rFonts w:ascii="Arial" w:cs="Arial" w:eastAsia="Arial" w:hAnsi="Arial"/>
          <w:sz w:val="18"/>
          <w:szCs w:val="18"/>
          <w:color w:val="auto"/>
        </w:rPr>
      </w:pPr>
    </w:p>
    <w:p>
      <w:pPr>
        <w:ind w:left="1560" w:hanging="256"/>
        <w:spacing w:after="0"/>
        <w:tabs>
          <w:tab w:leader="none" w:pos="15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thereto).</w:t>
      </w:r>
    </w:p>
    <w:p>
      <w:pPr>
        <w:spacing w:after="0" w:line="23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as an Unrestricted Subsidiary pursuant to a Board Resolution, but only to the extent that such Subsidiary:</w:t>
      </w:r>
    </w:p>
    <w:p>
      <w:pPr>
        <w:spacing w:after="0" w:line="197" w:lineRule="exact"/>
        <w:rPr>
          <w:sz w:val="20"/>
          <w:szCs w:val="20"/>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52" w:lineRule="exact"/>
        <w:rPr>
          <w:rFonts w:ascii="Arial" w:cs="Arial" w:eastAsia="Arial" w:hAnsi="Arial"/>
          <w:sz w:val="18"/>
          <w:szCs w:val="18"/>
          <w:color w:val="auto"/>
        </w:rPr>
      </w:pPr>
    </w:p>
    <w:p>
      <w:pPr>
        <w:ind w:left="660" w:firstLine="644"/>
        <w:spacing w:after="0" w:line="286" w:lineRule="auto"/>
        <w:tabs>
          <w:tab w:leader="none" w:pos="156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773" w:right="339" w:bottom="1440" w:gutter="0" w:footer="0" w:header="0"/>
        </w:sectPr>
      </w:pPr>
    </w:p>
    <w:bookmarkStart w:id="82" w:name="page83"/>
    <w:bookmarkEnd w:id="82"/>
    <w:p>
      <w:pPr>
        <w:ind w:left="660" w:firstLine="644"/>
        <w:spacing w:after="0" w:line="263"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210" w:lineRule="exact"/>
        <w:rPr>
          <w:rFonts w:ascii="Arial" w:cs="Arial" w:eastAsia="Arial" w:hAnsi="Arial"/>
          <w:sz w:val="18"/>
          <w:szCs w:val="18"/>
          <w:color w:val="auto"/>
        </w:rPr>
      </w:pPr>
    </w:p>
    <w:p>
      <w:pPr>
        <w:ind w:left="660" w:right="460" w:firstLine="644"/>
        <w:spacing w:after="0" w:line="277"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Any designation after the date of the Indenture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Covenants—Unrestricted Subsidiaries.”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95" w:lineRule="exact"/>
        <w:rPr>
          <w:sz w:val="20"/>
          <w:szCs w:val="20"/>
          <w:color w:val="auto"/>
        </w:rPr>
      </w:pPr>
    </w:p>
    <w:p>
      <w:pPr>
        <w:ind w:right="640" w:firstLine="648"/>
        <w:spacing w:after="0" w:line="311" w:lineRule="auto"/>
        <w:rPr>
          <w:sz w:val="20"/>
          <w:szCs w:val="20"/>
          <w:color w:val="auto"/>
        </w:rPr>
      </w:pPr>
      <w:r>
        <w:rPr>
          <w:rFonts w:ascii="Arial" w:cs="Arial" w:eastAsia="Arial" w:hAnsi="Arial"/>
          <w:sz w:val="16"/>
          <w:szCs w:val="16"/>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 Notwithstanding the foregoing, no Subsidiary of the Company shall be designated an Unrestricted Subsidiary during any Suspension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Issue Date, The Scotts Miracle-Gro Foundation, a 501(c)(3) Ohio corporation, is an Unrestricted Subsidiary.</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264" w:lineRule="exact"/>
        <w:rPr>
          <w:sz w:val="20"/>
          <w:szCs w:val="20"/>
          <w:color w:val="auto"/>
        </w:rPr>
      </w:pPr>
    </w:p>
    <w:p>
      <w:pPr>
        <w:ind w:left="660" w:right="120" w:firstLine="644"/>
        <w:spacing w:after="0" w:line="263" w:lineRule="auto"/>
        <w:tabs>
          <w:tab w:leader="none" w:pos="15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is a summary of certain U.S. federal income tax consequences of the exchange of the original notes for the exchange notes pursuant to the exchange offer and the ownership and disposition of the exchange notes acquired by holders pursuant to the exchange offer. This summary is based upon the provisions of the Internal Revenue Code of 1986, as amended (the “Code”), applicable U.S. Treasury Regulations promulgated thereunder, judicial authorities and administrative interpretations, in each case as of the date of this prospectus, all of which are subject to change or different interpretations, possibly with retroactive effect. We cannot assure you that the Internal Revenue Service (the “IRS”) will not challenge one or more of the tax consequences described in this discussion, and we have not obtained, nor do we intend to obtain, a ruling from the IRS or an opinion of counsel with respect to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773" w:right="35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U.S. federal income tax consequences of the exchange of the original notes for the exchange notes and the ownership and disposition of the exchange notes.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discussion deals only with original notes and exchange notes that are held as capital assets by a holder who exchanges original notes for exchange notes pursuant to the exchange offer. 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including, without limitation, banks and other financial institutions, insurance companies, regulated investment companies, tax-exempt entities, qualified retirement plans, governmental entities, dealers in securities or foreign currency, real estate investment trusts, thrifts, traders in securities that have elected the mark-to-market method of accounting for their securities, partnerships or other pass-through entities (or investors in such entities), U.S. holders (as defined below) whose “functional currency” is not the U.S. dollar, U.S. holders that hold original notes or exchange notes through non-U.S. brokers or other non-U.S. intermediaries, persons required to accelerate the recognition of any item of income as a result of such income being included on an applicable financial statement, U.S. expatriates and former long-term residents of the United States or persons that hold original notes or exchange notes as part of a hedge, wash sale, conversion transaction, straddle or other risk reduction transaction. Moreover, this discussion does not address the effect of any alternative minimum tax, the Medicare tax on investment income, state, local or non-U.S. tax laws or the application of any U.S. federal taxes other than U.S. federal income taxes (such as U.S. federal estate or gift taxes).</w:t>
      </w:r>
    </w:p>
    <w:p>
      <w:pPr>
        <w:spacing w:after="0" w:line="19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any entity or arrangement that is treated as a partnership for U.S. federal income tax purposes is a beneficial owner of original notes or exchange notes, the U.S. federal income tax treatment of a partner in the partnership generally will depend upon the status of the partner and the activities of the partnership. If you are a partnership or a partner in a partnership considering the exchange of original notes for exchange notes, you should consult your own tax advisor about the tax consequences of exchanging the original notes for the exchange notes and owning and disposing of the exchange notes.</w:t>
      </w:r>
    </w:p>
    <w:p>
      <w:pPr>
        <w:spacing w:after="0" w:line="180" w:lineRule="exact"/>
        <w:rPr>
          <w:sz w:val="20"/>
          <w:szCs w:val="20"/>
          <w:color w:val="auto"/>
        </w:rPr>
      </w:pPr>
    </w:p>
    <w:p>
      <w:pPr>
        <w:ind w:right="120" w:firstLine="405"/>
        <w:spacing w:after="0" w:line="347" w:lineRule="auto"/>
        <w:rPr>
          <w:sz w:val="20"/>
          <w:szCs w:val="20"/>
          <w:color w:val="auto"/>
        </w:rPr>
      </w:pPr>
      <w:r>
        <w:rPr>
          <w:rFonts w:ascii="Arial" w:cs="Arial" w:eastAsia="Arial" w:hAnsi="Arial"/>
          <w:sz w:val="16"/>
          <w:szCs w:val="16"/>
          <w:b w:val="1"/>
          <w:bCs w:val="1"/>
          <w:color w:val="auto"/>
        </w:rPr>
        <w:t>Holders considering the exchange of original notes for exchange notes should consult their own tax advisors regarding the application of the U.S. federal tax laws to their particular situations and the applicability and effect of state, local or non-U.S. tax laws and tax treaties.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exchange of the original notes for the exchange notes pursuant to the exchange offer will not be treated as a taxable event for U.S. federal income tax purposes because the exchange notes will not be considered to differ materially in kind or extent from the original notes. Consequently, a holder will not recognize gain or loss upon receipt of an exchange note in exchange for an original note. The holding period of an exchange note will include the holding period of the original note exchanged for such exchange note, and the initial tax basis of an exchange note will be the same as the adjusted tax basis in the exchanged original note immediately before the exchange.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Contingent Payments</w:t>
      </w:r>
    </w:p>
    <w:p>
      <w:pPr>
        <w:spacing w:after="0" w:line="25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certain circumstances, we may be obligated to pay amounts on the exchange notes that are in excess of the stated interest on, or principal amount of, the exchange notes and/or the timing of payments on the exchange notes may be affected. See, for example, “Description of Notes—Optional Redemption” and “Description of Notes—Repurchase at the Option of Holders—Offer to Repurchase upon Change of Control.” This may cause the exchange notes to be subject to special rules for debt instruments with contingent payments unless, as of the issue date of the original notes, such contingencies, in the aggregate, are considered “remote” and/or “incidental” or, in the alternative, a contingency is deemed not to occur under the applicable U.S. Treasury Regulations. We intend to take the position that such contingencies should be treated as remote and/or incidental, as of the issue date of the original notes, within the meaning of the applicable U.S. Treasury Regulations and, accordingly, we do not intend to treat the exchange notes as contingent payment debt instruments. Under applicable U.S. Treasury Regulations, our determination that such contingencies are remote and/or incidental is binding on all holders of the exchange notes (other than holders that properly disclose to the IRS that they are taking a different position) but is not binding on the IRS. The IRS may take a contrary position that, if sustained, could require holders subject to U.S. federal income taxation to accrue ordinary interest income on the exchange notes at a rate in excess of the rate of stated interest and to treat any gain recognized on a sale or other taxable disposition of an exchange note as ordinary interest income rather than as capital gain. The remainder of this discussion assumes that the exchange notes are not contingent payment debt instruments.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77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You are a “U.S. holder” for purposes of this discussion if you are a beneficial owner of an original note or exchange note and, for U.S. federal income tax purposes, you are:</w:t>
      </w:r>
    </w:p>
    <w:p>
      <w:pPr>
        <w:spacing w:after="0" w:line="197" w:lineRule="exact"/>
        <w:rPr>
          <w:sz w:val="20"/>
          <w:szCs w:val="20"/>
          <w:color w:val="auto"/>
        </w:rPr>
      </w:pPr>
    </w:p>
    <w:p>
      <w:pPr>
        <w:ind w:left="980" w:hanging="324"/>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23"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under the laws of the United States, any state thereof or the District of Columbia;</w:t>
      </w:r>
    </w:p>
    <w:p>
      <w:pPr>
        <w:ind w:left="980" w:hanging="324"/>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980" w:right="60" w:hanging="324"/>
        <w:spacing w:after="0" w:line="255" w:lineRule="auto"/>
        <w:tabs>
          <w:tab w:leader="none" w:pos="9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United States persons (as defined under the Code) have the authority to control all substantial decisions of the trust or (ii) the trust has a valid election in effect under applicable U.S. Treasury Regulations to be treated as a United States person.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on the exchange notes generally will be taxable to a U.S. holder as ordinary interest income at the time such interest is received or accrued in accordance with the U.S. holder’s regular method of accounting for U.S. federal income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Discount</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that was less than its principal amount, the amount of the difference will be treated as market discount for U.S. federal income tax purposes. Any market discount applicable to an original note will carry over to the exchange note received in exchange for such original note. The amount of any market discount will be treated as de minimis and will be disregarded if it is less than one-quarter of one percent (0.25%) of the principal amount of the original note, multiplied by the number of complete years to maturity at the time that such original note was purchased by the U.S. holder. The rules described below do not apply to a U.S. holder who purchased an original note that has de minimis market discount.</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market discount rules, a U.S. holder will be required to treat any principal payment on, or any gain on the sale, exchange, redemption, retirement or other taxable disposition of, an exchange note as ordinary income to the extent of any accrued market discount (on the original note or the exchange note) that has not previously been included in income. If a U.S. holder disposes of an exchange note in an otherwise nontaxable transaction (other than certain specified nonrecognition transactions), the U.S. holder will be required to include any accrued market discount as ordinary income as if the U.S. holder had sold the exchange note at its then fair market value. In addition, a U.S. holder may be required to defer, until the maturity of the exchange note or its earlier disposition in a taxable transaction, the deduction of a portion of the interest expense on any indebtedness incurred or continued to purchase or carry the original note or the exchange note received in exchange for the original note.</w:t>
      </w:r>
    </w:p>
    <w:p>
      <w:pPr>
        <w:spacing w:after="0" w:line="20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Market discount accrues ratably during the period from the date on which a U.S. holder acquired the original note through the maturity date of the exchange note (for which the original note was exchanged), unless the U.S. holder makes an irrevocable election to accrue market discount under a constant yield method. A U.S. holder may elect to include market discount in income currently as it accrues (either ratably or under the constant yield method), in which case the rule described above regarding deferral of interest deductions will not apply. If a U.S. holder elects to include market discount in income currently, the U.S. holder’s adjusted tax basis in an exchange note will be increased by any market discount included in income. A U.S. holder’s election to include market discount in income currently, once made, will apply to all market discount obligations acquired by the U.S. holder on or after the first day of the first taxable year in which the election is made and may not be revoked without the consent of the IRS. U.S. holders should consult their own tax advisors before making this election.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in excess of its principal amount, the excess will be treated as bond premium. Any bond premium applicable to an original note will carry over to the exchange note received in exchange for such original note. A U.S. holder generally may elect to amortize bond premium over the remaining term of an exchange note on a constant yield method. In such case, the U.S. holder will reduce the amount required to be included in income each year with respect to interest on the exchange note by the amount of amortizable bond premium allocable to such year. Because we may call the notes under certain circumstances at a price in excess of their principal amount, the deduction for amortizable bond premium may be reduced or delayed. A U.S. holder’s election to amortize bond premium on a constant yield method, once made, applies to all taxable bonds held or subsequently acquired by the U.S. holder on or after the first day of the first taxable year for which the election is made and may not be revoked without the consent of the IRS.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769" w:right="339" w:bottom="1440" w:gutter="0" w:footer="0" w:header="0"/>
        </w:sectPr>
      </w:pPr>
    </w:p>
    <w:bookmarkStart w:id="85" w:name="page86"/>
    <w:bookmarkEnd w:id="85"/>
    <w:p>
      <w:pPr>
        <w:ind w:right="20" w:firstLine="648"/>
        <w:spacing w:after="0" w:line="275" w:lineRule="auto"/>
        <w:rPr>
          <w:sz w:val="20"/>
          <w:szCs w:val="20"/>
          <w:color w:val="auto"/>
        </w:rPr>
      </w:pPr>
      <w:r>
        <w:rPr>
          <w:rFonts w:ascii="Arial" w:cs="Arial" w:eastAsia="Arial" w:hAnsi="Arial"/>
          <w:sz w:val="17"/>
          <w:szCs w:val="17"/>
          <w:color w:val="auto"/>
        </w:rPr>
        <w:t>If a U.S. holder elected to amortize bond premium on an original note, such election will carry over to the exchange note received in exchange for such original note. If a U.S. holder does not make this election, the U.S. holder will be required to include in gross income the full amount of interest on the exchange note in accordance with the U.S. holder’s regular method of accounting and will include the premium in the tax basis of the exchange note for purposes of computing the amount of any gain or loss recognized on a taxable disposition of the exchange note. U.S. holders should consult their own tax advisors concerning the computation and amortization of any bond premium on the exchange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 U.S. holder generally will recognize capital gain or loss on a sale, redemption, exchange, retirement or other taxable disposition of an exchange note equal to the difference, if any, between (i) the amount realized on such disposition (excluding amounts attributable to any accrued but unpaid interest, which will be taxable as ordinary income to the extent the U.S. holder has not previously included such amounts in income) and (ii) the U.S. holder’s adjusted tax basis in the exchange note. The amount realized will equal the sum of any cash and the fair market value of any other property received on the disposition. A U.S. holder’s adjusted tax basis in an exchange note generally will equal the initial tax basis of such exchange note, increased by market discount previously included in gross income and decreased (but not below zero) by payments previously received other than interest payments and by amortized bond premium. Any such gain or loss will be long-term capital gain or loss if the holding period of the exchange note is more than one year at the time of the disposition. Long-term capital gains of non-corporate U.S. holders generally are eligible for reduced rates of taxation. The deductibility of capital losses is subject to limitations.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5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Payments of interest and the proceeds of a disposition (including a retirement or redemption) of exchange notes held by a U.S. holder may be reported to the IRS. These information reporting requirements, however, do not apply with respect to certain exempt U.S. holders, such as corporations.</w:t>
      </w:r>
    </w:p>
    <w:p>
      <w:pPr>
        <w:spacing w:after="0" w:line="15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Backup withholding (currently at a rate of 24%) may apply to payments of the foregoing amounts, unless the U.S. holder provides the applicable withholding agent with the U.S. holder’s taxpayer identification number, as well as certain other information, or otherwise establishes an exemption from backup withholding.</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from a U.S. holder under the backup withholding rules will be allowed as a credit against such U.S. holder’s U.S. federal income tax liability, if any, and may entitle such U.S. holder to a refund,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are a “non-U.S. holder” for purposes of this discussion if you are a beneficial owner of an original note or exchange note and you are,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 individual, corporation, estate or trust that is not a U.S. holder.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5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Subject to the discussion below under the headings “—Information Reporting and Backup Withholding” and “Foreign Account Tax Compliance Act,” payments of interest on the exchange notes to a non-U.S. holder generally will be exempt from U.S. federal income and withholding tax under the “portfolio interest” exemption if the non-U.S. holder properly certifies as to its non-U.S. status, as described below, and:</w:t>
      </w:r>
    </w:p>
    <w:p>
      <w:pPr>
        <w:spacing w:after="0" w:line="192" w:lineRule="exact"/>
        <w:rPr>
          <w:sz w:val="20"/>
          <w:szCs w:val="20"/>
          <w:color w:val="auto"/>
        </w:rPr>
      </w:pPr>
    </w:p>
    <w:p>
      <w:pPr>
        <w:ind w:left="980" w:right="460" w:hanging="324"/>
        <w:spacing w:after="0" w:line="258" w:lineRule="auto"/>
        <w:tabs>
          <w:tab w:leader="none" w:pos="9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does not own, actually or constructively, 10% or more of the total combined voting power of all classes of our stock entitled to vote;</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exchange notes is in connection with an extension of credit made pursuant to a loan agreement entered into in the ordinary course of business;</w:t>
      </w:r>
    </w:p>
    <w:p>
      <w:pPr>
        <w:ind w:left="980" w:hanging="324"/>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for U.S. federal income tax purposes that is related to us;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interest on the exchange notes is not effectively connected with the conduct of a U.S. trade or business by the non-U.S. holder.</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portfolio interest exemption applies only if a non-U.S. holder appropriately certifies as to its non-U.S. status. A non-U.S. holder generally can meet this certification requirement by providing a properly executed IRS Form W-8BEN or W-8BEN-E, as applicable (or appropriate substitute or successor form) to the applicable withholding agent. If a non-U.S. holder holds the exchange notes through a financial institution or other agent acting on such non-U.S. holder’s behalf, such non-U.S. holder may be required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773" w:right="339" w:bottom="1440" w:gutter="0" w:footer="0" w:header="0"/>
        </w:sectPr>
      </w:pPr>
    </w:p>
    <w:bookmarkStart w:id="86" w:name="page87"/>
    <w:bookmarkEnd w:id="86"/>
    <w:p>
      <w:pPr>
        <w:ind w:right="60"/>
        <w:spacing w:after="0" w:line="277" w:lineRule="auto"/>
        <w:rPr>
          <w:sz w:val="20"/>
          <w:szCs w:val="20"/>
          <w:color w:val="auto"/>
        </w:rPr>
      </w:pPr>
      <w:r>
        <w:rPr>
          <w:rFonts w:ascii="Arial" w:cs="Arial" w:eastAsia="Arial" w:hAnsi="Arial"/>
          <w:sz w:val="18"/>
          <w:szCs w:val="18"/>
          <w:color w:val="auto"/>
        </w:rPr>
        <w:t>provide appropriate certifications to its agent. Such agent then generally will be required to provide appropriate certifications to the applicable withholding agent, either directly or through other intermediaries.</w:t>
      </w:r>
    </w:p>
    <w:p>
      <w:pPr>
        <w:spacing w:after="0" w:line="1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U.S. federal withholding tax, currently at a 30% rate, unless (i) the non-U.S. holder provides the applicable withholding agent with a properly executed IRS Form W-8BEN or W-8BEN-E, as applicable (or appropriate substitute or successor form) claiming an exemption from (or a reduction of) withholding under an applicable income tax treaty or (ii) the payments of interest are effectively connected with the non-U.S. holder’s conduct of a trade or business in the United States and the non-U.S. holder meets the certification requirements described below (see “—Income or Gain Effectively Connected with a U.S. Trade or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“Foreign Account Tax Compliance Act,” a non-U.S. holder generally will not be subject to U.S. federal income or withholding tax on any gain realized on a sale, redemption, exchange, retirement or other taxable disposition of an exchange note (other than amounts attributable to accrued and unpaid interest, which will be treated as described above under “—Interest on the Exchange Notes”) unless:</w:t>
      </w:r>
    </w:p>
    <w:p>
      <w:pPr>
        <w:spacing w:after="0" w:line="214" w:lineRule="exact"/>
        <w:rPr>
          <w:sz w:val="20"/>
          <w:szCs w:val="20"/>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or</w:t>
      </w:r>
    </w:p>
    <w:p>
      <w:pPr>
        <w:spacing w:after="0" w:line="23" w:lineRule="exact"/>
        <w:rPr>
          <w:rFonts w:ascii="Arial" w:cs="Arial" w:eastAsia="Arial" w:hAnsi="Arial"/>
          <w:sz w:val="18"/>
          <w:szCs w:val="18"/>
          <w:color w:val="auto"/>
        </w:rPr>
      </w:pPr>
    </w:p>
    <w:p>
      <w:pPr>
        <w:ind w:left="980" w:right="100" w:hanging="324"/>
        <w:spacing w:after="0" w:line="260" w:lineRule="auto"/>
        <w:tabs>
          <w:tab w:leader="none" w:pos="9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non-U.S. holder is an individual who has been present in the United States for 183 days or more in the taxable year of the disposition and certain other requirements are met.</w:t>
      </w:r>
    </w:p>
    <w:p>
      <w:pPr>
        <w:spacing w:after="0" w:line="21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as described below (see “—Income or Gain Effectively Connected with a U.S. Trade or Business”). If you are a non-U.S. holder described in the second bullet point above, unless an applicable income tax treaty provides otherwise, you generally will be subject to U.S. federal income tax at a flat 30% rate on the gain derived from the disposition, which may be offset by certain U.S.-source capital losses.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any interest on the exchange notes or gain from a sale, redemption, exchange, retirement or other taxable disposition of the exchange notes by a non-U.S. holder is effectively connected with a U.S. trade or business conducted by the non-U.S. holder, then the non-U.S. holder generally will be subject to U.S. federal income tax on such interest or gain on a net income basis in the same manner as a U.S. holder (unless an applicable income tax treaty provides otherwise). If interest received with respect to the notes is effectively connected income then, unless an applicable income tax treaty provides otherwise, the U.S. federal withholding tax described above will not apply, assuming an appropriate certification is provided. A non-U.S. holder generally can meet the certification requirements by providing a properly executed IRS Form W-8ECI (or other applicable form) to the applicable withholding agent. In addition, if a non-U.S. holder is a corporation for U.S. federal income tax purposes, that portion of the non-U.S. holder’s earnings and profits that is attributable to such effectively connected income or gain, subject to certain adjustments, may be subject to a “branch profits tax” at a 30% rate (or a lower applicable income tax treaty 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Payments to a non-U.S. holder of interest on an exchange note, and amounts withheld from such payments, if any, generally will be required to be reported to the IRS any may also be made available to the tax authorities of the country in which such non-U.S. holder is a tax resident under the provisions of an applicable income tax treaty or agreement. Backup withholding (currently at a rate of 24%) generally will not apply to payments of interest on an exchange note to a non-U.S. holder if the certification described in “—Interest on the Exchange Notes” above is provided by the non-U.S. holder, or the non-U.S. holder otherwise establishes an exemption.</w:t>
      </w:r>
    </w:p>
    <w:p>
      <w:pPr>
        <w:spacing w:after="0" w:line="21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Proceeds from a disposition (including a retirement or redemption) of an exchange note by a non-U.S. holder effected by the U.S. office of a U.S. or foreign broker will be subject to information reporting requirements and backup withholding unless the non-U.S. holder properly certifies as to its non-U.S. status and certain other conditions are met, or the non-U.S. holder otherwise establishes an exemption. Information reporting and backup withholding generally will not apply to any proceeds from a disposition of an exchange note by a non-U.S. holder effected outside the United States by a non-U.S. office of a broker, unless such broker has certain connections to the United States, in which case information reporting, but not backup withholding, will apply unless the broker has documentary evidence in its records of the non-U.S. holder’s non-U.S. status and certain other conditions are met, or the non-U.S. holder otherwise establishes an exemption.</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from a non-U.S. holder under the backup withholding rules will be allowed as a credit against such non-U.S. holder’s U.S. federal income tax liability, if any, and may entitle such non-U.S. holder to a refund, provided the required information is timely furnished to the IRS.</w:t>
      </w:r>
    </w:p>
    <w:p>
      <w:pPr>
        <w:sectPr>
          <w:pgSz w:w="11900" w:h="16838" w:orient="portrait"/>
          <w:cols w:equalWidth="0" w:num="1">
            <w:col w:w="11220"/>
          </w:cols>
          <w:pgMar w:left="320" w:top="773" w:right="359" w:bottom="1440"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20"/>
          </w:cols>
          <w:pgMar w:left="320" w:top="773"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Foreign Account Tax Compliance Act imposes a U.S. federal withholding tax (separate and apart from, but without duplication of, the withholding tax described above), at a rate of 30% on payments of interest on, and the gross proceeds from a disposition (including a retirement or redemption) of, a debt instrument paid to certain non-U.S. entities, including certain foreign financial institutions and investment funds (including, in some instances, where such an entity is acting as an intermediary), unless such non-U.S. entity complies with certain withholding and reporting requirements regarding U.S. account holders and U.S. owners of such entity’s equity and debt. Pursuant to proposed U.S. Treasury Regulations (upon which taxpayers are permitted to rely until final U.S. Treasury Regulations are issued), this withholding tax generally will not apply to payments of gross disposition proceeds. Foreign financial institutions located in jurisdictions that have an intergovernmental agreement with the United States with respect to these rules may be subject to different rules. Under certain circumstances, a beneficial owner of the exchange notes may be eligible for a refund or credit of such taxes. Holders of the exchange notes should consult their own tax advisors regarding the new withholding and reporting provisions.</w:t>
      </w:r>
    </w:p>
    <w:p>
      <w:pPr>
        <w:spacing w:after="0" w:line="18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The preceding discussion of certain U.S. federal </w:t>
      </w:r>
      <w:r>
        <w:rPr>
          <w:rFonts w:ascii="Arial" w:cs="Arial" w:eastAsia="Arial" w:hAnsi="Arial"/>
          <w:sz w:val="18"/>
          <w:szCs w:val="18"/>
          <w:color w:val="auto"/>
        </w:rPr>
        <w:t>income</w:t>
      </w:r>
      <w:r>
        <w:rPr>
          <w:rFonts w:ascii="Arial" w:cs="Arial" w:eastAsia="Arial" w:hAnsi="Arial"/>
          <w:sz w:val="18"/>
          <w:szCs w:val="18"/>
          <w:b w:val="1"/>
          <w:bCs w:val="1"/>
          <w:color w:val="auto"/>
        </w:rPr>
        <w:t xml:space="preserve"> tax consequences is for general information only and is not tax advice. Each prospective investor should consult its own tax advisor regarding the particular U.S. federal, state, local and non-U.S. tax consequences of exchanging the original notes for the exchange notes and owning and disposing of the exchange notes, including the consequences of any proposed change in applicable laws.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ENTRY, DELIVERY AND 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The original notes were issued in the form of one or more notes in global form, without interest </w:t>
      </w:r>
      <w:r>
        <w:rPr>
          <w:rFonts w:ascii="Arial" w:cs="Arial" w:eastAsia="Arial" w:hAnsi="Arial"/>
          <w:sz w:val="18"/>
          <w:szCs w:val="18"/>
          <w:b w:val="1"/>
          <w:bCs w:val="1"/>
          <w:color w:val="auto"/>
        </w:rPr>
        <w:t>coupons</w:t>
      </w:r>
      <w:r>
        <w:rPr>
          <w:rFonts w:ascii="Arial" w:cs="Arial" w:eastAsia="Arial" w:hAnsi="Arial"/>
          <w:sz w:val="18"/>
          <w:szCs w:val="18"/>
          <w:color w:val="auto"/>
        </w:rPr>
        <w:t xml:space="preserve"> (the “global notes”), as follows:</w:t>
      </w:r>
    </w:p>
    <w:p>
      <w:pPr>
        <w:spacing w:after="0" w:line="256"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notes sold to qualified institutional buyers (each, a “QIB”) under Rule 144A are represented by the Rule 144A global note;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notes sold in offshore transactions to non-U.S. persons in reliance on Regulation S are represented by the Regulation S global note; and</w:t>
      </w:r>
    </w:p>
    <w:p>
      <w:pPr>
        <w:spacing w:after="0" w:line="32" w:lineRule="exact"/>
        <w:rPr>
          <w:rFonts w:ascii="Arial" w:cs="Arial" w:eastAsia="Arial" w:hAnsi="Arial"/>
          <w:sz w:val="16"/>
          <w:szCs w:val="16"/>
          <w:color w:val="auto"/>
        </w:rPr>
      </w:pPr>
    </w:p>
    <w:p>
      <w:pPr>
        <w:ind w:left="980" w:right="100" w:hanging="324"/>
        <w:spacing w:after="0" w:line="260" w:lineRule="auto"/>
        <w:tabs>
          <w:tab w:leader="none" w:pos="9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notes sold in the secondary market to institutional accredited investors will be represented by the Institutional Accredited Investor global note.</w:t>
      </w:r>
    </w:p>
    <w:p>
      <w:pPr>
        <w:spacing w:after="0" w:line="21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Upon issuance, each of the global notes representing the original notes was deposited with the trustee as custodian for DTC and registered in the name of Cede &amp; Co., as nominee of DTC. The exchange notes will also be issued in the form of one or more global notes that will be deposited with the trustee as custodian for DTC and registered in the name of Cede &amp; Co., as nominee of DTC.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97" w:lineRule="exact"/>
        <w:rPr>
          <w:sz w:val="20"/>
          <w:szCs w:val="20"/>
          <w:color w:val="auto"/>
        </w:rPr>
      </w:pPr>
    </w:p>
    <w:p>
      <w:pPr>
        <w:ind w:left="980" w:right="60" w:hanging="324"/>
        <w:spacing w:after="0" w:line="258" w:lineRule="auto"/>
        <w:tabs>
          <w:tab w:leader="none" w:pos="9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initial purchasers; and</w:t>
      </w:r>
    </w:p>
    <w:p>
      <w:pPr>
        <w:spacing w:after="0" w:line="1" w:lineRule="exact"/>
        <w:rPr>
          <w:rFonts w:ascii="Arial" w:cs="Arial" w:eastAsia="Arial" w:hAnsi="Arial"/>
          <w:sz w:val="18"/>
          <w:szCs w:val="18"/>
          <w:color w:val="auto"/>
        </w:rPr>
      </w:pPr>
    </w:p>
    <w:p>
      <w:pPr>
        <w:ind w:left="980" w:right="20" w:hanging="324"/>
        <w:spacing w:after="0" w:line="255" w:lineRule="auto"/>
        <w:tabs>
          <w:tab w:leader="none" w:pos="9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21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Beneficial interests in the Regulation S global note will initially be credited within DTC to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on behalf of the owners of such interests.</w:t>
      </w:r>
    </w:p>
    <w:p>
      <w:pPr>
        <w:spacing w:after="0" w:line="19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Investors may hold their interests in the Regulation S global note directly through Euroclear or Clearstream, if they are participants in those systems, or indirectly through organizations that are participants in those systems. Investors may also hold their interests in the Regulation S global note through organizations other than Euroclear or Clearstream that are DTC participants. Each of Euroclear and Clearstream will appoint a DTC participant to act as its depositary for the interests in the Regulation S global note that are held within DTC for the account of each settlement system on behalf of its participants.</w:t>
      </w:r>
    </w:p>
    <w:p>
      <w:pPr>
        <w:spacing w:after="0" w:line="21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 Each global note and beneficial interests in each global note will be subject to restrictions on transfer as described under “Notice to Investors.”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012"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25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Beneficial interests in one global note may generally be exchanged for interests in another global note. Depending on to which global note the transfer is being made, the trustee may require the seller to provide certain written certifications in the form provided in the indenture. In addition, in the case of a transfer of interests to the Institutional Accredited Investor global note, the trustee may require the buyer to deliver a representation letter in the form provided in the indenture that states, among other things, that the buyer is not acquiring notes with a view to distributing them in violation of the Securities Act.</w:t>
      </w:r>
    </w:p>
    <w:p>
      <w:pPr>
        <w:spacing w:after="0" w:line="21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the terms of the indenture governing the notes, upon our satisfaction that the notes are no longer required to bear a restricted Securities Act legend in order to maintain compliance with the Securities Act, we may, at our option take the necessary action such that holders of notes bearing a restricted Securities Act legend may automatically exchange such notes for notes that do not bear a restricted Securities Act legend at any time on or after the 366th calendar day after the issue date of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None of the Company, the trustee, or the initial purchasers are responsible for those operations or procedures.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advised us that it is:</w:t>
      </w:r>
    </w:p>
    <w:p>
      <w:pPr>
        <w:spacing w:after="0" w:line="252" w:lineRule="exact"/>
        <w:rPr>
          <w:sz w:val="20"/>
          <w:szCs w:val="20"/>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219"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151"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 w:lineRule="exact"/>
        <w:rPr>
          <w:rFonts w:ascii="Arial" w:cs="Arial" w:eastAsia="Arial" w:hAnsi="Arial"/>
          <w:sz w:val="18"/>
          <w:szCs w:val="18"/>
          <w:color w:val="auto"/>
        </w:rPr>
      </w:pPr>
    </w:p>
    <w:p>
      <w:pPr>
        <w:ind w:left="980" w:right="420" w:hanging="324"/>
        <w:spacing w:after="0" w:line="260" w:lineRule="auto"/>
        <w:tabs>
          <w:tab w:leader="none" w:pos="9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012" w:right="339" w:bottom="1440" w:gutter="0" w:footer="0" w:header="0"/>
          <w:type w:val="continuous"/>
        </w:sectPr>
      </w:pPr>
    </w:p>
    <w:bookmarkStart w:id="89" w:name="page90"/>
    <w:bookmarkEnd w:id="89"/>
    <w:p>
      <w:pPr>
        <w:ind w:right="500" w:firstLine="648"/>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3"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15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84"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38" w:lineRule="exact"/>
        <w:rPr>
          <w:sz w:val="20"/>
          <w:szCs w:val="20"/>
          <w:color w:val="auto"/>
        </w:rPr>
      </w:pPr>
    </w:p>
    <w:p>
      <w:pPr>
        <w:ind w:left="980" w:right="520" w:hanging="324"/>
        <w:spacing w:after="0" w:line="258" w:lineRule="auto"/>
        <w:tabs>
          <w:tab w:leader="none" w:pos="9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the one-year period following the consummation of the exchange offer, we will make this prospectus, as amended or supplemented, available to any broker-dealer for use in connection with any such resale. In addition, until the date that is 180 days from the date of the original issuance of the exchange notes, all dealers effecting transactions in the exchange notes may be required to deliver a prospectus.</w:t>
      </w:r>
    </w:p>
    <w:p>
      <w:pPr>
        <w:spacing w:after="0" w:line="22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773" w:right="339" w:bottom="1440" w:gutter="0" w:footer="0" w:header="0"/>
        </w:sectPr>
      </w:pPr>
    </w:p>
    <w:bookmarkStart w:id="90" w:name="page91"/>
    <w:bookmarkEnd w:id="90"/>
    <w:p>
      <w:pPr>
        <w:jc w:val="both"/>
        <w:ind w:right="120"/>
        <w:spacing w:after="0" w:line="263" w:lineRule="auto"/>
        <w:rPr>
          <w:sz w:val="20"/>
          <w:szCs w:val="20"/>
          <w:color w:val="auto"/>
        </w:rPr>
      </w:pPr>
      <w:r>
        <w:rPr>
          <w:rFonts w:ascii="Arial" w:cs="Arial" w:eastAsia="Arial" w:hAnsi="Arial"/>
          <w:sz w:val="18"/>
          <w:szCs w:val="18"/>
          <w:color w:val="auto"/>
        </w:rPr>
        <w:t>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a period of one year following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reasonable fees and disbursements of one counsel for the initial purchasers of the original notes). We also have agreed to indemnify the holders of the notes (including any broker-dealers) against certain liabilities, including liabilities under the Securities Act.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Certain legal matters in connection with the validity of the exchange notes will be passed upon for us by Vorys, Sater, Seymour and Pease LLP, Columbus, Ohio.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consolidated financial statements, and the related financial statement schedules, incorporated in this prospectus by reference from the Company’s Annual Report on Form 10-K for the fiscal year ended September 30, 2021,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and financial statement schedules have been so incorporated in reliance upon the reports of such firm given upon their authority as experts in accounting and auditing.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This prospectus is part of a registration statement on Form S-4 that we filed with the SEC registering the offering and issuance of the exchange notes. The registration statement, including the exhibits and schedules thereto, contains additional relevant information about us and the exchange notes that, as permitted by the rules and regulations of the SEC, we have not included in this prospectus. A copy of the registration statement can be obtained at the address set forth below. You should read the entire registration statement for further information about us and the exchange notes.</w:t>
      </w:r>
    </w:p>
    <w:p>
      <w:pPr>
        <w:spacing w:after="0" w:line="18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These SEC filings are available to the public at the SEC’s website at www.sec.gov.</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common shares are listed on the New York Stock Exchange, and similar information concerning us can be inspected and copied at the offices of the New York Stock Exchange, Inc., 20 Broad Street, New York, NY 10005.</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website addresses are www.scotts.com and www.scottsmiraclegro.com. We make available, free of charge, on or through our websites, our annual reports on Form 10-K, quarterly reports on Form 10-Q and current reports on Form 8-K that are filed with or furnished to the SEC, and amendments to those reports, as soon as reasonably practicable after we electronically file such reports with, or furnish them to, the SEC. The contents of our websites are not part of this prospectus, and the reference to our websites do not constitute incorporation by reference in this prospectus of the information contained at those sites.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SEC allows us to incorporate by reference into this prospectus information that we file with the SEC. This means that we may disclose important information to you by referring you to those documents. The information incorporated by reference in this prospectus is an important part of this prospectus. We incorporate by reference the following document that we have previously filed with the SEC (except to the extent furnished and not filed with the SEC pursuant to Item 2.02 or Item 7.01 of Form 8-K or as otherwise permitted by the SEC rules):</w:t>
      </w:r>
    </w:p>
    <w:p>
      <w:pPr>
        <w:spacing w:after="0" w:line="198" w:lineRule="exact"/>
        <w:rPr>
          <w:sz w:val="20"/>
          <w:szCs w:val="20"/>
          <w:color w:val="auto"/>
        </w:rPr>
      </w:pPr>
    </w:p>
    <w:p>
      <w:pPr>
        <w:ind w:left="1240" w:hanging="584"/>
        <w:spacing w:after="0"/>
        <w:tabs>
          <w:tab w:leader="none" w:pos="1240" w:val="left"/>
        </w:tabs>
        <w:numPr>
          <w:ilvl w:val="0"/>
          <w:numId w:val="128"/>
        </w:numPr>
        <w:rPr>
          <w:rFonts w:ascii="Arial" w:cs="Arial" w:eastAsia="Arial" w:hAnsi="Arial"/>
          <w:sz w:val="18"/>
          <w:szCs w:val="18"/>
          <w:color w:val="0000FF"/>
        </w:rPr>
      </w:pPr>
      <w:hyperlink r:id="rId18">
        <w:r>
          <w:rPr>
            <w:rFonts w:ascii="Arial" w:cs="Arial" w:eastAsia="Arial" w:hAnsi="Arial"/>
            <w:sz w:val="18"/>
            <w:szCs w:val="18"/>
            <w:u w:val="single" w:color="auto"/>
            <w:color w:val="0000FF"/>
          </w:rPr>
          <w:t>our Annual Report on Form 10-K for the fiscal year ended September 30, 2021, as filed with the SEC on November 23, 2021</w:t>
        </w:r>
      </w:hyperlink>
      <w:r>
        <w:rPr>
          <w:rFonts w:ascii="Arial" w:cs="Arial" w:eastAsia="Arial" w:hAnsi="Arial"/>
          <w:sz w:val="18"/>
          <w:szCs w:val="18"/>
          <w:color w:val="000000"/>
        </w:rPr>
        <w:t>.</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are also incorporating by reference in this prospectus all other documents (other than information furnished on Current Reports on Form 8-K under Item 2.02 or 7.01 and exhibits filed with such reports that are related to such items) that we file with the SEC pursuant to Sections 13(a), 13(c), 14 or 15(d) of the Exchange Act (1) on or after the date of the initial registration statement 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773" w:right="359" w:bottom="1440" w:gutter="0" w:footer="0" w:header="0"/>
        </w:sectPr>
      </w:pPr>
    </w:p>
    <w:bookmarkStart w:id="91" w:name="page92"/>
    <w:bookmarkEnd w:id="91"/>
    <w:p>
      <w:pPr>
        <w:ind w:right="280"/>
        <w:spacing w:after="0" w:line="277" w:lineRule="auto"/>
        <w:rPr>
          <w:sz w:val="20"/>
          <w:szCs w:val="20"/>
          <w:color w:val="auto"/>
        </w:rPr>
      </w:pPr>
      <w:r>
        <w:rPr>
          <w:rFonts w:ascii="Arial" w:cs="Arial" w:eastAsia="Arial" w:hAnsi="Arial"/>
          <w:sz w:val="18"/>
          <w:szCs w:val="18"/>
          <w:color w:val="auto"/>
        </w:rPr>
        <w:t>which this prospectus is a part and prior to the effectiveness of such registration statement and (2) on or after the date of this prospectus and prior to the termination or completion of the offering of exchange notes under this prospectus.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statements contained in this prospectus or in documents incorporated by reference in this prospectus will be deemed to be modified or superseded to the extent that a statement contained in this prospectus or any subsequently filed document that is deemed to be incorporated by reference in this prospectus modifies or supersedes such statement. Any statement so modified or superseded shall not be deemed, except as so modified or superseded, to constitute a part of this prospectus.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incorporated by reference in this prospectus (including exhibits specifically incorporated by reference in those documents). Written or telephone requests should be directed to:</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(937) 644-0011</w:t>
      </w:r>
    </w:p>
    <w:p>
      <w:pPr>
        <w:spacing w:after="0" w:line="2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 person to provide information other than that provided or incorporated by reference in this prospectus. We have not authorized anyone to provide you with different information. We are not making an offer of the securities in any jurisdiction where the offer is not permitted.</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You should assume that the information in this prospectus is accurate only as of the date on its cover page and that any information we have incorporated by reference is accurate only as of the date of such document incorporated by reference.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773" w:right="39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$500,000,000</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42"/>
          <w:szCs w:val="42"/>
          <w:b w:val="1"/>
          <w:bCs w:val="1"/>
          <w:color w:val="auto"/>
        </w:rPr>
        <w:t>The Scotts Miracle-Gro Company</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Offer to exchange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any and all outstanding 4.000% Senior Notes due 2031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 equal principal amount of 4.000% Senior Notes due 2031 which have been registered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314325</wp:posOffset>
            </wp:positionV>
            <wp:extent cx="277749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47"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4152265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the Amended and Restated Articles of Incorporation and the Amended and Restated Regulations of The Scotts Miracle-Gro Company and the organizational documents of each of the co-registrants.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California Corporation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317 of the California General Corporation Law (“CAGCL”) provides that a corporation may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corporation’s request as a director, officer, employee or agent of another entity, against expenses, judgments, fines, settlements and other amounts actually and reasonably incurred by the person in connection with the proceeding if that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issue or matter as to which that person shall have been adjudged to be liable to the corporation unless an appropriate court determines, in view of all the circumstances of the case, that such person is fairly and reasonably entitled to indemnification for such expenses and then only to the extent that the court shall determine,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in defending any action, suit or proceeding referred to above or in the defense of any claim, issue or matter therein, the corporation must indemnify such person against the expenses actually and reasonably incurred by such person in connection therewith.</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317 of the CAGCL authorizes a corporation to purchase and maintain insurance on behalf of any officer or director against any liability asserted or incurred in his capacity, or arising out of his status, with the corporation.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V of the Amended and Restated Articles of Incorporation of Rod McLellan Company (“McLellan”) authorizes McLellan to provide indemnification of its agents in excess of the limits set forth in Section 317 of the CAGCL, subject only to the applicable limits set forth in the CAGCL with respect to actions for breach of duty to the corporation and its shareholders.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The Delaware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officer, employee or agent of the corporation or is or was serving at the corporation’s request as a director, officer, employee or agent of another entity, against expenses (including attorneys’ fees),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(including attorneys’ fees) actually and reasonably incurred by such person in connection therewith.</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Hyponex Corporation; OMS Investments, Inc.; Scotts Manufacturing Company; Swiss Farms Products, Inc.; The Hawthorne Gardening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Certificates of Incorporation of Hyponex Corporation (“Hyponex”), OMS Investments, Inc. (“OMS”), Scotts Manufacturing Company (“Manufacturing”), Swiss Farms Products, Inc. (“Swiss”) and The Hawthorne Gardening Company (“Hawthorne Gardening”) do not address indemnification.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Seven of the Bylaws of OMS, Manufacturing,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XXIV of the By-Laws of Hawthorne Gardening requires the corporation to indemnify its directors and officers to the extent permitted under the DGCL.</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Seven of the Bylaws of each of OMS, Manufacturing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Limited Liability Companies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18-108 of the Delaware Limited Liability Company Act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Hawthorne Hydroponics LLC; Scotts Temecula Operations, LLC; Scotts-Sierra Investments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Certificate of Formation and Limited Liability Company Agreement of Hawthorne Hydroponics LLC, Scotts Temecula Operations, LLC and Scotts-Sierra Investments LLC do not address indemnification.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The Nevada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Nevada Business Corporation Law</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78.7502 of the Nevada Revised Statutes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or director of the corporation or serving at the request of the corporation as an officer or director of another entity, against expenses, including attorneys’ fees, judgments, fines and amounts paid in settlement actually and reasonably incurred by the director or officer in connection with the proceeding if such director or officer (i) is not liable pursuant to Section 78.138 of the NRS and (ii) acted in good faith and in a manner that the director or officer reasonably believed to be in or not opposed to the best interests of the corporation and, with respect to any criminal action, the director or officer had no reasonable cause to believe the director’s or officer’s conduct was unlawful.</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actions by or in the right of the corporation, indemnification may not be made for any claim, issue or matter as to which such director or officer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director or officer is fairly and reasonably entitled to indemnity for such expenses as the court deems proper.</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78.7502 of the NRS further provides that to the extent that a director or officer has been successful on the merits or otherwise in defense of any action, suit or proceeding referred to above, the corporation must indemnify such director or officer against expenses, including attorneys’ fees, actually and reasonably incurred by the director or officer in connection with the defense.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78.752 of the NRS authorizes the corporation to purchase and maintain insurance or make other financial arrangements, including trust funds, letters of credit and self-insurance, for any person who is or was a director or officer of the corporation or serving at the request of the corporation as a director or officer of another entity for any liability asserted against such person and liability and expenses incurred by the director or officer in such capacity or arising out of the director’s or officer’s status as such, whether or not the corporation has the authority to indemnify such director or officer against such liability and expenses.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AeroGrow International, Inc.; HGCI, Inc.</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Article V of the Amended and Restated Articles of Incorporation of AeroGrow International, Inc. (“AeroGrow”) provides that the liability of directors and officers of the corporation shall be eliminated or limited to the fullest extent permitted by the NRS. Article VI of the Amended and Restated Articles of Incorporation of AeroGrow provides that no director or officer of the corporation shall be personally liable to the corporation or any of its stockholders for damages for breach of fiduciary duty involving any act or omission of such individual; provided, that such limitation shall not apply to acts or omissions involving intentional misconduct, fraud or a knowing violation of law or the payment of dividends in violation of Section 78.300 of the NRS.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Articles of Incorporation of HGCI, Inc. (“HGCI”) do not address indemnification.</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Article V of the Amended and Restated Bylaws of AeroGrow and the Bylaws of HGCI requires the corporation to indemnify any person who was or is a party or is threatened to be made a party to any threatened or pending action, suit or proceedings, whether civil, criminal, administrative or investigative, by reason of the fact such person is or was a director or officer of HGCI, or is or was serving at the request of HGCI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to the fullest extent permitted by the laws of Nevada as they may exist from time to time.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The New York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Section 721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to any other entity, not opposed to, the best interests of the corporation and, with respect 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(including attorneys’ fees) actually and necessarily incurred by the person in connection with the defense or settlement of such action, or in connection with an appeal therein, if such director or officer acted in good faith, for a purpose which he reasonably believed to be in, or in the case of service for any other entity, not opposed to, the best interests of the corporation, except that no such indemnification may be made in respect of (a) a threatened action, or a pending action which is settled or otherwise disposed of, or (b) any claim, issue or matter as to which such person has been adjudged to be liable to the corporation, unless and only to the extent an appropriate court determines that, in view of all the circumstances of the case,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1701.13(E) of the Ohio General Corporation Law (“OGCL”) permits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or serving at the request of the corporation as a director or officer of another entity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w:t>
      </w:r>
    </w:p>
    <w:p>
      <w:pPr>
        <w:sectPr>
          <w:pgSz w:w="11900" w:h="16838" w:orient="portrait"/>
          <w:cols w:equalWidth="0" w:num="1">
            <w:col w:w="11240"/>
          </w:cols>
          <w:pgMar w:left="320" w:top="769" w:right="3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769" w:right="339" w:bottom="1440" w:gutter="0" w:footer="0" w:header="0"/>
          <w:type w:val="continuous"/>
        </w:sectPr>
      </w:pPr>
    </w:p>
    <w:bookmarkStart w:id="98" w:name="page99"/>
    <w:bookmarkEnd w:id="98"/>
    <w:p>
      <w:pPr>
        <w:jc w:val="both"/>
        <w:spacing w:after="0" w:line="272" w:lineRule="auto"/>
        <w:rPr>
          <w:sz w:val="20"/>
          <w:szCs w:val="20"/>
          <w:color w:val="auto"/>
        </w:rPr>
      </w:pPr>
      <w:r>
        <w:rPr>
          <w:rFonts w:ascii="Arial" w:cs="Arial" w:eastAsia="Arial" w:hAnsi="Arial"/>
          <w:sz w:val="17"/>
          <w:szCs w:val="17"/>
          <w:color w:val="auto"/>
        </w:rPr>
        <w:t>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GenSource, Inc.; SMG Growing Media,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Articles of Incorporation of GenSource, Inc. (“GenSource”) and SMG Growing Media, Inc. (“Growing”) do not address indemnification.</w:t>
      </w:r>
    </w:p>
    <w:p>
      <w:pPr>
        <w:spacing w:after="0" w:line="2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Article Five of the Code of Regulations of GenSource and Growing requires the corporation to indemnify any director of the corporation to the fullest extent permitted under the OGCL, provided that (i) the corporation is not required to indemnify any director in connection with any claim in any action, suit or proceeding that is asserted by the director unless such claim was authorized or ratified by the corporation’s Board of Directors and (ii) the corporation shall not indemnify a director of the corporation in respect of any claim, issue or matter asserted in an action, suit or proceeding by or in the right of the corporation to which the director has been adjudged to be liable to the corporation for an act or omission undertaken by the director in such capacity with deliberate intent to cause injury to the corporation or with reckless disregard for the best interests of the corporation. Any such indemnification shall be paid by the corporation unless a determination is made by an appropriate court that the director did not meet the applicable standard of conduct.</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Article Five of the Code of Regulations of GenSource and Growing authorizes the corporation to purchase and maintain insurance or furnish similar protection, including trust funds, letters of credit or self-insurance, for or on behalf of any person who is or was a director or officer of the corporation, whether or not the corporation would have the obligation or power to indemnify such person against such liability under Article Five of the Code of Regulations.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Scotts Products Co.; Scotts Professional Products Co.; The Scotts Miracle-Gro Company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or any person serving at the request of the corporation as a director, officer or manager of another entity, to the fullest extent permitted under the OGCL, provided that the corporation shall not make such indemnification if a determination is made that the director or officer did not meet the applicable standard of conduct.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also permit the corporation to purchase and maintain insurance or furnish similar protection, including trust funds, letters of credit or self-insurance, for or on behalf of any person who is or was a director or officer of the corporation, or is serving at the request of the corporation as a director or officer of another entity, whether or not the corporation would have the obligation or power to indemnify such person against such liability under Article Five of the Code of Regulations.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773" w:right="339" w:bottom="1440" w:gutter="0" w:footer="0" w:header="0"/>
          <w:type w:val="continuous"/>
        </w:sectPr>
      </w:pPr>
    </w:p>
    <w:bookmarkStart w:id="99" w:name="page100"/>
    <w:bookmarkEnd w:id="99"/>
    <w:p>
      <w:pPr>
        <w:ind w:left="660"/>
        <w:spacing w:after="0"/>
        <w:rPr>
          <w:sz w:val="20"/>
          <w:szCs w:val="20"/>
          <w:color w:val="auto"/>
        </w:rPr>
      </w:pPr>
      <w:r>
        <w:rPr>
          <w:rFonts w:ascii="Arial" w:cs="Arial" w:eastAsia="Arial" w:hAnsi="Arial"/>
          <w:sz w:val="18"/>
          <w:szCs w:val="18"/>
          <w:b w:val="1"/>
          <w:bCs w:val="1"/>
          <w:i w:val="1"/>
          <w:iCs w:val="1"/>
          <w:color w:val="auto"/>
        </w:rPr>
        <w:t>Scotts Live Goods Holdings, Inc.; The Hawthorne Collective, Inc.</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Articles of Incorporation of Scotts Live Goods Holdings, Inc. (“Live Goods”) and The Hawthorne Collective, Inc. (“Hawthorne Collective”) do not address indemnification.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Article Five of the Code of Regulations of Live Goods and Hawthorne Collective requires the corporation to indemnify any director or officer of the corporation, or any person serving at the request of the corporation as a director, officer or manager of another entity, to the fullest extent permitted under the OGCL; provided, that (i) the corporation is not required to indemnify any such individual in connection with any claim in any action, suit or proceeding that is asserted by such individual unless such claim was authorized or ratified by the corporation’s Board of Directors, (ii) the corporation shall not indemnify a director of the corporation in respect of any claim, issue or matter asserted in an action, suit or proceeding by or in the right of the corporation to which the director has been adjudged to be liable to the corporation for an act or omission undertaken by the director in such capacity with deliberate intent to cause injury to the corporation or with reckless disregard for the best interests of the corporation, and (iii) the corporation shall not indemnify any such individual in his or her capacity other than that of director of the corporation in respect of any claim, issue or matter asserted in an action, suit or proceeding by or in the right of the corporation as to which such person has been adjudged to be liable to the corporation for negligence or misconduct. Any such indemnification shall be paid by the corporation unless a determination is made by an appropriate court that the individual did not meet the applicable standard of conduct.</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Five of the Code of Regulations of Live Goods and Hawthorne Collective authorizes the corporation to purchase and maintain insurance or furnish similar protection, including trust funds, letters of credit or self-insurance, for or on behalf of any person who is or was a director or officer of the corporation, whether or not the corporation would have the obligation or power to indemnify such person against such liability under Article Five of the Code of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Limited Liability Companies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Section 1705.32 of the Ohio Limited Liability Company Act (“OLLCA”) provides that a limited liability company may indemnify any person who was or is a party, or who is threatened to be made a party, to any proceeding, because such person is or was a manager, member, partner, officer, employee or agent of the company or is or was serving at the company’s request as a manager, director, trustee, officer, employee or agent of any 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in connection with any criminal action or proceeding, such person had no reasonable cause to believe his or her conduct was unlawful. In the case of an action or suit by or in the right of the company to procure a judgment in its favor, however, such indemnification may only apply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provided, however, that no such indemnification may be made in respect of any claim, issue or matter as to which such person is adjudged to be liable for negligence or misconduct in the performance of his or her duty to the company unless and only to the extent that the court of common pleas or the court in which the action or suit was brought determines, upon application, that, despite the adjudication of liability but in view of all the circumstances of the case, such person is fairly and reasonably entitled to indemnification for expenses that the court considers proper. To the extent that a manager, officer, employee or agent of a limited liability company has been successful on the merits or otherwise in defense of any such action, suit, proceeding, claim, issue or matter referred to above, the limited liability company must indemnify such person against expenses (including attorneys’ fees) that were actually and reasonably incurred by such person in connection with such action, suit or proceeding. The indemnification authorized by Section 1705.32 of the OLLCA is not exclusive of and is in addition to any other rights granted to those seeking indemnification, both as to action in their official capacities and as to action in another capacity while holding their offices or positions. Section 1705.32 of the OLLCA also provides that a limited liability company may purchase and maintain insurance or furnish similar protection for or on behalf of any person who is or was a manager, director, trustee, officer, employee or agent of the company or who is or was serving at the request of the company as a manager, director, trustee, officer, employee or agent of another entity.</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1868 Ventures LLC; The Scotts Company LLC; SMGM LLC</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Articles of Organization and Operating Agreement of 1868 Ventures LLC, The Scotts Company LLC and SMGM LLC do not address indemnification.</w:t>
      </w:r>
    </w:p>
    <w:p>
      <w:pPr>
        <w:sectPr>
          <w:pgSz w:w="11900" w:h="16838" w:orient="portrait"/>
          <w:cols w:equalWidth="0" w:num="1">
            <w:col w:w="11240"/>
          </w:cols>
          <w:pgMar w:left="320" w:top="1016"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016"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Director and Officer Insurance Maintained by The Scotts Miracle-Gro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Scotts Miracle-Gro Company maintains insurance policies under which its directors and officers and the directors and officers of the co-registrants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Scotts-Miracle Gro Company or the co-registrants.</w:t>
      </w:r>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registration statement are set forth in the attached Exhibit Index, which is incorporated herein by reference.</w:t>
      </w:r>
    </w:p>
    <w:p>
      <w:pPr>
        <w:spacing w:after="0" w:line="24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Financial Statement Schedules</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All schedules have been omitted because they are not applicable or not required or the required information is included in The Scotts Miracle-Gro Company’s consolidated financial statements or the notes thereto which are incorporated herein by reference.</w:t>
      </w:r>
    </w:p>
    <w:p>
      <w:pPr>
        <w:spacing w:after="0" w:line="19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Reports, Opinions and Appraisals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012" w:right="339" w:bottom="1440" w:gutter="0" w:footer="0" w:header="0"/>
        </w:sectPr>
      </w:pPr>
    </w:p>
    <w:bookmarkStart w:id="101" w:name="page102"/>
    <w:bookmarkEnd w:id="101"/>
    <w:p>
      <w:pPr>
        <w:spacing w:after="0" w:line="351" w:lineRule="exact"/>
        <w:rPr>
          <w:sz w:val="20"/>
          <w:szCs w:val="20"/>
          <w:color w:val="auto"/>
        </w:rPr>
      </w:pPr>
    </w:p>
    <w:p>
      <w:pPr>
        <w:jc w:val="center"/>
        <w:ind w:left="560"/>
        <w:spacing w:after="0"/>
        <w:rPr>
          <w:sz w:val="20"/>
          <w:szCs w:val="20"/>
          <w:color w:val="auto"/>
        </w:rPr>
      </w:pPr>
      <w:r>
        <w:rPr>
          <w:rFonts w:ascii="Arial" w:cs="Arial" w:eastAsia="Arial" w:hAnsi="Arial"/>
          <w:sz w:val="17"/>
          <w:szCs w:val="17"/>
          <w:u w:val="single" w:color="auto"/>
          <w:color w:val="auto"/>
        </w:rPr>
        <w:t>Exhibit No.</w:t>
      </w:r>
    </w:p>
    <w:p>
      <w:pPr>
        <w:spacing w:after="0" w:line="27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9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ind w:left="2480"/>
        <w:spacing w:after="0"/>
        <w:rPr>
          <w:sz w:val="20"/>
          <w:szCs w:val="20"/>
          <w:color w:val="auto"/>
        </w:rPr>
      </w:pPr>
      <w:r>
        <w:rPr>
          <w:rFonts w:ascii="Arial" w:cs="Arial" w:eastAsia="Arial" w:hAnsi="Arial"/>
          <w:sz w:val="18"/>
          <w:szCs w:val="18"/>
          <w:u w:val="single" w:color="auto"/>
          <w:color w:val="auto"/>
        </w:rPr>
        <w:t>INDEX TO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279" w:lineRule="exact"/>
        <w:rPr>
          <w:sz w:val="20"/>
          <w:szCs w:val="20"/>
          <w:color w:val="auto"/>
        </w:rPr>
      </w:pPr>
    </w:p>
    <w:p>
      <w:pPr>
        <w:ind w:right="80"/>
        <w:spacing w:after="0" w:line="298" w:lineRule="auto"/>
        <w:rPr>
          <w:rFonts w:ascii="Arial" w:cs="Arial" w:eastAsia="Arial" w:hAnsi="Arial"/>
          <w:sz w:val="17"/>
          <w:szCs w:val="17"/>
          <w:color w:val="0000FF"/>
        </w:rPr>
      </w:pPr>
      <w:hyperlink r:id="rId22">
        <w:r>
          <w:rPr>
            <w:rFonts w:ascii="Arial" w:cs="Arial" w:eastAsia="Arial" w:hAnsi="Arial"/>
            <w:sz w:val="17"/>
            <w:szCs w:val="17"/>
            <w:u w:val="single" w:color="auto"/>
            <w:color w:val="0000FF"/>
          </w:rPr>
          <w:t>Articles of Incorporation of the Registrant as filed with the Ohio Secretary of State on November 22, 2004</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w:t>
      </w:r>
      <w:r>
        <w:rPr>
          <w:rFonts w:ascii="Arial" w:cs="Arial" w:eastAsia="Arial" w:hAnsi="Arial"/>
          <w:sz w:val="17"/>
          <w:szCs w:val="17"/>
          <w:color w:val="0000FF"/>
        </w:rPr>
        <w:t xml:space="preserve"> </w:t>
      </w:r>
      <w:r>
        <w:rPr>
          <w:rFonts w:ascii="Arial" w:cs="Arial" w:eastAsia="Arial" w:hAnsi="Arial"/>
          <w:sz w:val="17"/>
          <w:szCs w:val="17"/>
          <w:color w:val="000000"/>
        </w:rPr>
        <w:t>by reference to the Registrant’s Current Report on Form 8-K filed March 24, 2005 (File No. 1-11593) [Exhibit 3.1])</w:t>
      </w:r>
    </w:p>
    <w:p>
      <w:pPr>
        <w:spacing w:after="0" w:line="1" w:lineRule="exact"/>
        <w:rPr>
          <w:sz w:val="20"/>
          <w:szCs w:val="20"/>
          <w:color w:val="auto"/>
        </w:rPr>
      </w:pPr>
    </w:p>
    <w:p>
      <w:pPr>
        <w:spacing w:after="0" w:line="263" w:lineRule="auto"/>
        <w:rPr>
          <w:rFonts w:ascii="Arial" w:cs="Arial" w:eastAsia="Arial" w:hAnsi="Arial"/>
          <w:sz w:val="18"/>
          <w:szCs w:val="18"/>
          <w:color w:val="0000FF"/>
        </w:rPr>
      </w:pPr>
      <w:hyperlink r:id="rId23">
        <w:r>
          <w:rPr>
            <w:rFonts w:ascii="Arial" w:cs="Arial" w:eastAsia="Arial" w:hAnsi="Arial"/>
            <w:sz w:val="18"/>
            <w:szCs w:val="18"/>
            <w:u w:val="single" w:color="auto"/>
            <w:color w:val="0000FF"/>
          </w:rPr>
          <w:t>Certificate of Amendment by Shareholders to Articles of Incorporation of the Registrant as filed with the Ohio Secretary of</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State on March 18, 2005</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to the Registrant’s Current Report on Form 8-K filed March 24, </w:t>
        </w:r>
      </w:hyperlink>
      <w:r>
        <w:rPr>
          <w:rFonts w:ascii="Arial" w:cs="Arial" w:eastAsia="Arial" w:hAnsi="Arial"/>
          <w:sz w:val="18"/>
          <w:szCs w:val="18"/>
          <w:color w:val="0000FF"/>
        </w:rPr>
        <w:t xml:space="preserve">2005 </w:t>
      </w:r>
      <w:r>
        <w:rPr>
          <w:rFonts w:ascii="Arial" w:cs="Arial" w:eastAsia="Arial" w:hAnsi="Arial"/>
          <w:sz w:val="18"/>
          <w:szCs w:val="18"/>
          <w:color w:val="000000"/>
        </w:rPr>
        <w:t>(File No. 1-11593) [Exhibit 3.2])</w:t>
      </w:r>
    </w:p>
    <w:p>
      <w:pPr>
        <w:spacing w:after="0" w:line="22" w:lineRule="exact"/>
        <w:rPr>
          <w:sz w:val="20"/>
          <w:szCs w:val="20"/>
          <w:color w:val="auto"/>
        </w:rPr>
      </w:pPr>
    </w:p>
    <w:p>
      <w:pPr>
        <w:ind w:right="240"/>
        <w:spacing w:after="0" w:line="273" w:lineRule="auto"/>
        <w:rPr>
          <w:rFonts w:ascii="Arial" w:cs="Arial" w:eastAsia="Arial" w:hAnsi="Arial"/>
          <w:sz w:val="18"/>
          <w:szCs w:val="18"/>
          <w:color w:val="0000FF"/>
        </w:rPr>
      </w:pPr>
      <w:hyperlink r:id="rId24">
        <w:r>
          <w:rPr>
            <w:rFonts w:ascii="Arial" w:cs="Arial" w:eastAsia="Arial" w:hAnsi="Arial"/>
            <w:sz w:val="18"/>
            <w:szCs w:val="18"/>
            <w:u w:val="single" w:color="auto"/>
            <w:color w:val="0000FF"/>
          </w:rPr>
          <w:t>Code of Regulations of the Registrant</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the Registrant’s Current Report on Form 8-K filed</w:t>
      </w:r>
      <w:r>
        <w:rPr>
          <w:rFonts w:ascii="Arial" w:cs="Arial" w:eastAsia="Arial" w:hAnsi="Arial"/>
          <w:sz w:val="18"/>
          <w:szCs w:val="18"/>
          <w:color w:val="0000FF"/>
        </w:rPr>
        <w:t xml:space="preserve"> </w:t>
      </w:r>
      <w:r>
        <w:rPr>
          <w:rFonts w:ascii="Arial" w:cs="Arial" w:eastAsia="Arial" w:hAnsi="Arial"/>
          <w:sz w:val="18"/>
          <w:szCs w:val="18"/>
          <w:color w:val="000000"/>
        </w:rPr>
        <w:t>March 24, 2005 (File No. 1-11593) [Exhibit 3.3])</w:t>
      </w:r>
    </w:p>
    <w:p>
      <w:pPr>
        <w:spacing w:after="0" w:line="2" w:lineRule="exact"/>
        <w:rPr>
          <w:sz w:val="20"/>
          <w:szCs w:val="20"/>
          <w:color w:val="auto"/>
        </w:rPr>
      </w:pPr>
    </w:p>
    <w:p>
      <w:pPr>
        <w:sectPr>
          <w:pgSz w:w="11900" w:h="16838" w:orient="portrait"/>
          <w:cols w:equalWidth="0" w:num="2">
            <w:col w:w="1400" w:space="560"/>
            <w:col w:w="9260"/>
          </w:cols>
          <w:pgMar w:left="320" w:top="773" w:right="359" w:bottom="1440" w:gutter="0" w:footer="0" w:header="0"/>
        </w:sectPr>
      </w:pPr>
    </w:p>
    <w:p>
      <w:pPr>
        <w:jc w:val="center"/>
        <w:ind w:left="7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4.2</w:t>
      </w:r>
    </w:p>
    <w:p>
      <w:pPr>
        <w:spacing w:after="0" w:line="27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21.1</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23.1</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23.2</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24.1</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25.1</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99.1</w:t>
      </w:r>
    </w:p>
    <w:p>
      <w:pPr>
        <w:spacing w:after="0" w:line="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99.2</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99.3</w:t>
      </w:r>
    </w:p>
    <w:p>
      <w:pPr>
        <w:spacing w:after="0" w:line="20" w:lineRule="exact"/>
        <w:rPr>
          <w:sz w:val="20"/>
          <w:szCs w:val="20"/>
          <w:color w:val="auto"/>
        </w:rPr>
      </w:pPr>
      <w:r>
        <w:rPr>
          <w:sz w:val="20"/>
          <w:szCs w:val="20"/>
          <w:color w:val="auto"/>
        </w:rPr>
        <w:br w:type="column"/>
      </w:r>
    </w:p>
    <w:p>
      <w:pPr>
        <w:ind w:right="20"/>
        <w:spacing w:after="0" w:line="263" w:lineRule="auto"/>
        <w:rPr>
          <w:rFonts w:ascii="Arial" w:cs="Arial" w:eastAsia="Arial" w:hAnsi="Arial"/>
          <w:sz w:val="18"/>
          <w:szCs w:val="18"/>
          <w:color w:val="0000FF"/>
        </w:rPr>
      </w:pPr>
      <w:hyperlink r:id="rId25">
        <w:r>
          <w:rPr>
            <w:rFonts w:ascii="Arial" w:cs="Arial" w:eastAsia="Arial" w:hAnsi="Arial"/>
            <w:sz w:val="18"/>
            <w:szCs w:val="18"/>
            <w:u w:val="single" w:color="auto"/>
            <w:color w:val="0000FF"/>
          </w:rPr>
          <w:t>Indenture, dated as of March 17, 2021, by and among The Scotts Miracle-Gro Company, the Guarantors (as defined therein) and</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U.S. Bank National Association, as trustee (Incorporated herein by reference to the Registrant’s Current Report on Form 8-K</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filed March 17, 2021</w:t>
        </w:r>
        <w:r>
          <w:rPr>
            <w:rFonts w:ascii="Arial" w:cs="Arial" w:eastAsia="Arial" w:hAnsi="Arial"/>
            <w:sz w:val="18"/>
            <w:szCs w:val="18"/>
            <w:color w:val="0000FF"/>
          </w:rPr>
          <w:t xml:space="preserve"> </w:t>
        </w:r>
        <w:r>
          <w:rPr>
            <w:rFonts w:ascii="Arial" w:cs="Arial" w:eastAsia="Arial" w:hAnsi="Arial"/>
            <w:sz w:val="18"/>
            <w:szCs w:val="18"/>
            <w:color w:val="000000"/>
          </w:rPr>
          <w:t>(File No. 1-11593) [Exhibit 4.1])</w:t>
        </w:r>
      </w:hyperlink>
    </w:p>
    <w:p>
      <w:pPr>
        <w:spacing w:after="0" w:line="22" w:lineRule="exact"/>
        <w:rPr>
          <w:rFonts w:ascii="Arial" w:cs="Arial" w:eastAsia="Arial" w:hAnsi="Arial"/>
          <w:sz w:val="18"/>
          <w:szCs w:val="18"/>
          <w:u w:val="single" w:color="auto"/>
          <w:color w:val="0000FF"/>
        </w:rPr>
      </w:pPr>
    </w:p>
    <w:p>
      <w:pPr>
        <w:ind w:right="80"/>
        <w:spacing w:after="0" w:line="277" w:lineRule="auto"/>
        <w:rPr>
          <w:rFonts w:ascii="Arial" w:cs="Arial" w:eastAsia="Arial" w:hAnsi="Arial"/>
          <w:sz w:val="18"/>
          <w:szCs w:val="18"/>
          <w:color w:val="0000FF"/>
        </w:rPr>
      </w:pPr>
      <w:hyperlink r:id="rId25">
        <w:r>
          <w:rPr>
            <w:rFonts w:ascii="Arial" w:cs="Arial" w:eastAsia="Arial" w:hAnsi="Arial"/>
            <w:sz w:val="18"/>
            <w:szCs w:val="18"/>
            <w:u w:val="single" w:color="auto"/>
            <w:color w:val="0000FF"/>
          </w:rPr>
          <w:t>Form of 4.000% Senior Notes due 2031 (Incorporated herein by reference to the Registrant’s Current Report on Form 8-K filed</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March 17, 2021 (File No. 1-11593)</w:t>
        </w:r>
        <w:r>
          <w:rPr>
            <w:rFonts w:ascii="Arial" w:cs="Arial" w:eastAsia="Arial" w:hAnsi="Arial"/>
            <w:sz w:val="18"/>
            <w:szCs w:val="18"/>
            <w:color w:val="0000FF"/>
          </w:rPr>
          <w:t xml:space="preserve"> </w:t>
        </w:r>
        <w:r>
          <w:rPr>
            <w:rFonts w:ascii="Arial" w:cs="Arial" w:eastAsia="Arial" w:hAnsi="Arial"/>
            <w:sz w:val="18"/>
            <w:szCs w:val="18"/>
            <w:color w:val="000000"/>
          </w:rPr>
          <w:t>[Exhibit 4.2])</w:t>
        </w:r>
      </w:hyperlink>
    </w:p>
    <w:p>
      <w:pPr>
        <w:spacing w:after="0" w:line="8" w:lineRule="exact"/>
        <w:rPr>
          <w:sz w:val="20"/>
          <w:szCs w:val="20"/>
          <w:color w:val="auto"/>
        </w:rPr>
      </w:pPr>
    </w:p>
    <w:p>
      <w:pPr>
        <w:jc w:val="both"/>
        <w:ind w:right="220"/>
        <w:spacing w:after="0" w:line="305" w:lineRule="auto"/>
        <w:rPr>
          <w:rFonts w:ascii="Arial" w:cs="Arial" w:eastAsia="Arial" w:hAnsi="Arial"/>
          <w:sz w:val="16"/>
          <w:szCs w:val="16"/>
          <w:color w:val="0000FF"/>
        </w:rPr>
      </w:pPr>
      <w:hyperlink r:id="rId26">
        <w:r>
          <w:rPr>
            <w:rFonts w:ascii="Arial" w:cs="Arial" w:eastAsia="Arial" w:hAnsi="Arial"/>
            <w:sz w:val="16"/>
            <w:szCs w:val="16"/>
            <w:u w:val="single" w:color="auto"/>
            <w:color w:val="0000FF"/>
          </w:rPr>
          <w:t>Registration Rights Agreement, dated as of March 17, 2021, by and among The Scotts Miracle-Gro Company, the guarantors</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named therein and J.P. Morgan Securities LLC, as representative of the several initial purchasers named therein (Incorporated</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by reference to the Registrant’s Current Report on Form 8-K filed March 17, 2021 (File No. 1-11593)</w:t>
        </w:r>
        <w:r>
          <w:rPr>
            <w:rFonts w:ascii="Arial" w:cs="Arial" w:eastAsia="Arial" w:hAnsi="Arial"/>
            <w:sz w:val="16"/>
            <w:szCs w:val="16"/>
            <w:color w:val="0000FF"/>
          </w:rPr>
          <w:t xml:space="preserve"> </w:t>
        </w:r>
        <w:r>
          <w:rPr>
            <w:rFonts w:ascii="Arial" w:cs="Arial" w:eastAsia="Arial" w:hAnsi="Arial"/>
            <w:sz w:val="16"/>
            <w:szCs w:val="16"/>
            <w:color w:val="000000"/>
          </w:rPr>
          <w:t>[Exhibit 4.3])</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8"/>
          <w:szCs w:val="18"/>
          <w:color w:val="0000FF"/>
        </w:rPr>
      </w:pPr>
      <w:hyperlink w:anchor="page117">
        <w:r>
          <w:rPr>
            <w:rFonts w:ascii="Arial" w:cs="Arial" w:eastAsia="Arial" w:hAnsi="Arial"/>
            <w:sz w:val="18"/>
            <w:szCs w:val="18"/>
            <w:u w:val="single" w:color="auto"/>
            <w:color w:val="0000FF"/>
          </w:rPr>
          <w:t>Opinion of Vorys, Sater, Seymour and Pease LLP</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rFonts w:ascii="Arial" w:cs="Arial" w:eastAsia="Arial" w:hAnsi="Arial"/>
          <w:sz w:val="16"/>
          <w:szCs w:val="16"/>
          <w:u w:val="single" w:color="auto"/>
          <w:color w:val="0000FF"/>
        </w:rPr>
      </w:pPr>
    </w:p>
    <w:p>
      <w:pPr>
        <w:spacing w:after="0"/>
        <w:rPr>
          <w:rFonts w:ascii="Arial" w:cs="Arial" w:eastAsia="Arial" w:hAnsi="Arial"/>
          <w:sz w:val="18"/>
          <w:szCs w:val="18"/>
          <w:color w:val="0000FF"/>
        </w:rPr>
      </w:pPr>
      <w:hyperlink w:anchor="page119">
        <w:r>
          <w:rPr>
            <w:rFonts w:ascii="Arial" w:cs="Arial" w:eastAsia="Arial" w:hAnsi="Arial"/>
            <w:sz w:val="18"/>
            <w:szCs w:val="18"/>
            <w:u w:val="single" w:color="auto"/>
            <w:color w:val="0000FF"/>
          </w:rPr>
          <w:t>Subsidiaries of The Scotts Miracle-Gro Company</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rFonts w:ascii="Arial" w:cs="Arial" w:eastAsia="Arial" w:hAnsi="Arial"/>
          <w:sz w:val="16"/>
          <w:szCs w:val="16"/>
          <w:u w:val="single" w:color="auto"/>
          <w:color w:val="0000FF"/>
        </w:rPr>
      </w:pPr>
    </w:p>
    <w:p>
      <w:pPr>
        <w:ind w:right="3040"/>
        <w:spacing w:after="0" w:line="325" w:lineRule="auto"/>
        <w:rPr>
          <w:rFonts w:ascii="Arial" w:cs="Arial" w:eastAsia="Arial" w:hAnsi="Arial"/>
          <w:sz w:val="17"/>
          <w:szCs w:val="17"/>
          <w:color w:val="0000FF"/>
        </w:rPr>
      </w:pPr>
      <w:hyperlink w:anchor="page121">
        <w:r>
          <w:rPr>
            <w:rFonts w:ascii="Arial" w:cs="Arial" w:eastAsia="Arial" w:hAnsi="Arial"/>
            <w:sz w:val="17"/>
            <w:szCs w:val="17"/>
            <w:u w:val="single" w:color="auto"/>
            <w:color w:val="0000FF"/>
          </w:rPr>
          <w:t>Consent of Deloitte &amp; Touche LLP, Independent Registered Public Accounting Firm</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w:anchor="page117">
        <w:r>
          <w:rPr>
            <w:rFonts w:ascii="Arial" w:cs="Arial" w:eastAsia="Arial" w:hAnsi="Arial"/>
            <w:sz w:val="17"/>
            <w:szCs w:val="17"/>
            <w:u w:val="single" w:color="auto"/>
            <w:color w:val="0000FF"/>
          </w:rPr>
          <w:t>Consent of Vorys, Sater, Seymour and Pease LLP</w:t>
        </w:r>
        <w:r>
          <w:rPr>
            <w:rFonts w:ascii="Arial" w:cs="Arial" w:eastAsia="Arial" w:hAnsi="Arial"/>
            <w:sz w:val="17"/>
            <w:szCs w:val="17"/>
            <w:color w:val="0000FF"/>
          </w:rPr>
          <w:t xml:space="preserve"> </w:t>
        </w:r>
      </w:hyperlink>
      <w:r>
        <w:rPr>
          <w:rFonts w:ascii="Arial" w:cs="Arial" w:eastAsia="Arial" w:hAnsi="Arial"/>
          <w:sz w:val="17"/>
          <w:szCs w:val="17"/>
          <w:color w:val="000000"/>
        </w:rPr>
        <w:t>(included</w:t>
      </w:r>
      <w:r>
        <w:rPr>
          <w:rFonts w:ascii="Arial" w:cs="Arial" w:eastAsia="Arial" w:hAnsi="Arial"/>
          <w:sz w:val="17"/>
          <w:szCs w:val="17"/>
          <w:color w:val="0000FF"/>
        </w:rPr>
        <w:t xml:space="preserve"> </w:t>
      </w:r>
      <w:r>
        <w:rPr>
          <w:rFonts w:ascii="Arial" w:cs="Arial" w:eastAsia="Arial" w:hAnsi="Arial"/>
          <w:sz w:val="17"/>
          <w:szCs w:val="17"/>
          <w:color w:val="000000"/>
        </w:rPr>
        <w:t>in Exhibit 5.1)</w:t>
      </w:r>
      <w:r>
        <w:rPr>
          <w:rFonts w:ascii="Arial" w:cs="Arial" w:eastAsia="Arial" w:hAnsi="Arial"/>
          <w:sz w:val="17"/>
          <w:szCs w:val="17"/>
          <w:color w:val="0000FF"/>
        </w:rPr>
        <w:t xml:space="preserve"> </w:t>
      </w:r>
      <w:r>
        <w:rPr>
          <w:rFonts w:ascii="Arial" w:cs="Arial" w:eastAsia="Arial" w:hAnsi="Arial"/>
          <w:sz w:val="17"/>
          <w:szCs w:val="17"/>
          <w:color w:val="000000"/>
        </w:rPr>
        <w:t>Powers of Attorney (included on signature pages of this registration statement)</w:t>
      </w:r>
    </w:p>
    <w:p>
      <w:pPr>
        <w:spacing w:after="0" w:line="2" w:lineRule="exact"/>
        <w:rPr>
          <w:sz w:val="20"/>
          <w:szCs w:val="20"/>
          <w:color w:val="auto"/>
        </w:rPr>
      </w:pPr>
    </w:p>
    <w:p>
      <w:pPr>
        <w:ind w:right="3280"/>
        <w:spacing w:after="0" w:line="297" w:lineRule="auto"/>
        <w:rPr>
          <w:rFonts w:ascii="Arial" w:cs="Arial" w:eastAsia="Arial" w:hAnsi="Arial"/>
          <w:sz w:val="18"/>
          <w:szCs w:val="18"/>
          <w:color w:val="0000FF"/>
        </w:rPr>
      </w:pPr>
      <w:hyperlink w:anchor="page122">
        <w:r>
          <w:rPr>
            <w:rFonts w:ascii="Arial" w:cs="Arial" w:eastAsia="Arial" w:hAnsi="Arial"/>
            <w:sz w:val="18"/>
            <w:szCs w:val="18"/>
            <w:u w:val="single" w:color="auto"/>
            <w:color w:val="0000FF"/>
          </w:rPr>
          <w:t>Statement of Eligibility of Trustee, U.S. Bank National Association, on Form T-1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30">
        <w:r>
          <w:rPr>
            <w:rFonts w:ascii="Arial" w:cs="Arial" w:eastAsia="Arial" w:hAnsi="Arial"/>
            <w:sz w:val="18"/>
            <w:szCs w:val="18"/>
            <w:u w:val="single" w:color="auto"/>
            <w:color w:val="0000FF"/>
          </w:rPr>
          <w:t>Form of Letter of Transmittal</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1" w:lineRule="exact"/>
        <w:rPr>
          <w:sz w:val="20"/>
          <w:szCs w:val="20"/>
          <w:color w:val="auto"/>
        </w:rPr>
      </w:pPr>
    </w:p>
    <w:p>
      <w:pPr>
        <w:spacing w:after="0"/>
        <w:rPr>
          <w:rFonts w:ascii="Arial" w:cs="Arial" w:eastAsia="Arial" w:hAnsi="Arial"/>
          <w:sz w:val="18"/>
          <w:szCs w:val="18"/>
          <w:color w:val="0000FF"/>
        </w:rPr>
      </w:pPr>
      <w:hyperlink w:anchor="page148">
        <w:r>
          <w:rPr>
            <w:rFonts w:ascii="Arial" w:cs="Arial" w:eastAsia="Arial" w:hAnsi="Arial"/>
            <w:sz w:val="18"/>
            <w:szCs w:val="18"/>
            <w:u w:val="single" w:color="auto"/>
            <w:color w:val="0000FF"/>
          </w:rPr>
          <w:t>Form of Notice of Guaranteed Delivery</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sz w:val="20"/>
          <w:szCs w:val="20"/>
          <w:color w:val="auto"/>
        </w:rPr>
      </w:pPr>
    </w:p>
    <w:p>
      <w:pPr>
        <w:spacing w:after="0"/>
        <w:rPr>
          <w:rFonts w:ascii="Arial" w:cs="Arial" w:eastAsia="Arial" w:hAnsi="Arial"/>
          <w:sz w:val="18"/>
          <w:szCs w:val="18"/>
          <w:color w:val="0000FF"/>
        </w:rPr>
      </w:pPr>
      <w:hyperlink w:anchor="page155">
        <w:r>
          <w:rPr>
            <w:rFonts w:ascii="Arial" w:cs="Arial" w:eastAsia="Arial" w:hAnsi="Arial"/>
            <w:sz w:val="18"/>
            <w:szCs w:val="18"/>
            <w:u w:val="single" w:color="auto"/>
            <w:color w:val="0000FF"/>
          </w:rPr>
          <w:t>Form of Letter to Brokers, Dealers, Commercial Banks, Trust Companies and Other Nominees</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50" w:lineRule="exact"/>
        <w:rPr>
          <w:sz w:val="20"/>
          <w:szCs w:val="20"/>
          <w:color w:val="auto"/>
        </w:rPr>
      </w:pPr>
    </w:p>
    <w:p>
      <w:pPr>
        <w:sectPr>
          <w:pgSz w:w="11900" w:h="16838" w:orient="portrait"/>
          <w:cols w:equalWidth="0" w:num="2">
            <w:col w:w="1240" w:space="720"/>
            <w:col w:w="9260"/>
          </w:cols>
          <w:pgMar w:left="320" w:top="773" w:right="359" w:bottom="1440" w:gutter="0" w:footer="0" w:header="0"/>
          <w:type w:val="continuous"/>
        </w:sectPr>
      </w:pPr>
    </w:p>
    <w:p>
      <w:pPr>
        <w:ind w:left="820"/>
        <w:spacing w:after="0"/>
        <w:tabs>
          <w:tab w:leader="none" w:pos="1940" w:val="left"/>
        </w:tabs>
        <w:rPr>
          <w:rFonts w:ascii="Arial" w:cs="Arial" w:eastAsia="Arial" w:hAnsi="Arial"/>
          <w:sz w:val="16"/>
          <w:szCs w:val="16"/>
          <w:u w:val="single" w:color="auto"/>
          <w:color w:val="0000FF"/>
        </w:rPr>
      </w:pPr>
      <w:r>
        <w:rPr>
          <w:rFonts w:ascii="Arial" w:cs="Arial" w:eastAsia="Arial" w:hAnsi="Arial"/>
          <w:sz w:val="18"/>
          <w:szCs w:val="18"/>
          <w:color w:val="auto"/>
        </w:rPr>
        <w:t>99.4</w:t>
      </w:r>
      <w:r>
        <w:rPr>
          <w:sz w:val="20"/>
          <w:szCs w:val="20"/>
          <w:color w:val="auto"/>
        </w:rPr>
        <w:tab/>
      </w:r>
      <w:hyperlink w:anchor="page157">
        <w:r>
          <w:rPr>
            <w:rFonts w:ascii="Arial" w:cs="Arial" w:eastAsia="Arial" w:hAnsi="Arial"/>
            <w:sz w:val="16"/>
            <w:szCs w:val="16"/>
            <w:u w:val="single" w:color="auto"/>
            <w:color w:val="0000FF"/>
          </w:rPr>
          <w:t xml:space="preserve">Form of Letter to Clients for Use by Brokers, Dealers, Commercial Banks, Trust Companies and Other Nominees </w:t>
        </w:r>
      </w:hyperlink>
      <w:r>
        <w:rPr>
          <w:rFonts w:ascii="Arial" w:cs="Arial" w:eastAsia="Arial" w:hAnsi="Arial"/>
          <w:sz w:val="16"/>
          <w:szCs w:val="16"/>
          <w:color w:val="000000"/>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20"/>
          </w:cols>
          <w:pgMar w:left="320" w:top="773" w:right="359" w:bottom="1440" w:gutter="0" w:footer="0" w:header="0"/>
          <w:type w:val="continuous"/>
        </w:sectPr>
      </w:pPr>
    </w:p>
    <w:bookmarkStart w:id="102" w:name="page103"/>
    <w:bookmarkEnd w:id="102"/>
    <w:p>
      <w:pPr>
        <w:spacing w:after="0"/>
        <w:tabs>
          <w:tab w:leader="none" w:pos="8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of the undersigned registrants hereby undertakes:</w:t>
      </w:r>
    </w:p>
    <w:p>
      <w:pPr>
        <w:spacing w:after="0" w:line="252" w:lineRule="exact"/>
        <w:rPr>
          <w:sz w:val="20"/>
          <w:szCs w:val="20"/>
          <w:color w:val="auto"/>
        </w:rPr>
      </w:pPr>
    </w:p>
    <w:p>
      <w:pPr>
        <w:ind w:left="1680" w:hanging="376"/>
        <w:spacing w:after="0"/>
        <w:tabs>
          <w:tab w:leader="none" w:pos="1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300" w:hanging="348"/>
        <w:spacing w:after="0"/>
        <w:tabs>
          <w:tab w:leader="none" w:pos="2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00" w:right="80" w:firstLine="652"/>
        <w:spacing w:after="0" w:line="291" w:lineRule="auto"/>
        <w:tabs>
          <w:tab w:leader="none" w:pos="234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3" w:lineRule="exact"/>
        <w:rPr>
          <w:rFonts w:ascii="Arial" w:cs="Arial" w:eastAsia="Arial" w:hAnsi="Arial"/>
          <w:sz w:val="16"/>
          <w:szCs w:val="16"/>
          <w:color w:val="auto"/>
        </w:rPr>
      </w:pPr>
    </w:p>
    <w:p>
      <w:pPr>
        <w:ind w:left="1300" w:right="240" w:firstLine="652"/>
        <w:spacing w:after="0" w:line="277" w:lineRule="auto"/>
        <w:tabs>
          <w:tab w:leader="none" w:pos="239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ind w:left="660" w:firstLine="644"/>
        <w:spacing w:after="0" w:line="263" w:lineRule="auto"/>
        <w:tabs>
          <w:tab w:leader="none" w:pos="16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660" w:right="40" w:firstLine="644"/>
        <w:spacing w:after="0" w:line="277" w:lineRule="auto"/>
        <w:tabs>
          <w:tab w:leader="none" w:pos="16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660" w:firstLine="644"/>
        <w:spacing w:after="0" w:line="254" w:lineRule="auto"/>
        <w:tabs>
          <w:tab w:leader="none" w:pos="16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18" w:lineRule="exact"/>
        <w:rPr>
          <w:rFonts w:ascii="Arial" w:cs="Arial" w:eastAsia="Arial" w:hAnsi="Arial"/>
          <w:sz w:val="18"/>
          <w:szCs w:val="18"/>
          <w:color w:val="auto"/>
        </w:rPr>
      </w:pPr>
    </w:p>
    <w:p>
      <w:pPr>
        <w:ind w:left="660" w:right="520" w:firstLine="644"/>
        <w:spacing w:after="0" w:line="277" w:lineRule="auto"/>
        <w:tabs>
          <w:tab w:leader="none" w:pos="16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97"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Each of the undersigned registrants hereby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214" w:lineRule="exact"/>
        <w:rPr>
          <w:sz w:val="20"/>
          <w:szCs w:val="20"/>
          <w:color w:val="auto"/>
        </w:rPr>
      </w:pPr>
    </w:p>
    <w:p>
      <w:pPr>
        <w:ind w:left="1300" w:right="520" w:firstLine="652"/>
        <w:spacing w:after="0" w:line="277" w:lineRule="auto"/>
        <w:tabs>
          <w:tab w:leader="none" w:pos="22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w:t>
      </w:r>
    </w:p>
    <w:p>
      <w:pPr>
        <w:spacing w:after="0" w:line="197" w:lineRule="exact"/>
        <w:rPr>
          <w:rFonts w:ascii="Arial" w:cs="Arial" w:eastAsia="Arial" w:hAnsi="Arial"/>
          <w:sz w:val="18"/>
          <w:szCs w:val="18"/>
          <w:color w:val="auto"/>
        </w:rPr>
      </w:pPr>
    </w:p>
    <w:p>
      <w:pPr>
        <w:ind w:left="1300" w:right="320" w:firstLine="652"/>
        <w:spacing w:after="0" w:line="277" w:lineRule="auto"/>
        <w:tabs>
          <w:tab w:leader="none" w:pos="233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197" w:lineRule="exact"/>
        <w:rPr>
          <w:rFonts w:ascii="Arial" w:cs="Arial" w:eastAsia="Arial" w:hAnsi="Arial"/>
          <w:sz w:val="18"/>
          <w:szCs w:val="18"/>
          <w:color w:val="auto"/>
        </w:rPr>
      </w:pPr>
    </w:p>
    <w:p>
      <w:pPr>
        <w:ind w:left="1300" w:right="460" w:firstLine="652"/>
        <w:spacing w:after="0" w:line="277" w:lineRule="auto"/>
        <w:tabs>
          <w:tab w:leader="none" w:pos="239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97" w:lineRule="exact"/>
        <w:rPr>
          <w:rFonts w:ascii="Arial" w:cs="Arial" w:eastAsia="Arial" w:hAnsi="Arial"/>
          <w:sz w:val="18"/>
          <w:szCs w:val="18"/>
          <w:color w:val="auto"/>
        </w:rPr>
      </w:pPr>
    </w:p>
    <w:p>
      <w:pPr>
        <w:ind w:left="2380" w:hanging="428"/>
        <w:spacing w:after="0"/>
        <w:tabs>
          <w:tab w:leader="none" w:pos="23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such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40"/>
          </w:cols>
          <w:pgMar w:left="320" w:top="769" w:right="439" w:bottom="1440" w:gutter="0" w:footer="0" w:header="0"/>
        </w:sectPr>
      </w:pPr>
    </w:p>
    <w:bookmarkStart w:id="103" w:name="page104"/>
    <w:bookmarkEnd w:id="103"/>
    <w:p>
      <w:pPr>
        <w:ind w:left="-460" w:firstLine="644"/>
        <w:spacing w:after="0" w:line="257" w:lineRule="auto"/>
        <w:tabs>
          <w:tab w:leader="none" w:pos="54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its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Arial" w:cs="Arial" w:eastAsia="Arial" w:hAnsi="Arial"/>
          <w:sz w:val="18"/>
          <w:szCs w:val="18"/>
          <w:color w:val="auto"/>
        </w:rPr>
      </w:pPr>
    </w:p>
    <w:p>
      <w:pPr>
        <w:ind w:left="-460" w:firstLine="644"/>
        <w:spacing w:after="0" w:line="290" w:lineRule="auto"/>
        <w:tabs>
          <w:tab w:leader="none" w:pos="5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each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such registrant of expenses incurred or paid by a director, officer or controlling person of such registrant in the successful defense of any action, suit or proceeding) is asserted by such director, officer or controlling person in connection with the securities being registered, the corresponding registrant will, unless in the opinion of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92" w:lineRule="exact"/>
        <w:rPr>
          <w:rFonts w:ascii="Arial" w:cs="Arial" w:eastAsia="Arial" w:hAnsi="Arial"/>
          <w:sz w:val="16"/>
          <w:szCs w:val="16"/>
          <w:color w:val="auto"/>
        </w:rPr>
      </w:pPr>
    </w:p>
    <w:p>
      <w:pPr>
        <w:ind w:left="-460" w:right="200" w:firstLine="644"/>
        <w:spacing w:after="0" w:line="259" w:lineRule="auto"/>
        <w:tabs>
          <w:tab w:leader="none" w:pos="57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the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3" w:lineRule="exact"/>
        <w:rPr>
          <w:rFonts w:ascii="Arial" w:cs="Arial" w:eastAsia="Arial" w:hAnsi="Arial"/>
          <w:sz w:val="18"/>
          <w:szCs w:val="18"/>
          <w:color w:val="auto"/>
        </w:rPr>
      </w:pPr>
    </w:p>
    <w:p>
      <w:pPr>
        <w:ind w:left="-460" w:firstLine="644"/>
        <w:spacing w:after="0" w:line="277" w:lineRule="auto"/>
        <w:tabs>
          <w:tab w:leader="none" w:pos="5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0100"/>
          </w:cols>
          <w:pgMar w:left="1440" w:top="773" w:right="3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SCOTTS MIRACLE-GRO COMPANY</w:t>
      </w:r>
    </w:p>
    <w:p>
      <w:pPr>
        <w:spacing w:after="0" w:line="239" w:lineRule="exact"/>
        <w:rPr>
          <w:sz w:val="20"/>
          <w:szCs w:val="20"/>
          <w:color w:val="auto"/>
        </w:rPr>
      </w:pPr>
    </w:p>
    <w:p>
      <w:pPr>
        <w:ind w:left="594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James Hagedorn, Chief Executive Officer and Chairman of the</w:t>
      </w:r>
    </w:p>
    <w:p>
      <w:pPr>
        <w:spacing w:after="0" w:line="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Board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of the undersigned directors and officers of The Scotts Miracle-Gro Company (the “Company”)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7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Date</w:t>
            </w:r>
          </w:p>
        </w:tc>
      </w:tr>
      <w:tr>
        <w:trPr>
          <w:trHeight w:val="601"/>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James Hagedorn</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 and Chief</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142"/>
        </w:trPr>
        <w:tc>
          <w:tcPr>
            <w:tcW w:w="20" w:type="dxa"/>
            <w:vAlign w:val="bottom"/>
          </w:tcPr>
          <w:p>
            <w:pPr>
              <w:spacing w:after="0"/>
              <w:rPr>
                <w:sz w:val="12"/>
                <w:szCs w:val="12"/>
                <w:color w:val="auto"/>
              </w:rPr>
            </w:pPr>
          </w:p>
        </w:tc>
        <w:tc>
          <w:tcPr>
            <w:tcW w:w="142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6"/>
                <w:szCs w:val="16"/>
                <w:color w:val="auto"/>
              </w:rPr>
              <w:t>James Hagedorn</w:t>
            </w:r>
          </w:p>
        </w:tc>
        <w:tc>
          <w:tcPr>
            <w:tcW w:w="1340" w:type="dxa"/>
            <w:vAlign w:val="bottom"/>
            <w:gridSpan w:val="2"/>
          </w:tcPr>
          <w:p>
            <w:pPr>
              <w:spacing w:after="0"/>
              <w:rPr>
                <w:sz w:val="12"/>
                <w:szCs w:val="12"/>
                <w:color w:val="auto"/>
              </w:rPr>
            </w:pPr>
          </w:p>
        </w:tc>
        <w:tc>
          <w:tcPr>
            <w:tcW w:w="2780" w:type="dxa"/>
            <w:vAlign w:val="bottom"/>
            <w:gridSpan w:val="2"/>
          </w:tcPr>
          <w:p>
            <w:pPr>
              <w:jc w:val="center"/>
              <w:ind w:right="220"/>
              <w:spacing w:after="0" w:line="142" w:lineRule="exact"/>
              <w:rPr>
                <w:sz w:val="20"/>
                <w:szCs w:val="20"/>
                <w:color w:val="auto"/>
              </w:rPr>
            </w:pPr>
            <w:r>
              <w:rPr>
                <w:rFonts w:ascii="Arial" w:cs="Arial" w:eastAsia="Arial" w:hAnsi="Arial"/>
                <w:sz w:val="16"/>
                <w:szCs w:val="16"/>
                <w:color w:val="auto"/>
              </w:rPr>
              <w:t>Executive Officer (Principal</w:t>
            </w:r>
          </w:p>
        </w:tc>
        <w:tc>
          <w:tcPr>
            <w:tcW w:w="172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Executive Officer)</w:t>
            </w:r>
          </w:p>
        </w:tc>
        <w:tc>
          <w:tcPr>
            <w:tcW w:w="172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Cory J. Miller</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Executive Vice President and</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Cory J. Miller</w:t>
            </w:r>
          </w:p>
        </w:tc>
        <w:tc>
          <w:tcPr>
            <w:tcW w:w="120" w:type="dxa"/>
            <w:vAlign w:val="bottom"/>
          </w:tcPr>
          <w:p>
            <w:pPr>
              <w:spacing w:after="0"/>
              <w:rPr>
                <w:sz w:val="12"/>
                <w:szCs w:val="12"/>
                <w:color w:val="auto"/>
              </w:rPr>
            </w:pPr>
          </w:p>
        </w:tc>
        <w:tc>
          <w:tcPr>
            <w:tcW w:w="1400" w:type="dxa"/>
            <w:vAlign w:val="bottom"/>
            <w:gridSpan w:val="3"/>
          </w:tcPr>
          <w:p>
            <w:pPr>
              <w:spacing w:after="0"/>
              <w:rPr>
                <w:sz w:val="12"/>
                <w:szCs w:val="12"/>
                <w:color w:val="auto"/>
              </w:rPr>
            </w:pPr>
          </w:p>
        </w:tc>
        <w:tc>
          <w:tcPr>
            <w:tcW w:w="2780" w:type="dxa"/>
            <w:vAlign w:val="bottom"/>
            <w:gridSpan w:val="2"/>
          </w:tcPr>
          <w:p>
            <w:pPr>
              <w:jc w:val="center"/>
              <w:ind w:right="220"/>
              <w:spacing w:after="0" w:line="142" w:lineRule="exact"/>
              <w:rPr>
                <w:sz w:val="20"/>
                <w:szCs w:val="20"/>
                <w:color w:val="auto"/>
              </w:rPr>
            </w:pPr>
            <w:r>
              <w:rPr>
                <w:rFonts w:ascii="Arial" w:cs="Arial" w:eastAsia="Arial" w:hAnsi="Arial"/>
                <w:sz w:val="16"/>
                <w:szCs w:val="16"/>
                <w:color w:val="auto"/>
              </w:rPr>
              <w:t>Chief Financial Officer</w:t>
            </w:r>
          </w:p>
        </w:tc>
        <w:tc>
          <w:tcPr>
            <w:tcW w:w="17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3"/>
              </w:rPr>
              <w:t>(Principal Financial Officer and</w:t>
            </w:r>
          </w:p>
        </w:tc>
        <w:tc>
          <w:tcPr>
            <w:tcW w:w="172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172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David C. Evans</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224"/>
        </w:trPr>
        <w:tc>
          <w:tcPr>
            <w:tcW w:w="20" w:type="dxa"/>
            <w:vAlign w:val="bottom"/>
          </w:tcPr>
          <w:p>
            <w:pPr>
              <w:spacing w:after="0"/>
              <w:rPr>
                <w:sz w:val="19"/>
                <w:szCs w:val="19"/>
                <w:color w:val="auto"/>
              </w:rPr>
            </w:pPr>
          </w:p>
        </w:tc>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David C. Evans</w:t>
            </w:r>
          </w:p>
        </w:tc>
        <w:tc>
          <w:tcPr>
            <w:tcW w:w="1400" w:type="dxa"/>
            <w:vAlign w:val="bottom"/>
            <w:gridSpan w:val="3"/>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Brian D. Finn</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Brian D. Finn</w:t>
            </w:r>
          </w:p>
        </w:tc>
        <w:tc>
          <w:tcPr>
            <w:tcW w:w="1540" w:type="dxa"/>
            <w:vAlign w:val="bottom"/>
            <w:gridSpan w:val="5"/>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Adam Hanft</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224"/>
        </w:trPr>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Hanft</w:t>
            </w:r>
          </w:p>
        </w:tc>
        <w:tc>
          <w:tcPr>
            <w:tcW w:w="1640" w:type="dxa"/>
            <w:vAlign w:val="bottom"/>
            <w:gridSpan w:val="6"/>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240"/>
          </w:cols>
          <w:pgMar w:left="320" w:top="769" w:right="339" w:bottom="1440" w:gutter="0" w:footer="0" w:header="0"/>
        </w:sectPr>
      </w:pPr>
    </w:p>
    <w:bookmarkStart w:id="105" w:name="page106"/>
    <w:bookmarkEnd w:id="105"/>
    <w:tbl>
      <w:tblPr>
        <w:tblLayout w:type="fixed"/>
        <w:tblInd w:w="200" w:type="dxa"/>
        <w:tblCellMar>
          <w:top w:w="0" w:type="dxa"/>
          <w:left w:w="0" w:type="dxa"/>
          <w:bottom w:w="0" w:type="dxa"/>
          <w:right w:w="0" w:type="dxa"/>
        </w:tblCellMar>
      </w:tblPr>
      <w:tr>
        <w:trPr>
          <w:trHeight w:val="207"/>
        </w:trPr>
        <w:tc>
          <w:tcPr>
            <w:tcW w:w="3080" w:type="dxa"/>
            <w:vAlign w:val="bottom"/>
            <w:gridSpan w:val="8"/>
          </w:tcPr>
          <w:p>
            <w:pPr>
              <w:spacing w:after="0"/>
              <w:rPr>
                <w:sz w:val="20"/>
                <w:szCs w:val="20"/>
                <w:color w:val="auto"/>
              </w:rPr>
            </w:pPr>
            <w:r>
              <w:rPr>
                <w:rFonts w:ascii="Arial" w:cs="Arial" w:eastAsia="Arial" w:hAnsi="Arial"/>
                <w:sz w:val="18"/>
                <w:szCs w:val="18"/>
                <w:color w:val="auto"/>
              </w:rPr>
              <w:t>/s/ Stephen L. Johnson</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Stephen L. Johnson</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Thomas N. Kelly Jr.</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6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Thomas N. Kelly Jr.</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Katherine Hagedorn Littlefield</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24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Katherine Hagedorn Littlefield</w:t>
            </w:r>
          </w:p>
        </w:tc>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Nancy G. Mistretta</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Nancy G. Mistretta</w:t>
            </w:r>
          </w:p>
        </w:tc>
        <w:tc>
          <w:tcPr>
            <w:tcW w:w="1480" w:type="dxa"/>
            <w:vAlign w:val="bottom"/>
            <w:gridSpan w:val="4"/>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Peter E. Shumlin</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Peter E. Shumlin</w:t>
            </w:r>
          </w:p>
        </w:tc>
        <w:tc>
          <w:tcPr>
            <w:tcW w:w="1640" w:type="dxa"/>
            <w:vAlign w:val="bottom"/>
            <w:gridSpan w:val="5"/>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John R. Vines</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R. Vines</w:t>
            </w:r>
          </w:p>
        </w:tc>
        <w:tc>
          <w:tcPr>
            <w:tcW w:w="1860" w:type="dxa"/>
            <w:vAlign w:val="bottom"/>
            <w:gridSpan w:val="6"/>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Gerald Volas</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Gerald Volas</w:t>
            </w:r>
          </w:p>
        </w:tc>
        <w:tc>
          <w:tcPr>
            <w:tcW w:w="1940" w:type="dxa"/>
            <w:vAlign w:val="bottom"/>
            <w:gridSpan w:val="7"/>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ectPr>
          <w:pgSz w:w="11900" w:h="16838" w:orient="portrait"/>
          <w:cols w:equalWidth="0" w:num="1">
            <w:col w:w="9019"/>
          </w:cols>
          <w:pgMar w:left="1440" w:top="891"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GENSOURCE,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James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Signature</w:t>
            </w:r>
          </w:p>
        </w:tc>
        <w:tc>
          <w:tcPr>
            <w:tcW w:w="2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534"/>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James Hagedorn</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and Chief Executive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James Hagedorn</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gridSpan w:val="2"/>
          </w:tcPr>
          <w:p>
            <w:pPr>
              <w:spacing w:after="0"/>
              <w:rPr>
                <w:sz w:val="19"/>
                <w:szCs w:val="19"/>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Executive Officer)</w:t>
            </w: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Jeffrey Leuenberger</w:t>
            </w:r>
          </w:p>
        </w:tc>
        <w:tc>
          <w:tcPr>
            <w:tcW w:w="37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Treasurer (Principal Financial Officer and</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Jeffrey Leuenberger</w:t>
            </w:r>
          </w:p>
        </w:tc>
        <w:tc>
          <w:tcPr>
            <w:tcW w:w="2080" w:type="dxa"/>
            <w:vAlign w:val="bottom"/>
            <w:gridSpan w:val="2"/>
          </w:tcPr>
          <w:p>
            <w:pPr>
              <w:spacing w:after="0"/>
              <w:rPr>
                <w:sz w:val="19"/>
                <w:szCs w:val="19"/>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Cory J. Miller</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Cory J. Miller</w:t>
            </w:r>
          </w:p>
        </w:tc>
        <w:tc>
          <w:tcPr>
            <w:tcW w:w="420" w:type="dxa"/>
            <w:vAlign w:val="bottom"/>
            <w:gridSpan w:val="2"/>
          </w:tcPr>
          <w:p>
            <w:pPr>
              <w:spacing w:after="0"/>
              <w:rPr>
                <w:sz w:val="19"/>
                <w:szCs w:val="19"/>
                <w:color w:val="auto"/>
              </w:rPr>
            </w:pP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Gregory A. Liening</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Gregory A. Liening</w:t>
            </w: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Dave Swihart</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Dave Swihart</w:t>
            </w:r>
          </w:p>
        </w:tc>
        <w:tc>
          <w:tcPr>
            <w:tcW w:w="2540" w:type="dxa"/>
            <w:vAlign w:val="bottom"/>
            <w:gridSpan w:val="6"/>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Craig Izzo</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Craig Izzo</w:t>
            </w:r>
          </w:p>
        </w:tc>
        <w:tc>
          <w:tcPr>
            <w:tcW w:w="2780" w:type="dxa"/>
            <w:vAlign w:val="bottom"/>
            <w:gridSpan w:val="7"/>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2"/>
          </w:tcPr>
          <w:p>
            <w:pPr>
              <w:ind w:left="920"/>
              <w:spacing w:after="0"/>
              <w:rPr>
                <w:sz w:val="20"/>
                <w:szCs w:val="20"/>
                <w:color w:val="auto"/>
              </w:rPr>
            </w:pPr>
            <w:r>
              <w:rPr>
                <w:rFonts w:ascii="Arial" w:cs="Arial" w:eastAsia="Arial" w:hAnsi="Arial"/>
                <w:sz w:val="18"/>
                <w:szCs w:val="18"/>
                <w:color w:val="auto"/>
              </w:rPr>
              <w:t>II-13</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AEROGROW INTERNATIONAL,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HYPONEX CORPORATION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MIRACLE-GRO LAWN PRODUCTS,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ROD MCLELLAN COMPANY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SANFORD SCIENTIFIC,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MANUFACTURING COMPANY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PRODUCTS CO.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PROFESSIONAL PRODUCTS CO.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SMG GROWING MEDIA, INC.</w:t>
      </w:r>
    </w:p>
    <w:p>
      <w:pPr>
        <w:spacing w:after="0" w:line="238"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James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3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James Hagedorn</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Hagedorn</w:t>
            </w:r>
          </w:p>
        </w:tc>
        <w:tc>
          <w:tcPr>
            <w:tcW w:w="242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Cory J. Miller</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Executive Vice 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Cory J. Miller</w:t>
            </w:r>
          </w:p>
        </w:tc>
        <w:tc>
          <w:tcPr>
            <w:tcW w:w="258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Chief Financial Officer and Director</w:t>
            </w:r>
          </w:p>
        </w:tc>
        <w:tc>
          <w:tcPr>
            <w:tcW w:w="2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Ivan C. Smith</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Executive Vice President, Secretary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Ivan C. Smith</w:t>
            </w:r>
          </w:p>
        </w:tc>
        <w:tc>
          <w:tcPr>
            <w:tcW w:w="2600" w:type="dxa"/>
            <w:vAlign w:val="bottom"/>
            <w:gridSpan w:val="4"/>
          </w:tcPr>
          <w:p>
            <w:pPr>
              <w:spacing w:after="0"/>
              <w:rPr>
                <w:sz w:val="19"/>
                <w:szCs w:val="19"/>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2"/>
          </w:tcPr>
          <w:p>
            <w:pPr>
              <w:ind w:left="920"/>
              <w:spacing w:after="0"/>
              <w:rPr>
                <w:sz w:val="20"/>
                <w:szCs w:val="20"/>
                <w:color w:val="auto"/>
              </w:rPr>
            </w:pPr>
            <w:r>
              <w:rPr>
                <w:rFonts w:ascii="Arial" w:cs="Arial" w:eastAsia="Arial" w:hAnsi="Arial"/>
                <w:sz w:val="18"/>
                <w:szCs w:val="18"/>
                <w:color w:val="auto"/>
              </w:rPr>
              <w:t>II-14</w:t>
            </w:r>
          </w:p>
        </w:tc>
        <w:tc>
          <w:tcPr>
            <w:tcW w:w="23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LIVE GOODS HOLDINGS,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Lukemire</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Michael C. Lukemire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47"/>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Michael C. Lukemire</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7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C. Lukemire</w:t>
            </w:r>
          </w:p>
        </w:tc>
        <w:tc>
          <w:tcPr>
            <w:tcW w:w="206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Cory J. Miller</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Executive Vice 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Cory J. Miller</w:t>
            </w:r>
          </w:p>
        </w:tc>
        <w:tc>
          <w:tcPr>
            <w:tcW w:w="258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Chief Financial Officer and Director</w:t>
            </w:r>
          </w:p>
        </w:tc>
        <w:tc>
          <w:tcPr>
            <w:tcW w:w="2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566"/>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Ivan C. Smith</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Executive Vice President, Secretary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Ivan C. Smith</w:t>
            </w:r>
          </w:p>
        </w:tc>
        <w:tc>
          <w:tcPr>
            <w:tcW w:w="2600" w:type="dxa"/>
            <w:vAlign w:val="bottom"/>
            <w:gridSpan w:val="4"/>
          </w:tcPr>
          <w:p>
            <w:pPr>
              <w:spacing w:after="0"/>
              <w:rPr>
                <w:sz w:val="19"/>
                <w:szCs w:val="19"/>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2"/>
          </w:tcPr>
          <w:p>
            <w:pPr>
              <w:ind w:left="920"/>
              <w:spacing w:after="0"/>
              <w:rPr>
                <w:sz w:val="20"/>
                <w:szCs w:val="20"/>
                <w:color w:val="auto"/>
              </w:rPr>
            </w:pPr>
            <w:r>
              <w:rPr>
                <w:rFonts w:ascii="Arial" w:cs="Arial" w:eastAsia="Arial" w:hAnsi="Arial"/>
                <w:sz w:val="18"/>
                <w:szCs w:val="18"/>
                <w:color w:val="auto"/>
              </w:rPr>
              <w:t>II-15</w:t>
            </w:r>
          </w:p>
        </w:tc>
        <w:tc>
          <w:tcPr>
            <w:tcW w:w="23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HAWTHORNE HYDROPONICS LLC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Christopher J.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47"/>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Christopher J. Hagedorn</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Christopher J. Hagedorn</w:t>
            </w:r>
          </w:p>
        </w:tc>
        <w:tc>
          <w:tcPr>
            <w:tcW w:w="184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Mark J. Scheiwer</w:t>
            </w:r>
          </w:p>
        </w:tc>
        <w:tc>
          <w:tcPr>
            <w:tcW w:w="37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Vice President and Treasurer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Mark J. Scheiwer</w:t>
            </w:r>
          </w:p>
        </w:tc>
        <w:tc>
          <w:tcPr>
            <w:tcW w:w="234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 Principal</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2"/>
          </w:tcPr>
          <w:p>
            <w:pPr>
              <w:ind w:left="920"/>
              <w:spacing w:after="0"/>
              <w:rPr>
                <w:sz w:val="20"/>
                <w:szCs w:val="20"/>
                <w:color w:val="auto"/>
              </w:rPr>
            </w:pPr>
            <w:r>
              <w:rPr>
                <w:rFonts w:ascii="Arial" w:cs="Arial" w:eastAsia="Arial" w:hAnsi="Arial"/>
                <w:sz w:val="18"/>
                <w:szCs w:val="18"/>
                <w:color w:val="auto"/>
              </w:rPr>
              <w:t>II-16</w:t>
            </w:r>
          </w:p>
        </w:tc>
        <w:tc>
          <w:tcPr>
            <w:tcW w:w="23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HGCI, INC.</w:t>
            </w:r>
          </w:p>
        </w:tc>
        <w:tc>
          <w:tcPr>
            <w:tcW w:w="3660" w:type="dxa"/>
            <w:vAlign w:val="bottom"/>
          </w:tcPr>
          <w:p>
            <w:pPr>
              <w:spacing w:after="0"/>
              <w:rPr>
                <w:sz w:val="20"/>
                <w:szCs w:val="20"/>
                <w:color w:val="auto"/>
              </w:rPr>
            </w:pPr>
          </w:p>
        </w:tc>
      </w:tr>
      <w:tr>
        <w:trPr>
          <w:trHeight w:val="445"/>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Christopher J.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Signature</w:t>
            </w:r>
          </w:p>
        </w:tc>
        <w:tc>
          <w:tcPr>
            <w:tcW w:w="2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533"/>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Christopher J. Hagedorn</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President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9"/>
              </w:rPr>
              <w:t>Christopher J. Hagedorn</w:t>
            </w:r>
          </w:p>
        </w:tc>
        <w:tc>
          <w:tcPr>
            <w:tcW w:w="1760" w:type="dxa"/>
            <w:vAlign w:val="bottom"/>
            <w:gridSpan w:val="2"/>
          </w:tcPr>
          <w:p>
            <w:pPr>
              <w:spacing w:after="0"/>
              <w:rPr>
                <w:sz w:val="19"/>
                <w:szCs w:val="19"/>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Executive Officer)</w:t>
            </w: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Mindy Walser</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Treasurer, Secretary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Mindy Walser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spacing w:after="0"/>
              <w:rPr>
                <w:sz w:val="12"/>
                <w:szCs w:val="12"/>
                <w:color w:val="auto"/>
              </w:rPr>
            </w:pPr>
          </w:p>
        </w:tc>
        <w:tc>
          <w:tcPr>
            <w:tcW w:w="370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(Principal Financial Officer and</w:t>
            </w:r>
          </w:p>
        </w:tc>
        <w:tc>
          <w:tcPr>
            <w:tcW w:w="228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Edward R. Claggett</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Edward R. Claggett</w:t>
            </w: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Gregory A. Liening</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A. Liening</w:t>
            </w: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Mark J. Scheiwer</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Mark J. Scheiwer</w:t>
            </w:r>
          </w:p>
        </w:tc>
        <w:tc>
          <w:tcPr>
            <w:tcW w:w="2260" w:type="dxa"/>
            <w:vAlign w:val="bottom"/>
            <w:gridSpan w:val="4"/>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2"/>
          </w:tcPr>
          <w:p>
            <w:pPr>
              <w:ind w:left="920"/>
              <w:spacing w:after="0"/>
              <w:rPr>
                <w:sz w:val="20"/>
                <w:szCs w:val="20"/>
                <w:color w:val="auto"/>
              </w:rPr>
            </w:pPr>
            <w:r>
              <w:rPr>
                <w:rFonts w:ascii="Arial" w:cs="Arial" w:eastAsia="Arial" w:hAnsi="Arial"/>
                <w:sz w:val="18"/>
                <w:szCs w:val="18"/>
                <w:color w:val="auto"/>
              </w:rPr>
              <w:t>II-17</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OMS INVESTMENTS,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A. Liening</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Gregory A. Liening</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Gregory A. Liening</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President, Chief Executive Officer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Gregory A. Liening</w:t>
            </w:r>
          </w:p>
        </w:tc>
        <w:tc>
          <w:tcPr>
            <w:tcW w:w="2180" w:type="dxa"/>
            <w:vAlign w:val="bottom"/>
            <w:gridSpan w:val="2"/>
          </w:tcPr>
          <w:p>
            <w:pPr>
              <w:spacing w:after="0"/>
              <w:rPr>
                <w:sz w:val="12"/>
                <w:szCs w:val="12"/>
                <w:color w:val="auto"/>
              </w:rPr>
            </w:pPr>
          </w:p>
        </w:tc>
        <w:tc>
          <w:tcPr>
            <w:tcW w:w="374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Director</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Mindy Walser</w:t>
            </w:r>
          </w:p>
        </w:tc>
        <w:tc>
          <w:tcPr>
            <w:tcW w:w="3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Treasurer, Secretary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Mindy Walser</w:t>
            </w:r>
          </w:p>
        </w:tc>
        <w:tc>
          <w:tcPr>
            <w:tcW w:w="340" w:type="dxa"/>
            <w:vAlign w:val="bottom"/>
          </w:tcPr>
          <w:p>
            <w:pPr>
              <w:spacing w:after="0"/>
              <w:rPr>
                <w:sz w:val="12"/>
                <w:szCs w:val="12"/>
                <w:color w:val="auto"/>
              </w:rPr>
            </w:pPr>
          </w:p>
        </w:tc>
        <w:tc>
          <w:tcPr>
            <w:tcW w:w="224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Patricia M. Ziegler</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Patricia M. Ziegler</w:t>
            </w:r>
          </w:p>
        </w:tc>
        <w:tc>
          <w:tcPr>
            <w:tcW w:w="2240" w:type="dxa"/>
            <w:vAlign w:val="bottom"/>
            <w:gridSpan w:val="3"/>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Edward R. Claggett</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Edward R. Claggett</w:t>
            </w:r>
          </w:p>
        </w:tc>
        <w:tc>
          <w:tcPr>
            <w:tcW w:w="2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ectPr>
          <w:pgSz w:w="11900" w:h="16838" w:orient="portrait"/>
          <w:cols w:equalWidth="0" w:num="1">
            <w:col w:w="11240"/>
          </w:cols>
          <w:pgMar w:left="320" w:top="76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SWISS FARMS PRODUCTS,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A. Liening</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Gregory A. Liening</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33"/>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Gregory A. Liening</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President, Chief Executive Officer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6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6"/>
                <w:szCs w:val="16"/>
                <w:color w:val="auto"/>
              </w:rPr>
              <w:t>Gregory A. Liening</w:t>
            </w:r>
          </w:p>
        </w:tc>
        <w:tc>
          <w:tcPr>
            <w:tcW w:w="2180" w:type="dxa"/>
            <w:vAlign w:val="bottom"/>
            <w:gridSpan w:val="2"/>
          </w:tcPr>
          <w:p>
            <w:pPr>
              <w:spacing w:after="0"/>
              <w:rPr>
                <w:sz w:val="12"/>
                <w:szCs w:val="12"/>
                <w:color w:val="auto"/>
              </w:rPr>
            </w:pPr>
          </w:p>
        </w:tc>
        <w:tc>
          <w:tcPr>
            <w:tcW w:w="374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Director</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Mindy Walser</w:t>
            </w:r>
          </w:p>
        </w:tc>
        <w:tc>
          <w:tcPr>
            <w:tcW w:w="3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Treasurer, Secretary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Mindy Walser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Patricia M. Ziegler</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Patricia M. Ziegler</w:t>
            </w:r>
          </w:p>
        </w:tc>
        <w:tc>
          <w:tcPr>
            <w:tcW w:w="2240" w:type="dxa"/>
            <w:vAlign w:val="bottom"/>
            <w:gridSpan w:val="3"/>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Edward R. Claggett</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Edward R. Claggett</w:t>
            </w:r>
          </w:p>
        </w:tc>
        <w:tc>
          <w:tcPr>
            <w:tcW w:w="2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Aimee M. DeLuca</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Aimee M. DeLuca</w:t>
            </w:r>
          </w:p>
        </w:tc>
        <w:tc>
          <w:tcPr>
            <w:tcW w:w="2260" w:type="dxa"/>
            <w:vAlign w:val="bottom"/>
            <w:gridSpan w:val="4"/>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240"/>
          </w:cols>
          <w:pgMar w:left="320" w:top="76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SCOTTS-SIERRA INVESTMENTS LLC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A. Liening</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Gregory A. Liening</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CEO</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 Gregory A. Liening</w:t>
            </w:r>
          </w:p>
        </w:tc>
        <w:tc>
          <w:tcPr>
            <w:tcW w:w="3820" w:type="dxa"/>
            <w:vAlign w:val="bottom"/>
            <w:gridSpan w:val="2"/>
          </w:tcPr>
          <w:p>
            <w:pPr>
              <w:ind w:left="1060"/>
              <w:spacing w:after="0"/>
              <w:rPr>
                <w:sz w:val="20"/>
                <w:szCs w:val="20"/>
                <w:color w:val="auto"/>
              </w:rPr>
            </w:pPr>
            <w:r>
              <w:rPr>
                <w:rFonts w:ascii="Arial" w:cs="Arial" w:eastAsia="Arial" w:hAnsi="Arial"/>
                <w:sz w:val="18"/>
                <w:szCs w:val="18"/>
                <w:color w:val="auto"/>
              </w:rPr>
              <w:t>President and CEO</w:t>
            </w: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A. Liening</w:t>
            </w:r>
          </w:p>
        </w:tc>
        <w:tc>
          <w:tcPr>
            <w:tcW w:w="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38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6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 Jeffrey Leuenberger</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Vice President and Treasurer</w:t>
            </w: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142"/>
        </w:trPr>
        <w:tc>
          <w:tcPr>
            <w:tcW w:w="20" w:type="dxa"/>
            <w:vAlign w:val="bottom"/>
          </w:tcPr>
          <w:p>
            <w:pPr>
              <w:spacing w:after="0"/>
              <w:rPr>
                <w:sz w:val="12"/>
                <w:szCs w:val="12"/>
                <w:color w:val="auto"/>
              </w:rPr>
            </w:pPr>
          </w:p>
        </w:tc>
        <w:tc>
          <w:tcPr>
            <w:tcW w:w="1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Jeffrey Leuenberger</w:t>
            </w:r>
          </w:p>
        </w:tc>
        <w:tc>
          <w:tcPr>
            <w:tcW w:w="2060" w:type="dxa"/>
            <w:vAlign w:val="bottom"/>
            <w:gridSpan w:val="2"/>
          </w:tcPr>
          <w:p>
            <w:pPr>
              <w:spacing w:after="0"/>
              <w:rPr>
                <w:sz w:val="12"/>
                <w:szCs w:val="12"/>
                <w:color w:val="auto"/>
              </w:rPr>
            </w:pPr>
          </w:p>
        </w:tc>
        <w:tc>
          <w:tcPr>
            <w:tcW w:w="382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(Principal Financial Officer and</w:t>
            </w:r>
          </w:p>
        </w:tc>
        <w:tc>
          <w:tcPr>
            <w:tcW w:w="236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240"/>
          </w:cols>
          <w:pgMar w:left="320" w:top="76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1868 VENTURES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TEMECULA OPERATIONS,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SMGM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SCOTTS COMPANY LLC</w:t>
      </w:r>
    </w:p>
    <w:p>
      <w:pPr>
        <w:spacing w:after="0" w:line="238"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James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James Hagedorn</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Hagedorn</w:t>
            </w:r>
          </w:p>
        </w:tc>
        <w:tc>
          <w:tcPr>
            <w:tcW w:w="242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Cory J. Miller</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Executive Vice 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Cory J. Miller</w:t>
            </w:r>
          </w:p>
        </w:tc>
        <w:tc>
          <w:tcPr>
            <w:tcW w:w="2580" w:type="dxa"/>
            <w:vAlign w:val="bottom"/>
            <w:gridSpan w:val="3"/>
          </w:tcPr>
          <w:p>
            <w:pPr>
              <w:spacing w:after="0"/>
              <w:rPr>
                <w:sz w:val="12"/>
                <w:szCs w:val="12"/>
                <w:color w:val="auto"/>
              </w:rPr>
            </w:pPr>
          </w:p>
        </w:tc>
        <w:tc>
          <w:tcPr>
            <w:tcW w:w="3740" w:type="dxa"/>
            <w:vAlign w:val="bottom"/>
            <w:gridSpan w:val="2"/>
          </w:tcPr>
          <w:p>
            <w:pPr>
              <w:ind w:left="720"/>
              <w:spacing w:after="0" w:line="142" w:lineRule="exact"/>
              <w:rPr>
                <w:sz w:val="20"/>
                <w:szCs w:val="20"/>
                <w:color w:val="auto"/>
              </w:rPr>
            </w:pPr>
            <w:r>
              <w:rPr>
                <w:rFonts w:ascii="Arial" w:cs="Arial" w:eastAsia="Arial" w:hAnsi="Arial"/>
                <w:sz w:val="16"/>
                <w:szCs w:val="16"/>
                <w:color w:val="auto"/>
              </w:rPr>
              <w:t>and Chief Financial Officer</w:t>
            </w:r>
          </w:p>
        </w:tc>
        <w:tc>
          <w:tcPr>
            <w:tcW w:w="2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240"/>
          </w:cols>
          <w:pgMar w:left="320" w:top="769"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HAWTHORNE COLLECTIVE,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HAWTHORNE GARDENING COMPANY</w:t>
      </w:r>
    </w:p>
    <w:p>
      <w:pPr>
        <w:spacing w:after="0" w:line="238"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Christopher J.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ind w:left="138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Christopher J. Hagedorn</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9"/>
              </w:rPr>
              <w:t>Christopher J. Hagedorn</w:t>
            </w:r>
          </w:p>
        </w:tc>
        <w:tc>
          <w:tcPr>
            <w:tcW w:w="184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Mark J. Scheiwer</w:t>
            </w:r>
          </w:p>
        </w:tc>
        <w:tc>
          <w:tcPr>
            <w:tcW w:w="37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Mark J. Scheiwer</w:t>
            </w:r>
          </w:p>
        </w:tc>
        <w:tc>
          <w:tcPr>
            <w:tcW w:w="280" w:type="dxa"/>
            <w:vAlign w:val="bottom"/>
          </w:tcPr>
          <w:p>
            <w:pPr>
              <w:spacing w:after="0"/>
              <w:rPr>
                <w:sz w:val="12"/>
                <w:szCs w:val="12"/>
                <w:color w:val="auto"/>
              </w:rPr>
            </w:pPr>
          </w:p>
        </w:tc>
        <w:tc>
          <w:tcPr>
            <w:tcW w:w="206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 Principal</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782"/>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Michael C. Lukemire</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C. Lukemire</w:t>
            </w:r>
          </w:p>
        </w:tc>
        <w:tc>
          <w:tcPr>
            <w:tcW w:w="2060" w:type="dxa"/>
            <w:vAlign w:val="bottom"/>
            <w:gridSpan w:val="3"/>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ectPr>
          <w:pgSz w:w="11900" w:h="16838" w:orient="portrait"/>
          <w:cols w:equalWidth="0" w:num="1">
            <w:col w:w="11240"/>
          </w:cols>
          <w:pgMar w:left="320" w:top="76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The Scotts Miracle-Gro Company, an Ohio corporation (the “Company”), and certain subsidiaries of the Company (the “Guarantors”) in connection with the Registration Statement on Form S-4 (the “Registration Statement”) filed by the Company and the Guarantors with the Securities and Exchange Commission under the Securities Act of 1933, as amended (the “Securities Act”), relating to the issuance by the Company of up to $500,000,000 aggregate principal amount of its 4.000% Senior Notes due 2031 (the “Exchange Notes”) and the issuance by the Guarantors of guarantees (the “Guarantees”) of the Company’s obligations with respect to the Exchange Notes. The Exchange Notes and the Guarantees will be issued pursuant to an Indenture, dated as of March 17, 2021 (the “Indenture”), by and among the Company, the Guarantors and U.S. Bank National Association, as Trustee (the “Trustee”). The Exchange Notes and the Guarantees will be offered (the “Exchange Offer”) by the Company and the Guarantors, respectively, in exchange for an equal principal amount of the Company’s outstanding unregistered 4.000% Senior Notes due 2031 (the “Original Notes”) and the guarantees thereof.</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giving this opinion in connection with the Registration Statement and in accordance with the requirements of Item 601(b)(5) of Regulation S-K promulgated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rendering this opinion, we have examined, among other things: (i) the Registration Statement; (ii) the Indenture; (iii) the form of the Exchange Notes;</w:t>
      </w:r>
    </w:p>
    <w:p>
      <w:pPr>
        <w:spacing w:after="0" w:line="46" w:lineRule="exact"/>
        <w:rPr>
          <w:sz w:val="20"/>
          <w:szCs w:val="20"/>
          <w:color w:val="auto"/>
        </w:rPr>
      </w:pPr>
    </w:p>
    <w:p>
      <w:pPr>
        <w:ind w:right="120" w:firstLine="8"/>
        <w:spacing w:after="0" w:line="288" w:lineRule="auto"/>
        <w:tabs>
          <w:tab w:leader="none" w:pos="3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form of the Guarantees; (v) the Articles of Incorporation of the Company, as amended and currently in effect; (vi) the Code of Regulations of the Company as currently in effect; (vii) the resolutions adopted by the Board of Directors of the Company and committees thereof relating to the Exchange Offer; and (viii) the corporate documents and records of each of the Guarantors as currently in effect, consisting of their respective articles or certificate of organization or formation (or similar organizational documents), their respective operating, limited liability company or partnership agreement (or similar organizational documents) and copies of the resolutions adopted by their respective managers, members or partners relating to the Exchange Offer.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opinion is subject to (i) the effect of applicable bankruptcy, insolvency, reorganization, moratorium, fraudulent conveyance, fraudulent transfer or other similar laws now or hereafter in effect relating to creditors’ rights generally</w:t>
      </w:r>
    </w:p>
    <w:p>
      <w:pPr>
        <w:sectPr>
          <w:pgSz w:w="11900" w:h="16838" w:orient="portrait"/>
          <w:cols w:equalWidth="0" w:num="1">
            <w:col w:w="11240"/>
          </w:cols>
          <w:pgMar w:left="320" w:top="1417"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and (ii) the limitations imposed by general principles of equity (regardless of whether enforceability is considered in a proceeding at law or in equity).</w:t>
      </w:r>
    </w:p>
    <w:p>
      <w:pPr>
        <w:spacing w:after="0" w:line="23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Based upon and subject to the foregoing, we are of the opinion that (i) the Exchange Notes, when issued in accordance with the terms of the Indenture, duly executed by the Company, duly authenticated by the Trustee and exchanged for the Original Notes in accordance with the terms of the Exchange Offer as set forth in the Prospectus that forms a part of the Registration Statement, will constitute the valid and binding obligations of the Company and (ii) the Guarantees, when duly executed, issued and delivered by the Guarantors, will constitute the valid and binding obligations of each of the Guarantors.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opinions expressed herein are limited to the laws of the State of Delaware, the laws of the State of Nevada, the laws of the State of California, the laws of the State of New York and the laws of the State of Ohio, and we do not express any opinion as to the laws of any other jurisdiction. We express no opinion with respect to those matters herein and, to the extent elements of those opinions are necessary to the conclusions expressed herein, we have assumed such matters.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Except in connection with the Registration Statement as aforesaid, no portion of this opinion may be quoted or otherwise used by any person without our prior written consent.</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240"/>
          </w:cols>
          <w:pgMar w:left="320" w:top="14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20"/>
        <w:spacing w:after="0" w:line="310" w:lineRule="auto"/>
        <w:rPr>
          <w:sz w:val="20"/>
          <w:szCs w:val="20"/>
          <w:color w:val="auto"/>
        </w:rPr>
      </w:pPr>
      <w:r>
        <w:rPr>
          <w:rFonts w:ascii="Arial" w:cs="Arial" w:eastAsia="Arial" w:hAnsi="Arial"/>
          <w:sz w:val="18"/>
          <w:szCs w:val="18"/>
          <w:color w:val="auto"/>
        </w:rPr>
        <w:t>Directly owned subsidiaries of The Scotts Miracle-Gro Company, an Ohio corporation, as of December 10, 2021, are located at the left margin, each subsidiary tier thereunder is indented. Subsidiaries are listed under the names of their respective parent entities. Unless otherwise noted, the subsidiaries are wholly-owned.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0"/>
        </w:trPr>
        <w:tc>
          <w:tcPr>
            <w:tcW w:w="8720" w:type="dxa"/>
            <w:vAlign w:val="bottom"/>
            <w:gridSpan w:val="2"/>
            <w:vMerge w:val="continue"/>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22"/>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5"/>
        </w:trPr>
        <w:tc>
          <w:tcPr>
            <w:tcW w:w="8720" w:type="dxa"/>
            <w:vAlign w:val="bottom"/>
            <w:gridSpan w:val="2"/>
          </w:tcPr>
          <w:p>
            <w:pPr>
              <w:ind w:left="160"/>
              <w:spacing w:after="0" w:line="235" w:lineRule="exact"/>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1"/>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69"/>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183" w:lineRule="auto"/>
        <w:tabs>
          <w:tab w:leader="none" w:pos="12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119" w:name="page120"/>
    <w:bookmarkEnd w:id="119"/>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1"/>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50"/>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71"/>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69"/>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04"/>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183" w:lineRule="auto"/>
        <w:tabs>
          <w:tab w:leader="none" w:pos="10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6" w:lineRule="auto"/>
        <w:tabs>
          <w:tab w:leader="none" w:pos="100" w:val="left"/>
        </w:tabs>
        <w:numPr>
          <w:ilvl w:val="0"/>
          <w:numId w:val="136"/>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1030" w:right="1440" w:bottom="1440" w:gutter="0" w:footer="0" w:header="0"/>
        </w:sectPr>
      </w:pPr>
    </w:p>
    <w:bookmarkStart w:id="120" w:name="page121"/>
    <w:bookmarkEnd w:id="120"/>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05740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860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consent to the incorporation by reference in this Registration Statement on Form S-4 of our reports dated November 23, 2021, relating to the consolidated financial statements and consolidated financial statement schedules of The Scotts Miracle-Gro Company and subsidiaries (the “Company”) (which report expresses an unqualified opinion and includes an explanatory paragraph regarding the Company’s adoption of Financial Accounting Standards Board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and accounting guidance related to inventory valuation for the change in accounting for a portion of its inventories to the first-in, first-out method which was determined to be a preferable accounting principle for such inventories), and to the effectiveness of the Company’s internal control over financial reporting, appearing in the Annual Report on Form 10-K of the Company for the fiscal year ended September 30, 2021.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240030</wp:posOffset>
            </wp:positionV>
            <wp:extent cx="623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266065</wp:posOffset>
            </wp:positionV>
            <wp:extent cx="623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4340"/>
        <w:spacing w:after="0"/>
        <w:rPr>
          <w:sz w:val="20"/>
          <w:szCs w:val="20"/>
          <w:color w:val="auto"/>
        </w:rPr>
      </w:pPr>
      <w:r>
        <w:rPr>
          <w:rFonts w:ascii="Arial" w:cs="Arial" w:eastAsia="Arial" w:hAnsi="Arial"/>
          <w:sz w:val="20"/>
          <w:szCs w:val="20"/>
          <w:color w:val="auto"/>
        </w:rPr>
        <w:t>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T-1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OF ELIGIBILITY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 TRUST INDENTURE ACT OF 1939</w:t>
      </w:r>
    </w:p>
    <w:p>
      <w:pPr>
        <w:jc w:val="center"/>
        <w:spacing w:after="0"/>
        <w:rPr>
          <w:sz w:val="20"/>
          <w:szCs w:val="20"/>
          <w:color w:val="auto"/>
        </w:rPr>
      </w:pPr>
      <w:r>
        <w:rPr>
          <w:rFonts w:ascii="Arial" w:cs="Arial" w:eastAsia="Arial" w:hAnsi="Arial"/>
          <w:sz w:val="20"/>
          <w:szCs w:val="20"/>
          <w:b w:val="1"/>
          <w:bCs w:val="1"/>
          <w:color w:val="auto"/>
        </w:rPr>
        <w:t>OF A CORPORATION DESIGNATED TO ACT AS TRUSTEE</w:t>
      </w:r>
    </w:p>
    <w:p>
      <w:pPr>
        <w:spacing w:after="0" w:line="229" w:lineRule="exact"/>
        <w:rPr>
          <w:sz w:val="20"/>
          <w:szCs w:val="20"/>
          <w:color w:val="auto"/>
        </w:rPr>
      </w:pPr>
    </w:p>
    <w:p>
      <w:pPr>
        <w:ind w:left="700" w:hanging="368"/>
        <w:spacing w:after="0"/>
        <w:tabs>
          <w:tab w:leader="none" w:pos="700" w:val="left"/>
        </w:tabs>
        <w:numPr>
          <w:ilvl w:val="0"/>
          <w:numId w:val="137"/>
        </w:numPr>
        <w:rPr>
          <w:rFonts w:ascii="MS PGothic" w:cs="MS PGothic" w:eastAsia="MS PGothic" w:hAnsi="MS PGothic"/>
          <w:sz w:val="18"/>
          <w:szCs w:val="18"/>
          <w:color w:val="auto"/>
        </w:rPr>
      </w:pPr>
      <w:r>
        <w:rPr>
          <w:rFonts w:ascii="Arial" w:cs="Arial" w:eastAsia="Arial" w:hAnsi="Arial"/>
          <w:sz w:val="18"/>
          <w:szCs w:val="18"/>
          <w:color w:val="auto"/>
        </w:rPr>
        <w:t>CHECK IF AN APPLICATION TO DETERMINE ELIGIBILITY OF A TRUSTEE PURSUANT TO SECTION 305(b)(2)</w:t>
      </w:r>
    </w:p>
    <w:p>
      <w:pPr>
        <w:spacing w:after="0" w:line="22"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Arial" w:cs="Arial" w:eastAsia="Arial" w:hAnsi="Arial"/>
          <w:sz w:val="20"/>
          <w:szCs w:val="20"/>
          <w:color w:val="auto"/>
        </w:rPr>
        <w:t>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U.S. BANK NATIONAL ASSOCIATION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126" w:lineRule="exact"/>
        <w:rPr>
          <w:sz w:val="20"/>
          <w:szCs w:val="20"/>
          <w:color w:val="auto"/>
        </w:rPr>
      </w:pPr>
    </w:p>
    <w:p>
      <w:pPr>
        <w:ind w:left="880"/>
        <w:spacing w:after="0"/>
        <w:tabs>
          <w:tab w:leader="none" w:pos="7280" w:val="left"/>
        </w:tabs>
        <w:rPr>
          <w:sz w:val="20"/>
          <w:szCs w:val="20"/>
          <w:color w:val="auto"/>
        </w:rPr>
      </w:pPr>
      <w:r>
        <w:rPr>
          <w:rFonts w:ascii="Arial" w:cs="Arial" w:eastAsia="Arial" w:hAnsi="Arial"/>
          <w:sz w:val="18"/>
          <w:szCs w:val="18"/>
          <w:b w:val="1"/>
          <w:bCs w:val="1"/>
          <w:color w:val="auto"/>
        </w:rPr>
        <w:t>800 Nicollet Mall, Minneapolis, Minnesota</w:t>
      </w:r>
      <w:r>
        <w:rPr>
          <w:sz w:val="20"/>
          <w:szCs w:val="20"/>
          <w:color w:val="auto"/>
        </w:rPr>
        <w:tab/>
      </w:r>
      <w:r>
        <w:rPr>
          <w:rFonts w:ascii="Arial" w:cs="Arial" w:eastAsia="Arial" w:hAnsi="Arial"/>
          <w:sz w:val="16"/>
          <w:szCs w:val="16"/>
          <w:b w:val="1"/>
          <w:bCs w:val="1"/>
          <w:color w:val="auto"/>
        </w:rPr>
        <w:t>55402</w:t>
      </w:r>
    </w:p>
    <w:p>
      <w:pPr>
        <w:spacing w:after="0" w:line="27" w:lineRule="exact"/>
        <w:rPr>
          <w:sz w:val="20"/>
          <w:szCs w:val="20"/>
          <w:color w:val="auto"/>
        </w:rPr>
      </w:pPr>
    </w:p>
    <w:p>
      <w:pPr>
        <w:ind w:left="1080"/>
        <w:spacing w:after="0"/>
        <w:tabs>
          <w:tab w:leader="none" w:pos="71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Katherine Esber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West Broad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Columbus, OH 43215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(614) 232-8019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Scotts-Miracle Gro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pacing w:after="0" w:line="111" w:lineRule="exact"/>
        <w:rPr>
          <w:sz w:val="20"/>
          <w:szCs w:val="20"/>
          <w:color w:val="auto"/>
        </w:rPr>
      </w:pPr>
    </w:p>
    <w:p>
      <w:pPr>
        <w:ind w:left="2880"/>
        <w:spacing w:after="0"/>
        <w:tabs>
          <w:tab w:leader="none" w:pos="7620" w:val="left"/>
        </w:tabs>
        <w:rPr>
          <w:sz w:val="20"/>
          <w:szCs w:val="20"/>
          <w:color w:val="auto"/>
        </w:rPr>
      </w:pPr>
      <w:r>
        <w:rPr>
          <w:rFonts w:ascii="Arial" w:cs="Arial" w:eastAsia="Arial" w:hAnsi="Arial"/>
          <w:sz w:val="18"/>
          <w:szCs w:val="18"/>
          <w:b w:val="1"/>
          <w:bCs w:val="1"/>
          <w:color w:val="auto"/>
        </w:rPr>
        <w:t>Ohio</w:t>
      </w:r>
      <w:r>
        <w:rPr>
          <w:sz w:val="20"/>
          <w:szCs w:val="20"/>
          <w:color w:val="auto"/>
        </w:rPr>
        <w:tab/>
      </w:r>
      <w:r>
        <w:rPr>
          <w:rFonts w:ascii="Arial" w:cs="Arial" w:eastAsia="Arial" w:hAnsi="Arial"/>
          <w:sz w:val="18"/>
          <w:szCs w:val="18"/>
          <w:b w:val="1"/>
          <w:bCs w:val="1"/>
          <w:color w:val="auto"/>
        </w:rPr>
        <w:t>31-1414921</w:t>
      </w:r>
    </w:p>
    <w:p>
      <w:pPr>
        <w:spacing w:after="0" w:line="11" w:lineRule="exact"/>
        <w:rPr>
          <w:sz w:val="20"/>
          <w:szCs w:val="20"/>
          <w:color w:val="auto"/>
        </w:rPr>
      </w:pPr>
    </w:p>
    <w:p>
      <w:pPr>
        <w:ind w:left="2000"/>
        <w:spacing w:after="0"/>
        <w:tabs>
          <w:tab w:leader="none" w:pos="674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 Identification No.)</w:t>
      </w:r>
    </w:p>
    <w:p>
      <w:pPr>
        <w:ind w:left="2000"/>
        <w:spacing w:after="0"/>
        <w:rPr>
          <w:sz w:val="20"/>
          <w:szCs w:val="20"/>
          <w:color w:val="auto"/>
        </w:rPr>
      </w:pPr>
      <w:r>
        <w:rPr>
          <w:rFonts w:ascii="Arial" w:cs="Arial" w:eastAsia="Arial" w:hAnsi="Arial"/>
          <w:sz w:val="18"/>
          <w:szCs w:val="18"/>
          <w:color w:val="auto"/>
        </w:rPr>
        <w:t>incorporation or organization)</w:t>
      </w:r>
    </w:p>
    <w:p>
      <w:pPr>
        <w:spacing w:after="0" w:line="124" w:lineRule="exact"/>
        <w:rPr>
          <w:sz w:val="20"/>
          <w:szCs w:val="20"/>
          <w:color w:val="auto"/>
        </w:rPr>
      </w:pPr>
    </w:p>
    <w:p>
      <w:pPr>
        <w:ind w:left="900"/>
        <w:spacing w:after="0"/>
        <w:tabs>
          <w:tab w:leader="none" w:pos="7240" w:val="left"/>
        </w:tabs>
        <w:rPr>
          <w:sz w:val="20"/>
          <w:szCs w:val="20"/>
          <w:color w:val="auto"/>
        </w:rPr>
      </w:pPr>
      <w:r>
        <w:rPr>
          <w:rFonts w:ascii="Arial" w:cs="Arial" w:eastAsia="Arial" w:hAnsi="Arial"/>
          <w:sz w:val="18"/>
          <w:szCs w:val="18"/>
          <w:b w:val="1"/>
          <w:bCs w:val="1"/>
          <w:color w:val="auto"/>
        </w:rPr>
        <w:t>14111 Scottslawn Road, Marysville, Ohio</w:t>
      </w:r>
      <w:r>
        <w:rPr>
          <w:sz w:val="20"/>
          <w:szCs w:val="20"/>
          <w:color w:val="auto"/>
        </w:rPr>
        <w:tab/>
      </w:r>
      <w:r>
        <w:rPr>
          <w:rFonts w:ascii="Arial" w:cs="Arial" w:eastAsia="Arial" w:hAnsi="Arial"/>
          <w:sz w:val="15"/>
          <w:szCs w:val="15"/>
          <w:b w:val="1"/>
          <w:bCs w:val="1"/>
          <w:color w:val="auto"/>
        </w:rPr>
        <w:t>43041</w:t>
      </w:r>
    </w:p>
    <w:p>
      <w:pPr>
        <w:spacing w:after="0" w:line="27" w:lineRule="exact"/>
        <w:rPr>
          <w:sz w:val="20"/>
          <w:szCs w:val="20"/>
          <w:color w:val="auto"/>
        </w:rPr>
      </w:pPr>
    </w:p>
    <w:p>
      <w:pPr>
        <w:ind w:left="1040"/>
        <w:spacing w:after="0"/>
        <w:tabs>
          <w:tab w:leader="none" w:pos="70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0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__________________________</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 Senior Notes due 2031</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and Guarantees of 4.000% Senior Notes due 2031</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220345</wp:posOffset>
            </wp:positionV>
            <wp:extent cx="6231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245745</wp:posOffset>
            </wp:positionV>
            <wp:extent cx="6231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Table of Additional Obligors on following page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91" w:right="3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TABLE OF ADDITIONAL OBLIGORS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4.000% Senior Notes due 2031 and are co-obligors.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2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Exact Name of Co-Obligor as</w:t>
            </w:r>
          </w:p>
        </w:tc>
        <w:tc>
          <w:tcPr>
            <w:tcW w:w="338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State or Other Jurisdiction</w:t>
            </w:r>
          </w:p>
        </w:tc>
        <w:tc>
          <w:tcPr>
            <w:tcW w:w="460" w:type="dxa"/>
            <w:vAlign w:val="bottom"/>
          </w:tcPr>
          <w:p>
            <w:pPr>
              <w:spacing w:after="0"/>
              <w:rPr>
                <w:sz w:val="17"/>
                <w:szCs w:val="17"/>
                <w:color w:val="auto"/>
              </w:rPr>
            </w:pPr>
          </w:p>
        </w:tc>
        <w:tc>
          <w:tcPr>
            <w:tcW w:w="21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175"/>
        </w:trPr>
        <w:tc>
          <w:tcPr>
            <w:tcW w:w="4220" w:type="dxa"/>
            <w:vAlign w:val="bottom"/>
            <w:gridSpan w:val="3"/>
            <w:vMerge w:val="continue"/>
          </w:tcPr>
          <w:p>
            <w:pPr>
              <w:spacing w:after="0"/>
              <w:rPr>
                <w:sz w:val="15"/>
                <w:szCs w:val="15"/>
                <w:color w:val="auto"/>
              </w:rPr>
            </w:pPr>
          </w:p>
        </w:tc>
        <w:tc>
          <w:tcPr>
            <w:tcW w:w="3380" w:type="dxa"/>
            <w:vAlign w:val="bottom"/>
            <w:gridSpan w:val="3"/>
          </w:tcPr>
          <w:p>
            <w:pPr>
              <w:jc w:val="center"/>
              <w:ind w:left="270"/>
              <w:spacing w:after="0" w:line="176" w:lineRule="exact"/>
              <w:rPr>
                <w:sz w:val="20"/>
                <w:szCs w:val="20"/>
                <w:color w:val="auto"/>
              </w:rPr>
            </w:pPr>
            <w:r>
              <w:rPr>
                <w:rFonts w:ascii="Arial" w:cs="Arial" w:eastAsia="Arial" w:hAnsi="Arial"/>
                <w:sz w:val="18"/>
                <w:szCs w:val="18"/>
                <w:b w:val="1"/>
                <w:bCs w:val="1"/>
                <w:color w:val="auto"/>
                <w:w w:val="93"/>
              </w:rPr>
              <w:t>of Incorporation or</w:t>
            </w:r>
          </w:p>
        </w:tc>
        <w:tc>
          <w:tcPr>
            <w:tcW w:w="4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gridSpan w:val="3"/>
          </w:tcPr>
          <w:p>
            <w:pPr>
              <w:ind w:left="1380"/>
              <w:spacing w:after="0" w:line="189" w:lineRule="exact"/>
              <w:rPr>
                <w:sz w:val="20"/>
                <w:szCs w:val="20"/>
                <w:color w:val="auto"/>
              </w:rPr>
            </w:pPr>
            <w:r>
              <w:rPr>
                <w:rFonts w:ascii="Arial" w:cs="Arial" w:eastAsia="Arial" w:hAnsi="Arial"/>
                <w:sz w:val="18"/>
                <w:szCs w:val="18"/>
                <w:b w:val="1"/>
                <w:bCs w:val="1"/>
                <w:color w:val="auto"/>
              </w:rPr>
              <w:t>Specified in its Charter</w:t>
            </w:r>
          </w:p>
        </w:tc>
        <w:tc>
          <w:tcPr>
            <w:tcW w:w="3380" w:type="dxa"/>
            <w:vAlign w:val="bottom"/>
            <w:gridSpan w:val="3"/>
          </w:tcPr>
          <w:p>
            <w:pPr>
              <w:jc w:val="center"/>
              <w:ind w:left="270"/>
              <w:spacing w:after="0" w:line="189" w:lineRule="exact"/>
              <w:rPr>
                <w:sz w:val="20"/>
                <w:szCs w:val="20"/>
                <w:color w:val="auto"/>
              </w:rPr>
            </w:pPr>
            <w:r>
              <w:rPr>
                <w:rFonts w:ascii="Arial" w:cs="Arial" w:eastAsia="Arial" w:hAnsi="Arial"/>
                <w:sz w:val="18"/>
                <w:szCs w:val="18"/>
                <w:b w:val="1"/>
                <w:bCs w:val="1"/>
                <w:color w:val="auto"/>
                <w:w w:val="92"/>
              </w:rPr>
              <w:t>Organization</w:t>
            </w:r>
          </w:p>
        </w:tc>
        <w:tc>
          <w:tcPr>
            <w:tcW w:w="260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92"/>
              </w:rPr>
              <w:t>Identification Number</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1868 Ventures LLC(2)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84-3517359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AeroGrow International, Inc.(2)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86"/>
              </w:rPr>
              <w:t>Nevada</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46-0510685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GenSource, Inc.(1)</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47-3691890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Hawthorne Hydroponics LLC(3)</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35-2524504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HGCI, Inc.(4)</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86"/>
              </w:rPr>
              <w:t>Nevada</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47-3426969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Hyponex Corporation(2)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31-1254519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Miracle-Gro Lawn Products, Inc.(2)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4"/>
              </w:rPr>
              <w:t>New York</w:t>
            </w:r>
          </w:p>
        </w:tc>
        <w:tc>
          <w:tcPr>
            <w:tcW w:w="21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11-3186421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OMS Investments, Inc.(5)</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51-0357374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Rod McLellan Company(2)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7"/>
              </w:rPr>
              <w:t>California</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94-1439564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Sanford Scientific, Inc.(2)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4"/>
              </w:rPr>
              <w:t>New York</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16-1279959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Live Goods Holdings, Inc.(2)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85-3887581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Scotts Manufacturing Company(2)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42-1508875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Products Co.(2)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31-1269080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Scotts Professional Products Co.(2)</w:t>
            </w:r>
          </w:p>
        </w:tc>
        <w:tc>
          <w:tcPr>
            <w:tcW w:w="1360" w:type="dxa"/>
            <w:vAlign w:val="bottom"/>
          </w:tcPr>
          <w:p>
            <w:pPr>
              <w:spacing w:after="0"/>
              <w:rPr>
                <w:sz w:val="19"/>
                <w:szCs w:val="19"/>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31-1269066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Scotts-Sierra Investments LLC(2)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51-0371209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Scotts Temecula Operations, LLC(2)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33-0978312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SMG Growing Media, Inc.(2)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20-3544126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SMGM LLC(2)</w:t>
            </w:r>
          </w:p>
        </w:tc>
        <w:tc>
          <w:tcPr>
            <w:tcW w:w="1360" w:type="dxa"/>
            <w:vAlign w:val="bottom"/>
          </w:tcPr>
          <w:p>
            <w:pPr>
              <w:spacing w:after="0"/>
              <w:rPr>
                <w:sz w:val="19"/>
                <w:szCs w:val="19"/>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27-0434530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Swiss Farms Products, Inc.(4)</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88-0407223</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The Hawthorne Collective, Inc.(2)</w:t>
            </w:r>
          </w:p>
        </w:tc>
        <w:tc>
          <w:tcPr>
            <w:tcW w:w="1360" w:type="dxa"/>
            <w:vAlign w:val="bottom"/>
          </w:tcPr>
          <w:p>
            <w:pPr>
              <w:spacing w:after="0"/>
              <w:rPr>
                <w:sz w:val="19"/>
                <w:szCs w:val="19"/>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87-1006204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 Hawthorne Gardening Company(3)</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46-5720038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The Scotts Company LLC(2)</w:t>
            </w:r>
          </w:p>
        </w:tc>
        <w:tc>
          <w:tcPr>
            <w:tcW w:w="1360" w:type="dxa"/>
            <w:vAlign w:val="bottom"/>
          </w:tcPr>
          <w:p>
            <w:pPr>
              <w:spacing w:after="0"/>
              <w:rPr>
                <w:sz w:val="20"/>
                <w:szCs w:val="20"/>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31-1414921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400" w:hanging="392"/>
        <w:spacing w:after="0"/>
        <w:tabs>
          <w:tab w:leader="none" w:pos="4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34" w:lineRule="exact"/>
        <w:rPr>
          <w:rFonts w:ascii="Arial" w:cs="Arial" w:eastAsia="Arial" w:hAnsi="Arial"/>
          <w:sz w:val="17"/>
          <w:szCs w:val="17"/>
          <w:color w:val="auto"/>
        </w:rPr>
      </w:pPr>
    </w:p>
    <w:p>
      <w:pPr>
        <w:ind w:left="420" w:hanging="412"/>
        <w:spacing w:after="0" w:line="250" w:lineRule="auto"/>
        <w:tabs>
          <w:tab w:leader="none" w:pos="53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ind w:left="420" w:hanging="412"/>
        <w:spacing w:after="0" w:line="250" w:lineRule="auto"/>
        <w:tabs>
          <w:tab w:leader="none" w:pos="4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ind w:left="420" w:hanging="412"/>
        <w:spacing w:after="0" w:line="250" w:lineRule="auto"/>
        <w:tabs>
          <w:tab w:leader="none" w:pos="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ind w:left="420" w:hanging="412"/>
        <w:spacing w:after="0" w:line="260" w:lineRule="auto"/>
        <w:tabs>
          <w:tab w:leader="none" w:pos="43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34" w:right="339" w:bottom="1440" w:gutter="0" w:footer="0" w:header="0"/>
        </w:sectPr>
      </w:pPr>
    </w:p>
    <w:bookmarkStart w:id="123" w:name="page124"/>
    <w:bookmarkEnd w:id="123"/>
    <w:p>
      <w:pPr>
        <w:jc w:val="center"/>
        <w:ind w:right="-139"/>
        <w:spacing w:after="0"/>
        <w:rPr>
          <w:sz w:val="20"/>
          <w:szCs w:val="20"/>
          <w:color w:val="auto"/>
        </w:rPr>
      </w:pPr>
      <w:r>
        <w:rPr>
          <w:rFonts w:ascii="Arial" w:cs="Arial" w:eastAsia="Arial" w:hAnsi="Arial"/>
          <w:sz w:val="22"/>
          <w:szCs w:val="22"/>
          <w:b w:val="1"/>
          <w:bCs w:val="1"/>
          <w:u w:val="single" w:color="auto"/>
          <w:color w:val="auto"/>
        </w:rPr>
        <w:t>FORM T-1</w:t>
      </w:r>
    </w:p>
    <w:p>
      <w:pPr>
        <w:spacing w:after="0" w:line="2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Furnish the following information as to the Trustee:</w:t>
      </w:r>
    </w:p>
    <w:p>
      <w:pPr>
        <w:spacing w:after="0" w:line="256" w:lineRule="exact"/>
        <w:rPr>
          <w:sz w:val="20"/>
          <w:szCs w:val="20"/>
          <w:color w:val="auto"/>
        </w:rPr>
      </w:pPr>
    </w:p>
    <w:p>
      <w:pPr>
        <w:ind w:left="1620" w:hanging="316"/>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Washington, D.C.</w:t>
      </w:r>
    </w:p>
    <w:p>
      <w:pPr>
        <w:spacing w:after="0" w:line="238" w:lineRule="exact"/>
        <w:rPr>
          <w:sz w:val="20"/>
          <w:szCs w:val="20"/>
          <w:color w:val="auto"/>
        </w:rPr>
      </w:pPr>
    </w:p>
    <w:p>
      <w:pPr>
        <w:ind w:left="1000" w:right="5920" w:hanging="412"/>
        <w:spacing w:after="0" w:line="529" w:lineRule="auto"/>
        <w:tabs>
          <w:tab w:leader="none" w:pos="909"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THE OBLIGOR. </w:t>
      </w:r>
      <w:r>
        <w:rPr>
          <w:rFonts w:ascii="Arial" w:cs="Arial" w:eastAsia="Arial" w:hAnsi="Arial"/>
          <w:sz w:val="17"/>
          <w:szCs w:val="17"/>
          <w:i w:val="1"/>
          <w:iCs w:val="1"/>
          <w:color w:val="auto"/>
        </w:rPr>
        <w:t>If the obligor is an affiliate of the Trustee, describe each such affiliation.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1040" w:hanging="1295"/>
        <w:spacing w:after="0" w:line="277"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3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Exhibit</w:t>
      </w:r>
    </w:p>
    <w:p>
      <w:pPr>
        <w:ind w:left="1400"/>
        <w:spacing w:after="0"/>
        <w:tabs>
          <w:tab w:leader="none" w:pos="224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128" w:lineRule="exact"/>
        <w:rPr>
          <w:sz w:val="20"/>
          <w:szCs w:val="20"/>
          <w:color w:val="auto"/>
        </w:rPr>
      </w:pPr>
    </w:p>
    <w:p>
      <w:pPr>
        <w:ind w:left="2260" w:hanging="857"/>
        <w:spacing w:after="0"/>
        <w:tabs>
          <w:tab w:leader="none" w:pos="2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 *</w:t>
      </w:r>
    </w:p>
    <w:p>
      <w:pPr>
        <w:spacing w:after="0" w:line="171" w:lineRule="exact"/>
        <w:rPr>
          <w:sz w:val="20"/>
          <w:szCs w:val="20"/>
          <w:color w:val="auto"/>
        </w:rPr>
      </w:pPr>
    </w:p>
    <w:p>
      <w:pPr>
        <w:ind w:left="2260" w:right="2620" w:hanging="857"/>
        <w:spacing w:after="0" w:line="277" w:lineRule="auto"/>
        <w:tabs>
          <w:tab w:leader="none" w:pos="2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16" w:lineRule="exact"/>
        <w:rPr>
          <w:sz w:val="20"/>
          <w:szCs w:val="20"/>
          <w:color w:val="auto"/>
        </w:rPr>
      </w:pPr>
    </w:p>
    <w:p>
      <w:pPr>
        <w:ind w:left="2260" w:right="2660" w:hanging="857"/>
        <w:spacing w:after="0" w:line="277" w:lineRule="auto"/>
        <w:tabs>
          <w:tab w:leader="none" w:pos="2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16" w:lineRule="exact"/>
        <w:rPr>
          <w:sz w:val="20"/>
          <w:szCs w:val="20"/>
          <w:color w:val="auto"/>
        </w:rPr>
      </w:pPr>
    </w:p>
    <w:p>
      <w:pPr>
        <w:ind w:left="2260" w:hanging="857"/>
        <w:spacing w:after="0"/>
        <w:tabs>
          <w:tab w:leader="none" w:pos="2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copy of the existing bylaws of the Trustee. **</w:t>
      </w:r>
    </w:p>
    <w:p>
      <w:pPr>
        <w:spacing w:after="0" w:line="171" w:lineRule="exact"/>
        <w:rPr>
          <w:sz w:val="20"/>
          <w:szCs w:val="20"/>
          <w:color w:val="auto"/>
        </w:rPr>
      </w:pPr>
    </w:p>
    <w:p>
      <w:pPr>
        <w:ind w:left="2260" w:hanging="857"/>
        <w:spacing w:after="0"/>
        <w:tabs>
          <w:tab w:leader="none" w:pos="2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71" w:lineRule="exact"/>
        <w:rPr>
          <w:sz w:val="20"/>
          <w:szCs w:val="20"/>
          <w:color w:val="auto"/>
        </w:rPr>
      </w:pPr>
    </w:p>
    <w:p>
      <w:pPr>
        <w:ind w:left="2260" w:right="2400" w:hanging="857"/>
        <w:spacing w:after="0" w:line="277" w:lineRule="auto"/>
        <w:tabs>
          <w:tab w:leader="none" w:pos="2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16" w:lineRule="exact"/>
        <w:rPr>
          <w:sz w:val="20"/>
          <w:szCs w:val="20"/>
          <w:color w:val="auto"/>
        </w:rPr>
      </w:pPr>
    </w:p>
    <w:p>
      <w:pPr>
        <w:ind w:left="2260" w:right="2400" w:hanging="857"/>
        <w:spacing w:after="0" w:line="342" w:lineRule="auto"/>
        <w:tabs>
          <w:tab w:leader="none" w:pos="2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Report of Condition of the Trustee as of September 30, 2021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36195</wp:posOffset>
            </wp:positionV>
            <wp:extent cx="47917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63" w:lineRule="exact"/>
        <w:rPr>
          <w:sz w:val="20"/>
          <w:szCs w:val="20"/>
          <w:color w:val="auto"/>
        </w:rPr>
      </w:pPr>
    </w:p>
    <w:p>
      <w:pPr>
        <w:ind w:left="1780" w:right="2440" w:hanging="377"/>
        <w:spacing w:after="0" w:line="277" w:lineRule="auto"/>
        <w:tabs>
          <w:tab w:leader="none" w:pos="1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16" w:lineRule="exact"/>
        <w:rPr>
          <w:sz w:val="20"/>
          <w:szCs w:val="20"/>
          <w:color w:val="auto"/>
        </w:rPr>
      </w:pPr>
    </w:p>
    <w:p>
      <w:pPr>
        <w:ind w:left="1780" w:hanging="377"/>
        <w:spacing w:after="0"/>
        <w:tabs>
          <w:tab w:leader="none" w:pos="1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 filed on June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20"/>
          </w:cols>
          <w:pgMar w:left="320" w:top="895" w:right="45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80"/>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Ohio on the 10th day of December,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BANK NATIONAL ASSOCIATION</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-10160</wp:posOffset>
            </wp:positionV>
            <wp:extent cx="1104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891" w:right="4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4560570" cy="5897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560570" cy="589788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891" w:right="1440" w:bottom="1440"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Exhibit 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440" w:right="1440" w:bottom="1440" w:gutter="0" w:footer="0" w:header="0"/>
        </w:sectPr>
      </w:pPr>
    </w:p>
    <w:bookmarkStart w:id="127" w:name="page128"/>
    <w:bookmarkEnd w:id="127"/>
    <w:p>
      <w:pPr>
        <w:jc w:val="center"/>
        <w:ind w:right="-119"/>
        <w:spacing w:after="0"/>
        <w:rPr>
          <w:sz w:val="20"/>
          <w:szCs w:val="20"/>
          <w:color w:val="auto"/>
        </w:rPr>
      </w:pPr>
      <w:r>
        <w:rPr>
          <w:rFonts w:ascii="Arial" w:cs="Arial" w:eastAsia="Arial" w:hAnsi="Arial"/>
          <w:sz w:val="18"/>
          <w:szCs w:val="18"/>
          <w:b w:val="1"/>
          <w:bCs w:val="1"/>
          <w:color w:val="auto"/>
        </w:rPr>
        <w:t>Exhibit 6</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w:t>
      </w:r>
    </w:p>
    <w:p>
      <w:pPr>
        <w:spacing w:after="0" w:line="256"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-10160</wp:posOffset>
            </wp:positionV>
            <wp:extent cx="11042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20"/>
          </w:cols>
          <w:pgMar w:left="320" w:top="891" w:right="4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1"/>
                <w:szCs w:val="21"/>
                <w:color w:val="auto"/>
              </w:rPr>
            </w:pPr>
          </w:p>
        </w:tc>
        <w:tc>
          <w:tcPr>
            <w:tcW w:w="3060" w:type="dxa"/>
            <w:vAlign w:val="bottom"/>
            <w:gridSpan w:val="2"/>
          </w:tcPr>
          <w:p>
            <w:pPr>
              <w:jc w:val="center"/>
              <w:ind w:right="2220"/>
              <w:spacing w:after="0"/>
              <w:rPr>
                <w:sz w:val="20"/>
                <w:szCs w:val="20"/>
                <w:color w:val="auto"/>
              </w:rPr>
            </w:pPr>
            <w:r>
              <w:rPr>
                <w:rFonts w:ascii="Arial" w:cs="Arial" w:eastAsia="Arial" w:hAnsi="Arial"/>
                <w:sz w:val="22"/>
                <w:szCs w:val="22"/>
                <w:b w:val="1"/>
                <w:bCs w:val="1"/>
                <w:color w:val="auto"/>
                <w:w w:val="91"/>
              </w:rPr>
              <w:t>Exhibit 7</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60" w:type="dxa"/>
            <w:vAlign w:val="bottom"/>
            <w:gridSpan w:val="3"/>
          </w:tcPr>
          <w:p>
            <w:pPr>
              <w:jc w:val="center"/>
              <w:ind w:left="1772"/>
              <w:spacing w:after="0"/>
              <w:rPr>
                <w:sz w:val="20"/>
                <w:szCs w:val="20"/>
                <w:color w:val="auto"/>
              </w:rPr>
            </w:pPr>
            <w:r>
              <w:rPr>
                <w:rFonts w:ascii="Arial" w:cs="Arial" w:eastAsia="Arial" w:hAnsi="Arial"/>
                <w:sz w:val="22"/>
                <w:szCs w:val="22"/>
                <w:b w:val="1"/>
                <w:bCs w:val="1"/>
                <w:color w:val="auto"/>
                <w:w w:val="88"/>
              </w:rPr>
              <w:t>U.S. Bank National Association</w:t>
            </w: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160" w:type="dxa"/>
            <w:vAlign w:val="bottom"/>
            <w:gridSpan w:val="3"/>
          </w:tcPr>
          <w:p>
            <w:pPr>
              <w:jc w:val="center"/>
              <w:ind w:left="1792"/>
              <w:spacing w:after="0" w:line="247" w:lineRule="exact"/>
              <w:rPr>
                <w:sz w:val="20"/>
                <w:szCs w:val="20"/>
                <w:color w:val="auto"/>
              </w:rPr>
            </w:pPr>
            <w:r>
              <w:rPr>
                <w:rFonts w:ascii="Arial" w:cs="Arial" w:eastAsia="Arial" w:hAnsi="Arial"/>
                <w:sz w:val="22"/>
                <w:szCs w:val="22"/>
                <w:b w:val="1"/>
                <w:bCs w:val="1"/>
                <w:color w:val="auto"/>
                <w:w w:val="89"/>
              </w:rPr>
              <w:t>Statement of Financial Condition</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60" w:type="dxa"/>
            <w:vAlign w:val="bottom"/>
            <w:gridSpan w:val="3"/>
          </w:tcPr>
          <w:p>
            <w:pPr>
              <w:jc w:val="center"/>
              <w:ind w:left="1772"/>
              <w:spacing w:after="0"/>
              <w:rPr>
                <w:sz w:val="20"/>
                <w:szCs w:val="20"/>
                <w:color w:val="auto"/>
              </w:rPr>
            </w:pPr>
            <w:r>
              <w:rPr>
                <w:rFonts w:ascii="Arial" w:cs="Arial" w:eastAsia="Arial" w:hAnsi="Arial"/>
                <w:sz w:val="20"/>
                <w:szCs w:val="20"/>
                <w:b w:val="1"/>
                <w:bCs w:val="1"/>
                <w:color w:val="auto"/>
                <w:w w:val="88"/>
              </w:rPr>
              <w:t>As of 9/30/2021</w:t>
            </w: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4100" w:type="dxa"/>
            <w:vAlign w:val="bottom"/>
          </w:tcPr>
          <w:p>
            <w:pPr>
              <w:spacing w:after="0"/>
              <w:rPr>
                <w:sz w:val="24"/>
                <w:szCs w:val="24"/>
                <w:color w:val="auto"/>
              </w:rPr>
            </w:pPr>
          </w:p>
        </w:tc>
        <w:tc>
          <w:tcPr>
            <w:tcW w:w="3060" w:type="dxa"/>
            <w:vAlign w:val="bottom"/>
            <w:gridSpan w:val="2"/>
          </w:tcPr>
          <w:p>
            <w:pPr>
              <w:jc w:val="center"/>
              <w:ind w:right="2220"/>
              <w:spacing w:after="0"/>
              <w:rPr>
                <w:sz w:val="20"/>
                <w:szCs w:val="20"/>
                <w:color w:val="auto"/>
              </w:rPr>
            </w:pPr>
            <w:r>
              <w:rPr>
                <w:rFonts w:ascii="Arial" w:cs="Arial" w:eastAsia="Arial" w:hAnsi="Arial"/>
                <w:sz w:val="22"/>
                <w:szCs w:val="22"/>
                <w:b w:val="1"/>
                <w:bCs w:val="1"/>
                <w:color w:val="auto"/>
                <w:w w:val="87"/>
              </w:rPr>
              <w:t>($000’s)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6"/>
        </w:trPr>
        <w:tc>
          <w:tcPr>
            <w:tcW w:w="716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Assets</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9/30/2021</w:t>
            </w:r>
          </w:p>
        </w:tc>
        <w:tc>
          <w:tcPr>
            <w:tcW w:w="0" w:type="dxa"/>
            <w:vAlign w:val="bottom"/>
          </w:tcPr>
          <w:p>
            <w:pPr>
              <w:spacing w:after="0"/>
              <w:rPr>
                <w:sz w:val="1"/>
                <w:szCs w:val="1"/>
                <w:color w:val="auto"/>
              </w:rPr>
            </w:pPr>
          </w:p>
        </w:tc>
      </w:tr>
      <w:tr>
        <w:trPr>
          <w:trHeight w:val="244"/>
        </w:trPr>
        <w:tc>
          <w:tcPr>
            <w:tcW w:w="716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Cash and Balances Due From</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63,715,510</w:t>
            </w:r>
          </w:p>
        </w:tc>
        <w:tc>
          <w:tcPr>
            <w:tcW w:w="0" w:type="dxa"/>
            <w:vAlign w:val="bottom"/>
          </w:tcPr>
          <w:p>
            <w:pPr>
              <w:spacing w:after="0"/>
              <w:rPr>
                <w:sz w:val="1"/>
                <w:szCs w:val="1"/>
                <w:color w:val="auto"/>
              </w:rPr>
            </w:pPr>
          </w:p>
        </w:tc>
      </w:tr>
      <w:tr>
        <w:trPr>
          <w:trHeight w:val="270"/>
        </w:trPr>
        <w:tc>
          <w:tcPr>
            <w:tcW w:w="7160" w:type="dxa"/>
            <w:vAlign w:val="bottom"/>
            <w:gridSpan w:val="3"/>
          </w:tcPr>
          <w:p>
            <w:pPr>
              <w:ind w:left="580"/>
              <w:spacing w:after="0"/>
              <w:rPr>
                <w:sz w:val="20"/>
                <w:szCs w:val="20"/>
                <w:color w:val="auto"/>
              </w:rPr>
            </w:pPr>
            <w:r>
              <w:rPr>
                <w:rFonts w:ascii="Arial" w:cs="Arial" w:eastAsia="Arial" w:hAnsi="Arial"/>
                <w:sz w:val="22"/>
                <w:szCs w:val="22"/>
                <w:color w:val="auto"/>
              </w:rPr>
              <w:t>Depository Institutions</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Securities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148,000,109</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Federal Funds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22,403</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Loans &amp; Lease Financing Receivables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298,005,995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Fixed Assets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6,031,305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Intangible Assets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13,529,305</w:t>
            </w:r>
          </w:p>
        </w:tc>
        <w:tc>
          <w:tcPr>
            <w:tcW w:w="0" w:type="dxa"/>
            <w:vAlign w:val="bottom"/>
          </w:tcPr>
          <w:p>
            <w:pPr>
              <w:spacing w:after="0"/>
              <w:rPr>
                <w:sz w:val="1"/>
                <w:szCs w:val="1"/>
                <w:color w:val="auto"/>
              </w:rPr>
            </w:pPr>
          </w:p>
        </w:tc>
      </w:tr>
      <w:tr>
        <w:trPr>
          <w:trHeight w:val="274"/>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Other Assets</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27,506,020</w:t>
            </w:r>
          </w:p>
        </w:tc>
        <w:tc>
          <w:tcPr>
            <w:tcW w:w="0" w:type="dxa"/>
            <w:vAlign w:val="bottom"/>
          </w:tcPr>
          <w:p>
            <w:pPr>
              <w:spacing w:after="0"/>
              <w:rPr>
                <w:sz w:val="1"/>
                <w:szCs w:val="1"/>
                <w:color w:val="auto"/>
              </w:rPr>
            </w:pPr>
          </w:p>
        </w:tc>
      </w:tr>
      <w:tr>
        <w:trPr>
          <w:trHeight w:val="277"/>
        </w:trPr>
        <w:tc>
          <w:tcPr>
            <w:tcW w:w="7160" w:type="dxa"/>
            <w:vAlign w:val="bottom"/>
            <w:gridSpan w:val="3"/>
          </w:tcPr>
          <w:p>
            <w:pPr>
              <w:ind w:left="240"/>
              <w:spacing w:after="0"/>
              <w:rPr>
                <w:sz w:val="20"/>
                <w:szCs w:val="20"/>
                <w:color w:val="auto"/>
              </w:rPr>
            </w:pPr>
            <w:r>
              <w:rPr>
                <w:rFonts w:ascii="Arial" w:cs="Arial" w:eastAsia="Arial" w:hAnsi="Arial"/>
                <w:sz w:val="22"/>
                <w:szCs w:val="22"/>
                <w:b w:val="1"/>
                <w:bCs w:val="1"/>
                <w:color w:val="auto"/>
              </w:rPr>
              <w:t>Total Assets</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556,810,647</w:t>
            </w:r>
          </w:p>
        </w:tc>
        <w:tc>
          <w:tcPr>
            <w:tcW w:w="0" w:type="dxa"/>
            <w:vAlign w:val="bottom"/>
          </w:tcPr>
          <w:p>
            <w:pPr>
              <w:spacing w:after="0"/>
              <w:rPr>
                <w:sz w:val="1"/>
                <w:szCs w:val="1"/>
                <w:color w:val="auto"/>
              </w:rPr>
            </w:pPr>
          </w:p>
        </w:tc>
      </w:tr>
      <w:tr>
        <w:trPr>
          <w:trHeight w:val="522"/>
        </w:trPr>
        <w:tc>
          <w:tcPr>
            <w:tcW w:w="7160" w:type="dxa"/>
            <w:vAlign w:val="bottom"/>
            <w:gridSpan w:val="3"/>
          </w:tcPr>
          <w:p>
            <w:pPr>
              <w:spacing w:after="0"/>
              <w:rPr>
                <w:sz w:val="20"/>
                <w:szCs w:val="20"/>
                <w:color w:val="auto"/>
              </w:rPr>
            </w:pPr>
            <w:r>
              <w:rPr>
                <w:rFonts w:ascii="Arial" w:cs="Arial" w:eastAsia="Arial" w:hAnsi="Arial"/>
                <w:sz w:val="22"/>
                <w:szCs w:val="22"/>
                <w:b w:val="1"/>
                <w:bCs w:val="1"/>
                <w:color w:val="auto"/>
              </w:rPr>
              <w:t>Liabilities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Deposits</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449,625,649</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Fed Funds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2,016,875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Treasury Demand Notes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Trading Liabilities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1,136,642</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Other Borrowed Money</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33,001,952</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Acceptances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Subordinated Notes and Debentures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3,600,000</w:t>
            </w:r>
          </w:p>
        </w:tc>
        <w:tc>
          <w:tcPr>
            <w:tcW w:w="0" w:type="dxa"/>
            <w:vAlign w:val="bottom"/>
          </w:tcPr>
          <w:p>
            <w:pPr>
              <w:spacing w:after="0"/>
              <w:rPr>
                <w:sz w:val="1"/>
                <w:szCs w:val="1"/>
                <w:color w:val="auto"/>
              </w:rPr>
            </w:pPr>
          </w:p>
        </w:tc>
      </w:tr>
      <w:tr>
        <w:trPr>
          <w:trHeight w:val="274"/>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Other Liabilities</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14,733,477</w:t>
            </w:r>
          </w:p>
        </w:tc>
        <w:tc>
          <w:tcPr>
            <w:tcW w:w="0" w:type="dxa"/>
            <w:vAlign w:val="bottom"/>
          </w:tcPr>
          <w:p>
            <w:pPr>
              <w:spacing w:after="0"/>
              <w:rPr>
                <w:sz w:val="1"/>
                <w:szCs w:val="1"/>
                <w:color w:val="auto"/>
              </w:rPr>
            </w:pPr>
          </w:p>
        </w:tc>
      </w:tr>
      <w:tr>
        <w:trPr>
          <w:trHeight w:val="277"/>
        </w:trPr>
        <w:tc>
          <w:tcPr>
            <w:tcW w:w="7160" w:type="dxa"/>
            <w:vAlign w:val="bottom"/>
            <w:gridSpan w:val="3"/>
          </w:tcPr>
          <w:p>
            <w:pPr>
              <w:ind w:left="240"/>
              <w:spacing w:after="0"/>
              <w:rPr>
                <w:sz w:val="20"/>
                <w:szCs w:val="20"/>
                <w:color w:val="auto"/>
              </w:rPr>
            </w:pPr>
            <w:r>
              <w:rPr>
                <w:rFonts w:ascii="Arial" w:cs="Arial" w:eastAsia="Arial" w:hAnsi="Arial"/>
                <w:sz w:val="22"/>
                <w:szCs w:val="22"/>
                <w:b w:val="1"/>
                <w:bCs w:val="1"/>
                <w:color w:val="auto"/>
              </w:rPr>
              <w:t>Total Liabilities</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504,114,595</w:t>
            </w:r>
          </w:p>
        </w:tc>
        <w:tc>
          <w:tcPr>
            <w:tcW w:w="0" w:type="dxa"/>
            <w:vAlign w:val="bottom"/>
          </w:tcPr>
          <w:p>
            <w:pPr>
              <w:spacing w:after="0"/>
              <w:rPr>
                <w:sz w:val="1"/>
                <w:szCs w:val="1"/>
                <w:color w:val="auto"/>
              </w:rPr>
            </w:pPr>
          </w:p>
        </w:tc>
      </w:tr>
      <w:tr>
        <w:trPr>
          <w:trHeight w:val="522"/>
        </w:trPr>
        <w:tc>
          <w:tcPr>
            <w:tcW w:w="7160" w:type="dxa"/>
            <w:vAlign w:val="bottom"/>
            <w:gridSpan w:val="3"/>
          </w:tcPr>
          <w:p>
            <w:pPr>
              <w:spacing w:after="0"/>
              <w:rPr>
                <w:sz w:val="20"/>
                <w:szCs w:val="20"/>
                <w:color w:val="auto"/>
              </w:rPr>
            </w:pPr>
            <w:r>
              <w:rPr>
                <w:rFonts w:ascii="Arial" w:cs="Arial" w:eastAsia="Arial" w:hAnsi="Arial"/>
                <w:sz w:val="22"/>
                <w:szCs w:val="22"/>
                <w:b w:val="1"/>
                <w:bCs w:val="1"/>
                <w:color w:val="auto"/>
              </w:rPr>
              <w:t>Equity</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Common and Preferred Stock</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18,200</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Surplus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14,266,915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Undivided Profits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37,606,027</w:t>
            </w:r>
          </w:p>
        </w:tc>
        <w:tc>
          <w:tcPr>
            <w:tcW w:w="0" w:type="dxa"/>
            <w:vAlign w:val="bottom"/>
          </w:tcPr>
          <w:p>
            <w:pPr>
              <w:spacing w:after="0"/>
              <w:rPr>
                <w:sz w:val="1"/>
                <w:szCs w:val="1"/>
                <w:color w:val="auto"/>
              </w:rPr>
            </w:pPr>
          </w:p>
        </w:tc>
      </w:tr>
      <w:tr>
        <w:trPr>
          <w:trHeight w:val="274"/>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Minority Interest in Subsidiaries</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804,910</w:t>
            </w:r>
          </w:p>
        </w:tc>
        <w:tc>
          <w:tcPr>
            <w:tcW w:w="0" w:type="dxa"/>
            <w:vAlign w:val="bottom"/>
          </w:tcPr>
          <w:p>
            <w:pPr>
              <w:spacing w:after="0"/>
              <w:rPr>
                <w:sz w:val="1"/>
                <w:szCs w:val="1"/>
                <w:color w:val="auto"/>
              </w:rPr>
            </w:pPr>
          </w:p>
        </w:tc>
      </w:tr>
      <w:tr>
        <w:trPr>
          <w:trHeight w:val="277"/>
        </w:trPr>
        <w:tc>
          <w:tcPr>
            <w:tcW w:w="7160" w:type="dxa"/>
            <w:vAlign w:val="bottom"/>
            <w:gridSpan w:val="3"/>
          </w:tcPr>
          <w:p>
            <w:pPr>
              <w:ind w:left="580"/>
              <w:spacing w:after="0"/>
              <w:rPr>
                <w:sz w:val="20"/>
                <w:szCs w:val="20"/>
                <w:color w:val="auto"/>
              </w:rPr>
            </w:pPr>
            <w:r>
              <w:rPr>
                <w:rFonts w:ascii="Arial" w:cs="Arial" w:eastAsia="Arial" w:hAnsi="Arial"/>
                <w:sz w:val="22"/>
                <w:szCs w:val="22"/>
                <w:b w:val="1"/>
                <w:bCs w:val="1"/>
                <w:color w:val="auto"/>
              </w:rPr>
              <w:t>Total Equity Capital</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52,696,052</w:t>
            </w:r>
          </w:p>
        </w:tc>
        <w:tc>
          <w:tcPr>
            <w:tcW w:w="0" w:type="dxa"/>
            <w:vAlign w:val="bottom"/>
          </w:tcPr>
          <w:p>
            <w:pPr>
              <w:spacing w:after="0"/>
              <w:rPr>
                <w:sz w:val="1"/>
                <w:szCs w:val="1"/>
                <w:color w:val="auto"/>
              </w:rPr>
            </w:pPr>
          </w:p>
        </w:tc>
      </w:tr>
      <w:tr>
        <w:trPr>
          <w:trHeight w:val="526"/>
        </w:trPr>
        <w:tc>
          <w:tcPr>
            <w:tcW w:w="7160" w:type="dxa"/>
            <w:vAlign w:val="bottom"/>
            <w:gridSpan w:val="3"/>
          </w:tcPr>
          <w:p>
            <w:pPr>
              <w:spacing w:after="0"/>
              <w:rPr>
                <w:sz w:val="20"/>
                <w:szCs w:val="20"/>
                <w:color w:val="auto"/>
              </w:rPr>
            </w:pPr>
            <w:r>
              <w:rPr>
                <w:rFonts w:ascii="Arial" w:cs="Arial" w:eastAsia="Arial" w:hAnsi="Arial"/>
                <w:sz w:val="22"/>
                <w:szCs w:val="22"/>
                <w:b w:val="1"/>
                <w:bCs w:val="1"/>
                <w:color w:val="auto"/>
              </w:rPr>
              <w:t>Total Liabilities and Equity Capital</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556,810,647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60"/>
          </w:cols>
          <w:pgMar w:left="1420" w:top="872" w:right="14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$500 million aggregate principal amount of outstanding unregistered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AT3 and U8602T AE8)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0" w:lineRule="exact"/>
        <w:rPr>
          <w:sz w:val="20"/>
          <w:szCs w:val="20"/>
          <w:color w:val="auto"/>
        </w:rPr>
      </w:pPr>
    </w:p>
    <w:tbl>
      <w:tblPr>
        <w:tblLayout w:type="fixed"/>
        <w:tblInd w:w="3360" w:type="dxa"/>
        <w:tblCellMar>
          <w:top w:w="0" w:type="dxa"/>
          <w:left w:w="0" w:type="dxa"/>
          <w:bottom w:w="0" w:type="dxa"/>
          <w:right w:w="0" w:type="dxa"/>
        </w:tblCellMar>
      </w:tblPr>
      <w:tr>
        <w:trPr>
          <w:trHeight w:val="280"/>
        </w:trPr>
        <w:tc>
          <w:tcPr>
            <w:tcW w:w="3520" w:type="dxa"/>
            <w:vAlign w:val="bottom"/>
          </w:tcPr>
          <w:p>
            <w:pPr>
              <w:spacing w:after="0"/>
              <w:rPr>
                <w:sz w:val="20"/>
                <w:szCs w:val="20"/>
                <w:color w:val="auto"/>
              </w:rPr>
            </w:pPr>
            <w:r>
              <w:rPr>
                <w:rFonts w:ascii="Arial" w:cs="Arial" w:eastAsia="Arial" w:hAnsi="Arial"/>
                <w:sz w:val="22"/>
                <w:szCs w:val="22"/>
                <w:b w:val="1"/>
                <w:bCs w:val="1"/>
                <w:color w:val="auto"/>
                <w:w w:val="99"/>
              </w:rPr>
              <w:t>Pursuant to the Prospectus dated</w:t>
            </w:r>
          </w:p>
        </w:tc>
        <w:tc>
          <w:tcPr>
            <w:tcW w:w="1000" w:type="dxa"/>
            <w:vAlign w:val="bottom"/>
          </w:tcPr>
          <w:p>
            <w:pPr>
              <w:jc w:val="right"/>
              <w:spacing w:after="0"/>
              <w:rPr>
                <w:sz w:val="20"/>
                <w:szCs w:val="20"/>
                <w:color w:val="auto"/>
              </w:rPr>
            </w:pPr>
            <w:r>
              <w:rPr>
                <w:rFonts w:ascii="Arial" w:cs="Arial" w:eastAsia="Arial" w:hAnsi="Arial"/>
                <w:sz w:val="22"/>
                <w:szCs w:val="22"/>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Bank National Association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7"/>
          <w:szCs w:val="17"/>
          <w:i w:val="1"/>
          <w:iCs w:val="1"/>
          <w:color w:val="auto"/>
        </w:rPr>
        <w:t>By facsimile (for eligible institutions only):</w:t>
      </w:r>
    </w:p>
    <w:p>
      <w:pPr>
        <w:jc w:val="center"/>
        <w:ind w:right="480"/>
        <w:spacing w:after="0" w:line="203" w:lineRule="auto"/>
        <w:rPr>
          <w:sz w:val="20"/>
          <w:szCs w:val="20"/>
          <w:color w:val="auto"/>
        </w:rPr>
      </w:pPr>
      <w:r>
        <w:rPr>
          <w:rFonts w:ascii="Arial" w:cs="Arial" w:eastAsia="Arial" w:hAnsi="Arial"/>
          <w:sz w:val="18"/>
          <w:szCs w:val="18"/>
          <w:color w:val="auto"/>
        </w:rPr>
        <w:t>(651) 466-7372</w:t>
      </w:r>
    </w:p>
    <w:p>
      <w:pPr>
        <w:jc w:val="center"/>
        <w:ind w:right="48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Arial" w:cs="Arial" w:eastAsia="Arial" w:hAnsi="Arial"/>
          <w:sz w:val="16"/>
          <w:szCs w:val="16"/>
          <w:i w:val="1"/>
          <w:iCs w:val="1"/>
          <w:color w:val="auto"/>
        </w:rPr>
        <w:t>For information or confirmation by telephone:</w:t>
      </w:r>
    </w:p>
    <w:p>
      <w:pPr>
        <w:jc w:val="center"/>
        <w:ind w:right="960"/>
        <w:spacing w:after="0" w:line="212" w:lineRule="auto"/>
        <w:rPr>
          <w:sz w:val="20"/>
          <w:szCs w:val="20"/>
          <w:color w:val="auto"/>
        </w:rPr>
      </w:pPr>
      <w:r>
        <w:rPr>
          <w:rFonts w:ascii="Arial" w:cs="Arial" w:eastAsia="Arial" w:hAnsi="Arial"/>
          <w:sz w:val="18"/>
          <w:szCs w:val="18"/>
          <w:color w:val="auto"/>
        </w:rPr>
        <w:t>Specialized Finance</w:t>
      </w:r>
    </w:p>
    <w:p>
      <w:pPr>
        <w:jc w:val="center"/>
        <w:ind w:right="960"/>
        <w:spacing w:after="0"/>
        <w:rPr>
          <w:sz w:val="20"/>
          <w:szCs w:val="20"/>
          <w:color w:val="auto"/>
        </w:rPr>
      </w:pPr>
      <w:r>
        <w:rPr>
          <w:rFonts w:ascii="Arial" w:cs="Arial" w:eastAsia="Arial" w:hAnsi="Arial"/>
          <w:sz w:val="18"/>
          <w:szCs w:val="18"/>
          <w:color w:val="auto"/>
        </w:rPr>
        <w:t>(800) 934-6802</w:t>
      </w:r>
    </w:p>
    <w:p>
      <w:pPr>
        <w:spacing w:after="0" w:line="200" w:lineRule="exact"/>
        <w:rPr>
          <w:sz w:val="20"/>
          <w:szCs w:val="20"/>
          <w:color w:val="auto"/>
        </w:rPr>
      </w:pPr>
    </w:p>
    <w:p>
      <w:pPr>
        <w:sectPr>
          <w:pgSz w:w="11900" w:h="16838" w:orient="portrait"/>
          <w:cols w:equalWidth="0" w:num="2">
            <w:col w:w="6200" w:space="720"/>
            <w:col w:w="4320"/>
          </w:cols>
          <w:pgMar w:left="320" w:top="526" w:right="339" w:bottom="1440" w:gutter="0" w:footer="0" w:header="0"/>
          <w:type w:val="continuous"/>
        </w:sectPr>
      </w:pPr>
    </w:p>
    <w:p>
      <w:pPr>
        <w:spacing w:after="0" w:line="5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TO TENDER ORIGINAL NOTES FOR EXCHANGE, THIS LETTER OF TRANSMITTAL (OR, IF TENDERING BY BOOK-ENTRY TRANSFER, AN AGENT’S MESSAGE) MUST BE DELIVERED TO THE EXCHANGE AGENT AT ITS ADDRESS SET FORTH ABOVE, TOGETHER WITH ALL REQUIRED DOCUMENTATION, AT OR PRIOR TO THE EXPIRATION TIME.</w:t>
      </w:r>
    </w:p>
    <w:p>
      <w:pPr>
        <w:spacing w:after="0" w:line="12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THE ONE LISTED ABOVE WILL NOT CONSTITUTE A VALID DELIVERY.</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INSTRUCTIONS CONTAINED IN THIS LETTER OF TRANSMITTAL SHOULD BE READ CAREFULLY BEFORE THIS LETTER OF TRANSMITTAL IS COMPLETED.</w:t>
      </w:r>
    </w:p>
    <w:p>
      <w:pPr>
        <w:spacing w:after="0" w:line="200" w:lineRule="exact"/>
        <w:rPr>
          <w:sz w:val="20"/>
          <w:szCs w:val="20"/>
          <w:color w:val="auto"/>
        </w:rPr>
      </w:pP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By execution of this Letter of Transmittal, the undersigned acknowledges that it has received the prospectus dated , 2021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this Letter of Transmittal relating to the Company’s offer to exchange up to $500 million aggregate principal amount of its outstanding unregistered 4.000% Senior Notes due 2031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4.000% Senior Notes due 2031 (the “</w:t>
      </w:r>
      <w:r>
        <w:rPr>
          <w:rFonts w:ascii="Arial" w:cs="Arial" w:eastAsia="Arial" w:hAnsi="Arial"/>
          <w:sz w:val="18"/>
          <w:szCs w:val="18"/>
          <w:b w:val="1"/>
          <w:bCs w:val="1"/>
          <w:i w:val="1"/>
          <w:iCs w:val="1"/>
          <w:color w:val="auto"/>
        </w:rPr>
        <w:t>Exchange</w:t>
      </w:r>
    </w:p>
    <w:p>
      <w:pPr>
        <w:sectPr>
          <w:pgSz w:w="11900" w:h="16838" w:orient="portrait"/>
          <w:cols w:equalWidth="0" w:num="1">
            <w:col w:w="11240"/>
          </w:cols>
          <w:pgMar w:left="320" w:top="526" w:right="339" w:bottom="1440" w:gutter="0" w:footer="0" w:header="0"/>
          <w:type w:val="continuous"/>
        </w:sectPr>
      </w:pPr>
    </w:p>
    <w:bookmarkStart w:id="130" w:name="page131"/>
    <w:bookmarkEnd w:id="130"/>
    <w:p>
      <w:pPr>
        <w:ind w:right="540"/>
        <w:spacing w:after="0" w:line="277" w:lineRule="auto"/>
        <w:rPr>
          <w:sz w:val="20"/>
          <w:szCs w:val="20"/>
          <w:color w:val="auto"/>
        </w:rPr>
      </w:pPr>
      <w:r>
        <w:rPr>
          <w:rFonts w:ascii="Arial" w:cs="Arial" w:eastAsia="Arial" w:hAnsi="Arial"/>
          <w:sz w:val="18"/>
          <w:szCs w:val="18"/>
          <w:b w:val="1"/>
          <w:bCs w:val="1"/>
          <w:i w:val="1"/>
          <w:iCs w:val="1"/>
          <w:color w:val="auto"/>
        </w:rPr>
        <w:t>Notes</w:t>
      </w:r>
      <w:r>
        <w:rPr>
          <w:rFonts w:ascii="Arial" w:cs="Arial" w:eastAsia="Arial" w:hAnsi="Arial"/>
          <w:sz w:val="18"/>
          <w:szCs w:val="18"/>
          <w:color w:val="auto"/>
        </w:rPr>
        <w:t>”), subject to the terms and conditions set forth in the Prospectus and this Letter of Transmittal (which, together, as the same may be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16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PLEASE READ THIS LETTER OF TRANSMITTAL AND THE ACCOMPANYING PROSPECTUS IN THEIR ENTIRETY BEFORE CHECKING ANY BOX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Letter of Transmittal is to be used to tender Original Notes:</w:t>
      </w:r>
    </w:p>
    <w:p>
      <w:pPr>
        <w:spacing w:after="0" w:line="225"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certificates representing tendered Original Notes are to be physically forwarded herewith to the Exchange Agent;</w:t>
      </w:r>
    </w:p>
    <w:p>
      <w:pPr>
        <w:spacing w:after="0" w:line="225" w:lineRule="exact"/>
        <w:rPr>
          <w:rFonts w:ascii="Arial" w:cs="Arial" w:eastAsia="Arial" w:hAnsi="Arial"/>
          <w:sz w:val="18"/>
          <w:szCs w:val="18"/>
          <w:color w:val="auto"/>
        </w:rPr>
      </w:pPr>
    </w:p>
    <w:p>
      <w:pPr>
        <w:jc w:val="both"/>
        <w:ind w:left="660" w:right="400" w:hanging="328"/>
        <w:spacing w:after="0" w:line="286" w:lineRule="auto"/>
        <w:tabs>
          <w:tab w:leader="none" w:pos="6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 tender is to be made by book-entry transfer to the Exchange Agent’s account at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through DTC’s Automated Tender Offer Program (“</w:t>
      </w:r>
      <w:r>
        <w:rPr>
          <w:rFonts w:ascii="Arial" w:cs="Arial" w:eastAsia="Arial" w:hAnsi="Arial"/>
          <w:sz w:val="17"/>
          <w:szCs w:val="17"/>
          <w:b w:val="1"/>
          <w:bCs w:val="1"/>
          <w:i w:val="1"/>
          <w:iCs w:val="1"/>
          <w:color w:val="auto"/>
        </w:rPr>
        <w:t>ATOP</w:t>
      </w:r>
      <w:r>
        <w:rPr>
          <w:rFonts w:ascii="Arial" w:cs="Arial" w:eastAsia="Arial" w:hAnsi="Arial"/>
          <w:sz w:val="17"/>
          <w:szCs w:val="17"/>
          <w:color w:val="auto"/>
        </w:rPr>
        <w:t xml:space="preserve">”) pursuant to the procedures set forth in the Prospectus under the caption “The Exchange Offer— Book-Entry Transfer,”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an Agent’s Message (as defined below) is transmitted in lieu thereof; or</w:t>
      </w:r>
    </w:p>
    <w:p>
      <w:pPr>
        <w:spacing w:after="0" w:line="165"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tender is to be made pursuant to the guaranteed delivery procedures described in the Prospectus under the caption “The Exchange Offer— Guaranteed Delivery Procedures.”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Agent’s Message</w:t>
      </w:r>
      <w:r>
        <w:rPr>
          <w:rFonts w:ascii="Arial" w:cs="Arial" w:eastAsia="Arial" w:hAnsi="Arial"/>
          <w:sz w:val="18"/>
          <w:szCs w:val="18"/>
          <w:color w:val="auto"/>
        </w:rPr>
        <w:t>” means a message, electronically transmitted by DTC to the Exchange Agent, forming part of a book-entry transfer, which states that DTC has received an express acknowledgement from the tendering holder of the Original Notes that such holder has received and agrees to be bound by, and makes each of the representations contained in, this Letter of Transmittal and, further, that such holder agrees that the Company may enforce this Letter of Transmittal against such holder.</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Only registered holders are entitled to tender their Original Notes for exchange in the Exchange Offer. In order for a registered holder of Original Notes to tender all or any portion of such holder’s Original Notes, (i) the Exchange Agent must receive, at or prior to the Expiration Time, (a) this Letter of Transmittal or, if tendering by book-entry transfer, an Agent’s Message, (b)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holder must comply with the guaranteed delivery procedures set forth below.</w:t>
      </w:r>
    </w:p>
    <w:p>
      <w:pPr>
        <w:spacing w:after="0" w:line="16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Any participant in DTC’s system whose name appears on a security position listing as the registered holder of Original Notes and who wishes to make book-entry transfer of the Original Notes to the Exchange Agent’s account at DTC may execute the tender through ATOP, for which the Exchange Offer will be eligible, by following the applicable book-entry procedures of DTC. Upon such tender of Original Notes:</w:t>
      </w:r>
    </w:p>
    <w:p>
      <w:pPr>
        <w:spacing w:after="0" w:line="165" w:lineRule="exact"/>
        <w:rPr>
          <w:sz w:val="20"/>
          <w:szCs w:val="20"/>
          <w:color w:val="auto"/>
        </w:rPr>
      </w:pPr>
    </w:p>
    <w:p>
      <w:pPr>
        <w:ind w:left="660" w:right="10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DTC will verify the acceptance of the tender and execute a book-entry transfer of the tendered Original Notes into the Exchange Agent’s account at DTC;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DTC will send to the Exchange Agent for its acceptance an Agent’s Message forming part of such book-entry transfer;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transmission of the Agent’s Message by DTC will satisfy the terms of the Exchange Offer as to execution and delivery of a Letter of Transmittal by the participant identified in the Agent’s Message.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DTC does not constitute a valid delivery to the 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order to validly complete this Letter of Transmittal, a holder of Original Notes must:</w:t>
      </w:r>
    </w:p>
    <w:p>
      <w:pPr>
        <w:spacing w:after="0" w:line="225"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complete the box entitled “Description of Original Notes Tendered;”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appropriate, check and complete the boxes relating to delivery of certificates, book-entry transfer, notice of guaranteed delivery, broker-dealers, special issuance instructions and special delivery instructions;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complete the information under “Sign Here to Tender Your Original Notes in the Exchange Offer,” including, if appropriate, the information under “Guarantee of Signature;” and</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complete the Substitute Form W-9 included in this Letter of Transmittal or the applicable IRS Form W-8, which may be obtained from the Exchange Agent.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registered holder of Original Notes desires to tender such holder’s Original Notes for exchange in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then such holder may effect a tender of Original Notes in</w:t>
      </w:r>
    </w:p>
    <w:p>
      <w:pPr>
        <w:sectPr>
          <w:pgSz w:w="11900" w:h="16838" w:orient="portrait"/>
          <w:cols w:equalWidth="0" w:num="1">
            <w:col w:w="11200"/>
          </w:cols>
          <w:pgMar w:left="320" w:top="530" w:right="379" w:bottom="1440" w:gutter="0" w:footer="0" w:header="0"/>
        </w:sectPr>
      </w:pPr>
    </w:p>
    <w:bookmarkStart w:id="131" w:name="page132"/>
    <w:bookmarkEnd w:id="131"/>
    <w:p>
      <w:pPr>
        <w:ind w:right="60"/>
        <w:spacing w:after="0" w:line="277" w:lineRule="auto"/>
        <w:rPr>
          <w:sz w:val="20"/>
          <w:szCs w:val="20"/>
          <w:color w:val="auto"/>
        </w:rPr>
      </w:pPr>
      <w:r>
        <w:rPr>
          <w:rFonts w:ascii="Arial" w:cs="Arial" w:eastAsia="Arial" w:hAnsi="Arial"/>
          <w:sz w:val="18"/>
          <w:szCs w:val="18"/>
          <w:color w:val="auto"/>
        </w:rPr>
        <w:t>accordance with the guaranteed delivery procedures set forth in the Prospectus under the caption “The Exchange Offer—Guaranteed Delivery Procedures.” See Instruction 2 below.</w:t>
      </w:r>
    </w:p>
    <w:p>
      <w:pPr>
        <w:spacing w:after="0" w:line="17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Exchange Offer may be extended, amended or terminated as described in the Prospectus. During any extension of the Exchange Offer, all Original Notes validly tendered and not validly withdrawn will remain subject to the terms of the Exchange Offer. The Exchange Offer will expire at 11:59 p.m., New York City time, on January [__], 2022, unless extended by the Company.</w:t>
      </w:r>
    </w:p>
    <w:p>
      <w:pPr>
        <w:spacing w:after="0" w:line="18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Persons who are beneficial owners of Original Notes but are not registered holders and who wish to tender such Original Notes should contact the registered holder of such Original Notes and instruct such registered holder to tender such Original Notes on such beneficial owner’s behalf.</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MUST BE PROVIDED BELOW.</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undersigned hereby tenders for exchange the Original Notes described in the box below entitled “Description of Original Notes Tendered” pursuant to the terms and conditions described in the Prospectus and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40575" cy="1569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40575" cy="15690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Borders>
              <w:top w:val="single" w:sz="8" w:color="auto"/>
            </w:tcBorders>
          </w:tcPr>
          <w:p>
            <w:pPr>
              <w:spacing w:after="0"/>
              <w:rPr>
                <w:sz w:val="14"/>
                <w:szCs w:val="14"/>
                <w:color w:val="auto"/>
              </w:rPr>
            </w:pPr>
          </w:p>
        </w:tc>
        <w:tc>
          <w:tcPr>
            <w:tcW w:w="3920" w:type="dxa"/>
            <w:vAlign w:val="bottom"/>
            <w:tcBorders>
              <w:top w:val="single" w:sz="8" w:color="auto"/>
              <w:right w:val="single" w:sz="8" w:color="auto"/>
            </w:tcBorders>
          </w:tcPr>
          <w:p>
            <w:pPr>
              <w:jc w:val="center"/>
              <w:ind w:right="310"/>
              <w:spacing w:after="0" w:line="169" w:lineRule="exact"/>
              <w:rPr>
                <w:sz w:val="20"/>
                <w:szCs w:val="20"/>
                <w:color w:val="auto"/>
              </w:rPr>
            </w:pPr>
            <w:r>
              <w:rPr>
                <w:rFonts w:ascii="Arial" w:cs="Arial" w:eastAsia="Arial" w:hAnsi="Arial"/>
                <w:sz w:val="18"/>
                <w:szCs w:val="18"/>
                <w:b w:val="1"/>
                <w:bCs w:val="1"/>
                <w:color w:val="auto"/>
                <w:w w:val="90"/>
              </w:rPr>
              <w:t>(1)</w:t>
            </w:r>
          </w:p>
        </w:tc>
        <w:tc>
          <w:tcPr>
            <w:tcW w:w="354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(2)</w:t>
            </w:r>
          </w:p>
        </w:tc>
        <w:tc>
          <w:tcPr>
            <w:tcW w:w="3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(3)</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3920" w:type="dxa"/>
            <w:vAlign w:val="bottom"/>
            <w:tcBorders>
              <w:right w:val="single" w:sz="8" w:color="auto"/>
            </w:tcBorders>
          </w:tcPr>
          <w:p>
            <w:pPr>
              <w:jc w:val="center"/>
              <w:ind w:right="330"/>
              <w:spacing w:after="0" w:line="176" w:lineRule="exact"/>
              <w:rPr>
                <w:sz w:val="20"/>
                <w:szCs w:val="20"/>
                <w:color w:val="auto"/>
              </w:rPr>
            </w:pPr>
            <w:r>
              <w:rPr>
                <w:rFonts w:ascii="Arial" w:cs="Arial" w:eastAsia="Arial" w:hAnsi="Arial"/>
                <w:sz w:val="18"/>
                <w:szCs w:val="18"/>
                <w:b w:val="1"/>
                <w:bCs w:val="1"/>
                <w:color w:val="auto"/>
                <w:w w:val="89"/>
              </w:rPr>
              <w:t>Name and Address of</w:t>
            </w: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Certificate Number(s)</w:t>
            </w:r>
          </w:p>
        </w:tc>
        <w:tc>
          <w:tcPr>
            <w:tcW w:w="3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Principal Amount of</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3920" w:type="dxa"/>
            <w:vAlign w:val="bottom"/>
            <w:tcBorders>
              <w:right w:val="single" w:sz="8" w:color="auto"/>
            </w:tcBorders>
          </w:tcPr>
          <w:p>
            <w:pPr>
              <w:jc w:val="center"/>
              <w:ind w:right="310"/>
              <w:spacing w:after="0" w:line="176" w:lineRule="exact"/>
              <w:rPr>
                <w:sz w:val="20"/>
                <w:szCs w:val="20"/>
                <w:color w:val="auto"/>
              </w:rPr>
            </w:pPr>
            <w:r>
              <w:rPr>
                <w:rFonts w:ascii="Arial" w:cs="Arial" w:eastAsia="Arial" w:hAnsi="Arial"/>
                <w:sz w:val="18"/>
                <w:szCs w:val="18"/>
                <w:b w:val="1"/>
                <w:bCs w:val="1"/>
                <w:color w:val="auto"/>
                <w:w w:val="90"/>
              </w:rPr>
              <w:t>Registered Holder(s)</w:t>
            </w:r>
          </w:p>
        </w:tc>
        <w:tc>
          <w:tcPr>
            <w:tcW w:w="3540" w:type="dxa"/>
            <w:vAlign w:val="bottom"/>
            <w:tcBorders>
              <w:right w:val="single" w:sz="8" w:color="auto"/>
            </w:tcBorders>
            <w:vMerge w:val="continue"/>
          </w:tcPr>
          <w:p>
            <w:pPr>
              <w:spacing w:after="0"/>
              <w:rPr>
                <w:sz w:val="15"/>
                <w:szCs w:val="15"/>
                <w:color w:val="auto"/>
              </w:rPr>
            </w:pPr>
          </w:p>
        </w:tc>
        <w:tc>
          <w:tcPr>
            <w:tcW w:w="3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Original Notes</w:t>
            </w:r>
          </w:p>
        </w:tc>
        <w:tc>
          <w:tcPr>
            <w:tcW w:w="0" w:type="dxa"/>
            <w:vAlign w:val="bottom"/>
          </w:tcPr>
          <w:p>
            <w:pPr>
              <w:spacing w:after="0"/>
              <w:rPr>
                <w:sz w:val="1"/>
                <w:szCs w:val="1"/>
                <w:color w:val="auto"/>
              </w:rPr>
            </w:pPr>
          </w:p>
        </w:tc>
      </w:tr>
      <w:tr>
        <w:trPr>
          <w:trHeight w:val="239"/>
        </w:trPr>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2"/>
              </w:rPr>
              <w:t>(Please Fill in, If Blank)</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 Original Notes</w:t>
            </w:r>
            <w:r>
              <w:rPr>
                <w:rFonts w:ascii="Arial" w:cs="Arial" w:eastAsia="Arial" w:hAnsi="Arial"/>
                <w:sz w:val="11"/>
                <w:szCs w:val="11"/>
                <w:b w:val="1"/>
                <w:bCs w:val="1"/>
                <w:color w:val="auto"/>
                <w:w w:val="92"/>
              </w:rPr>
              <w:t>*</w:t>
            </w: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Tendered for Exchange</w:t>
            </w:r>
            <w:r>
              <w:rPr>
                <w:rFonts w:ascii="Arial" w:cs="Arial" w:eastAsia="Arial" w:hAnsi="Arial"/>
                <w:sz w:val="11"/>
                <w:szCs w:val="11"/>
                <w:b w:val="1"/>
                <w:bCs w:val="1"/>
                <w:color w:val="auto"/>
                <w:w w:val="91"/>
              </w:rPr>
              <w:t>**</w:t>
            </w:r>
          </w:p>
        </w:tc>
        <w:tc>
          <w:tcPr>
            <w:tcW w:w="0" w:type="dxa"/>
            <w:vAlign w:val="bottom"/>
          </w:tcPr>
          <w:p>
            <w:pPr>
              <w:spacing w:after="0"/>
              <w:rPr>
                <w:sz w:val="1"/>
                <w:szCs w:val="1"/>
                <w:color w:val="auto"/>
              </w:rPr>
            </w:pPr>
          </w:p>
        </w:tc>
      </w:tr>
      <w:tr>
        <w:trPr>
          <w:trHeight w:val="524"/>
        </w:trPr>
        <w:tc>
          <w:tcPr>
            <w:tcW w:w="420" w:type="dxa"/>
            <w:vAlign w:val="bottom"/>
            <w:tcBorders>
              <w:bottom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Need not be completed if Original Notes are being delivered by book-entry transfer.</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0840" w:type="dxa"/>
            <w:vAlign w:val="bottom"/>
            <w:gridSpan w:val="3"/>
          </w:tcPr>
          <w:p>
            <w:pPr>
              <w:ind w:left="100"/>
              <w:spacing w:after="0"/>
              <w:rPr>
                <w:sz w:val="20"/>
                <w:szCs w:val="20"/>
                <w:color w:val="auto"/>
              </w:rPr>
            </w:pPr>
            <w:r>
              <w:rPr>
                <w:rFonts w:ascii="Arial" w:cs="Arial" w:eastAsia="Arial" w:hAnsi="Arial"/>
                <w:sz w:val="18"/>
                <w:szCs w:val="18"/>
                <w:color w:val="auto"/>
                <w:w w:val="95"/>
              </w:rPr>
              <w:t>Original Notes may be tendered in whole or in part. However, if a holder tenders less than all of its Original Notes, such holder may tender its</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8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4"/>
              </w:rPr>
              <w:t>Original Notes only in minimum denominations of $2,000 and integral multiples of $1,000 in excess thereof. If this column (3) is left blank, it will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be assumed that the holder is tendering ALL of such holder’s Original Notes.</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80" w:hanging="433"/>
        <w:spacing w:after="0"/>
        <w:tabs>
          <w:tab w:leader="none" w:pos="58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CHECK HERE IF CERTIFICATES FOR TENDERED ORIGINAL NOTES ARE ENCLOSED HEREWITH.</w:t>
      </w:r>
    </w:p>
    <w:p>
      <w:pPr>
        <w:spacing w:after="0" w:line="279" w:lineRule="exact"/>
        <w:rPr>
          <w:rFonts w:ascii="MS PGothic" w:cs="MS PGothic" w:eastAsia="MS PGothic" w:hAnsi="MS PGothic"/>
          <w:sz w:val="18"/>
          <w:szCs w:val="18"/>
          <w:color w:val="auto"/>
        </w:rPr>
      </w:pPr>
    </w:p>
    <w:p>
      <w:pPr>
        <w:ind w:left="580" w:right="200" w:hanging="433"/>
        <w:spacing w:after="0" w:line="258" w:lineRule="auto"/>
        <w:tabs>
          <w:tab w:leader="none" w:pos="580" w:val="left"/>
        </w:tabs>
        <w:numPr>
          <w:ilvl w:val="0"/>
          <w:numId w:val="153"/>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BY BOOK-ENTRY TRANSFER MADE TO THE EXCHANGE AGENT’S ACCOUNT WITH DTC AND COMPLETE THE FOLLOWING (FOR USE BY ELIGIBLE INSTITUTIONS ONLY):</w:t>
      </w:r>
    </w:p>
    <w:p>
      <w:pPr>
        <w:spacing w:after="0" w:line="200" w:lineRule="exact"/>
        <w:rPr>
          <w:rFonts w:ascii="MS PGothic" w:cs="MS PGothic" w:eastAsia="MS PGothic" w:hAnsi="MS PGothic"/>
          <w:sz w:val="17"/>
          <w:szCs w:val="17"/>
          <w:color w:val="auto"/>
        </w:rPr>
      </w:pPr>
    </w:p>
    <w:p>
      <w:pPr>
        <w:spacing w:after="0" w:line="297" w:lineRule="exact"/>
        <w:rPr>
          <w:rFonts w:ascii="MS PGothic" w:cs="MS PGothic" w:eastAsia="MS PGothic" w:hAnsi="MS PGothic"/>
          <w:sz w:val="17"/>
          <w:szCs w:val="17"/>
          <w:color w:val="auto"/>
        </w:rPr>
      </w:pPr>
    </w:p>
    <w:p>
      <w:pPr>
        <w:ind w:left="580"/>
        <w:spacing w:after="0"/>
        <w:rPr>
          <w:rFonts w:ascii="MS PGothic" w:cs="MS PGothic" w:eastAsia="MS PGothic" w:hAnsi="MS PGothic"/>
          <w:sz w:val="17"/>
          <w:szCs w:val="17"/>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177800</wp:posOffset>
            </wp:positionV>
            <wp:extent cx="47834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80"/>
        <w:spacing w:after="0"/>
        <w:tabs>
          <w:tab w:leader="none" w:pos="5700" w:val="left"/>
        </w:tabs>
        <w:rPr>
          <w:sz w:val="20"/>
          <w:szCs w:val="20"/>
          <w:color w:val="auto"/>
        </w:rPr>
      </w:pPr>
      <w:r>
        <w:rPr>
          <w:rFonts w:ascii="Arial" w:cs="Arial" w:eastAsia="Arial" w:hAnsi="Arial"/>
          <w:sz w:val="18"/>
          <w:szCs w:val="18"/>
          <w:color w:val="auto"/>
        </w:rPr>
        <w:t>DTC Account Number:</w:t>
      </w:r>
      <w:r>
        <w:rPr>
          <w:sz w:val="20"/>
          <w:szCs w:val="20"/>
          <w:color w:val="auto"/>
        </w:rPr>
        <w:tab/>
      </w: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5340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By crediting Original Notes to the Exchange Agent’s account at DTC in accordance with ATOP and by complying with applicable ATOP procedures with respect to the Exchange Offer, including transmitting an Agent’s Message to the Exchange Agent, the ATOP participant confirms on behalf of itself and the beneficial owner of such Original Notes all provisions of this Letter of Transmittal applicable to it and such beneficial owner as if it had completed the information required herein and executed and delivered this Letter of Transmittal to the Exchange Agent.</w:t>
      </w:r>
    </w:p>
    <w:p>
      <w:pPr>
        <w:sectPr>
          <w:pgSz w:w="11900" w:h="16838" w:orient="portrait"/>
          <w:cols w:equalWidth="0" w:num="1">
            <w:col w:w="11260"/>
          </w:cols>
          <w:pgMar w:left="320" w:top="530" w:right="319" w:bottom="1440" w:gutter="0" w:footer="0" w:header="0"/>
        </w:sectPr>
      </w:pPr>
    </w:p>
    <w:bookmarkStart w:id="132" w:name="page133"/>
    <w:bookmarkEnd w:id="132"/>
    <w:p>
      <w:pPr>
        <w:ind w:left="340" w:right="80" w:hanging="314"/>
        <w:spacing w:after="0" w:line="258" w:lineRule="auto"/>
        <w:tabs>
          <w:tab w:leader="none" w:pos="340" w:val="left"/>
        </w:tabs>
        <w:numPr>
          <w:ilvl w:val="0"/>
          <w:numId w:val="154"/>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PURSUANT TO A NOTICE OF GUARANTEED DELIVERY PREVIOUSLY SENT TO THE EXCHANGE AGENT AND COMPLETE THE FOLLOWING (FOR USE BY ELIGIBLE INSTITUTIONS ONLY):</w:t>
      </w:r>
    </w:p>
    <w:p>
      <w:pPr>
        <w:spacing w:after="0" w:line="200" w:lineRule="exact"/>
        <w:rPr>
          <w:rFonts w:ascii="MS PGothic" w:cs="MS PGothic" w:eastAsia="MS PGothic" w:hAnsi="MS PGothic"/>
          <w:sz w:val="17"/>
          <w:szCs w:val="17"/>
          <w:color w:val="auto"/>
        </w:rPr>
      </w:pPr>
    </w:p>
    <w:p>
      <w:pPr>
        <w:spacing w:after="0" w:line="297" w:lineRule="exact"/>
        <w:rPr>
          <w:rFonts w:ascii="MS PGothic" w:cs="MS PGothic" w:eastAsia="MS PGothic" w:hAnsi="MS PGothic"/>
          <w:sz w:val="17"/>
          <w:szCs w:val="17"/>
          <w:color w:val="auto"/>
        </w:rPr>
      </w:pPr>
    </w:p>
    <w:p>
      <w:pPr>
        <w:jc w:val="both"/>
        <w:ind w:left="340" w:right="8480"/>
        <w:spacing w:after="0" w:line="968" w:lineRule="auto"/>
        <w:rPr>
          <w:rFonts w:ascii="MS PGothic" w:cs="MS PGothic" w:eastAsia="MS PGothic" w:hAnsi="MS PGothic"/>
          <w:sz w:val="17"/>
          <w:szCs w:val="17"/>
          <w:color w:val="auto"/>
        </w:rPr>
      </w:pPr>
      <w:r>
        <w:rPr>
          <w:rFonts w:ascii="Arial" w:cs="Arial" w:eastAsia="Arial" w:hAnsi="Arial"/>
          <w:sz w:val="16"/>
          <w:szCs w:val="16"/>
          <w:color w:val="auto"/>
        </w:rPr>
        <w:t>Name(s) of Registered Holder(s): Window Ticket Number (if any):</w:t>
      </w:r>
    </w:p>
    <w:p>
      <w:pPr>
        <w:ind w:left="340" w:right="6940"/>
        <w:spacing w:after="0" w:line="954" w:lineRule="auto"/>
        <w:rPr>
          <w:rFonts w:ascii="MS PGothic" w:cs="MS PGothic" w:eastAsia="MS PGothic" w:hAnsi="MS PGothic"/>
          <w:sz w:val="17"/>
          <w:szCs w:val="17"/>
          <w:color w:val="auto"/>
        </w:rPr>
      </w:pPr>
      <w:r>
        <w:rPr>
          <w:rFonts w:ascii="Arial" w:cs="Arial" w:eastAsia="Arial" w:hAnsi="Arial"/>
          <w:sz w:val="16"/>
          <w:szCs w:val="16"/>
          <w:color w:val="auto"/>
        </w:rPr>
        <w:t>Date of Execution of Notice of Guaranteed Delivery: Name of Institution that Guaranteed Delivery: Account Number (if delivered by book-entry transfer):</w:t>
      </w:r>
    </w:p>
    <w:p>
      <w:pPr>
        <w:spacing w:after="0" w:line="33" w:lineRule="exact"/>
        <w:rPr>
          <w:rFonts w:ascii="MS PGothic" w:cs="MS PGothic" w:eastAsia="MS PGothic" w:hAnsi="MS PGothic"/>
          <w:sz w:val="17"/>
          <w:szCs w:val="17"/>
          <w:color w:val="auto"/>
        </w:rPr>
      </w:pPr>
    </w:p>
    <w:p>
      <w:pPr>
        <w:ind w:left="340" w:right="120" w:hanging="314"/>
        <w:spacing w:after="0" w:line="235" w:lineRule="auto"/>
        <w:tabs>
          <w:tab w:leader="none" w:pos="34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CHECK HERE AND COMPLETE THE FOLLOWING IF YOU ARE A BROKER-DEALER AND WISH TO RECEIVE TEN (10) ADDITIONAL COPIES OF THE PROSPECTUS AND TEN (10) COPIES OF ANY AMENDMENTS OR SUPPLEMENTS THERETO.</w:t>
      </w:r>
    </w:p>
    <w:p>
      <w:pPr>
        <w:spacing w:after="0" w:line="256"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Name:</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92"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666115</wp:posOffset>
            </wp:positionV>
            <wp:extent cx="6231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340360</wp:posOffset>
            </wp:positionV>
            <wp:extent cx="6231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14605</wp:posOffset>
            </wp:positionV>
            <wp:extent cx="6231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-293370</wp:posOffset>
            </wp:positionV>
            <wp:extent cx="623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-619125</wp:posOffset>
            </wp:positionV>
            <wp:extent cx="6231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-1510665</wp:posOffset>
            </wp:positionV>
            <wp:extent cx="3480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-1981835</wp:posOffset>
            </wp:positionV>
            <wp:extent cx="4054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-2453640</wp:posOffset>
            </wp:positionV>
            <wp:extent cx="3625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-2924810</wp:posOffset>
            </wp:positionV>
            <wp:extent cx="40544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-3396615</wp:posOffset>
            </wp:positionV>
            <wp:extent cx="40544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terms and conditions of the Exchange Offer, the undersigned hereby tenders for exchange the principal amount of Original Notes indicated above. Subject to, and effective upon, the Company’s acceptance for exchange of the Original Notes tendered hereby, the undersigned hereby exchanges, assigns and transfers to or upon the order of the Company all right, title and interest in and to the principal amount of Original Notes indicated above. The undersigned hereby irrevocably constitutes and appoints the Exchange Agent as its true and lawful agent and attorney-in-fact (with full knowledge that the Exchange Agent is also acting as agent of the Company in connection with the Exchange Offer) with respect to the tendered Original Notes, with full power of substitution and resubstitution (such power of attorney being deemed to be an irrevocable power coupled with an interest), subject only to the right of withdrawal described in the Prospectus, to:</w:t>
      </w:r>
    </w:p>
    <w:p>
      <w:pPr>
        <w:spacing w:after="0" w:line="195" w:lineRule="exact"/>
        <w:rPr>
          <w:sz w:val="20"/>
          <w:szCs w:val="20"/>
          <w:color w:val="auto"/>
        </w:rPr>
      </w:pPr>
    </w:p>
    <w:p>
      <w:pPr>
        <w:ind w:left="660" w:right="40" w:hanging="328"/>
        <w:spacing w:after="0" w:line="286" w:lineRule="auto"/>
        <w:tabs>
          <w:tab w:leader="none" w:pos="6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deliver certificates representing such Original Notes, or transfer ownership of such Original Notes on the account books maintained by DTC, together, in each such case, with all accompanying evidences of transfer and authenticity to or upon the order of the Company, upon receipt by the Exchange Agent, as the undersigned’s agent, of the Exchange Notes to be issued in exchange for such Original Notes;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present and deliver such Original Notes for transfer on the books of the Company;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receive for the account of the Company all benefits and otherwise exercise all rights and incidents of beneficial ownership of such Original Notes, all in accordance with the terms and conditions of the Exchange Offer.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undersigned represents and warrants that it has full power and authority to tender, exchange, assign and transfer the Original Notes tendered hereby and to acquire the Exchange Notes issuable upon the exchange of such tendered Original Notes, and that, if, as,</w:t>
      </w:r>
    </w:p>
    <w:p>
      <w:pPr>
        <w:sectPr>
          <w:pgSz w:w="11900" w:h="16838" w:orient="portrait"/>
          <w:cols w:equalWidth="0" w:num="1">
            <w:col w:w="11220"/>
          </w:cols>
          <w:pgMar w:left="320" w:top="665" w:right="359" w:bottom="1440" w:gutter="0" w:footer="0" w:header="0"/>
        </w:sectPr>
      </w:pPr>
    </w:p>
    <w:bookmarkStart w:id="133" w:name="page134"/>
    <w:bookmarkEnd w:id="133"/>
    <w:p>
      <w:pPr>
        <w:ind w:right="80"/>
        <w:spacing w:after="0" w:line="293" w:lineRule="auto"/>
        <w:rPr>
          <w:sz w:val="20"/>
          <w:szCs w:val="20"/>
          <w:color w:val="auto"/>
        </w:rPr>
      </w:pPr>
      <w:r>
        <w:rPr>
          <w:rFonts w:ascii="Arial" w:cs="Arial" w:eastAsia="Arial" w:hAnsi="Arial"/>
          <w:sz w:val="16"/>
          <w:szCs w:val="16"/>
          <w:color w:val="auto"/>
        </w:rPr>
        <w:t>and when the Original Notes are accepted for exchange, the Company will acquire good, marketable and unencumbered title to the tendered Original Notes, free and clear of all liens, restrictions, charges and encumbrances and not subject to any adverse claims or proxies. The undersigned will, upon request, execute and deliver any additional documents deemed by the Company or the Exchange Agent to be necessary or desirable to complete the tender, exchange, assignment and transfer of the tendered Original Notes or transfer ownership of such Original Notes on the account books maintained by DTC, and the undersigned will comply with its obligations under the registration rights agreement, dated as of March 17, 2021, among the Company, the guarantors named therein and the initial purchasers named therein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also acknowledges that the Exchange Offer is being made by the Company in reliance on interpretations by the staff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contained in several no-action letters issued to third parties. Based on such interpretations, the Company believes that the Exchange Notes may be offered for resale, resold or otherwise transferred by holders thereof without compliance with the registration and prospectus delivery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assuming the truth of the representations required to be made by the holders of the Original Notes to the Company pursuant to this Letter of Transmittal. However, the Company has not requested, and does not intend to request, that the SEC consider the Exchange Offer in the context of a no-action letter and, therefore, the Company cannot assure holders that the staff of the SEC would make a similar determination with respect to the Exchange Offer. The undersigned acknowledges that, if the interpretation of the Company of the above mentioned no-action letters is not accurate, the undersigned may be held liable for any offers, resales or transfers of the Exchange Notes that are in violation of the registration or prospectus delivery requirements of the Securities Act. The undersigned further acknowledges that neither the Company nor the Exchange Agent will assume or indemnify any holder for any such liability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agrees that:</w:t>
      </w:r>
    </w:p>
    <w:p>
      <w:pPr>
        <w:spacing w:after="0" w:line="225"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has no arrangement or understanding with any person to participate, the undersigned is not participating, and the undersigned does not intend to participate, in the distribution of the Exchange Notes (within the meaning of the Securities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60" w:right="200" w:hanging="328"/>
        <w:spacing w:after="0" w:line="301" w:lineRule="auto"/>
        <w:tabs>
          <w:tab w:leader="none" w:pos="65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representing and by delivering a prospectus, the undersigned will not be deemed to admit that it is an “underwriter” within the meaning of the Securities Act).</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undersigned further represents and agrees that any holder of Original Notes who does not meet these requirements and is unable to make such representations:</w:t>
      </w:r>
    </w:p>
    <w:p>
      <w:pPr>
        <w:spacing w:after="0" w:line="170"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the no-action letters referred to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225" w:lineRule="exact"/>
        <w:rPr>
          <w:rFonts w:ascii="Arial" w:cs="Arial" w:eastAsia="Arial" w:hAnsi="Arial"/>
          <w:sz w:val="18"/>
          <w:szCs w:val="18"/>
          <w:color w:val="auto"/>
        </w:rPr>
      </w:pPr>
    </w:p>
    <w:p>
      <w:pPr>
        <w:ind w:left="660" w:right="540" w:hanging="328"/>
        <w:spacing w:after="0" w:line="308" w:lineRule="auto"/>
        <w:tabs>
          <w:tab w:leader="none" w:pos="6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authority herein conferred or agreed to be conferred pursuant to this Letter of Transmittal and every obligation of the undersigned hereunder shall be binding upon the successors, assigns, heirs, executors, administrators, trustees in bankruptcy and personal and legal representatives of the undersigned and shall not be affected by, and shall survive, the death or incapacity of the undersigned.</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Exchange Offer is subject to certain conditions, some of which may be waived by the Company, in whole or in part, at any time and from time to time at or prior to the Expiration Time, as described in the Prospectus under the caption “The Exchange Offer—Conditions to the Exchange Offer.” The undersigned recognizes that, as a result of such conditions, the Company may not be required to accept for exchange any Original Notes and the Company may amend, extend or terminate the Exchange Offer, by oral or written notice to the Exchange Agent and by notice to the registered holders of the Original Notes, if the conditions to the Exchange Offer have not been satisfied or waived at the then scheduled Expiration Time. All tendering holders, by execution of this Letter of Transmittal, waive any right to receive any notice of the acceptance or rejection of their Original Notes for exchange.</w:t>
      </w:r>
    </w:p>
    <w:p>
      <w:pPr>
        <w:sectPr>
          <w:pgSz w:w="11900" w:h="16838" w:orient="portrait"/>
          <w:cols w:equalWidth="0" w:num="1">
            <w:col w:w="11240"/>
          </w:cols>
          <w:pgMar w:left="320" w:top="530" w:right="339" w:bottom="1440" w:gutter="0" w:footer="0" w:header="0"/>
        </w:sectPr>
      </w:pPr>
    </w:p>
    <w:bookmarkStart w:id="134" w:name="page135"/>
    <w:bookmarkEnd w:id="134"/>
    <w:p>
      <w:pPr>
        <w:ind w:right="60"/>
        <w:spacing w:after="0" w:line="279" w:lineRule="auto"/>
        <w:rPr>
          <w:sz w:val="20"/>
          <w:szCs w:val="20"/>
          <w:color w:val="auto"/>
        </w:rPr>
      </w:pPr>
      <w:r>
        <w:rPr>
          <w:rFonts w:ascii="Arial" w:cs="Arial" w:eastAsia="Arial" w:hAnsi="Arial"/>
          <w:sz w:val="17"/>
          <w:szCs w:val="17"/>
          <w:color w:val="auto"/>
        </w:rPr>
        <w:t>The undersigned agrees that the acceptance of any tendered Original Notes by the Company and the issuance of Exchange Notes in exchange therefor shall constitute performance in full by the Company of its obligations under the Registration Rights Agreement and that, upon issuance of the Exchange Notes, the Company generally will have no further obligations or liabilities thereunder, subject only to limited exceptions applicable to persons to whom the Exchange Offer is not available or as otherwise provided in the Registration Rights Agreement.</w:t>
      </w:r>
    </w:p>
    <w:p>
      <w:pPr>
        <w:spacing w:after="0" w:line="17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Unless otherwise indicated under “Special Issuance Instructions” below, please issue any certificates representing Exchange Notes issued in exchange for Original Notes and return any certificates representing Original Notes not tendered or accepted for exchange in the name of the holder appearing under “Description of Original Notes Tendered” above. Similarly, unless otherwise indicated below under “Special Delivery Instructions,” please mail any certificates representing Exchange Notes issued in exchange for Original Notes and any certificates representing Original Notes not tendered or accepted for exchange to the address of such holder appearing above under “Description of Original Notes Tendered.” In the event that both the “Special Issuance Instructions” and the “Special Delivery Instructions” are completed, please issue any certificates representing the Exchange Notes issued in exchange for the Original Notes in the name of, and return any Original Notes not tendered or accepted for exchange to, the person as so indicated. Unless otherwise indicated below under “Special Issuance Instructions,” in the case of a book-entry transfer of Original Notes, please credit the account of the undersigned maintained at DTC appearing above under “Description of Original Notes Tendered” with any Exchange Notes issued in exchange for Original Notes or any Original Notes not accepted for exchange.</w:t>
      </w:r>
    </w:p>
    <w:p>
      <w:pPr>
        <w:spacing w:after="0" w:line="1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undersigned recognizes that the Company has no obligation pursuant to the special issuance instructions below to transfer any Original Notes from the name of the registered holder thereof if the Company does not accept for exchange the Original Notes so tendered or if the Company determines that such transfer would not be in compliance with any transfer restrictions applicable to such Original Notes.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ISSUANCE INSTRUCTIONS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be completed ONLY if (i) certificates for Exchange Notes issued for Original Notes or certificates for Original Notes not tendered or accepted for exchange are to be issued in the name of someone other than the undersigned or (ii) Original Notes tendered by book-entry transfer that are not accepted for exchange are to be returned by crediting an account maintained at DTC other than the account indicated above under “Description of Original Notes Tendered.”</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 to:</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5237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(Please Print)</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666115</wp:posOffset>
            </wp:positionV>
            <wp:extent cx="52374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237480"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340360</wp:posOffset>
            </wp:positionV>
            <wp:extent cx="52374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23748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14605</wp:posOffset>
            </wp:positionV>
            <wp:extent cx="5237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187325</wp:posOffset>
            </wp:positionV>
            <wp:extent cx="5237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89"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(Taxpayer Identification or Social Security Number)</w:t>
      </w:r>
    </w:p>
    <w:p>
      <w:pPr>
        <w:ind w:left="4340"/>
        <w:spacing w:after="0"/>
        <w:rPr>
          <w:sz w:val="20"/>
          <w:szCs w:val="20"/>
          <w:color w:val="auto"/>
        </w:rPr>
      </w:pPr>
      <w:r>
        <w:rPr>
          <w:rFonts w:ascii="Arial" w:cs="Arial" w:eastAsia="Arial" w:hAnsi="Arial"/>
          <w:sz w:val="13"/>
          <w:szCs w:val="13"/>
          <w:b w:val="1"/>
          <w:bCs w:val="1"/>
          <w:color w:val="auto"/>
        </w:rPr>
        <w:t>(See Substitute Form W-9 herein or IRS Form W-8)</w:t>
      </w:r>
    </w:p>
    <w:p>
      <w:pPr>
        <w:spacing w:after="0" w:line="200" w:lineRule="exact"/>
        <w:rPr>
          <w:sz w:val="20"/>
          <w:szCs w:val="20"/>
          <w:color w:val="auto"/>
        </w:rPr>
      </w:pPr>
    </w:p>
    <w:p>
      <w:pPr>
        <w:spacing w:after="0" w:line="33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Credit Original Notes not exchanged by book-entry transfer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340360</wp:posOffset>
            </wp:positionV>
            <wp:extent cx="5237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(DTC Account Number)</w:t>
      </w:r>
    </w:p>
    <w:p>
      <w:pPr>
        <w:sectPr>
          <w:pgSz w:w="11900" w:h="16838" w:orient="portrait"/>
          <w:cols w:equalWidth="0" w:num="1">
            <w:col w:w="11240"/>
          </w:cols>
          <w:pgMar w:left="320" w:top="530"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be completed ONLY if certificates for Exchange Notes issued for Original Notes or certificates for Original Notes not tendered or accepted for exchange are to be sent (i) to someone other than the undersigned or (ii) to the undersigned at an address other than that shown above under “Description of Original Notes Tendered.”</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Mail to:</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wp:posOffset>
            </wp:positionV>
            <wp:extent cx="5357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(Please Print)</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666115</wp:posOffset>
            </wp:positionV>
            <wp:extent cx="5357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340360</wp:posOffset>
            </wp:positionV>
            <wp:extent cx="5357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14605</wp:posOffset>
            </wp:positionV>
            <wp:extent cx="53574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187325</wp:posOffset>
            </wp:positionV>
            <wp:extent cx="5357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89"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(Taxpayer Identification or Social Security Number)</w:t>
      </w:r>
    </w:p>
    <w:p>
      <w:pPr>
        <w:ind w:left="4280"/>
        <w:spacing w:after="0"/>
        <w:rPr>
          <w:sz w:val="20"/>
          <w:szCs w:val="20"/>
          <w:color w:val="auto"/>
        </w:rPr>
      </w:pPr>
      <w:r>
        <w:rPr>
          <w:rFonts w:ascii="Arial" w:cs="Arial" w:eastAsia="Arial" w:hAnsi="Arial"/>
          <w:sz w:val="13"/>
          <w:szCs w:val="13"/>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SIGN HERE TO TENDER YOUR ORIGINAL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497205</wp:posOffset>
            </wp:positionV>
            <wp:extent cx="5357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of each registered holder of Original Notes*)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5589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14605</wp:posOffset>
            </wp:positionV>
            <wp:extent cx="50406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63347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6334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14605</wp:posOffset>
            </wp:positionV>
            <wp:extent cx="55035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903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145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0" w:lineRule="exact"/>
        <w:rPr>
          <w:sz w:val="20"/>
          <w:szCs w:val="20"/>
          <w:color w:val="auto"/>
        </w:rPr>
      </w:pPr>
    </w:p>
    <w:p>
      <w:pPr>
        <w:ind w:left="340" w:right="160" w:hanging="332"/>
        <w:spacing w:after="0" w:line="291" w:lineRule="auto"/>
        <w:tabs>
          <w:tab w:leader="none" w:pos="286" w:val="left"/>
        </w:tabs>
        <w:numPr>
          <w:ilvl w:val="0"/>
          <w:numId w:val="158"/>
        </w:numPr>
        <w:rPr>
          <w:rFonts w:ascii="Arial" w:cs="Arial" w:eastAsia="Arial" w:hAnsi="Arial"/>
          <w:sz w:val="16"/>
          <w:szCs w:val="16"/>
          <w:i w:val="1"/>
          <w:iCs w:val="1"/>
          <w:color w:val="auto"/>
        </w:rPr>
      </w:pPr>
      <w:r>
        <w:rPr>
          <w:rFonts w:ascii="Arial" w:cs="Arial" w:eastAsia="Arial" w:hAnsi="Arial"/>
          <w:sz w:val="16"/>
          <w:szCs w:val="16"/>
          <w:i w:val="1"/>
          <w:iCs w:val="1"/>
          <w:color w:val="auto"/>
        </w:rPr>
        <w:t>Must be signed by each registered holder of Original Notes exactly as such holder’s name appears on certificate(s) representing the Original Notes or on a security position listing, or by each person authorized to become a registered holder by endorsements and documents transmitted herewith.</w:t>
      </w:r>
    </w:p>
    <w:p>
      <w:pPr>
        <w:ind w:left="340" w:right="480" w:hanging="332"/>
        <w:spacing w:after="0" w:line="260" w:lineRule="auto"/>
        <w:tabs>
          <w:tab w:leader="none" w:pos="376"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 See Instruction 6 below.</w:t>
      </w:r>
    </w:p>
    <w:p>
      <w:pPr>
        <w:sectPr>
          <w:pgSz w:w="11900" w:h="16838" w:orient="portrait"/>
          <w:cols w:equalWidth="0" w:num="1">
            <w:col w:w="11240"/>
          </w:cols>
          <w:pgMar w:left="320" w:top="526" w:right="339" w:bottom="1440" w:gutter="0" w:footer="0" w:header="0"/>
        </w:sectPr>
      </w:pPr>
    </w:p>
    <w:bookmarkStart w:id="136" w:name="page137"/>
    <w:bookmarkEnd w:id="136"/>
    <w:p>
      <w:pPr>
        <w:jc w:val="center"/>
        <w:ind w:right="-1080"/>
        <w:spacing w:after="0"/>
        <w:rPr>
          <w:sz w:val="20"/>
          <w:szCs w:val="20"/>
          <w:color w:val="auto"/>
        </w:rPr>
      </w:pPr>
      <w:r>
        <w:rPr>
          <w:rFonts w:ascii="Arial" w:cs="Arial" w:eastAsia="Arial" w:hAnsi="Arial"/>
          <w:sz w:val="18"/>
          <w:szCs w:val="18"/>
          <w:b w:val="1"/>
          <w:bCs w:val="1"/>
          <w:color w:val="auto"/>
        </w:rPr>
        <w:t>GUARANTEE OF SIGNATURE</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(If required—see Instructions 1 and 6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14605</wp:posOffset>
            </wp:positionV>
            <wp:extent cx="4791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14605</wp:posOffset>
            </wp:positionV>
            <wp:extent cx="5683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14605</wp:posOffset>
            </wp:positionV>
            <wp:extent cx="5683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14605</wp:posOffset>
            </wp:positionV>
            <wp:extent cx="52203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666115</wp:posOffset>
            </wp:positionV>
            <wp:extent cx="4791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340360</wp:posOffset>
            </wp:positionV>
            <wp:extent cx="5751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14605</wp:posOffset>
            </wp:positionV>
            <wp:extent cx="57518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14605</wp:posOffset>
            </wp:positionV>
            <wp:extent cx="5031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43" w:lineRule="exact"/>
        <w:rPr>
          <w:sz w:val="20"/>
          <w:szCs w:val="20"/>
          <w:color w:val="auto"/>
        </w:rPr>
      </w:pPr>
    </w:p>
    <w:p>
      <w:pPr>
        <w:jc w:val="right"/>
        <w:ind w:right="1299"/>
        <w:spacing w:after="0"/>
        <w:rPr>
          <w:sz w:val="20"/>
          <w:szCs w:val="20"/>
          <w:color w:val="auto"/>
        </w:rPr>
      </w:pPr>
      <w:r>
        <w:rPr>
          <w:rFonts w:ascii="Arial" w:cs="Arial" w:eastAsia="Arial" w:hAnsi="Arial"/>
          <w:sz w:val="18"/>
          <w:szCs w:val="18"/>
          <w:b w:val="1"/>
          <w:bCs w:val="1"/>
          <w:color w:val="auto"/>
        </w:rPr>
        <w:t>IMPORTANT: COMPLETE AND SIGN THE SUBSTITUTE FORM W-9 BELOW</w:t>
      </w:r>
    </w:p>
    <w:p>
      <w:pPr>
        <w:sectPr>
          <w:pgSz w:w="11900" w:h="16838" w:orient="portrait"/>
          <w:cols w:equalWidth="0" w:num="1">
            <w:col w:w="10119"/>
          </w:cols>
          <w:pgMar w:left="340" w:top="526" w:right="1440"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11"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Guarantee of Signatures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Signatures on this Letter of Transmittal need not be guaranteed if the Original Notes tendered hereby are tendered:</w:t>
      </w:r>
    </w:p>
    <w:p>
      <w:pPr>
        <w:spacing w:after="0" w:line="236" w:lineRule="exact"/>
        <w:rPr>
          <w:rFonts w:ascii="Arial" w:cs="Arial" w:eastAsia="Arial" w:hAnsi="Arial"/>
          <w:sz w:val="17"/>
          <w:szCs w:val="17"/>
          <w:b w:val="1"/>
          <w:bCs w:val="1"/>
          <w:color w:val="auto"/>
        </w:rPr>
      </w:pPr>
    </w:p>
    <w:p>
      <w:pPr>
        <w:jc w:val="both"/>
        <w:ind w:left="660" w:right="340" w:hanging="328"/>
        <w:spacing w:after="0" w:line="263" w:lineRule="auto"/>
        <w:tabs>
          <w:tab w:leader="none" w:pos="65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by the registered holder of the Original Notes (which term shall include any participant in DTC’s system whose name appears on the relevant security position listing as the owner of the Original Notes), unless such holder has completed the box entitled “Special Issuance Instructions” and/or the box entitled “Special Delivery Instructions” above; or</w:t>
      </w:r>
    </w:p>
    <w:p>
      <w:pPr>
        <w:spacing w:after="0" w:line="183" w:lineRule="exact"/>
        <w:rPr>
          <w:rFonts w:ascii="Arial" w:cs="Arial" w:eastAsia="Arial" w:hAnsi="Arial"/>
          <w:sz w:val="18"/>
          <w:szCs w:val="18"/>
          <w:color w:val="auto"/>
        </w:rPr>
      </w:pPr>
    </w:p>
    <w:p>
      <w:pPr>
        <w:jc w:val="both"/>
        <w:ind w:left="660" w:right="60" w:hanging="328"/>
        <w:spacing w:after="0" w:line="257" w:lineRule="auto"/>
        <w:tabs>
          <w:tab w:leader="none" w:pos="65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for the account of an Eligible Institution. The term “</w:t>
      </w:r>
      <w:r>
        <w:rPr>
          <w:rFonts w:ascii="Arial" w:cs="Arial" w:eastAsia="Arial" w:hAnsi="Arial"/>
          <w:sz w:val="18"/>
          <w:szCs w:val="18"/>
          <w:b w:val="1"/>
          <w:bCs w:val="1"/>
          <w:i w:val="1"/>
          <w:iCs w:val="1"/>
          <w:color w:val="auto"/>
        </w:rPr>
        <w:t>Eligible Institution</w:t>
      </w:r>
      <w:r>
        <w:rPr>
          <w:rFonts w:ascii="Arial" w:cs="Arial" w:eastAsia="Arial" w:hAnsi="Arial"/>
          <w:sz w:val="18"/>
          <w:szCs w:val="18"/>
          <w:color w:val="auto"/>
        </w:rPr>
        <w:t>” means an institution that is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all other cases, all signatures on this Letter of Transmittal must be guaranteed by an Eligible Institution.</w:t>
      </w:r>
    </w:p>
    <w:p>
      <w:pPr>
        <w:spacing w:after="0" w:line="225" w:lineRule="exact"/>
        <w:rPr>
          <w:sz w:val="20"/>
          <w:szCs w:val="20"/>
          <w:color w:val="auto"/>
        </w:rPr>
      </w:pPr>
    </w:p>
    <w:p>
      <w:pPr>
        <w:ind w:firstLine="8"/>
        <w:spacing w:after="0" w:line="273" w:lineRule="auto"/>
        <w:tabs>
          <w:tab w:leader="none" w:pos="31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of this Letter of Transmittal and Certificates for Original Notes or Book-Entry Confirmations; Guaranteed Delivery Procedures</w:t>
      </w:r>
      <w:r>
        <w:rPr>
          <w:rFonts w:ascii="Arial" w:cs="Arial" w:eastAsia="Arial" w:hAnsi="Arial"/>
          <w:sz w:val="17"/>
          <w:szCs w:val="17"/>
          <w:color w:val="auto"/>
        </w:rPr>
        <w:t>. In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holder of Original Notes to tender all or any portion of such holder’s Original Notes, (i) the Exchange Agent must receive, at or prior to the Expiration Time, (a) a validly completed and duly executed Letter of Transmittal or, if tendering by book-entry transfer, an Agent’s Message with respect to such holder, (b) the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tendering holder must comply with the guaranteed delivery procedures described below.</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method of delivery to the Exchange Agent of this Letter of Transmittal, any Original Notes and all other required documents is at the election and sole risk of the tendering holder. It is recommended that holders use an overnight or hand delivery service. If such delivery is by mail, it is recommended that holders use properly insured registered mail, return receipt requested. In all cases, delivery should be made sufficiently in advance of the Expiration Time to permit receipt of such documents by the Exchange Agent at or prior to the Expiration Time. Except as otherwise provided in this Letter of Transmittal, delivery will be deemed made when actually received or confirmed by the Exchange Agent. This Letter of Transmittal and any Original Notes tendered for exchange should be sent only to the Exchange Agent, not to the Company or DTC.</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If holders desire to tender Original Notes for exchange pursuant to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such holder may effect a tender of Original Notes in accordance with the guaranteed delivery procedures set forth in the Prospectus under the caption “The Exchange Offer—Guaranteed Delivery Procedures.” Pursuant to the guaranteed delivery procedures:</w:t>
      </w:r>
    </w:p>
    <w:p>
      <w:pPr>
        <w:spacing w:after="0" w:line="188"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tender must be made by or through an Eligible Institution;</w:t>
      </w:r>
    </w:p>
    <w:p>
      <w:pPr>
        <w:spacing w:after="0" w:line="225"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must receive from an Eligible Institution a validly completed and duly executed Notice of Guaranteed Delivery, substantially in the form accompanying this Letter of Transmittal, setting forth the name and address of the holder of the Original Notes being tendered and the amount of the Original Notes being tendered. The Notice of Guaranteed Delivery must state that the tender is being made and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will be transmitted to the Exchange Agent; and</w:t>
      </w:r>
    </w:p>
    <w:p>
      <w:pPr>
        <w:spacing w:after="0" w:line="194"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Exchange Agent must receive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within three business days after the Expiration Time.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tendering holder, by execution of this Letter of Transmittal, waives any right to receive any notice of the acceptance or rejection of such holder’s Original Notes for exchange.</w:t>
      </w:r>
    </w:p>
    <w:p>
      <w:pPr>
        <w:spacing w:after="0" w:line="170" w:lineRule="exact"/>
        <w:rPr>
          <w:sz w:val="20"/>
          <w:szCs w:val="20"/>
          <w:color w:val="auto"/>
        </w:rPr>
      </w:pPr>
    </w:p>
    <w:p>
      <w:pPr>
        <w:ind w:right="120" w:firstLine="8"/>
        <w:spacing w:after="0" w:line="277" w:lineRule="auto"/>
        <w:tabs>
          <w:tab w:leader="none" w:pos="31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Inadequate Space</w:t>
      </w:r>
      <w:r>
        <w:rPr>
          <w:rFonts w:ascii="Arial" w:cs="Arial" w:eastAsia="Arial" w:hAnsi="Arial"/>
          <w:sz w:val="18"/>
          <w:szCs w:val="18"/>
          <w:color w:val="auto"/>
        </w:rPr>
        <w:t>. If the space provided in the box entitled “Description of Original Notes Tendered” is not adequate, the names and addresses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the certificate numbers of the Original Notes and/or the principal amounts of the Original</w:t>
      </w:r>
    </w:p>
    <w:p>
      <w:pPr>
        <w:sectPr>
          <w:pgSz w:w="11900" w:h="16838" w:orient="portrait"/>
          <w:cols w:equalWidth="0" w:num="1">
            <w:col w:w="11220"/>
          </w:cols>
          <w:pgMar w:left="320" w:top="526" w:right="3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Notes tendered for exchange and any other required information should be listed on a separate signed schedule attached to this Letter of Transmittal.</w:t>
      </w:r>
    </w:p>
    <w:p>
      <w:pPr>
        <w:spacing w:after="0" w:line="248" w:lineRule="exact"/>
        <w:rPr>
          <w:sz w:val="20"/>
          <w:szCs w:val="20"/>
          <w:color w:val="auto"/>
        </w:rPr>
      </w:pPr>
    </w:p>
    <w:p>
      <w:pPr>
        <w:ind w:right="460" w:firstLine="8"/>
        <w:spacing w:after="0" w:line="342" w:lineRule="auto"/>
        <w:tabs>
          <w:tab w:leader="none" w:pos="315"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Withdrawal of Tenders</w:t>
      </w:r>
      <w:r>
        <w:rPr>
          <w:rFonts w:ascii="Arial" w:cs="Arial" w:eastAsia="Arial" w:hAnsi="Arial"/>
          <w:sz w:val="16"/>
          <w:szCs w:val="16"/>
          <w:color w:val="auto"/>
        </w:rPr>
        <w:t>. A tender of Original Notes may be withdrawn at any time prior to the Expiration Time by delivery of a written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to the Exchange Agent at the address set forth on the front of this Letter of Transmittal. To be effective, a notice of withdrawal must:</w:t>
      </w:r>
    </w:p>
    <w:p>
      <w:pPr>
        <w:spacing w:after="0" w:line="123" w:lineRule="exact"/>
        <w:rPr>
          <w:rFonts w:ascii="Arial" w:cs="Arial" w:eastAsia="Arial" w:hAnsi="Arial"/>
          <w:sz w:val="16"/>
          <w:szCs w:val="16"/>
          <w:b w:val="1"/>
          <w:bCs w:val="1"/>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be received by the Exchange Agent prior to the Expiration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225" w:lineRule="exact"/>
        <w:rPr>
          <w:rFonts w:ascii="Arial" w:cs="Arial" w:eastAsia="Arial" w:hAnsi="Arial"/>
          <w:sz w:val="18"/>
          <w:szCs w:val="18"/>
          <w:color w:val="auto"/>
        </w:rPr>
      </w:pPr>
    </w:p>
    <w:p>
      <w:pPr>
        <w:ind w:left="660" w:right="340" w:hanging="328"/>
        <w:spacing w:after="0" w:line="308" w:lineRule="auto"/>
        <w:tabs>
          <w:tab w:leader="none" w:pos="65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146" w:lineRule="exact"/>
        <w:rPr>
          <w:rFonts w:ascii="Arial" w:cs="Arial" w:eastAsia="Arial" w:hAnsi="Arial"/>
          <w:sz w:val="17"/>
          <w:szCs w:val="17"/>
          <w:color w:val="auto"/>
        </w:rPr>
      </w:pPr>
    </w:p>
    <w:p>
      <w:pPr>
        <w:ind w:left="660" w:right="240" w:hanging="328"/>
        <w:spacing w:after="0" w:line="342" w:lineRule="auto"/>
        <w:tabs>
          <w:tab w:leader="none" w:pos="65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where Original Notes have been tendered pursuant to DTC’s procedures for book-entry transfer, specify the name and number of the account at DTC to be credited with the withdrawn Original Notes and otherwise comply with the book-entry transfer procedures of DTC; and</w:t>
      </w:r>
    </w:p>
    <w:p>
      <w:pPr>
        <w:spacing w:after="0" w:line="123" w:lineRule="exact"/>
        <w:rPr>
          <w:rFonts w:ascii="Arial" w:cs="Arial" w:eastAsia="Arial" w:hAnsi="Arial"/>
          <w:sz w:val="16"/>
          <w:szCs w:val="16"/>
          <w:color w:val="auto"/>
        </w:rPr>
      </w:pPr>
    </w:p>
    <w:p>
      <w:pPr>
        <w:ind w:left="660" w:right="320" w:hanging="328"/>
        <w:spacing w:after="0" w:line="308" w:lineRule="auto"/>
        <w:tabs>
          <w:tab w:leader="none" w:pos="65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withdrawing holder is an Eligible Institution.</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Exchange Agent will promptly return any validly withdrawn Original Notes following receipt of an effective notice of withdrawal. All questions as to the validity, form and eligibility (including time of receipt) of notices of withdrawal will be determined by the Company in its sole discretion, and such determination will be final and binding on all parties.</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Any Original Notes validly withdrawn will be deemed not to have been validly tendered for exchange for purposes of the Exchange Offer, and the Company will not issue Exchange Notes with respect to such Original Notes. Any Original Notes that have been validly withdrawn will be promptly returned to the holder thereof without cost to such holder (or, in the case of Original Notes tendered by book-entry transfer into the Exchange Agent’s account at DTC, such Original Notes will be credited to an account with DTC specified by the holder). Validly withdrawn Original Notes may be re-tendered at any time at or prior to the Expiration Time by following one of the procedures described in the Prospectus under the caption “The Exchange Offer—Procedures for Tendering Original Notes.”</w:t>
      </w:r>
    </w:p>
    <w:p>
      <w:pPr>
        <w:spacing w:after="0" w:line="192" w:lineRule="exact"/>
        <w:rPr>
          <w:sz w:val="20"/>
          <w:szCs w:val="20"/>
          <w:color w:val="auto"/>
        </w:rPr>
      </w:pPr>
    </w:p>
    <w:p>
      <w:pPr>
        <w:ind w:firstLine="8"/>
        <w:spacing w:after="0" w:line="287" w:lineRule="auto"/>
        <w:tabs>
          <w:tab w:leader="none" w:pos="315"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Partial Tenders. </w:t>
      </w:r>
      <w:r>
        <w:rPr>
          <w:rFonts w:ascii="Arial" w:cs="Arial" w:eastAsia="Arial" w:hAnsi="Arial"/>
          <w:sz w:val="16"/>
          <w:szCs w:val="16"/>
          <w:color w:val="auto"/>
        </w:rPr>
        <w:t>Original Notes may be tendered in whole or in part. However, partial tenders of Original Notes will be accepted only in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denominations of $2,000 and integral multiples of $1,000 in excess thereof. If a tender for exchange is to be made with respect to less than the entire principal amount of any certificated Original Notes, a holder must fill in the principal amount of the Original Notes that is tendered for exchange in column</w:t>
      </w:r>
    </w:p>
    <w:p>
      <w:pPr>
        <w:spacing w:after="0" w:line="2" w:lineRule="exact"/>
        <w:rPr>
          <w:rFonts w:ascii="Arial" w:cs="Arial" w:eastAsia="Arial" w:hAnsi="Arial"/>
          <w:sz w:val="16"/>
          <w:szCs w:val="16"/>
          <w:b w:val="1"/>
          <w:bCs w:val="1"/>
          <w:color w:val="auto"/>
        </w:rPr>
      </w:pPr>
    </w:p>
    <w:p>
      <w:pPr>
        <w:ind w:right="1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(3) of the box entitled “Description of Original Notes Tendered.” A blank in column (3) of the box will indicate that the holder is tendering the entire principal amount of such holder’s Original Notes represented by the certificate(s) delivered. In the case of a partial tender of certificated Original Notes, a new certificate, in fully registered form, for the remainder of the principal amount of the Original Notes will be sent, promptly following the Expiration Time, to the holder of the Original Notes unless otherwise indicated in the boxes entitled “Special Issuance Instructions” and/or “Special Delivery Instructions.”</w:t>
      </w:r>
    </w:p>
    <w:p>
      <w:pPr>
        <w:spacing w:after="0" w:line="190" w:lineRule="exact"/>
        <w:rPr>
          <w:rFonts w:ascii="Arial" w:cs="Arial" w:eastAsia="Arial" w:hAnsi="Arial"/>
          <w:sz w:val="16"/>
          <w:szCs w:val="16"/>
          <w:b w:val="1"/>
          <w:bCs w:val="1"/>
          <w:color w:val="auto"/>
        </w:rPr>
      </w:pPr>
    </w:p>
    <w:p>
      <w:pPr>
        <w:ind w:left="320" w:hanging="312"/>
        <w:spacing w:after="0"/>
        <w:tabs>
          <w:tab w:leader="none" w:pos="3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Signatures on this Letter of Transmittal; Bond Powers and Endorsements</w:t>
      </w:r>
      <w:r>
        <w:rPr>
          <w:rFonts w:ascii="Arial" w:cs="Arial" w:eastAsia="Arial" w:hAnsi="Arial"/>
          <w:sz w:val="18"/>
          <w:szCs w:val="18"/>
          <w:i w:val="1"/>
          <w:iCs w:val="1"/>
          <w:color w:val="auto"/>
        </w:rPr>
        <w:t>.</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this Letter of Transmittal is signed by the registered holder(s) of the Original Notes tendered for exchange hereby, each signature must correspond exactly with each name as written on the face of the certificate representing such Original Notes or, in the case of Original Notes held in book-entry form, on the relevant security position listing, in each case without alteration, enlargement or any change whatsoever.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If any of the Original Notes tendered hereby are owned of record by two or more joint owners, each record owner must sign this Letter of Transmittal.</w:t>
      </w:r>
    </w:p>
    <w:p>
      <w:pPr>
        <w:spacing w:after="0" w:line="23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If any tendered Original Notes are registered in different names on several certificates, it will be necessary to complete, sign and submit as many separate copies of this Letter of Transmittal and any other required documents as there are names in which the Original Notes are held.</w:t>
      </w:r>
    </w:p>
    <w:p>
      <w:pPr>
        <w:sectPr>
          <w:pgSz w:w="11900" w:h="16838" w:orient="portrait"/>
          <w:cols w:equalWidth="0" w:num="1">
            <w:col w:w="11200"/>
          </w:cols>
          <w:pgMar w:left="320" w:top="530" w:right="379" w:bottom="1440" w:gutter="0" w:footer="0" w:header="0"/>
        </w:sectPr>
      </w:pPr>
    </w:p>
    <w:bookmarkStart w:id="139" w:name="page140"/>
    <w:bookmarkEnd w:id="139"/>
    <w:p>
      <w:pPr>
        <w:ind w:right="240"/>
        <w:spacing w:after="0" w:line="263" w:lineRule="auto"/>
        <w:rPr>
          <w:sz w:val="20"/>
          <w:szCs w:val="20"/>
          <w:color w:val="auto"/>
        </w:rPr>
      </w:pPr>
      <w:r>
        <w:rPr>
          <w:rFonts w:ascii="Arial" w:cs="Arial" w:eastAsia="Arial" w:hAnsi="Arial"/>
          <w:sz w:val="18"/>
          <w:szCs w:val="18"/>
          <w:color w:val="auto"/>
        </w:rPr>
        <w:t>If this Letter of Transmittal or any certificates or other required documents are signed by trustees, executors, administrators, guardians, attorneys-in-fact, officers of corporations, or others acting in a fiduciary or representative capacity, such persons must so indicate when signing and must submit proper evidence, satisfactory to the Company in its sole discretion, of such person’s authority to so act.</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this Letter of Transmittal is signed by the registered holder(s) of the Original Notes listed and transmitted hereby, no endorsements of certificates or separate bond powers are required, unless certificates for the Exchange Notes issued for the Original Notes or certificates for Original Notes not tendered or accepted for exchange are to be issued or returned in the name of a person other than the registered holder(s) thereof. In such event, signatures on this Letter of Transmittal or such certificates must be guaranteed by an Eligible Institution, unless signed by an Eligible Institution.</w:t>
      </w:r>
    </w:p>
    <w:p>
      <w:pPr>
        <w:spacing w:after="0" w:line="17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If this Letter of Transmittal is signed by a person other than the registered holder of the Original Notes, the certificates representing such Original Notes must be properly endorsed for transfer by the registered holder or accompanied by a properly completed bond power from the registered holder, in either case signed by the registered holder exactly as such registered holder’s name appears on the Company’s records. Signatures on the endorsement or bond power must be guaranteed by an Eligible Institution, unless signed by an Eligible Institution.</w:t>
      </w:r>
    </w:p>
    <w:p>
      <w:pPr>
        <w:spacing w:after="0" w:line="171" w:lineRule="exact"/>
        <w:rPr>
          <w:sz w:val="20"/>
          <w:szCs w:val="20"/>
          <w:color w:val="auto"/>
        </w:rPr>
      </w:pPr>
    </w:p>
    <w:p>
      <w:pPr>
        <w:ind w:right="60" w:firstLine="8"/>
        <w:spacing w:after="0" w:line="273" w:lineRule="auto"/>
        <w:tabs>
          <w:tab w:leader="none" w:pos="31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or cause to be paid all transfer taxes, if any, applicable to the exchange of Original Notes in the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If, however, Exchange Notes are to be registered in the name of, or Original Notes not tendered or accepted for exchange are to be returned to, any person other than the tendering registered holder, or if a transfer tax is imposed for any other reason, other than by reason of the exchange by the Company of the Original Notes in the Exchange Offer, then the amount of such transfer taxes (whether imposed on the registered holder or any other persons) will be payable by the tendering holder. If satisfactory evidence of the payment of such transfer taxes or exemption from payment is not submitted with this Letter of Transmittal, the amount of such transfer taxes will be billed directly to such tendering holder.</w:t>
      </w:r>
    </w:p>
    <w:p>
      <w:pPr>
        <w:spacing w:after="0" w:line="177" w:lineRule="exact"/>
        <w:rPr>
          <w:rFonts w:ascii="Arial" w:cs="Arial" w:eastAsia="Arial" w:hAnsi="Arial"/>
          <w:sz w:val="17"/>
          <w:szCs w:val="17"/>
          <w:b w:val="1"/>
          <w:bCs w:val="1"/>
          <w:color w:val="auto"/>
        </w:rPr>
      </w:pPr>
    </w:p>
    <w:p>
      <w:pPr>
        <w:ind w:right="20" w:firstLine="8"/>
        <w:spacing w:after="0" w:line="275" w:lineRule="auto"/>
        <w:tabs>
          <w:tab w:leader="none" w:pos="31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Special Issuance and Delivery Instructions</w:t>
      </w:r>
      <w:r>
        <w:rPr>
          <w:rFonts w:ascii="Arial" w:cs="Arial" w:eastAsia="Arial" w:hAnsi="Arial"/>
          <w:sz w:val="17"/>
          <w:szCs w:val="17"/>
          <w:color w:val="auto"/>
        </w:rPr>
        <w:t>. If the Exchange Notes, or if any Original Notes not tendered or accepted for exchange, are to be issued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sent to a person other than the person signing this Letter of Transmittal or to an address other than that shown herein, the appropriate boxes on this Letter of Transmittal should be completed. Holders of Original Notes tendering Original Notes by book-entry transfer may request that any Original Notes not accepted for exchange be credited to such other account maintained at DTC as such holder may designate. In such event, all signatures on this Letter of Transmittal must be guaranteed by an Eligible Institution, unless signed by an Eligible Institution.</w:t>
      </w:r>
    </w:p>
    <w:p>
      <w:pPr>
        <w:spacing w:after="0" w:line="176" w:lineRule="exact"/>
        <w:rPr>
          <w:rFonts w:ascii="Arial" w:cs="Arial" w:eastAsia="Arial" w:hAnsi="Arial"/>
          <w:sz w:val="17"/>
          <w:szCs w:val="17"/>
          <w:b w:val="1"/>
          <w:bCs w:val="1"/>
          <w:color w:val="auto"/>
        </w:rPr>
      </w:pPr>
    </w:p>
    <w:p>
      <w:pPr>
        <w:ind w:left="320" w:hanging="312"/>
        <w:spacing w:after="0"/>
        <w:tabs>
          <w:tab w:leader="none" w:pos="32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Irregularities</w:t>
      </w:r>
      <w:r>
        <w:rPr>
          <w:rFonts w:ascii="Arial" w:cs="Arial" w:eastAsia="Arial" w:hAnsi="Arial"/>
          <w:sz w:val="17"/>
          <w:szCs w:val="17"/>
          <w:color w:val="auto"/>
        </w:rPr>
        <w:t>. All questions as to the forms of all documents and the validity, eligibility (including time of receipt), acceptance and withdrawals of</w:t>
      </w:r>
    </w:p>
    <w:p>
      <w:pPr>
        <w:spacing w:after="0" w:line="34" w:lineRule="exact"/>
        <w:rPr>
          <w:rFonts w:ascii="Arial" w:cs="Arial" w:eastAsia="Arial" w:hAnsi="Arial"/>
          <w:sz w:val="17"/>
          <w:szCs w:val="17"/>
          <w:b w:val="1"/>
          <w:bCs w:val="1"/>
          <w:color w:val="auto"/>
        </w:rPr>
      </w:pPr>
    </w:p>
    <w:p>
      <w:pPr>
        <w:ind w:right="40"/>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tendered Original Notes will be determined by the Company, in its sole discretion, which determination will be final and binding on all parties. Alternative, conditional or contingent tenders will not be considered valid. The Company reserves the absolute right to reject any or all tenders of Original Notes that are not in valid form or the acceptance of which would, in the Company’s opinion, be deemed unlawful. The Company also reserves the right to waive any defects or irregularities as to the tender of any particular Original Notes. The Company’s interpretation of the terms and conditions of the Exchange Offer (including this Letter of Transmittal and the instructions contained herein) will be final and binding on all parties. Any defect or irregularity in connection with tenders of Original Notes must be cured within such reasonable period of time as the Company determines, unless waived by the Company. Valid tenders of Original Notes will not be deemed to have been made until all defects or irregularities have been cured or waived by the Company. Neither the Company nor the Exchange Agent will be under any duty to give notice of any defects or irregularities with respect to any tender of Original Notes for exchange, or to waive any such defects or irregularities, nor will the Company or the Exchange Agent incur any liability to registered holders or beneficial owners of Original Notes or any other persons for failure to give such notice or waiver.</w:t>
      </w:r>
    </w:p>
    <w:p>
      <w:pPr>
        <w:spacing w:after="0" w:line="169" w:lineRule="exact"/>
        <w:rPr>
          <w:rFonts w:ascii="Arial" w:cs="Arial" w:eastAsia="Arial" w:hAnsi="Arial"/>
          <w:sz w:val="17"/>
          <w:szCs w:val="17"/>
          <w:b w:val="1"/>
          <w:bCs w:val="1"/>
          <w:color w:val="auto"/>
        </w:rPr>
      </w:pPr>
    </w:p>
    <w:p>
      <w:pPr>
        <w:ind w:right="200" w:firstLine="8"/>
        <w:spacing w:after="0" w:line="259" w:lineRule="auto"/>
        <w:tabs>
          <w:tab w:leader="none" w:pos="40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Conditions</w:t>
      </w:r>
      <w:r>
        <w:rPr>
          <w:rFonts w:ascii="Arial" w:cs="Arial" w:eastAsia="Arial" w:hAnsi="Arial"/>
          <w:sz w:val="18"/>
          <w:szCs w:val="18"/>
          <w:color w:val="auto"/>
        </w:rPr>
        <w:t>. To the extent permitted by applicable law, the Company reserves the right to waive any and all conditions to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prior to the Expiration Time as described in the Prospectus under the caption “The Exchange Offer—Conditions to the Exchange Offer” and accept for exchange any Original Notes tendered. To the extent that the Company waives any condition to the Exchange Offer, it will waive such condition as to all Original Notes.</w:t>
      </w:r>
    </w:p>
    <w:p>
      <w:pPr>
        <w:spacing w:after="0" w:line="186" w:lineRule="exact"/>
        <w:rPr>
          <w:rFonts w:ascii="Arial" w:cs="Arial" w:eastAsia="Arial" w:hAnsi="Arial"/>
          <w:sz w:val="18"/>
          <w:szCs w:val="18"/>
          <w:b w:val="1"/>
          <w:bCs w:val="1"/>
          <w:color w:val="auto"/>
        </w:rPr>
      </w:pPr>
    </w:p>
    <w:p>
      <w:pPr>
        <w:ind w:right="20" w:firstLine="8"/>
        <w:spacing w:after="0" w:line="271" w:lineRule="auto"/>
        <w:tabs>
          <w:tab w:leader="none" w:pos="39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Identification Number and Backup Withholding</w:t>
      </w:r>
      <w:r>
        <w:rPr>
          <w:rFonts w:ascii="Arial" w:cs="Arial" w:eastAsia="Arial" w:hAnsi="Arial"/>
          <w:sz w:val="17"/>
          <w:szCs w:val="17"/>
          <w:color w:val="auto"/>
        </w:rPr>
        <w:t>. U.S. federal income tax law generally requires that a holder of Original Notes whose tendered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Notes are accepted for exchange or such holder’s assignee (in either case,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must provide the Exchange Agent with such Payee’s correct Taxpayer Identification Number (“</w:t>
      </w:r>
      <w:r>
        <w:rPr>
          <w:rFonts w:ascii="Arial" w:cs="Arial" w:eastAsia="Arial" w:hAnsi="Arial"/>
          <w:sz w:val="17"/>
          <w:szCs w:val="17"/>
          <w:b w:val="1"/>
          <w:bCs w:val="1"/>
          <w:i w:val="1"/>
          <w:iCs w:val="1"/>
          <w:color w:val="auto"/>
        </w:rPr>
        <w:t>TIN</w:t>
      </w:r>
      <w:r>
        <w:rPr>
          <w:rFonts w:ascii="Arial" w:cs="Arial" w:eastAsia="Arial" w:hAnsi="Arial"/>
          <w:sz w:val="17"/>
          <w:szCs w:val="17"/>
          <w:color w:val="auto"/>
        </w:rPr>
        <w:t>”) which, in the case of a Payee who is an individual, is such Payee’s social security number. If the Exchange Agent is not provided with the correct TIN or an adequate basis for an exemption from backup withholding, such Payee may be subject to a $50 penalty imposed by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backup withholding at the applicable rate, which is currently 24%, on all reportable payments (such as interest) that are made to the Payee with respect to the Exchange Notes. Backup withholding is not an additional tax. Rather, the U.S. federal income tax liability of a Payee subject to backup withholding will be reduced by the amount of tax withheld. If withholding results in an overpayment of taxes, a refund may be obtained provided that the required information is furnished to the IRS.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prevent backup withholding, each Payee must provide the Exchange Agent with such Payee’s correct TIN by completing the “Substitute Form W-9” included with this Letter of Transmittal, certifying that: (a) the TIN provided is correct (or that such Payee is</w:t>
      </w:r>
    </w:p>
    <w:p>
      <w:pPr>
        <w:sectPr>
          <w:pgSz w:w="11900" w:h="16838" w:orient="portrait"/>
          <w:cols w:equalWidth="0" w:num="1">
            <w:col w:w="11240"/>
          </w:cols>
          <w:pgMar w:left="320" w:top="530" w:right="339" w:bottom="1440" w:gutter="0" w:footer="0" w:header="0"/>
        </w:sectPr>
      </w:pPr>
    </w:p>
    <w:bookmarkStart w:id="140" w:name="page141"/>
    <w:bookmarkEnd w:id="140"/>
    <w:p>
      <w:pPr>
        <w:spacing w:after="0" w:line="259" w:lineRule="auto"/>
        <w:rPr>
          <w:sz w:val="20"/>
          <w:szCs w:val="20"/>
          <w:color w:val="auto"/>
        </w:rPr>
      </w:pPr>
      <w:r>
        <w:rPr>
          <w:rFonts w:ascii="Arial" w:cs="Arial" w:eastAsia="Arial" w:hAnsi="Arial"/>
          <w:sz w:val="18"/>
          <w:szCs w:val="18"/>
          <w:color w:val="auto"/>
        </w:rPr>
        <w:t>awaiting a TIN); (b) the Payee is not subject to backup withholding because (i) the Payee is exempt from backup withholding; (ii) the Payee has not been notified by the IRS that such Payee is subject to backup withholding as a result of a failure to report all interest or dividends; or (iii) the IRS has notified the Payee that such Payee is no longer subject to backup withholding; and (d) the FATCA code entered on the Substitute W-9 (if any) indicating that the Payee is exempt from FATCA is correct.</w:t>
      </w:r>
    </w:p>
    <w:p>
      <w:pPr>
        <w:spacing w:after="0" w:line="18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If the Payee does not have a TIN, such Payee should consult the Guidelines for Certification of Taxpayer Identification Number on Substitute Form W-9 (the “</w:t>
      </w:r>
      <w:r>
        <w:rPr>
          <w:rFonts w:ascii="Arial" w:cs="Arial" w:eastAsia="Arial" w:hAnsi="Arial"/>
          <w:sz w:val="17"/>
          <w:szCs w:val="17"/>
          <w:b w:val="1"/>
          <w:bCs w:val="1"/>
          <w:i w:val="1"/>
          <w:iCs w:val="1"/>
          <w:color w:val="auto"/>
        </w:rPr>
        <w:t>W-9 Guidelines</w:t>
      </w:r>
      <w:r>
        <w:rPr>
          <w:rFonts w:ascii="Arial" w:cs="Arial" w:eastAsia="Arial" w:hAnsi="Arial"/>
          <w:sz w:val="17"/>
          <w:szCs w:val="17"/>
          <w:color w:val="auto"/>
        </w:rPr>
        <w:t>”) included in this Letter of Transmittal for instructions on applying for a TIN. A Payee who has not been issued a TIN and has applied for a TIN or intends to apply for a TIN in the near future should write “Applied For” in Part 1 of the Substitute Form W-9 and sign and date both the Substitute Form W-9 and the Certificate of Awaiting Taxpayer Identification Number set forth therein. If such a Payee does not provide its TIN to the Exchange Agent within 60 days, backup withholding on all interest payments will begin and continue until such Payee furnishes such Payee’s TIN to the Exchange Agent. The 60-day rule does not apply to reportable payments other than interest and dividend payments. Therefore, withholding on other reportable payments (if any) will apply until the Payee provides its TIN to the Exchange Agent.</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 Original Notes are held in more than one name or are not in the name of the actual owner, holders should consult the W-9 Guidelines for information on which TIN to report.</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Exempt Payees (including, among others, all corporations and certain foreign individuals) are not subject to these backup withholding and reporting requirements. To prevent possible erroneous backup withholding, an exempt Payee must enter its correct TIN in Part 1 of the Substitute Form W-9, check the “Exempt” box in Part 2 of such form and sign and date the form. See the W-9 Guidelines for additional instructions. In order for a nonresident alien or foreign entity (including a disregarded U.S. entity that has a foreign owner) to qualify as exempt from these backup withholding and information reporting requirements, such person must complete and submit an appropriate IRS Form W-8, signed under penalties of perjury, attesting to such exempt status. Such form may be obtained from the Exchange Agent or via the IRS website at www.irs.gov.</w:t>
      </w:r>
    </w:p>
    <w:p>
      <w:pPr>
        <w:spacing w:after="0" w:line="178" w:lineRule="exact"/>
        <w:rPr>
          <w:sz w:val="20"/>
          <w:szCs w:val="20"/>
          <w:color w:val="auto"/>
        </w:rPr>
      </w:pPr>
    </w:p>
    <w:p>
      <w:pPr>
        <w:ind w:right="20" w:firstLine="8"/>
        <w:spacing w:after="0" w:line="259"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Lost, Stolen or Destroyed Certificates</w:t>
      </w:r>
      <w:r>
        <w:rPr>
          <w:rFonts w:ascii="Arial" w:cs="Arial" w:eastAsia="Arial" w:hAnsi="Arial"/>
          <w:sz w:val="18"/>
          <w:szCs w:val="18"/>
          <w:color w:val="auto"/>
        </w:rPr>
        <w:t>. Any holder of Original Notes whose certificates representing Original Notes have been lost, stolen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destroyed should promptly contact the Exchange Agent at the address or telephone number set forth on the front of this Letter of Transmittal for further instructions. This Letter of Transmittal and all related documents cannot be processed until the procedures for replacing lost, stolen or destroyed certificates have been followed.</w:t>
      </w:r>
    </w:p>
    <w:p>
      <w:pPr>
        <w:spacing w:after="0" w:line="186" w:lineRule="exact"/>
        <w:rPr>
          <w:rFonts w:ascii="Arial" w:cs="Arial" w:eastAsia="Arial" w:hAnsi="Arial"/>
          <w:sz w:val="18"/>
          <w:szCs w:val="18"/>
          <w:b w:val="1"/>
          <w:bCs w:val="1"/>
          <w:color w:val="auto"/>
        </w:rPr>
      </w:pPr>
    </w:p>
    <w:p>
      <w:pPr>
        <w:ind w:right="220" w:firstLine="8"/>
        <w:spacing w:after="0" w:line="263"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Questions or Requests for Assistance or Additional Copies</w:t>
      </w:r>
      <w:r>
        <w:rPr>
          <w:rFonts w:ascii="Arial" w:cs="Arial" w:eastAsia="Arial" w:hAnsi="Arial"/>
          <w:sz w:val="18"/>
          <w:szCs w:val="18"/>
          <w:color w:val="auto"/>
        </w:rPr>
        <w:t>. Questions and requests for assistance with respect to the Exchange Offer, and requests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additional copies of the Prospectus, this Letter of Transmittal or the Notice of Guaranteed Delivery, should be directed to the Exchange Agent at its address and telephone number set forth on the front of this Letter of Transmittal.</w:t>
      </w:r>
    </w:p>
    <w:p>
      <w:pPr>
        <w:spacing w:after="0" w:line="183" w:lineRule="exact"/>
        <w:rPr>
          <w:rFonts w:ascii="Arial" w:cs="Arial" w:eastAsia="Arial" w:hAnsi="Arial"/>
          <w:sz w:val="18"/>
          <w:szCs w:val="18"/>
          <w:b w:val="1"/>
          <w:bCs w:val="1"/>
          <w:color w:val="auto"/>
        </w:rPr>
      </w:pPr>
    </w:p>
    <w:p>
      <w:pPr>
        <w:ind w:right="260" w:firstLine="8"/>
        <w:spacing w:after="0" w:line="263"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of this Letter of Transmittal</w:t>
      </w:r>
      <w:r>
        <w:rPr>
          <w:rFonts w:ascii="Arial" w:cs="Arial" w:eastAsia="Arial" w:hAnsi="Arial"/>
          <w:sz w:val="18"/>
          <w:szCs w:val="18"/>
          <w:color w:val="auto"/>
        </w:rPr>
        <w:t>. This Letter of Transmittal will be deemed to be incorporated in, and acknowledged and accepted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tender through DTC’s ATOP procedures by any participant on behalf of itself and the beneficial owners of any Original Notes so tendered by such participant.</w:t>
      </w:r>
    </w:p>
    <w:p>
      <w:pPr>
        <w:spacing w:after="0" w:line="180"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IMPORTANT—This Letter of Transmittal and certificates for tendered Original Notes, or, if tendering by book-entry transfer, an Agent’s Message and confirmation of the book-entry transfer of tendered Original Notes into the Exchange Agent’s account at DTC, together with any other required documents, or a Notice of Guaranteed Delivery, must be received by the Exchange Agent at or prior to the Expiration Time.</w:t>
      </w:r>
    </w:p>
    <w:p>
      <w:pPr>
        <w:sectPr>
          <w:pgSz w:w="11900" w:h="16838" w:orient="portrait"/>
          <w:cols w:equalWidth="0" w:num="1">
            <w:col w:w="11240"/>
          </w:cols>
          <w:pgMar w:left="320" w:top="530" w:right="339" w:bottom="1440" w:gutter="0" w:footer="0" w:header="0"/>
        </w:sectPr>
      </w:pPr>
    </w:p>
    <w:bookmarkStart w:id="141" w:name="page142"/>
    <w:bookmarkEnd w:id="141"/>
    <w:p>
      <w:pPr>
        <w:ind w:left="3660"/>
        <w:spacing w:after="0"/>
        <w:rPr>
          <w:sz w:val="20"/>
          <w:szCs w:val="20"/>
          <w:color w:val="auto"/>
        </w:rPr>
      </w:pPr>
      <w:r>
        <w:rPr>
          <w:rFonts w:ascii="Arial" w:cs="Arial" w:eastAsia="Arial" w:hAnsi="Arial"/>
          <w:sz w:val="18"/>
          <w:szCs w:val="18"/>
          <w:b w:val="1"/>
          <w:bCs w:val="1"/>
          <w:color w:val="auto"/>
        </w:rPr>
        <w:t>PAYER’S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386080</wp:posOffset>
            </wp:positionV>
            <wp:extent cx="6326505" cy="7852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326505" cy="785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gridSpan w:val="3"/>
          </w:tcPr>
          <w:p>
            <w:pPr>
              <w:spacing w:after="0"/>
              <w:rPr>
                <w:sz w:val="20"/>
                <w:szCs w:val="20"/>
                <w:color w:val="auto"/>
              </w:rPr>
            </w:pPr>
            <w:r>
              <w:rPr>
                <w:rFonts w:ascii="Arial" w:cs="Arial" w:eastAsia="Arial" w:hAnsi="Arial"/>
                <w:sz w:val="17"/>
                <w:szCs w:val="17"/>
                <w:b w:val="1"/>
                <w:bCs w:val="1"/>
                <w:color w:val="auto"/>
                <w:w w:val="96"/>
              </w:rPr>
              <w:t>SUBSTITUTE Form W-9 Name (as shown on your income tax return). Name is required on this line; do not leave this line blank.</w:t>
            </w:r>
          </w:p>
        </w:tc>
        <w:tc>
          <w:tcPr>
            <w:tcW w:w="0" w:type="dxa"/>
            <w:vAlign w:val="bottom"/>
          </w:tcPr>
          <w:p>
            <w:pPr>
              <w:spacing w:after="0"/>
              <w:rPr>
                <w:sz w:val="1"/>
                <w:szCs w:val="1"/>
                <w:color w:val="auto"/>
              </w:rPr>
            </w:pPr>
          </w:p>
        </w:tc>
      </w:tr>
      <w:tr>
        <w:trPr>
          <w:trHeight w:val="216"/>
        </w:trPr>
        <w:tc>
          <w:tcPr>
            <w:tcW w:w="1960" w:type="dxa"/>
            <w:vAlign w:val="bottom"/>
            <w:vMerge w:val="restart"/>
          </w:tcPr>
          <w:p>
            <w:pPr>
              <w:spacing w:after="0"/>
              <w:rPr>
                <w:sz w:val="20"/>
                <w:szCs w:val="20"/>
                <w:color w:val="auto"/>
              </w:rPr>
            </w:pPr>
            <w:r>
              <w:rPr>
                <w:rFonts w:ascii="Arial" w:cs="Arial" w:eastAsia="Arial" w:hAnsi="Arial"/>
                <w:sz w:val="17"/>
                <w:szCs w:val="17"/>
                <w:b w:val="1"/>
                <w:bCs w:val="1"/>
                <w:color w:val="auto"/>
              </w:rPr>
              <w:t>Department of the</w:t>
            </w:r>
          </w:p>
        </w:tc>
        <w:tc>
          <w:tcPr>
            <w:tcW w:w="7980" w:type="dxa"/>
            <w:vAlign w:val="bottom"/>
            <w:gridSpan w:val="2"/>
          </w:tcPr>
          <w:p>
            <w:pPr>
              <w:ind w:left="2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54"/>
        </w:trPr>
        <w:tc>
          <w:tcPr>
            <w:tcW w:w="1960" w:type="dxa"/>
            <w:vAlign w:val="bottom"/>
            <w:vMerge w:val="continue"/>
          </w:tcPr>
          <w:p>
            <w:pPr>
              <w:spacing w:after="0"/>
              <w:rPr>
                <w:sz w:val="4"/>
                <w:szCs w:val="4"/>
                <w:color w:val="auto"/>
              </w:rPr>
            </w:pPr>
          </w:p>
        </w:tc>
        <w:tc>
          <w:tcPr>
            <w:tcW w:w="492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3"/>
              </w:rPr>
              <w:t>Business Name/Disregarded Entity Name, if different from above</w:t>
            </w:r>
          </w:p>
        </w:tc>
        <w:tc>
          <w:tcPr>
            <w:tcW w:w="3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7"/>
                <w:szCs w:val="17"/>
                <w:b w:val="1"/>
                <w:bCs w:val="1"/>
                <w:color w:val="auto"/>
              </w:rPr>
              <w:t>Treasury Internal</w:t>
            </w:r>
          </w:p>
        </w:tc>
        <w:tc>
          <w:tcPr>
            <w:tcW w:w="4920" w:type="dxa"/>
            <w:vAlign w:val="bottom"/>
            <w:vMerge w:val="continue"/>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20"/>
                <w:szCs w:val="20"/>
                <w:color w:val="auto"/>
              </w:rPr>
            </w:pPr>
            <w:r>
              <w:rPr>
                <w:rFonts w:ascii="Arial" w:cs="Arial" w:eastAsia="Arial" w:hAnsi="Arial"/>
                <w:sz w:val="17"/>
                <w:szCs w:val="17"/>
                <w:b w:val="1"/>
                <w:bCs w:val="1"/>
                <w:color w:val="auto"/>
              </w:rPr>
              <w:t>Revenue Service</w:t>
            </w:r>
          </w:p>
        </w:tc>
        <w:tc>
          <w:tcPr>
            <w:tcW w:w="7980" w:type="dxa"/>
            <w:vAlign w:val="bottom"/>
            <w:gridSpan w:val="2"/>
          </w:tcPr>
          <w:p>
            <w:pPr>
              <w:ind w:left="2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7"/>
                <w:szCs w:val="17"/>
                <w:b w:val="1"/>
                <w:bCs w:val="1"/>
                <w:color w:val="auto"/>
              </w:rPr>
              <w:t>Payer’s Request for</w:t>
            </w:r>
          </w:p>
        </w:tc>
        <w:tc>
          <w:tcPr>
            <w:tcW w:w="7980" w:type="dxa"/>
            <w:vAlign w:val="bottom"/>
            <w:gridSpan w:val="2"/>
          </w:tcPr>
          <w:p>
            <w:pPr>
              <w:ind w:left="20"/>
              <w:spacing w:after="0"/>
              <w:rPr>
                <w:sz w:val="20"/>
                <w:szCs w:val="20"/>
                <w:color w:val="auto"/>
              </w:rPr>
            </w:pPr>
            <w:r>
              <w:rPr>
                <w:rFonts w:ascii="Arial" w:cs="Arial" w:eastAsia="Arial" w:hAnsi="Arial"/>
                <w:sz w:val="17"/>
                <w:szCs w:val="17"/>
                <w:b w:val="1"/>
                <w:bCs w:val="1"/>
                <w:color w:val="auto"/>
              </w:rPr>
              <w:t>Check appropriate box for federal tax classification; check only one of the following seven boxes:</w:t>
            </w:r>
          </w:p>
        </w:tc>
        <w:tc>
          <w:tcPr>
            <w:tcW w:w="0" w:type="dxa"/>
            <w:vAlign w:val="bottom"/>
          </w:tcPr>
          <w:p>
            <w:pPr>
              <w:spacing w:after="0"/>
              <w:rPr>
                <w:sz w:val="1"/>
                <w:szCs w:val="1"/>
                <w:color w:val="auto"/>
              </w:rPr>
            </w:pP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7"/>
                <w:szCs w:val="17"/>
                <w:b w:val="1"/>
                <w:bCs w:val="1"/>
                <w:color w:val="auto"/>
              </w:rPr>
              <w:t>Taxpayer Identification</w:t>
            </w:r>
          </w:p>
        </w:tc>
        <w:tc>
          <w:tcPr>
            <w:tcW w:w="7980" w:type="dxa"/>
            <w:vAlign w:val="bottom"/>
            <w:gridSpan w:val="2"/>
            <w:vMerge w:val="restart"/>
          </w:tcPr>
          <w:p>
            <w:pPr>
              <w:ind w:left="20"/>
              <w:spacing w:after="0"/>
              <w:rPr>
                <w:sz w:val="20"/>
                <w:szCs w:val="20"/>
                <w:color w:val="auto"/>
              </w:rPr>
            </w:pPr>
            <w:r>
              <w:rPr>
                <w:rFonts w:ascii="Arial" w:cs="Arial" w:eastAsia="Arial" w:hAnsi="Arial"/>
                <w:sz w:val="17"/>
                <w:szCs w:val="17"/>
                <w:color w:val="auto"/>
              </w:rPr>
              <w:t>__ Individual/sole proprietor or single-member LLC __ C Corporation __ S Corporation</w:t>
            </w:r>
          </w:p>
        </w:tc>
        <w:tc>
          <w:tcPr>
            <w:tcW w:w="0" w:type="dxa"/>
            <w:vAlign w:val="bottom"/>
          </w:tcPr>
          <w:p>
            <w:pPr>
              <w:spacing w:after="0"/>
              <w:rPr>
                <w:sz w:val="1"/>
                <w:szCs w:val="1"/>
                <w:color w:val="auto"/>
              </w:rPr>
            </w:pP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7"/>
                <w:szCs w:val="17"/>
                <w:b w:val="1"/>
                <w:bCs w:val="1"/>
                <w:color w:val="auto"/>
              </w:rPr>
              <w:t>Number (“TIN”) and</w:t>
            </w:r>
          </w:p>
        </w:tc>
        <w:tc>
          <w:tcPr>
            <w:tcW w:w="7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0"/>
                <w:szCs w:val="20"/>
                <w:color w:val="auto"/>
              </w:rPr>
            </w:pPr>
            <w:r>
              <w:rPr>
                <w:rFonts w:ascii="Arial" w:cs="Arial" w:eastAsia="Arial" w:hAnsi="Arial"/>
                <w:sz w:val="17"/>
                <w:szCs w:val="17"/>
                <w:b w:val="1"/>
                <w:bCs w:val="1"/>
                <w:color w:val="auto"/>
              </w:rPr>
              <w:t>Certification</w:t>
            </w:r>
          </w:p>
        </w:tc>
        <w:tc>
          <w:tcPr>
            <w:tcW w:w="4920" w:type="dxa"/>
            <w:vAlign w:val="bottom"/>
          </w:tcPr>
          <w:p>
            <w:pPr>
              <w:ind w:left="20"/>
              <w:spacing w:after="0"/>
              <w:rPr>
                <w:sz w:val="20"/>
                <w:szCs w:val="20"/>
                <w:color w:val="auto"/>
              </w:rPr>
            </w:pPr>
            <w:r>
              <w:rPr>
                <w:rFonts w:ascii="Arial" w:cs="Arial" w:eastAsia="Arial" w:hAnsi="Arial"/>
                <w:sz w:val="17"/>
                <w:szCs w:val="17"/>
                <w:color w:val="auto"/>
              </w:rPr>
              <w:t>__ Partnership __ Trust/Estate</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__ Limited liability company. Enter the tax __ Other ________</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Pr>
          <w:p>
            <w:pPr>
              <w:ind w:left="280"/>
              <w:spacing w:after="0" w:line="162" w:lineRule="exact"/>
              <w:rPr>
                <w:sz w:val="20"/>
                <w:szCs w:val="20"/>
                <w:color w:val="auto"/>
              </w:rPr>
            </w:pPr>
            <w:r>
              <w:rPr>
                <w:rFonts w:ascii="Arial" w:cs="Arial" w:eastAsia="Arial" w:hAnsi="Arial"/>
                <w:sz w:val="17"/>
                <w:szCs w:val="17"/>
                <w:color w:val="auto"/>
              </w:rPr>
              <w:t>classification (C = C corporation,</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Pr>
          <w:p>
            <w:pPr>
              <w:ind w:left="280"/>
              <w:spacing w:after="0"/>
              <w:rPr>
                <w:sz w:val="20"/>
                <w:szCs w:val="20"/>
                <w:color w:val="auto"/>
              </w:rPr>
            </w:pPr>
            <w:r>
              <w:rPr>
                <w:rFonts w:ascii="Arial" w:cs="Arial" w:eastAsia="Arial" w:hAnsi="Arial"/>
                <w:sz w:val="17"/>
                <w:szCs w:val="17"/>
                <w:color w:val="auto"/>
              </w:rPr>
              <w:t>S = S corporation, P = partnership) __________</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7980" w:type="dxa"/>
            <w:vAlign w:val="bottom"/>
            <w:gridSpan w:val="2"/>
          </w:tcPr>
          <w:p>
            <w:pPr>
              <w:ind w:left="20"/>
              <w:spacing w:after="0"/>
              <w:rPr>
                <w:sz w:val="20"/>
                <w:szCs w:val="20"/>
                <w:color w:val="auto"/>
              </w:rPr>
            </w:pPr>
            <w:r>
              <w:rPr>
                <w:rFonts w:ascii="Arial" w:cs="Arial" w:eastAsia="Arial" w:hAnsi="Arial"/>
                <w:sz w:val="17"/>
                <w:szCs w:val="17"/>
                <w:b w:val="1"/>
                <w:bCs w:val="1"/>
                <w:color w:val="auto"/>
                <w:w w:val="98"/>
              </w:rPr>
              <w:t xml:space="preserve">Note. </w:t>
            </w:r>
            <w:r>
              <w:rPr>
                <w:rFonts w:ascii="Arial" w:cs="Arial" w:eastAsia="Arial" w:hAnsi="Arial"/>
                <w:sz w:val="17"/>
                <w:szCs w:val="17"/>
                <w:color w:val="auto"/>
                <w:w w:val="98"/>
              </w:rPr>
              <w:t>Check the appropriate line above for the tax classification of the single-member owner. Do not check</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7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 xml:space="preserve">LLC if the LLC is classified as </w:t>
            </w:r>
            <w:r>
              <w:rPr>
                <w:rFonts w:ascii="Arial" w:cs="Arial" w:eastAsia="Arial" w:hAnsi="Arial"/>
                <w:sz w:val="17"/>
                <w:szCs w:val="17"/>
                <w:color w:val="auto"/>
                <w:w w:val="95"/>
              </w:rPr>
              <w:t>a single-member LLC that is disregarded</w:t>
            </w:r>
            <w:r>
              <w:rPr>
                <w:rFonts w:ascii="Arial" w:cs="Arial" w:eastAsia="Arial" w:hAnsi="Arial"/>
                <w:sz w:val="18"/>
                <w:szCs w:val="18"/>
                <w:color w:val="auto"/>
                <w:w w:val="95"/>
              </w:rPr>
              <w:t xml:space="preserve"> from the owner unless the owner of</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7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the LLC is another LLC that is not disregarded from the owner for U.S. federal tax purposes. Otherwise, a</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7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single-member LLC that is disregarded from the owner should check the appropriate box for the tax</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classification of its owner.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Address</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7980" w:type="dxa"/>
            <w:vAlign w:val="bottom"/>
            <w:gridSpan w:val="2"/>
          </w:tcPr>
          <w:p>
            <w:pPr>
              <w:ind w:left="2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City, state and ZIP code</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798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7980" w:type="dxa"/>
            <w:vAlign w:val="bottom"/>
            <w:gridSpan w:val="2"/>
          </w:tcPr>
          <w:p>
            <w:pPr>
              <w:ind w:left="20"/>
              <w:spacing w:after="0" w:line="162" w:lineRule="exact"/>
              <w:rPr>
                <w:sz w:val="20"/>
                <w:szCs w:val="20"/>
                <w:color w:val="auto"/>
              </w:rPr>
            </w:pPr>
            <w:r>
              <w:rPr>
                <w:rFonts w:ascii="Arial" w:cs="Arial" w:eastAsia="Arial" w:hAnsi="Arial"/>
                <w:sz w:val="17"/>
                <w:szCs w:val="17"/>
                <w:b w:val="1"/>
                <w:bCs w:val="1"/>
                <w:color w:val="auto"/>
              </w:rPr>
              <w:t>Exemptions (codes apply only to certain entities, not individuals: see W-9 Guidelines)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Pr>
          <w:p>
            <w:pPr>
              <w:ind w:left="20"/>
              <w:spacing w:after="0" w:line="162" w:lineRule="exact"/>
              <w:rPr>
                <w:sz w:val="20"/>
                <w:szCs w:val="20"/>
                <w:color w:val="auto"/>
              </w:rPr>
            </w:pPr>
            <w:r>
              <w:rPr>
                <w:rFonts w:ascii="Arial" w:cs="Arial" w:eastAsia="Arial" w:hAnsi="Arial"/>
                <w:sz w:val="17"/>
                <w:szCs w:val="17"/>
                <w:color w:val="auto"/>
              </w:rPr>
              <w:t>Exempt payee code (if any) _____</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Exemption from FATCA reporting code (if any) _____</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96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49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b w:val="1"/>
                <w:bCs w:val="1"/>
                <w:color w:val="auto"/>
                <w:w w:val="93"/>
              </w:rPr>
              <w:t xml:space="preserve">Part 1 </w:t>
            </w:r>
            <w:r>
              <w:rPr>
                <w:rFonts w:ascii="Arial" w:cs="Arial" w:eastAsia="Arial" w:hAnsi="Arial"/>
                <w:sz w:val="17"/>
                <w:szCs w:val="17"/>
                <w:color w:val="auto"/>
                <w:w w:val="93"/>
              </w:rPr>
              <w:t>— Taxpayer Identification Number — Please provide your TIN</w:t>
            </w:r>
          </w:p>
        </w:tc>
        <w:tc>
          <w:tcPr>
            <w:tcW w:w="3060" w:type="dxa"/>
            <w:vAlign w:val="bottom"/>
            <w:vMerge w:val="restart"/>
          </w:tcPr>
          <w:p>
            <w:pPr>
              <w:ind w:left="20"/>
              <w:spacing w:after="0"/>
              <w:rPr>
                <w:sz w:val="20"/>
                <w:szCs w:val="20"/>
                <w:color w:val="auto"/>
              </w:rPr>
            </w:pPr>
            <w:r>
              <w:rPr>
                <w:rFonts w:ascii="Arial" w:cs="Arial" w:eastAsia="Arial" w:hAnsi="Arial"/>
                <w:sz w:val="17"/>
                <w:szCs w:val="17"/>
                <w:color w:val="auto"/>
              </w:rPr>
              <w:t>___________________________</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7"/>
                <w:szCs w:val="17"/>
                <w:color w:val="auto"/>
                <w:w w:val="94"/>
              </w:rPr>
              <w:t>in the box at right and certify by signing and dating below. If awaiting</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7"/>
                <w:szCs w:val="17"/>
                <w:color w:val="auto"/>
              </w:rPr>
              <w:t>TIN, write “Applied For.”</w:t>
            </w:r>
          </w:p>
        </w:tc>
        <w:tc>
          <w:tcPr>
            <w:tcW w:w="3060" w:type="dxa"/>
            <w:vAlign w:val="bottom"/>
          </w:tcPr>
          <w:p>
            <w:pPr>
              <w:ind w:left="20"/>
              <w:spacing w:after="0" w:line="162" w:lineRule="exact"/>
              <w:rPr>
                <w:sz w:val="20"/>
                <w:szCs w:val="20"/>
                <w:color w:val="auto"/>
              </w:rPr>
            </w:pPr>
            <w:r>
              <w:rPr>
                <w:rFonts w:ascii="Arial" w:cs="Arial" w:eastAsia="Arial" w:hAnsi="Arial"/>
                <w:sz w:val="17"/>
                <w:szCs w:val="17"/>
                <w:color w:val="auto"/>
              </w:rPr>
              <w:t>Social Security Number</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spacing w:after="0"/>
              <w:rPr>
                <w:sz w:val="14"/>
                <w:szCs w:val="14"/>
                <w:color w:val="auto"/>
              </w:rPr>
            </w:pPr>
          </w:p>
        </w:tc>
        <w:tc>
          <w:tcPr>
            <w:tcW w:w="3060" w:type="dxa"/>
            <w:vAlign w:val="bottom"/>
          </w:tcPr>
          <w:p>
            <w:pPr>
              <w:ind w:left="20"/>
              <w:spacing w:after="0" w:line="162" w:lineRule="exact"/>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spacing w:after="0"/>
              <w:rPr>
                <w:sz w:val="14"/>
                <w:szCs w:val="14"/>
                <w:color w:val="auto"/>
              </w:rPr>
            </w:pPr>
          </w:p>
        </w:tc>
        <w:tc>
          <w:tcPr>
            <w:tcW w:w="3060" w:type="dxa"/>
            <w:vAlign w:val="bottom"/>
          </w:tcPr>
          <w:p>
            <w:pPr>
              <w:ind w:left="20"/>
              <w:spacing w:after="0" w:line="162" w:lineRule="exact"/>
              <w:rPr>
                <w:sz w:val="20"/>
                <w:szCs w:val="20"/>
                <w:color w:val="auto"/>
              </w:rPr>
            </w:pPr>
            <w:r>
              <w:rPr>
                <w:rFonts w:ascii="Arial" w:cs="Arial" w:eastAsia="Arial" w:hAnsi="Arial"/>
                <w:sz w:val="17"/>
                <w:szCs w:val="17"/>
                <w:color w:val="auto"/>
              </w:rPr>
              <w:t>___________________________</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7"/>
                <w:szCs w:val="17"/>
                <w:color w:val="auto"/>
              </w:rPr>
              <w:t>Employer Identification Number</w:t>
            </w:r>
          </w:p>
        </w:tc>
        <w:tc>
          <w:tcPr>
            <w:tcW w:w="0" w:type="dxa"/>
            <w:vAlign w:val="bottom"/>
          </w:tcPr>
          <w:p>
            <w:pPr>
              <w:spacing w:after="0"/>
              <w:rPr>
                <w:sz w:val="1"/>
                <w:szCs w:val="1"/>
                <w:color w:val="auto"/>
              </w:rPr>
            </w:pPr>
          </w:p>
        </w:tc>
      </w:tr>
      <w:tr>
        <w:trPr>
          <w:trHeight w:val="634"/>
        </w:trPr>
        <w:tc>
          <w:tcPr>
            <w:tcW w:w="1960" w:type="dxa"/>
            <w:vAlign w:val="bottom"/>
          </w:tcPr>
          <w:p>
            <w:pPr>
              <w:spacing w:after="0"/>
              <w:rPr>
                <w:sz w:val="24"/>
                <w:szCs w:val="24"/>
                <w:color w:val="auto"/>
              </w:rPr>
            </w:pPr>
          </w:p>
        </w:tc>
        <w:tc>
          <w:tcPr>
            <w:tcW w:w="49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980"/>
        <w:spacing w:after="0"/>
        <w:rPr>
          <w:sz w:val="20"/>
          <w:szCs w:val="20"/>
          <w:color w:val="auto"/>
        </w:rPr>
      </w:pPr>
      <w:r>
        <w:rPr>
          <w:rFonts w:ascii="Arial" w:cs="Arial" w:eastAsia="Arial" w:hAnsi="Arial"/>
          <w:sz w:val="17"/>
          <w:szCs w:val="17"/>
          <w:b w:val="1"/>
          <w:bCs w:val="1"/>
          <w:color w:val="auto"/>
        </w:rPr>
        <w:t>PART 2 — Certification — Under penalties of perjury, I certify that:</w:t>
      </w:r>
    </w:p>
    <w:p>
      <w:pPr>
        <w:spacing w:after="0" w:line="79" w:lineRule="exact"/>
        <w:rPr>
          <w:sz w:val="20"/>
          <w:szCs w:val="20"/>
          <w:color w:val="auto"/>
        </w:rPr>
      </w:pPr>
    </w:p>
    <w:p>
      <w:pPr>
        <w:ind w:left="2220" w:right="299" w:hanging="196"/>
        <w:spacing w:after="0" w:line="232" w:lineRule="auto"/>
        <w:tabs>
          <w:tab w:leader="none" w:pos="2259"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number shown on this form is my correct taxpayer identification number (or I am waiting for a number to be issued to me),</w:t>
      </w:r>
    </w:p>
    <w:p>
      <w:pPr>
        <w:spacing w:after="0" w:line="54" w:lineRule="exact"/>
        <w:rPr>
          <w:rFonts w:ascii="Arial" w:cs="Arial" w:eastAsia="Arial" w:hAnsi="Arial"/>
          <w:sz w:val="17"/>
          <w:szCs w:val="17"/>
          <w:color w:val="auto"/>
        </w:rPr>
      </w:pPr>
    </w:p>
    <w:p>
      <w:pPr>
        <w:jc w:val="both"/>
        <w:ind w:left="2220" w:right="239" w:hanging="196"/>
        <w:spacing w:after="0" w:line="255" w:lineRule="auto"/>
        <w:tabs>
          <w:tab w:leader="none" w:pos="2259"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 am not subject to backup withholding because: (a) I am exempt from backup withholding,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44" w:lineRule="exact"/>
        <w:rPr>
          <w:rFonts w:ascii="Arial" w:cs="Arial" w:eastAsia="Arial" w:hAnsi="Arial"/>
          <w:sz w:val="15"/>
          <w:szCs w:val="15"/>
          <w:color w:val="auto"/>
        </w:rPr>
      </w:pPr>
    </w:p>
    <w:p>
      <w:pPr>
        <w:ind w:left="2220" w:hanging="236"/>
        <w:spacing w:after="0"/>
        <w:tabs>
          <w:tab w:leader="none" w:pos="22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 am a U.S. citizen or other U.S. person (including a U.S. resident alien) and</w:t>
      </w:r>
    </w:p>
    <w:p>
      <w:pPr>
        <w:spacing w:after="0" w:line="74" w:lineRule="exact"/>
        <w:rPr>
          <w:rFonts w:ascii="Arial" w:cs="Arial" w:eastAsia="Arial" w:hAnsi="Arial"/>
          <w:sz w:val="17"/>
          <w:szCs w:val="17"/>
          <w:color w:val="auto"/>
        </w:rPr>
      </w:pPr>
    </w:p>
    <w:p>
      <w:pPr>
        <w:ind w:left="2220" w:hanging="236"/>
        <w:spacing w:after="0"/>
        <w:tabs>
          <w:tab w:leader="none" w:pos="22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FATCA code(s) entered on this form (if any) indicating that I am exempt from FATCA reporting is correct.</w:t>
      </w:r>
    </w:p>
    <w:p>
      <w:pPr>
        <w:spacing w:after="0" w:line="98" w:lineRule="exact"/>
        <w:rPr>
          <w:sz w:val="20"/>
          <w:szCs w:val="20"/>
          <w:color w:val="auto"/>
        </w:rPr>
      </w:pPr>
    </w:p>
    <w:p>
      <w:pPr>
        <w:ind w:left="1980" w:right="499"/>
        <w:spacing w:after="0" w:line="212" w:lineRule="auto"/>
        <w:rPr>
          <w:sz w:val="20"/>
          <w:szCs w:val="20"/>
          <w:color w:val="auto"/>
        </w:rPr>
      </w:pPr>
      <w:r>
        <w:rPr>
          <w:rFonts w:ascii="Arial" w:cs="Arial" w:eastAsia="Arial" w:hAnsi="Arial"/>
          <w:sz w:val="17"/>
          <w:szCs w:val="17"/>
          <w:u w:val="single" w:color="auto"/>
          <w:color w:val="auto"/>
        </w:rPr>
        <w:t>Certification Instructions.</w:t>
      </w:r>
      <w:r>
        <w:rPr>
          <w:rFonts w:ascii="Arial" w:cs="Arial" w:eastAsia="Arial" w:hAnsi="Arial"/>
          <w:sz w:val="17"/>
          <w:szCs w:val="17"/>
          <w:color w:val="auto"/>
        </w:rPr>
        <w:t xml:space="preserve"> — You must cross out item 2 above if you have been notified by the IRS that you are currently subject to backup withholding because you have failed to report all interest and dividends on your tax return. However, if after being notified by the IRS that you were subject to backup withholding you received another notification from the IRS stating that you are no longer subject to backup withholding, do not cross out item 2.</w:t>
      </w:r>
    </w:p>
    <w:p>
      <w:pPr>
        <w:spacing w:after="0" w:line="200" w:lineRule="exact"/>
        <w:rPr>
          <w:sz w:val="20"/>
          <w:szCs w:val="20"/>
          <w:color w:val="auto"/>
        </w:rPr>
      </w:pPr>
    </w:p>
    <w:p>
      <w:pPr>
        <w:spacing w:after="0" w:line="273" w:lineRule="exact"/>
        <w:rPr>
          <w:sz w:val="20"/>
          <w:szCs w:val="20"/>
          <w:color w:val="auto"/>
        </w:rPr>
      </w:pPr>
    </w:p>
    <w:p>
      <w:pPr>
        <w:ind w:left="1980" w:right="699"/>
        <w:spacing w:after="0" w:line="232" w:lineRule="auto"/>
        <w:rPr>
          <w:sz w:val="20"/>
          <w:szCs w:val="20"/>
          <w:color w:val="auto"/>
        </w:rPr>
      </w:pPr>
      <w:r>
        <w:rPr>
          <w:rFonts w:ascii="Arial" w:cs="Arial" w:eastAsia="Arial" w:hAnsi="Arial"/>
          <w:sz w:val="17"/>
          <w:szCs w:val="17"/>
          <w:color w:val="auto"/>
        </w:rPr>
        <w:t>The Internal Revenue Service does not require your consent to any provision of this document other than the certifications required to avoid backup withholding.</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SIGNATURE_____________________________________________ DATE_____________________________</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81" w:lineRule="exact"/>
        <w:rPr>
          <w:sz w:val="20"/>
          <w:szCs w:val="20"/>
          <w:color w:val="auto"/>
        </w:rPr>
      </w:pPr>
    </w:p>
    <w:p>
      <w:pPr>
        <w:ind w:right="419"/>
        <w:spacing w:after="0" w:line="232"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24% of all reportable payments made to me will be withheld.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 Date_______________________________________</w:t>
      </w:r>
    </w:p>
    <w:p>
      <w:pPr>
        <w:sectPr>
          <w:pgSz w:w="11900" w:h="16838" w:orient="portrait"/>
          <w:cols w:equalWidth="0" w:num="1">
            <w:col w:w="10099"/>
          </w:cols>
          <w:pgMar w:left="360" w:top="526"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NUMBER ON SUBSTITUTE FORM W-9</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Guidelines For Determining the Proper Identification Number to Give the Payer </w:t>
      </w:r>
      <w:r>
        <w:rPr>
          <w:rFonts w:ascii="Arial" w:cs="Arial" w:eastAsia="Arial" w:hAnsi="Arial"/>
          <w:sz w:val="17"/>
          <w:szCs w:val="17"/>
          <w:color w:val="auto"/>
        </w:rPr>
        <w:t>– Social Security Numbers (“SSNs”) have nine digits</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separated by two hyphens: i.e., 000-00-0000. Employer Identification Numbers (“EINs”)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5493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549390" cy="34290"/>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For this type of account:</w:t>
      </w:r>
    </w:p>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200" w:type="dxa"/>
            <w:vAlign w:val="bottom"/>
          </w:tcPr>
          <w:p>
            <w:pPr>
              <w:ind w:left="20"/>
              <w:spacing w:after="0"/>
              <w:rPr>
                <w:sz w:val="20"/>
                <w:szCs w:val="20"/>
                <w:color w:val="auto"/>
              </w:rPr>
            </w:pPr>
            <w:r>
              <w:rPr>
                <w:rFonts w:ascii="Arial" w:cs="Arial" w:eastAsia="Arial" w:hAnsi="Arial"/>
                <w:sz w:val="18"/>
                <w:szCs w:val="18"/>
                <w:color w:val="auto"/>
              </w:rPr>
              <w:t>Individual</w:t>
            </w:r>
          </w:p>
        </w:tc>
      </w:tr>
      <w:tr>
        <w:trPr>
          <w:trHeight w:val="351"/>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200" w:type="dxa"/>
            <w:vAlign w:val="bottom"/>
          </w:tcPr>
          <w:p>
            <w:pPr>
              <w:ind w:left="20"/>
              <w:spacing w:after="0"/>
              <w:rPr>
                <w:sz w:val="20"/>
                <w:szCs w:val="20"/>
                <w:color w:val="auto"/>
              </w:rPr>
            </w:pPr>
            <w:r>
              <w:rPr>
                <w:rFonts w:ascii="Arial" w:cs="Arial" w:eastAsia="Arial" w:hAnsi="Arial"/>
                <w:sz w:val="18"/>
                <w:szCs w:val="18"/>
                <w:color w:val="auto"/>
              </w:rPr>
              <w:t>Two or more individuals</w:t>
            </w:r>
          </w:p>
        </w:tc>
      </w:tr>
      <w:tr>
        <w:trPr>
          <w:trHeight w:val="176"/>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w w:val="95"/>
              </w:rPr>
              <w:t>(joint account), other than an</w:t>
            </w:r>
          </w:p>
        </w:tc>
      </w:tr>
      <w:tr>
        <w:trPr>
          <w:trHeight w:val="175"/>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rPr>
              <w:t>account maintained by a</w:t>
            </w:r>
          </w:p>
        </w:tc>
      </w:tr>
      <w:tr>
        <w:trPr>
          <w:trHeight w:val="229"/>
        </w:trPr>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foreign financial institution</w:t>
            </w:r>
          </w:p>
        </w:tc>
      </w:tr>
      <w:tr>
        <w:trPr>
          <w:trHeight w:val="176"/>
        </w:trPr>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3.</w:t>
            </w:r>
          </w:p>
        </w:tc>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Two or more U.S. persons</w:t>
            </w:r>
          </w:p>
        </w:tc>
      </w:tr>
      <w:tr>
        <w:trPr>
          <w:trHeight w:val="176"/>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w w:val="91"/>
              </w:rPr>
              <w:t>(joint account maintained by a</w:t>
            </w:r>
          </w:p>
        </w:tc>
      </w:tr>
      <w:tr>
        <w:trPr>
          <w:trHeight w:val="229"/>
        </w:trPr>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foreign financial institution)</w:t>
            </w:r>
          </w:p>
        </w:tc>
      </w:tr>
      <w:tr>
        <w:trPr>
          <w:trHeight w:val="176"/>
        </w:trPr>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4.</w:t>
            </w:r>
          </w:p>
        </w:tc>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Custodian account of a</w:t>
            </w:r>
          </w:p>
        </w:tc>
      </w:tr>
      <w:tr>
        <w:trPr>
          <w:trHeight w:val="175"/>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rPr>
              <w:t>minor (Uniform Gift to</w:t>
            </w:r>
          </w:p>
        </w:tc>
      </w:tr>
      <w:tr>
        <w:trPr>
          <w:trHeight w:val="230"/>
        </w:trPr>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Minors Act)</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520"/>
        <w:spacing w:after="0" w:line="213" w:lineRule="auto"/>
        <w:rPr>
          <w:sz w:val="20"/>
          <w:szCs w:val="20"/>
          <w:color w:val="auto"/>
        </w:rPr>
      </w:pPr>
      <w:r>
        <w:rPr>
          <w:rFonts w:ascii="Arial" w:cs="Arial" w:eastAsia="Arial" w:hAnsi="Arial"/>
          <w:sz w:val="18"/>
          <w:szCs w:val="18"/>
          <w:b w:val="1"/>
          <w:bCs w:val="1"/>
          <w:color w:val="auto"/>
        </w:rPr>
        <w:t>GIVE THE NAME AND SOCIAL SECURITY NUMBER or EMPLOYER IDENTIFICATION NUMBER of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individual</w:t>
      </w:r>
    </w:p>
    <w:p>
      <w:pPr>
        <w:spacing w:after="0" w:line="197"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actual owner of the account or, if combined funds, the first individual on the account (1)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Each holder of the account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minor (2)</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GIVE THE NAME</w:t>
      </w:r>
    </w:p>
    <w:p>
      <w:pPr>
        <w:ind w:left="3000"/>
        <w:spacing w:after="0" w:line="203" w:lineRule="auto"/>
        <w:rPr>
          <w:sz w:val="20"/>
          <w:szCs w:val="20"/>
          <w:color w:val="auto"/>
        </w:rPr>
      </w:pPr>
      <w:r>
        <w:rPr>
          <w:rFonts w:ascii="Arial" w:cs="Arial" w:eastAsia="Arial" w:hAnsi="Arial"/>
          <w:sz w:val="18"/>
          <w:szCs w:val="18"/>
          <w:b w:val="1"/>
          <w:bCs w:val="1"/>
          <w:color w:val="auto"/>
        </w:rPr>
        <w:t>AND EMPLOYER</w:t>
      </w:r>
    </w:p>
    <w:p>
      <w:pPr>
        <w:ind w:left="160"/>
        <w:spacing w:after="0" w:line="183" w:lineRule="auto"/>
        <w:tabs>
          <w:tab w:leader="none" w:pos="2980" w:val="left"/>
        </w:tabs>
        <w:rPr>
          <w:sz w:val="20"/>
          <w:szCs w:val="20"/>
          <w:color w:val="auto"/>
        </w:rPr>
      </w:pPr>
      <w:r>
        <w:rPr>
          <w:rFonts w:ascii="Arial" w:cs="Arial" w:eastAsia="Arial" w:hAnsi="Arial"/>
          <w:sz w:val="18"/>
          <w:szCs w:val="18"/>
          <w:b w:val="1"/>
          <w:bCs w:val="1"/>
          <w:color w:val="auto"/>
        </w:rPr>
        <w:t>For this type of account:</w:t>
      </w:r>
      <w:r>
        <w:rPr>
          <w:sz w:val="20"/>
          <w:szCs w:val="20"/>
          <w:color w:val="auto"/>
        </w:rPr>
        <w:tab/>
      </w:r>
      <w:r>
        <w:rPr>
          <w:rFonts w:ascii="Arial" w:cs="Arial" w:eastAsia="Arial" w:hAnsi="Arial"/>
          <w:sz w:val="20"/>
          <w:szCs w:val="20"/>
          <w:b w:val="1"/>
          <w:bCs w:val="1"/>
          <w:color w:val="auto"/>
          <w:vertAlign w:val="superscript"/>
        </w:rPr>
        <w:t>IDENTIFICATION</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NUMBER of —</w:t>
      </w:r>
    </w:p>
    <w:p>
      <w:pPr>
        <w:spacing w:after="0" w:line="38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8. Disregarded entity not owned by an</w:t>
      </w:r>
      <w:r>
        <w:rPr>
          <w:sz w:val="20"/>
          <w:szCs w:val="20"/>
          <w:color w:val="auto"/>
        </w:rPr>
        <w:tab/>
      </w:r>
      <w:r>
        <w:rPr>
          <w:rFonts w:ascii="Arial" w:cs="Arial" w:eastAsia="Arial" w:hAnsi="Arial"/>
          <w:sz w:val="16"/>
          <w:szCs w:val="16"/>
          <w:color w:val="auto"/>
        </w:rPr>
        <w:t>The owner</w:t>
      </w:r>
    </w:p>
    <w:p>
      <w:pPr>
        <w:ind w:left="160"/>
        <w:spacing w:after="0"/>
        <w:rPr>
          <w:sz w:val="20"/>
          <w:szCs w:val="20"/>
          <w:color w:val="auto"/>
        </w:rPr>
      </w:pPr>
      <w:r>
        <w:rPr>
          <w:rFonts w:ascii="Arial" w:cs="Arial" w:eastAsia="Arial" w:hAnsi="Arial"/>
          <w:sz w:val="18"/>
          <w:szCs w:val="18"/>
          <w:color w:val="auto"/>
        </w:rPr>
        <w:t>individual</w:t>
      </w:r>
    </w:p>
    <w:p>
      <w:pPr>
        <w:spacing w:after="0"/>
        <w:tabs>
          <w:tab w:leader="none" w:pos="2980" w:val="left"/>
        </w:tabs>
        <w:rPr>
          <w:sz w:val="20"/>
          <w:szCs w:val="20"/>
          <w:color w:val="auto"/>
        </w:rPr>
      </w:pPr>
      <w:r>
        <w:rPr>
          <w:rFonts w:ascii="Arial" w:cs="Arial" w:eastAsia="Arial" w:hAnsi="Arial"/>
          <w:sz w:val="18"/>
          <w:szCs w:val="18"/>
          <w:color w:val="auto"/>
        </w:rPr>
        <w:t>9. A valid trust, estate or</w:t>
      </w:r>
      <w:r>
        <w:rPr>
          <w:sz w:val="20"/>
          <w:szCs w:val="20"/>
          <w:color w:val="auto"/>
        </w:rPr>
        <w:tab/>
      </w:r>
      <w:r>
        <w:rPr>
          <w:rFonts w:ascii="Arial" w:cs="Arial" w:eastAsia="Arial" w:hAnsi="Arial"/>
          <w:sz w:val="16"/>
          <w:szCs w:val="16"/>
          <w:color w:val="auto"/>
        </w:rPr>
        <w:t>Legal entity (4)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pension trust</w:t>
      </w:r>
    </w:p>
    <w:p>
      <w:pPr>
        <w:spacing w:after="0" w:line="342"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10. Corporation or LLC electing</w:t>
      </w:r>
      <w:r>
        <w:rPr>
          <w:sz w:val="20"/>
          <w:szCs w:val="20"/>
          <w:color w:val="auto"/>
        </w:rPr>
        <w:tab/>
      </w:r>
      <w:r>
        <w:rPr>
          <w:rFonts w:ascii="Arial" w:cs="Arial" w:eastAsia="Arial" w:hAnsi="Arial"/>
          <w:sz w:val="16"/>
          <w:szCs w:val="16"/>
          <w:color w:val="auto"/>
        </w:rPr>
        <w:t>The corporation</w:t>
      </w:r>
    </w:p>
    <w:p>
      <w:pPr>
        <w:ind w:left="160"/>
        <w:spacing w:after="0" w:line="203" w:lineRule="auto"/>
        <w:rPr>
          <w:sz w:val="20"/>
          <w:szCs w:val="20"/>
          <w:color w:val="auto"/>
        </w:rPr>
      </w:pPr>
      <w:r>
        <w:rPr>
          <w:rFonts w:ascii="Arial" w:cs="Arial" w:eastAsia="Arial" w:hAnsi="Arial"/>
          <w:sz w:val="18"/>
          <w:szCs w:val="18"/>
          <w:color w:val="auto"/>
        </w:rPr>
        <w:t>corporate status on IRS Form 8832</w:t>
      </w:r>
    </w:p>
    <w:p>
      <w:pPr>
        <w:ind w:left="160"/>
        <w:spacing w:after="0"/>
        <w:rPr>
          <w:sz w:val="20"/>
          <w:szCs w:val="20"/>
          <w:color w:val="auto"/>
        </w:rPr>
      </w:pPr>
      <w:r>
        <w:rPr>
          <w:rFonts w:ascii="Arial" w:cs="Arial" w:eastAsia="Arial" w:hAnsi="Arial"/>
          <w:sz w:val="18"/>
          <w:szCs w:val="18"/>
          <w:color w:val="auto"/>
        </w:rPr>
        <w:t>or IRS Form 2553</w:t>
      </w:r>
    </w:p>
    <w:p>
      <w:pPr>
        <w:spacing w:after="0"/>
        <w:tabs>
          <w:tab w:leader="none" w:pos="2980" w:val="left"/>
        </w:tabs>
        <w:rPr>
          <w:sz w:val="20"/>
          <w:szCs w:val="20"/>
          <w:color w:val="auto"/>
        </w:rPr>
      </w:pPr>
      <w:r>
        <w:rPr>
          <w:rFonts w:ascii="Arial" w:cs="Arial" w:eastAsia="Arial" w:hAnsi="Arial"/>
          <w:sz w:val="18"/>
          <w:szCs w:val="18"/>
          <w:color w:val="auto"/>
        </w:rPr>
        <w:t>11. Association, club, religious,</w:t>
      </w:r>
      <w:r>
        <w:rPr>
          <w:sz w:val="20"/>
          <w:szCs w:val="20"/>
          <w:color w:val="auto"/>
        </w:rPr>
        <w:tab/>
      </w:r>
      <w:r>
        <w:rPr>
          <w:rFonts w:ascii="Arial" w:cs="Arial" w:eastAsia="Arial" w:hAnsi="Arial"/>
          <w:sz w:val="16"/>
          <w:szCs w:val="16"/>
          <w:color w:val="auto"/>
        </w:rPr>
        <w:t>The organization</w:t>
      </w:r>
    </w:p>
    <w:p>
      <w:pPr>
        <w:ind w:left="160"/>
        <w:spacing w:after="0" w:line="204" w:lineRule="auto"/>
        <w:rPr>
          <w:sz w:val="20"/>
          <w:szCs w:val="20"/>
          <w:color w:val="auto"/>
        </w:rPr>
      </w:pPr>
      <w:r>
        <w:rPr>
          <w:rFonts w:ascii="Arial" w:cs="Arial" w:eastAsia="Arial" w:hAnsi="Arial"/>
          <w:sz w:val="18"/>
          <w:szCs w:val="18"/>
          <w:color w:val="auto"/>
        </w:rPr>
        <w:t>charitable, educational or other tax-</w:t>
      </w:r>
    </w:p>
    <w:p>
      <w:pPr>
        <w:ind w:left="160"/>
        <w:spacing w:after="0"/>
        <w:rPr>
          <w:sz w:val="20"/>
          <w:szCs w:val="20"/>
          <w:color w:val="auto"/>
        </w:rPr>
      </w:pPr>
      <w:r>
        <w:rPr>
          <w:rFonts w:ascii="Arial" w:cs="Arial" w:eastAsia="Arial" w:hAnsi="Arial"/>
          <w:sz w:val="18"/>
          <w:szCs w:val="18"/>
          <w:color w:val="auto"/>
        </w:rPr>
        <w:t>exempt organization</w:t>
      </w:r>
    </w:p>
    <w:p>
      <w:pPr>
        <w:spacing w:after="0" w:line="9" w:lineRule="exact"/>
        <w:rPr>
          <w:sz w:val="20"/>
          <w:szCs w:val="20"/>
          <w:color w:val="auto"/>
        </w:rPr>
      </w:pPr>
    </w:p>
    <w:p>
      <w:pPr>
        <w:sectPr>
          <w:pgSz w:w="11900" w:h="16838" w:orient="portrait"/>
          <w:cols w:equalWidth="0" w:num="3">
            <w:col w:w="2420" w:space="240"/>
            <w:col w:w="2040" w:space="520"/>
            <w:col w:w="5960"/>
          </w:cols>
          <w:pgMar w:left="320" w:top="985" w:right="399" w:bottom="1440" w:gutter="0" w:footer="0" w:header="0"/>
          <w:type w:val="continuous"/>
        </w:sectPr>
      </w:pPr>
    </w:p>
    <w:p>
      <w:pPr>
        <w:ind w:left="60"/>
        <w:spacing w:after="0" w:line="220" w:lineRule="auto"/>
        <w:rPr>
          <w:sz w:val="20"/>
          <w:szCs w:val="20"/>
          <w:color w:val="auto"/>
        </w:rPr>
      </w:pPr>
      <w:r>
        <w:rPr>
          <w:rFonts w:ascii="Arial" w:cs="Arial" w:eastAsia="Arial" w:hAnsi="Arial"/>
          <w:sz w:val="18"/>
          <w:szCs w:val="18"/>
          <w:color w:val="auto"/>
        </w:rPr>
        <w:t>5. a. The usual revocable</w:t>
      </w:r>
    </w:p>
    <w:p>
      <w:pPr>
        <w:ind w:left="220" w:right="560"/>
        <w:spacing w:after="0" w:line="203" w:lineRule="auto"/>
        <w:rPr>
          <w:sz w:val="20"/>
          <w:szCs w:val="20"/>
          <w:color w:val="auto"/>
        </w:rPr>
      </w:pPr>
      <w:r>
        <w:rPr>
          <w:rFonts w:ascii="Arial" w:cs="Arial" w:eastAsia="Arial" w:hAnsi="Arial"/>
          <w:sz w:val="18"/>
          <w:szCs w:val="18"/>
          <w:color w:val="auto"/>
        </w:rPr>
        <w:t>savings trust (grantor is also trustee)</w:t>
      </w:r>
    </w:p>
    <w:p>
      <w:pPr>
        <w:spacing w:after="0" w:line="1" w:lineRule="exact"/>
        <w:rPr>
          <w:sz w:val="20"/>
          <w:szCs w:val="20"/>
          <w:color w:val="auto"/>
        </w:rPr>
      </w:pPr>
    </w:p>
    <w:p>
      <w:pPr>
        <w:ind w:left="220" w:right="420" w:firstLine="18"/>
        <w:spacing w:after="0" w:line="214" w:lineRule="auto"/>
        <w:rPr>
          <w:sz w:val="20"/>
          <w:szCs w:val="20"/>
          <w:color w:val="auto"/>
        </w:rPr>
      </w:pPr>
      <w:r>
        <w:rPr>
          <w:rFonts w:ascii="Arial" w:cs="Arial" w:eastAsia="Arial" w:hAnsi="Arial"/>
          <w:sz w:val="18"/>
          <w:szCs w:val="18"/>
          <w:color w:val="auto"/>
        </w:rPr>
        <w:t>b. The so-called trust account that is not a legal or valid trust under state law</w:t>
      </w:r>
    </w:p>
    <w:p>
      <w:pPr>
        <w:spacing w:after="0" w:line="3" w:lineRule="exact"/>
        <w:rPr>
          <w:sz w:val="20"/>
          <w:szCs w:val="20"/>
          <w:color w:val="auto"/>
        </w:rPr>
      </w:pPr>
    </w:p>
    <w:p>
      <w:pPr>
        <w:ind w:left="220" w:hanging="154"/>
        <w:spacing w:after="0" w:line="209" w:lineRule="auto"/>
        <w:tabs>
          <w:tab w:leader="none" w:pos="2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Sole proprietorship or disregarded entity owned by an individual</w:t>
      </w:r>
    </w:p>
    <w:p>
      <w:pPr>
        <w:ind w:left="220" w:right="100" w:hanging="154"/>
        <w:spacing w:after="0" w:line="228" w:lineRule="auto"/>
        <w:tabs>
          <w:tab w:leader="none" w:pos="23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Grantor trust filing under Optional Form 1099 Filing Method 1 (see Treasury Regulation section 1.671-4(b)</w:t>
      </w:r>
    </w:p>
    <w:p>
      <w:pPr>
        <w:spacing w:after="0" w:line="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31375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grantor-trustee (1)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actual owner (1)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owner (3)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grantor*</w:t>
      </w:r>
    </w:p>
    <w:p>
      <w:pPr>
        <w:spacing w:after="0" w:line="20" w:lineRule="exact"/>
        <w:rPr>
          <w:sz w:val="20"/>
          <w:szCs w:val="20"/>
          <w:color w:val="auto"/>
        </w:rPr>
      </w:pPr>
      <w:r>
        <w:rPr>
          <w:sz w:val="20"/>
          <w:szCs w:val="20"/>
          <w:color w:val="auto"/>
        </w:rPr>
        <w:br w:type="column"/>
      </w:r>
    </w:p>
    <w:p>
      <w:pPr>
        <w:ind w:left="277" w:hanging="277"/>
        <w:spacing w:after="0" w:line="220" w:lineRule="auto"/>
        <w:tabs>
          <w:tab w:leader="none" w:pos="27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Partnership or multi-member</w:t>
      </w:r>
    </w:p>
    <w:p>
      <w:pPr>
        <w:ind w:left="157"/>
        <w:spacing w:after="0"/>
        <w:rPr>
          <w:rFonts w:ascii="Arial" w:cs="Arial" w:eastAsia="Arial" w:hAnsi="Arial"/>
          <w:sz w:val="18"/>
          <w:szCs w:val="18"/>
          <w:color w:val="auto"/>
        </w:rPr>
      </w:pPr>
      <w:r>
        <w:rPr>
          <w:rFonts w:ascii="Arial" w:cs="Arial" w:eastAsia="Arial" w:hAnsi="Arial"/>
          <w:sz w:val="18"/>
          <w:szCs w:val="18"/>
          <w:color w:val="auto"/>
        </w:rPr>
        <w:t>LLC</w:t>
      </w:r>
    </w:p>
    <w:p>
      <w:pPr>
        <w:spacing w:after="0" w:line="195" w:lineRule="exact"/>
        <w:rPr>
          <w:rFonts w:ascii="Arial" w:cs="Arial" w:eastAsia="Arial" w:hAnsi="Arial"/>
          <w:sz w:val="18"/>
          <w:szCs w:val="18"/>
          <w:color w:val="auto"/>
        </w:rPr>
      </w:pPr>
    </w:p>
    <w:p>
      <w:pPr>
        <w:ind w:left="157" w:right="920" w:hanging="157"/>
        <w:spacing w:after="0" w:line="235" w:lineRule="auto"/>
        <w:tabs>
          <w:tab w:leader="none" w:pos="26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broker or registered nominee</w:t>
      </w:r>
    </w:p>
    <w:p>
      <w:pPr>
        <w:spacing w:after="0" w:line="283" w:lineRule="exact"/>
        <w:rPr>
          <w:rFonts w:ascii="Arial" w:cs="Arial" w:eastAsia="Arial" w:hAnsi="Arial"/>
          <w:sz w:val="18"/>
          <w:szCs w:val="18"/>
          <w:color w:val="auto"/>
        </w:rPr>
      </w:pPr>
    </w:p>
    <w:p>
      <w:pPr>
        <w:ind w:left="157" w:right="520" w:hanging="157"/>
        <w:spacing w:after="0" w:line="235" w:lineRule="auto"/>
        <w:tabs>
          <w:tab w:leader="none" w:pos="2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Account with the Department of Agriculture in the name of a public entity</w:t>
      </w:r>
    </w:p>
    <w:p>
      <w:pPr>
        <w:spacing w:after="0" w:line="2" w:lineRule="exact"/>
        <w:rPr>
          <w:rFonts w:ascii="Arial" w:cs="Arial" w:eastAsia="Arial" w:hAnsi="Arial"/>
          <w:sz w:val="16"/>
          <w:szCs w:val="16"/>
          <w:color w:val="auto"/>
        </w:rPr>
      </w:pPr>
    </w:p>
    <w:p>
      <w:pPr>
        <w:ind w:left="157"/>
        <w:spacing w:after="0" w:line="203" w:lineRule="auto"/>
        <w:rPr>
          <w:rFonts w:ascii="Arial" w:cs="Arial" w:eastAsia="Arial" w:hAnsi="Arial"/>
          <w:sz w:val="16"/>
          <w:szCs w:val="16"/>
          <w:color w:val="auto"/>
        </w:rPr>
      </w:pPr>
      <w:r>
        <w:rPr>
          <w:rFonts w:ascii="Arial" w:cs="Arial" w:eastAsia="Arial" w:hAnsi="Arial"/>
          <w:sz w:val="18"/>
          <w:szCs w:val="18"/>
          <w:color w:val="auto"/>
        </w:rPr>
        <w:t>(such as a state or local government, school district or prison) that receives</w:t>
      </w:r>
    </w:p>
    <w:p>
      <w:pPr>
        <w:spacing w:after="0" w:line="1" w:lineRule="exact"/>
        <w:rPr>
          <w:rFonts w:ascii="Arial" w:cs="Arial" w:eastAsia="Arial" w:hAnsi="Arial"/>
          <w:sz w:val="16"/>
          <w:szCs w:val="16"/>
          <w:color w:val="auto"/>
        </w:rPr>
      </w:pPr>
    </w:p>
    <w:p>
      <w:pPr>
        <w:ind w:left="157"/>
        <w:spacing w:after="0"/>
        <w:rPr>
          <w:rFonts w:ascii="Arial" w:cs="Arial" w:eastAsia="Arial" w:hAnsi="Arial"/>
          <w:sz w:val="16"/>
          <w:szCs w:val="16"/>
          <w:color w:val="auto"/>
        </w:rPr>
      </w:pPr>
      <w:r>
        <w:rPr>
          <w:rFonts w:ascii="Arial" w:cs="Arial" w:eastAsia="Arial" w:hAnsi="Arial"/>
          <w:sz w:val="18"/>
          <w:szCs w:val="18"/>
          <w:color w:val="auto"/>
        </w:rPr>
        <w:t>agricultural program payments</w:t>
      </w:r>
    </w:p>
    <w:p>
      <w:pPr>
        <w:spacing w:after="0" w:line="195" w:lineRule="exact"/>
        <w:rPr>
          <w:rFonts w:ascii="Arial" w:cs="Arial" w:eastAsia="Arial" w:hAnsi="Arial"/>
          <w:sz w:val="16"/>
          <w:szCs w:val="16"/>
          <w:color w:val="auto"/>
        </w:rPr>
      </w:pPr>
    </w:p>
    <w:p>
      <w:pPr>
        <w:ind w:left="157" w:hanging="157"/>
        <w:spacing w:after="0" w:line="228" w:lineRule="auto"/>
        <w:tabs>
          <w:tab w:leader="none" w:pos="26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Grantor trust filing under the Form 1041 Filing Method or the Optional Form 1099 Filing Method 2 (see Treasury Regulation section 1.671-4(b)(2)(i)(B))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2540</wp:posOffset>
            </wp:positionV>
            <wp:extent cx="32746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partnership</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broker or</w:t>
      </w:r>
    </w:p>
    <w:p>
      <w:pPr>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public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trust</w:t>
      </w:r>
    </w:p>
    <w:p>
      <w:pPr>
        <w:spacing w:after="0" w:line="516" w:lineRule="exact"/>
        <w:rPr>
          <w:sz w:val="20"/>
          <w:szCs w:val="20"/>
          <w:color w:val="auto"/>
        </w:rPr>
      </w:pPr>
    </w:p>
    <w:p>
      <w:pPr>
        <w:sectPr>
          <w:pgSz w:w="11900" w:h="16838" w:orient="portrait"/>
          <w:cols w:equalWidth="0" w:num="4">
            <w:col w:w="2480" w:space="180"/>
            <w:col w:w="1843" w:space="720"/>
            <w:col w:w="2777" w:space="220"/>
            <w:col w:w="2960"/>
          </w:cols>
          <w:pgMar w:left="320" w:top="985" w:right="399" w:bottom="1440" w:gutter="0" w:footer="0" w:header="0"/>
          <w:type w:val="continuous"/>
        </w:sectPr>
      </w:pPr>
    </w:p>
    <w:p>
      <w:pPr>
        <w:spacing w:after="0" w:line="6" w:lineRule="exact"/>
        <w:rPr>
          <w:sz w:val="20"/>
          <w:szCs w:val="20"/>
          <w:color w:val="auto"/>
        </w:rPr>
      </w:pPr>
    </w:p>
    <w:p>
      <w:pPr>
        <w:ind w:left="420" w:right="120" w:hanging="372"/>
        <w:spacing w:after="0" w:line="277" w:lineRule="auto"/>
        <w:tabs>
          <w:tab w:leader="none" w:pos="4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SSN you furnish. If only one person on a joint account has an SSN, that person’s number must be furnished.</w:t>
      </w:r>
    </w:p>
    <w:p>
      <w:pPr>
        <w:spacing w:after="0" w:line="8" w:lineRule="exact"/>
        <w:rPr>
          <w:rFonts w:ascii="Arial" w:cs="Arial" w:eastAsia="Arial" w:hAnsi="Arial"/>
          <w:sz w:val="18"/>
          <w:szCs w:val="18"/>
          <w:color w:val="auto"/>
        </w:rPr>
      </w:pPr>
    </w:p>
    <w:p>
      <w:pPr>
        <w:ind w:left="440" w:hanging="392"/>
        <w:spacing w:after="0"/>
        <w:tabs>
          <w:tab w:leader="none" w:pos="4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63" w:lineRule="exact"/>
        <w:rPr>
          <w:rFonts w:ascii="Arial" w:cs="Arial" w:eastAsia="Arial" w:hAnsi="Arial"/>
          <w:sz w:val="18"/>
          <w:szCs w:val="18"/>
          <w:color w:val="auto"/>
        </w:rPr>
      </w:pPr>
    </w:p>
    <w:p>
      <w:pPr>
        <w:ind w:left="420" w:right="100" w:hanging="372"/>
        <w:spacing w:after="0" w:line="298" w:lineRule="auto"/>
        <w:tabs>
          <w:tab w:leader="none" w:pos="43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You must show your individual name and you may also enter your business or “doing business as” name on the “Business name/disregarded entity” name line. You may use either your SSN or EIN (if you have one), but the IRS encourages you to use your SSN.</w:t>
      </w:r>
    </w:p>
    <w:p>
      <w:pPr>
        <w:ind w:left="420" w:right="860" w:hanging="372"/>
        <w:spacing w:after="0" w:line="277" w:lineRule="auto"/>
        <w:tabs>
          <w:tab w:leader="none" w:pos="4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*NOTE: Grantor also must provide a Form W-9 to trustee of trust.</w:t>
      </w:r>
    </w:p>
    <w:p>
      <w:pPr>
        <w:sectPr>
          <w:pgSz w:w="11900" w:h="16838" w:orient="portrait"/>
          <w:cols w:equalWidth="0" w:num="1">
            <w:col w:w="11180"/>
          </w:cols>
          <w:pgMar w:left="320" w:top="985" w:right="399"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Page 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Form</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person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1099-INT (interest earned or paid)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1099-DIV (dividends, including those from stocks or mutual funds)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1099-MISC (various types of income, prizes, awards, or gross proceeds)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1099-B (stock or mutual fund sales and certain other transactions by brokers)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1099-S (proceeds from real estate transactions)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1099-K (merchant card and third party network transactions)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1098 (home mortgage interest), 1098-E (student loan interest), 1098-T (tuition)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1099-C (canceled debt)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1099-A (acquisition or abandonment of secured property)</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are a U.S. person (including a resident alien), use Substitute Form W-9 to give your correct TIN to the requester (the person requesting your TIN). If you do not return Substitute Form W-9 to the requester with a TIN, you might be subject to backup withholding. By signing the filled-out form, you: (1) certify the TIN you are giving is correct (or you are waiting for a number to be issued), (2) (i) certify you are not subject to backup withholding or (ii) claim exemption from backup withholding if you are an exempt payee and (3) certify that the FATCA (Foreign Account Tax Compliance Act) code(s) entered on the Substitute Form W-9 (if any) indicating that you are exempt from the FATCA reporting, is correct. The TIN provided must match the name given on the Substitute Form W-9.</w:t>
      </w:r>
    </w:p>
    <w:p>
      <w:pPr>
        <w:spacing w:after="0" w:line="21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i w:val="1"/>
          <w:iCs w:val="1"/>
          <w:color w:val="auto"/>
        </w:rPr>
        <w:t xml:space="preserve">Definition of a U.S. Person: </w:t>
      </w:r>
      <w:r>
        <w:rPr>
          <w:rFonts w:ascii="Arial" w:cs="Arial" w:eastAsia="Arial" w:hAnsi="Arial"/>
          <w:sz w:val="16"/>
          <w:szCs w:val="16"/>
          <w:color w:val="auto"/>
        </w:rPr>
        <w:t>For federal tax purposes, you are considered a U.S. person if you are: (1) an individual who is a U.S. citizen or U.S. resident alien; (2)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corporation, company or association created or organized in the United States or under the laws of the United States; (3) an estate (other than a foreign estate);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 a domestic trust (as defined under Treasury Regulations section 301.7701-7).</w:t>
      </w:r>
    </w:p>
    <w:p>
      <w:pPr>
        <w:spacing w:after="0" w:line="23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i w:val="1"/>
          <w:iCs w:val="1"/>
          <w:color w:val="auto"/>
        </w:rPr>
        <w:t xml:space="preserve">Special Rules for Partnerships: </w:t>
      </w:r>
      <w:r>
        <w:rPr>
          <w:rFonts w:ascii="Arial" w:cs="Arial" w:eastAsia="Arial" w:hAnsi="Arial"/>
          <w:sz w:val="16"/>
          <w:szCs w:val="16"/>
          <w:color w:val="auto"/>
        </w:rPr>
        <w:t>Partnerships that conduct a trade or business in the United States are generally required to pay a withholding tax under section 1446 on any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partner’s share of effectively connected taxable income from such business. Further, in certain cases where a Substitute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a Substitute Form W-9 to the partnership to establish your U.S. status and avoid section 1446 withholding on your share of partnership income.</w:t>
      </w:r>
    </w:p>
    <w:p>
      <w:pPr>
        <w:spacing w:after="0" w:line="218"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cases below, the following person must give Substitute Form W-9 to the partnership for purposes of establishing its U.S. status and avoiding withholding on its allocable share of net income from the partnership conducting a trade or business in the United States: (1) in the case of a disregarded entity with a U.S. owner, the U.S. owner of the disregarded entity and not the entity; (2) in the case of a grantor trust with a U.S. grantor or other U.S. owner, generally, the U.S. grantor or other U.S. owner of the grantor trust and not the trust; and (3) in the case of a U.S. trust (other than a grantor trust), the U.S. trust (other than a grantor trust) and not the beneficiaries of the trust.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Get a TIN</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If you do not have a TIN, apply for one immediately. To apply for an SSN, obtain Form SS-5, Application for a Social Security Card, at the local office of the Social Security Administration or get this form online at </w:t>
      </w:r>
      <w:r>
        <w:rPr>
          <w:rFonts w:ascii="Arial" w:cs="Arial" w:eastAsia="Arial" w:hAnsi="Arial"/>
          <w:sz w:val="16"/>
          <w:szCs w:val="16"/>
          <w:i w:val="1"/>
          <w:iCs w:val="1"/>
          <w:color w:val="auto"/>
        </w:rPr>
        <w:t>www.ssa.gov/online/ss-5.pdf</w:t>
      </w:r>
      <w:r>
        <w:rPr>
          <w:rFonts w:ascii="Arial" w:cs="Arial" w:eastAsia="Arial" w:hAnsi="Arial"/>
          <w:sz w:val="16"/>
          <w:szCs w:val="16"/>
          <w:color w:val="auto"/>
        </w:rPr>
        <w:t xml:space="preserve">. You may also get this form by calling 1-800-772-1213. You can apply for an EIN online by accessing the IRS website at </w:t>
      </w:r>
      <w:r>
        <w:rPr>
          <w:rFonts w:ascii="Arial" w:cs="Arial" w:eastAsia="Arial" w:hAnsi="Arial"/>
          <w:sz w:val="16"/>
          <w:szCs w:val="16"/>
          <w:i w:val="1"/>
          <w:iCs w:val="1"/>
          <w:color w:val="auto"/>
        </w:rPr>
        <w:t>www.irs.gov/businesse</w:t>
      </w:r>
      <w:r>
        <w:rPr>
          <w:rFonts w:ascii="Arial" w:cs="Arial" w:eastAsia="Arial" w:hAnsi="Arial"/>
          <w:sz w:val="16"/>
          <w:szCs w:val="16"/>
          <w:i w:val="1"/>
          <w:iCs w:val="1"/>
          <w:u w:val="single" w:color="auto"/>
          <w:color w:val="auto"/>
        </w:rPr>
        <w:t>s</w:t>
      </w:r>
      <w:r>
        <w:rPr>
          <w:rFonts w:ascii="Arial" w:cs="Arial" w:eastAsia="Arial" w:hAnsi="Arial"/>
          <w:sz w:val="16"/>
          <w:szCs w:val="16"/>
          <w:color w:val="auto"/>
        </w:rPr>
        <w:t xml:space="preserve"> and clicking on Employer Identification Number (EIN) under Starting a Business. Use IRS Form W-7, Application for IRS Individual Taxpayer Identification Number, to apply for an ITIN, or IRS Form SS-4, Application for Employer Identification Number, to apply for an EIN. Go to </w:t>
      </w:r>
      <w:r>
        <w:rPr>
          <w:rFonts w:ascii="Arial" w:cs="Arial" w:eastAsia="Arial" w:hAnsi="Arial"/>
          <w:sz w:val="16"/>
          <w:szCs w:val="16"/>
          <w:i w:val="1"/>
          <w:iCs w:val="1"/>
          <w:color w:val="auto"/>
        </w:rPr>
        <w:t xml:space="preserve">www.irs.gov/Forms </w:t>
      </w:r>
      <w:r>
        <w:rPr>
          <w:rFonts w:ascii="Arial" w:cs="Arial" w:eastAsia="Arial" w:hAnsi="Arial"/>
          <w:sz w:val="16"/>
          <w:szCs w:val="16"/>
          <w:color w:val="auto"/>
        </w:rPr>
        <w:t>to view, download, or print Form W-7 and/or Form SS-4. Or, you can go to</w:t>
      </w:r>
      <w:r>
        <w:rPr>
          <w:rFonts w:ascii="Arial" w:cs="Arial" w:eastAsia="Arial" w:hAnsi="Arial"/>
          <w:sz w:val="16"/>
          <w:szCs w:val="16"/>
          <w:i w:val="1"/>
          <w:iCs w:val="1"/>
          <w:color w:val="auto"/>
        </w:rPr>
        <w:t xml:space="preserve"> www.irs.gov/OrderForms </w:t>
      </w:r>
      <w:r>
        <w:rPr>
          <w:rFonts w:ascii="Arial" w:cs="Arial" w:eastAsia="Arial" w:hAnsi="Arial"/>
          <w:sz w:val="16"/>
          <w:szCs w:val="16"/>
          <w:color w:val="auto"/>
        </w:rPr>
        <w:t>to place an order and have Form W-7 and/or SS-4</w:t>
      </w:r>
      <w:r>
        <w:rPr>
          <w:rFonts w:ascii="Arial" w:cs="Arial" w:eastAsia="Arial" w:hAnsi="Arial"/>
          <w:sz w:val="16"/>
          <w:szCs w:val="16"/>
          <w:i w:val="1"/>
          <w:iCs w:val="1"/>
          <w:color w:val="auto"/>
        </w:rPr>
        <w:t xml:space="preserve"> </w:t>
      </w:r>
      <w:r>
        <w:rPr>
          <w:rFonts w:ascii="Arial" w:cs="Arial" w:eastAsia="Arial" w:hAnsi="Arial"/>
          <w:sz w:val="16"/>
          <w:szCs w:val="16"/>
          <w:color w:val="auto"/>
        </w:rPr>
        <w:t>mailed to you within 10 business days.</w:t>
      </w:r>
    </w:p>
    <w:p>
      <w:pPr>
        <w:spacing w:after="0" w:line="21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If you do not have a TIN, apply for a TIN and write “Applied For” in Part 1 of Substitute Form W-9, sign and date both the form and the Certificate of Awaiting Taxpayer Identification Number set forth therein, and give it to the requester. For interest and dividend payments and certain payments made with respect to readily tradable instruments, you will generally have 60 days to get a TIN and give it to the requester. If the requester does not receive your TIN within 60 days, backup withholding, if applicable, will begin and continue until you furnish your TIN.</w:t>
      </w:r>
    </w:p>
    <w:p>
      <w:pPr>
        <w:sectPr>
          <w:pgSz w:w="11900" w:h="16838" w:orient="portrait"/>
          <w:cols w:equalWidth="0" w:num="1">
            <w:col w:w="11220"/>
          </w:cols>
          <w:pgMar w:left="320" w:top="531" w:right="359" w:bottom="1440" w:gutter="0" w:footer="0" w:header="0"/>
        </w:sectPr>
      </w:pPr>
    </w:p>
    <w:bookmarkStart w:id="144" w:name="page145"/>
    <w:bookmarkEnd w:id="144"/>
    <w:p>
      <w:pPr>
        <w:jc w:val="center"/>
        <w:ind w:right="4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4</w:t>
      </w:r>
    </w:p>
    <w:p>
      <w:pPr>
        <w:spacing w:after="0" w:line="5"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Note: Writing “Applied For” on the Substitute W-9 means that you have already applied for a TIN OR that you intend to apply for one soon. As soon as you receive your TIN, complete another Substitute Form W-9, include your TIN, sign and date the form, and give it to the requester.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CAUTION: </w:t>
      </w:r>
      <w:r>
        <w:rPr>
          <w:rFonts w:ascii="Arial" w:cs="Arial" w:eastAsia="Arial" w:hAnsi="Arial"/>
          <w:sz w:val="16"/>
          <w:szCs w:val="16"/>
          <w:color w:val="auto"/>
        </w:rPr>
        <w:t>A disregarded U.S. entity that has a foreign owner must use the appropriate IRS Form W-8.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If you are exempt from backup withholding and/or FATCA reporting, enter any exempt payee code and exemption from FATCA reporting code that may apply to you.</w:t>
      </w:r>
    </w:p>
    <w:p>
      <w:pPr>
        <w:spacing w:after="0" w:line="260"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i w:val="1"/>
          <w:iCs w:val="1"/>
          <w:color w:val="auto"/>
        </w:rPr>
        <w:t xml:space="preserve">Exempt Payee Code: </w:t>
      </w:r>
      <w:r>
        <w:rPr>
          <w:rFonts w:ascii="Arial" w:cs="Arial" w:eastAsia="Arial" w:hAnsi="Arial"/>
          <w:sz w:val="15"/>
          <w:szCs w:val="15"/>
          <w:color w:val="auto"/>
        </w:rPr>
        <w:t>Individuals (including sole proprietors) are NOT exempt from backup withholding. Except as provided below, corporations are exempt from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200"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following codes identify payees that are exempt from backup withholding. For interest and dividends, all listed payees are exempt except for those listed in 7. For broker transactions, payees listed in 1 through 4 and 6 through 11 and C corporations are exempt. S corporations must not enter an exempt payee code because they are exempt only for sales of noncovered securities acquired prior to 2012. Payments subject to reporting under sections 6041 and 6041A are generally exempt from backup withholding only if made to payees listed in 1 through 5. However, the following payments made to a corporation and reportable on IRS Form 1099-MISC are not exempt from backup withholding: (i) medical and health care payments, (ii) attorneys’ fees, (iii) gross proceeds paid to an attorney reportable under Section 6045(f) and (iv) payments for services paid by a federal executive agency. Only payees listed in 1 through 4 are exempt from backup withholding for barter exchange transactions and patronage dividends and for payments made in settlement of payment card or third party network transactions.</w:t>
      </w:r>
    </w:p>
    <w:p>
      <w:pPr>
        <w:spacing w:after="0" w:line="208" w:lineRule="exact"/>
        <w:rPr>
          <w:sz w:val="20"/>
          <w:szCs w:val="20"/>
          <w:color w:val="auto"/>
        </w:rPr>
      </w:pPr>
    </w:p>
    <w:p>
      <w:pPr>
        <w:ind w:firstLine="162"/>
        <w:spacing w:after="0" w:line="275" w:lineRule="auto"/>
        <w:rPr>
          <w:sz w:val="20"/>
          <w:szCs w:val="20"/>
          <w:color w:val="auto"/>
        </w:rPr>
      </w:pPr>
      <w:r>
        <w:rPr>
          <w:rFonts w:ascii="Arial" w:cs="Arial" w:eastAsia="Arial" w:hAnsi="Arial"/>
          <w:sz w:val="16"/>
          <w:szCs w:val="16"/>
          <w:color w:val="auto"/>
        </w:rPr>
        <w:t>1 – An organization exempt from tax under section 501(a), or an individual retirement plan (“IRA”), or a custodial account under section 403(b)(7), if the account satisfies the requirements of section 401(f)(2)</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 – The United States or any of its agencies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 – A state, the District of Columbia, a U.S. commonwealth or possession, or any of their political subdivisions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 – A foreign government, a political subdivision of a foreign government, or any of their agencies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 – A corporation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 – A dealer in securities or commodities required to register in the United States, the District of Columbia or a U.S. commonwealth or possession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 – A futures commission merchant registered with the Commodity Futures Trading Commission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 – A real estate investment trust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 – An entity registered at all times during the tax year under the Investment Company Act of 1940</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 – A common trust fund operated by a bank under section 584(a)</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 – A financial institution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 – A middleman known in the investment community as a nominee or custodian</w:t>
      </w:r>
    </w:p>
    <w:p>
      <w:pPr>
        <w:sectPr>
          <w:pgSz w:w="11900" w:h="16838" w:orient="portrait"/>
          <w:cols w:equalWidth="0" w:num="1">
            <w:col w:w="11240"/>
          </w:cols>
          <w:pgMar w:left="320" w:top="531" w:right="339" w:bottom="1440" w:gutter="0" w:footer="0" w:header="0"/>
        </w:sectPr>
      </w:pPr>
    </w:p>
    <w:bookmarkStart w:id="145" w:name="page146"/>
    <w:bookmarkEnd w:id="145"/>
    <w:p>
      <w:pPr>
        <w:jc w:val="center"/>
        <w:ind w:right="4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Page 5</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 – An exempt charitable remainder trust described in section 664 or a non-exempt trust described in section 4947</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Exemption from FATCA Reporting Code: </w:t>
      </w:r>
      <w:r>
        <w:rPr>
          <w:rFonts w:ascii="Arial" w:cs="Arial" w:eastAsia="Arial" w:hAnsi="Arial"/>
          <w:sz w:val="16"/>
          <w:szCs w:val="16"/>
          <w:color w:val="auto"/>
        </w:rPr>
        <w:t>The following codes identify payees that are exempt from reporting under FATCA. These codes apply to persons submitting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 Form W-9 for accounts maintained outside of the United States by certain foreign financial institutions. Therefore, if you are only submitting Substitute Form W-9 for an account you hold in the United States, you may leave this field blank. Consult with the requester if you are uncertain if the financial institution is subject to these requirements.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 An organization exempt from tax under section 501(a) or any individual retirement plan as defined in section 7701(a)(37)</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 – The United States or any of its agencies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 – A state, the District of Columbia, a U.S. commonwealth or possession, or any of their political subdivisions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 – A corporation the stock of which is regularly traded on one or more established securities markets, as described in Treasury Regulations section 1.1472-1(c)(1)(i)</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 – A corporation that is a member of the same expanded affiliated group as a corporation described in Treasury Regulations section 1.1472-1(c)(1)(i)</w:t>
      </w:r>
    </w:p>
    <w:p>
      <w:pPr>
        <w:spacing w:after="0" w:line="248" w:lineRule="exact"/>
        <w:rPr>
          <w:sz w:val="20"/>
          <w:szCs w:val="20"/>
          <w:color w:val="auto"/>
        </w:rPr>
      </w:pPr>
    </w:p>
    <w:p>
      <w:pPr>
        <w:ind w:right="80" w:firstLine="162"/>
        <w:spacing w:after="0" w:line="275" w:lineRule="auto"/>
        <w:rPr>
          <w:sz w:val="20"/>
          <w:szCs w:val="20"/>
          <w:color w:val="auto"/>
        </w:rPr>
      </w:pPr>
      <w:r>
        <w:rPr>
          <w:rFonts w:ascii="Arial" w:cs="Arial" w:eastAsia="Arial" w:hAnsi="Arial"/>
          <w:sz w:val="16"/>
          <w:szCs w:val="16"/>
          <w:color w:val="auto"/>
        </w:rPr>
        <w:t>F – A dealer in securities, commodities or derivative financial instruments (including notional principal contracts, futures, forwards and options) that is registered as such under the laws of the United States or any state</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 – A real estate investment trust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H – A regulated investment company as defined in section 851 or an entity registered at all times during the tax year under the Investment Company Act of 1940</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 – A common trust fund as defined in section 584(a)</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J – A bank as defined in section 581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 – A broker</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 – A trust exempt from tax under section 664 or described in section 4947(a)(1)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 – A tax exempt trust under a section 403(b) plan or section 457(g) plan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may wish to consult with the requestor of this form to determine whether the FATCA code and/or exempt payee code should be completed.</w:t>
      </w:r>
    </w:p>
    <w:p>
      <w:pPr>
        <w:spacing w:after="0" w:line="25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i w:val="1"/>
          <w:iCs w:val="1"/>
          <w:color w:val="auto"/>
        </w:rPr>
        <w:t xml:space="preserve">Payments Exempt from Backup Withholding: </w:t>
      </w:r>
      <w:r>
        <w:rPr>
          <w:rFonts w:ascii="Arial" w:cs="Arial" w:eastAsia="Arial" w:hAnsi="Arial"/>
          <w:sz w:val="16"/>
          <w:szCs w:val="16"/>
          <w:color w:val="auto"/>
        </w:rPr>
        <w:t>Certain payments that are not subject to information reporting are also not subject to backup withholding. For details, see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sections 6041, 6041A, 6042, 6044, 6045, 6049, 6050A, 6050N and 6050W and the Treasury regulations thereunder.</w:t>
      </w:r>
    </w:p>
    <w:p>
      <w:pPr>
        <w:spacing w:after="0" w:line="199" w:lineRule="exact"/>
        <w:rPr>
          <w:sz w:val="20"/>
          <w:szCs w:val="20"/>
          <w:color w:val="auto"/>
        </w:rPr>
      </w:pPr>
    </w:p>
    <w:p>
      <w:pPr>
        <w:ind w:right="240"/>
        <w:spacing w:after="0" w:line="274" w:lineRule="auto"/>
        <w:rPr>
          <w:sz w:val="20"/>
          <w:szCs w:val="20"/>
          <w:color w:val="auto"/>
        </w:rPr>
      </w:pPr>
      <w:r>
        <w:rPr>
          <w:rFonts w:ascii="Arial" w:cs="Arial" w:eastAsia="Arial" w:hAnsi="Arial"/>
          <w:sz w:val="15"/>
          <w:szCs w:val="15"/>
          <w:b w:val="1"/>
          <w:bCs w:val="1"/>
          <w:i w:val="1"/>
          <w:iCs w:val="1"/>
          <w:color w:val="auto"/>
        </w:rPr>
        <w:t>Privacy Act Notice</w:t>
      </w:r>
      <w:r>
        <w:rPr>
          <w:rFonts w:ascii="Arial" w:cs="Arial" w:eastAsia="Arial" w:hAnsi="Arial"/>
          <w:sz w:val="15"/>
          <w:szCs w:val="15"/>
          <w:color w:val="auto"/>
        </w:rPr>
        <w:t>. Section 6109 of the Internal Revenue Code requires you to give your correct TIN to persons (including federal agencies) who are required to file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returns with the IRS to report interest, dividends and certain other income paid to you, mortgage interest you paid, the acquisition or abandonment of secured property, cancellation of debt, or contributions you made to an IRA or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w:t>
      </w:r>
    </w:p>
    <w:p>
      <w:pPr>
        <w:sectPr>
          <w:pgSz w:w="11900" w:h="16838" w:orient="portrait"/>
          <w:cols w:equalWidth="0" w:num="1">
            <w:col w:w="11240"/>
          </w:cols>
          <w:pgMar w:left="320" w:top="531"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6</w:t>
      </w:r>
    </w:p>
    <w:p>
      <w:pPr>
        <w:spacing w:after="0" w:line="9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information also may be disclosed to other countries under a treaty, to federal and state agencies to enforce civil and criminal laws, or to federal law enforcement and intelligence agencies to combat terrorism.</w:t>
      </w:r>
    </w:p>
    <w:p>
      <w:pPr>
        <w:spacing w:after="0" w:line="199"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You must provide your TIN whether or not you are required to file a tax return. Under section 3406 of the Internal Revenue Code, payers must generally withhold a percentage of taxable interest, dividend and certain other payments to a payee who does not give a TIN to the payer. Certain penalties may also apply for providing false or fraudulent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Penalties</w:t>
      </w:r>
    </w:p>
    <w:p>
      <w:pPr>
        <w:spacing w:after="0" w:line="248" w:lineRule="exact"/>
        <w:rPr>
          <w:sz w:val="20"/>
          <w:szCs w:val="20"/>
          <w:color w:val="auto"/>
        </w:rPr>
      </w:pPr>
    </w:p>
    <w:p>
      <w:pPr>
        <w:ind w:right="620"/>
        <w:spacing w:after="0" w:line="280" w:lineRule="auto"/>
        <w:rPr>
          <w:sz w:val="20"/>
          <w:szCs w:val="20"/>
          <w:color w:val="auto"/>
        </w:rPr>
      </w:pPr>
      <w:r>
        <w:rPr>
          <w:rFonts w:ascii="Arial" w:cs="Arial" w:eastAsia="Arial" w:hAnsi="Arial"/>
          <w:sz w:val="16"/>
          <w:szCs w:val="16"/>
          <w:b w:val="1"/>
          <w:bCs w:val="1"/>
          <w:color w:val="auto"/>
        </w:rPr>
        <w:t xml:space="preserve">Failure to Furnish TIN. </w:t>
      </w:r>
      <w:r>
        <w:rPr>
          <w:rFonts w:ascii="Arial" w:cs="Arial" w:eastAsia="Arial" w:hAnsi="Arial"/>
          <w:sz w:val="16"/>
          <w:szCs w:val="16"/>
          <w:color w:val="auto"/>
        </w:rPr>
        <w:t>If you fail to furnish your correct TIN to a requester, you are subject to a penalty of $50 for each such failure unless your failure is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cause and not to willful neglect.</w:t>
      </w:r>
    </w:p>
    <w:p>
      <w:pPr>
        <w:spacing w:after="0" w:line="192"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b w:val="1"/>
          <w:bCs w:val="1"/>
          <w:color w:val="auto"/>
        </w:rPr>
        <w:t xml:space="preserve">Civil Penalty for False Information With Respect to Withholding. </w:t>
      </w:r>
      <w:r>
        <w:rPr>
          <w:rFonts w:ascii="Arial" w:cs="Arial" w:eastAsia="Arial" w:hAnsi="Arial"/>
          <w:sz w:val="16"/>
          <w:szCs w:val="16"/>
          <w:color w:val="auto"/>
        </w:rPr>
        <w:t>If you make a false statement with no reasonable basis which results in no imposition of backup</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you are subject to a penalty of $500.</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Criminal Penalty for Falsifying Information. </w:t>
      </w:r>
      <w:r>
        <w:rPr>
          <w:rFonts w:ascii="Arial" w:cs="Arial" w:eastAsia="Arial" w:hAnsi="Arial"/>
          <w:sz w:val="15"/>
          <w:szCs w:val="15"/>
          <w:color w:val="auto"/>
        </w:rPr>
        <w:t>Willfully falsifying certifications or affirmations may subject you to criminal penalties including fines and/or imprisonment.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Misuse of TINs. </w:t>
      </w:r>
      <w:r>
        <w:rPr>
          <w:rFonts w:ascii="Arial" w:cs="Arial" w:eastAsia="Arial" w:hAnsi="Arial"/>
          <w:sz w:val="16"/>
          <w:szCs w:val="16"/>
          <w:color w:val="auto"/>
        </w:rPr>
        <w:t>If the requester discloses or uses TINs in violation of federal law, the requester may be subject to civil and criminal penalties.</w:t>
      </w:r>
    </w:p>
    <w:p>
      <w:pPr>
        <w:spacing w:after="0" w:line="248" w:lineRule="exact"/>
        <w:rPr>
          <w:sz w:val="20"/>
          <w:szCs w:val="20"/>
          <w:color w:val="auto"/>
        </w:rPr>
      </w:pPr>
    </w:p>
    <w:p>
      <w:pPr>
        <w:ind w:right="4380"/>
        <w:spacing w:after="0" w:line="280" w:lineRule="auto"/>
        <w:rPr>
          <w:sz w:val="20"/>
          <w:szCs w:val="20"/>
          <w:color w:val="auto"/>
        </w:rPr>
      </w:pPr>
      <w:r>
        <w:rPr>
          <w:rFonts w:ascii="Arial" w:cs="Arial" w:eastAsia="Arial" w:hAnsi="Arial"/>
          <w:sz w:val="16"/>
          <w:szCs w:val="16"/>
          <w:b w:val="1"/>
          <w:bCs w:val="1"/>
          <w:color w:val="auto"/>
        </w:rPr>
        <w:t>FOR ADDITIONAL INFORMATION, CONTACT YOUR TAX ADVISOR OR THE INTERNAL REVENUE SERVICE.</w:t>
      </w:r>
    </w:p>
    <w:p>
      <w:pPr>
        <w:sectPr>
          <w:pgSz w:w="11900" w:h="16838" w:orient="portrait"/>
          <w:cols w:equalWidth="0" w:num="1">
            <w:col w:w="11180"/>
          </w:cols>
          <w:pgMar w:left="320" w:top="1422" w:right="3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154305</wp:posOffset>
            </wp:positionV>
            <wp:extent cx="2777490" cy="522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$500 million aggregate principal amount of outstanding unregistered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AT3 and U8602T AE8)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ind w:left="3360"/>
              <w:spacing w:after="0"/>
              <w:rPr>
                <w:sz w:val="20"/>
                <w:szCs w:val="20"/>
                <w:color w:val="auto"/>
              </w:rPr>
            </w:pPr>
            <w:r>
              <w:rPr>
                <w:rFonts w:ascii="Arial" w:cs="Arial" w:eastAsia="Arial" w:hAnsi="Arial"/>
                <w:sz w:val="22"/>
                <w:szCs w:val="22"/>
                <w:b w:val="1"/>
                <w:bCs w:val="1"/>
                <w:color w:val="auto"/>
                <w:w w:val="99"/>
              </w:rPr>
              <w:t>Pursuant to the Prospectus dated</w:t>
            </w:r>
          </w:p>
        </w:tc>
        <w:tc>
          <w:tcPr>
            <w:tcW w:w="4360" w:type="dxa"/>
            <w:vAlign w:val="bottom"/>
          </w:tcPr>
          <w:p>
            <w:pPr>
              <w:jc w:val="right"/>
              <w:ind w:right="3252"/>
              <w:spacing w:after="0"/>
              <w:rPr>
                <w:sz w:val="20"/>
                <w:szCs w:val="20"/>
                <w:color w:val="auto"/>
              </w:rPr>
            </w:pPr>
            <w:r>
              <w:rPr>
                <w:rFonts w:ascii="Arial" w:cs="Arial" w:eastAsia="Arial" w:hAnsi="Arial"/>
                <w:sz w:val="22"/>
                <w:szCs w:val="22"/>
                <w:b w:val="1"/>
                <w:bCs w:val="1"/>
                <w:color w:val="auto"/>
              </w:rPr>
              <w:t>, 2021</w:t>
            </w:r>
          </w:p>
        </w:tc>
      </w:tr>
      <w:tr>
        <w:trPr>
          <w:trHeight w:val="199"/>
        </w:trPr>
        <w:tc>
          <w:tcPr>
            <w:tcW w:w="68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set forth in the prospectus dated , 2021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in the accompanying Letter of Transmittal (the “</w:t>
      </w:r>
      <w:r>
        <w:rPr>
          <w:rFonts w:ascii="Arial" w:cs="Arial" w:eastAsia="Arial" w:hAnsi="Arial"/>
          <w:sz w:val="16"/>
          <w:szCs w:val="16"/>
          <w:b w:val="1"/>
          <w:bCs w:val="1"/>
          <w:i w:val="1"/>
          <w:iCs w:val="1"/>
          <w:color w:val="auto"/>
        </w:rPr>
        <w:t>Letter of Transmittal</w:t>
      </w:r>
      <w:r>
        <w:rPr>
          <w:rFonts w:ascii="Arial" w:cs="Arial" w:eastAsia="Arial" w:hAnsi="Arial"/>
          <w:sz w:val="16"/>
          <w:szCs w:val="16"/>
          <w:color w:val="auto"/>
        </w:rPr>
        <w:t>”), holders of the Company’s outstanding unregistered 4.000% Senior Notes due 2031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who wish to tender their Original Notes in exchange for an equal principal amount of the Company’s 4.000% Senior Notes due 2031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which have been registered under the Securities Act of 1933, as amended, may use this Notice of Guaranteed Delivery if:</w:t>
      </w:r>
    </w:p>
    <w:p>
      <w:pPr>
        <w:spacing w:after="0" w:line="1" w:lineRule="exact"/>
        <w:rPr>
          <w:sz w:val="20"/>
          <w:szCs w:val="20"/>
          <w:color w:val="auto"/>
        </w:rPr>
      </w:pPr>
    </w:p>
    <w:p>
      <w:pPr>
        <w:ind w:right="60" w:firstLine="8"/>
        <w:spacing w:after="0" w:line="253" w:lineRule="auto"/>
        <w:tabs>
          <w:tab w:leader="none" w:pos="21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240"/>
          </w:cols>
          <w:pgMar w:left="320" w:top="1417" w:right="339" w:bottom="1440" w:gutter="0" w:footer="0" w:header="0"/>
        </w:sectPr>
      </w:pPr>
    </w:p>
    <w:p>
      <w:pPr>
        <w:spacing w:after="0" w:line="139" w:lineRule="exact"/>
        <w:rPr>
          <w:sz w:val="20"/>
          <w:szCs w:val="20"/>
          <w:color w:val="auto"/>
        </w:rPr>
      </w:pPr>
    </w:p>
    <w:p>
      <w:pPr>
        <w:jc w:val="center"/>
        <w:ind w:right="660"/>
        <w:spacing w:after="0"/>
        <w:rPr>
          <w:sz w:val="20"/>
          <w:szCs w:val="20"/>
          <w:color w:val="auto"/>
        </w:rPr>
      </w:pPr>
      <w:r>
        <w:rPr>
          <w:rFonts w:ascii="Arial" w:cs="Arial" w:eastAsia="Arial" w:hAnsi="Arial"/>
          <w:sz w:val="17"/>
          <w:szCs w:val="17"/>
          <w:i w:val="1"/>
          <w:iCs w:val="1"/>
          <w:color w:val="auto"/>
        </w:rPr>
        <w:t>By facsimile (for eligible institutions only):</w:t>
      </w:r>
    </w:p>
    <w:p>
      <w:pPr>
        <w:jc w:val="center"/>
        <w:ind w:right="660"/>
        <w:spacing w:after="0" w:line="203" w:lineRule="auto"/>
        <w:rPr>
          <w:sz w:val="20"/>
          <w:szCs w:val="20"/>
          <w:color w:val="auto"/>
        </w:rPr>
      </w:pPr>
      <w:r>
        <w:rPr>
          <w:rFonts w:ascii="Arial" w:cs="Arial" w:eastAsia="Arial" w:hAnsi="Arial"/>
          <w:sz w:val="18"/>
          <w:szCs w:val="18"/>
          <w:color w:val="auto"/>
        </w:rPr>
        <w:t>(651) 466-7372</w:t>
      </w:r>
    </w:p>
    <w:p>
      <w:pPr>
        <w:jc w:val="center"/>
        <w:ind w:right="66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140"/>
        <w:spacing w:after="0"/>
        <w:rPr>
          <w:sz w:val="20"/>
          <w:szCs w:val="20"/>
          <w:color w:val="auto"/>
        </w:rPr>
      </w:pPr>
      <w:r>
        <w:rPr>
          <w:rFonts w:ascii="Arial" w:cs="Arial" w:eastAsia="Arial" w:hAnsi="Arial"/>
          <w:sz w:val="16"/>
          <w:szCs w:val="16"/>
          <w:i w:val="1"/>
          <w:iCs w:val="1"/>
          <w:color w:val="auto"/>
        </w:rPr>
        <w:t>For information or confirmation by telephone:</w:t>
      </w:r>
    </w:p>
    <w:p>
      <w:pPr>
        <w:jc w:val="center"/>
        <w:ind w:right="1140"/>
        <w:spacing w:after="0" w:line="212" w:lineRule="auto"/>
        <w:rPr>
          <w:sz w:val="20"/>
          <w:szCs w:val="20"/>
          <w:color w:val="auto"/>
        </w:rPr>
      </w:pPr>
      <w:r>
        <w:rPr>
          <w:rFonts w:ascii="Arial" w:cs="Arial" w:eastAsia="Arial" w:hAnsi="Arial"/>
          <w:sz w:val="18"/>
          <w:szCs w:val="18"/>
          <w:color w:val="auto"/>
        </w:rPr>
        <w:t>Specialized Finance</w:t>
      </w:r>
    </w:p>
    <w:p>
      <w:pPr>
        <w:jc w:val="center"/>
        <w:ind w:right="1140"/>
        <w:spacing w:after="0"/>
        <w:rPr>
          <w:sz w:val="20"/>
          <w:szCs w:val="20"/>
          <w:color w:val="auto"/>
        </w:rPr>
      </w:pPr>
      <w:r>
        <w:rPr>
          <w:rFonts w:ascii="Arial" w:cs="Arial" w:eastAsia="Arial" w:hAnsi="Arial"/>
          <w:sz w:val="18"/>
          <w:szCs w:val="18"/>
          <w:color w:val="auto"/>
        </w:rPr>
        <w:t>(800) 934-6802</w:t>
      </w:r>
    </w:p>
    <w:p>
      <w:pPr>
        <w:sectPr>
          <w:pgSz w:w="11900" w:h="16838" w:orient="portrait"/>
          <w:cols w:equalWidth="0" w:num="2">
            <w:col w:w="6020" w:space="720"/>
            <w:col w:w="4500"/>
          </w:cols>
          <w:pgMar w:left="320" w:top="1417" w:right="339" w:bottom="1440" w:gutter="0" w:footer="0" w:header="0"/>
          <w:type w:val="continuous"/>
        </w:sectPr>
      </w:pPr>
    </w:p>
    <w:bookmarkStart w:id="148" w:name="page149"/>
    <w:bookmarkEnd w:id="148"/>
    <w:p>
      <w:pPr>
        <w:spacing w:after="0" w:line="8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To tender Original Notes, this Notice of Guaranteed Delivery must be delivered to the Exchange Agent at its address set forth above at or prior to the Expiration Time. Delivery of this Notice of Guaranteed Delivery to an address other than as set forth above, or transmission of this Notice of Guaranteed Delivery via facsimile to a number other than to the number listed above, will not constitute a valid delivery. This Notice of Guaranteed Delivery is not to be used to guarantee signatures. If a signature on the Letter of Transmittal is required to be guaranteed by an “eligible institution” pursuant to the instructions to the Letter of Transmittal, such signature guarantee must appear in the applicable space provided on the Letter of Transmittal for guarantee of signature.</w:t>
      </w:r>
    </w:p>
    <w:p>
      <w:pPr>
        <w:sectPr>
          <w:pgSz w:w="11900" w:h="16838" w:orient="portrait"/>
          <w:cols w:equalWidth="0" w:num="1">
            <w:col w:w="11140"/>
          </w:cols>
          <w:pgMar w:left="320" w:top="1440"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tenders to the Company, upon the terms and subject to the conditions set forth in the Prospectus and the Letter of Transmittal, receipt of which is hereby acknowledged, the aggregate principal amount of Original Notes specified below pursuant to the guaranteed delivery procedures described in the Prospectus under the caption “The Exchange Offer—Guaranteed Delivery Procedures” and in Instruction 2 of the Letter of Transmittal. By so tendering, the undersigned does hereby make, at and as of the date hereof, each of the representations of a tendering holder of Original Notes set forth in the Letter of Transmittal.</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All authority herein conferred or agreed to be conferred by this Notice of Guaranteed Delivery shall survive the death or incapacity of the undersigned, and every obligation of the undersigned hereunder shall be binding upon the heirs, personal representatives, successors and assigns of the undersigned.</w:t>
      </w:r>
    </w:p>
    <w:p>
      <w:pPr>
        <w:spacing w:after="0" w:line="12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PLEASE SIGN AND COMPLETE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 of Registered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14605</wp:posOffset>
            </wp:positionV>
            <wp:extent cx="4800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14605</wp:posOffset>
            </wp:positionV>
            <wp:extent cx="58464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14605</wp:posOffset>
            </wp:positionV>
            <wp:extent cx="61893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14605</wp:posOffset>
            </wp:positionV>
            <wp:extent cx="53574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Principal Amount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48006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259" w:lineRule="exact"/>
        <w:rPr>
          <w:sz w:val="20"/>
          <w:szCs w:val="20"/>
          <w:color w:val="auto"/>
        </w:rPr>
      </w:pPr>
    </w:p>
    <w:p>
      <w:pPr>
        <w:ind w:left="520" w:right="480" w:hanging="494"/>
        <w:spacing w:after="0" w:line="235" w:lineRule="auto"/>
        <w:tabs>
          <w:tab w:leader="none" w:pos="520" w:val="left"/>
        </w:tabs>
        <w:numPr>
          <w:ilvl w:val="0"/>
          <w:numId w:val="175"/>
        </w:numPr>
        <w:rPr>
          <w:rFonts w:ascii="MS PGothic" w:cs="MS PGothic" w:eastAsia="MS PGothic" w:hAnsi="MS PGothic"/>
          <w:sz w:val="18"/>
          <w:szCs w:val="18"/>
          <w:color w:val="auto"/>
        </w:rPr>
      </w:pPr>
      <w:r>
        <w:rPr>
          <w:rFonts w:ascii="Arial" w:cs="Arial" w:eastAsia="Arial" w:hAnsi="Arial"/>
          <w:sz w:val="18"/>
          <w:szCs w:val="18"/>
          <w:color w:val="auto"/>
        </w:rPr>
        <w:t>Check box if Original Notes will be delivered by book-entry transfer to the Exchange Agent’s account at The Depository Trust Company, and provide name and account number of tendering institution:</w:t>
      </w:r>
    </w:p>
    <w:p>
      <w:pPr>
        <w:sectPr>
          <w:pgSz w:w="11900" w:h="16838" w:orient="portrait"/>
          <w:cols w:equalWidth="0" w:num="1">
            <w:col w:w="11220"/>
          </w:cols>
          <w:pgMar w:left="320" w:top="1421" w:right="359" w:bottom="1440" w:gutter="0" w:footer="0" w:header="0"/>
        </w:sectPr>
      </w:pPr>
    </w:p>
    <w:bookmarkStart w:id="150" w:name="page151"/>
    <w:bookmarkEnd w:id="150"/>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14605</wp:posOffset>
            </wp:positionV>
            <wp:extent cx="4894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14605</wp:posOffset>
            </wp:positionV>
            <wp:extent cx="5452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79" w:lineRule="exact"/>
        <w:rPr>
          <w:sz w:val="20"/>
          <w:szCs w:val="20"/>
          <w:color w:val="auto"/>
        </w:rPr>
      </w:pPr>
    </w:p>
    <w:p>
      <w:pPr>
        <w:ind w:left="340" w:right="640" w:hanging="294"/>
        <w:spacing w:after="0" w:line="235" w:lineRule="auto"/>
        <w:tabs>
          <w:tab w:leader="none" w:pos="191"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256" w:lineRule="exact"/>
        <w:rPr>
          <w:sz w:val="20"/>
          <w:szCs w:val="20"/>
          <w:color w:val="auto"/>
        </w:rPr>
      </w:pPr>
    </w:p>
    <w:p>
      <w:pPr>
        <w:ind w:left="340" w:hanging="294"/>
        <w:spacing w:after="0" w:line="224" w:lineRule="auto"/>
        <w:tabs>
          <w:tab w:leader="none" w:pos="281"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GUARANTEE ON THE NEXT PAGE MUST BE COMPLETED</w:t>
      </w:r>
    </w:p>
    <w:p>
      <w:pPr>
        <w:sectPr>
          <w:pgSz w:w="11900" w:h="16838" w:orient="portrait"/>
          <w:cols w:equalWidth="0" w:num="1">
            <w:col w:w="11200"/>
          </w:cols>
          <w:pgMar w:left="340" w:top="1440" w:right="359" w:bottom="1440" w:gutter="0" w:footer="0" w:header="0"/>
        </w:sectPr>
      </w:pPr>
    </w:p>
    <w:bookmarkStart w:id="151" w:name="page152"/>
    <w:bookmarkEnd w:id="151"/>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 hereby guarantees to deliver to the Exchange Agent, at its address set forth herein, within three business days after the Expiration Time, (i) a validly completed and duly executed Letter of Transmittal, with any required signature guarantees, or, if tendering by book-entry transfer, an agent’s message from The Depositary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stating that the undersigned has expressly acknowledged receipt of, and agrees to be bound by the terms of, the Letter of Transmittal, (ii) certificates representing the Original Notes tendered hereby in proper form for transfer or, if tendering by book-entry transfer, confirmation of the book-entry transfer of such Original Notes into the Exchange Agent’s account at DTC and (iii) any other required documents.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acknowledges that it must deliver the Letter of Transmittal or agent’s message, together with certificates representing the Original Notes or confirmation of book-entry transfer of such Original Notes, within the time period set forth above, and that failure to do so could result in a financial loss to the undersigned.</w:t>
      </w:r>
    </w:p>
    <w:p>
      <w:pPr>
        <w:sectPr>
          <w:pgSz w:w="11900" w:h="16838" w:orient="portrait"/>
          <w:cols w:equalWidth="0" w:num="1">
            <w:col w:w="11240"/>
          </w:cols>
          <w:pgMar w:left="320" w:top="1440"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PLEASE SIGN AND COMPLETE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14605</wp:posOffset>
            </wp:positionV>
            <wp:extent cx="6035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503555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14605</wp:posOffset>
            </wp:positionV>
            <wp:extent cx="6437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14605</wp:posOffset>
            </wp:positionV>
            <wp:extent cx="56832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14605</wp:posOffset>
            </wp:positionV>
            <wp:extent cx="55892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14605</wp:posOffset>
            </wp:positionV>
            <wp:extent cx="6532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14605</wp:posOffset>
            </wp:positionV>
            <wp:extent cx="65322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14605</wp:posOffset>
            </wp:positionV>
            <wp:extent cx="32918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59" w:lineRule="exact"/>
        <w:rPr>
          <w:sz w:val="20"/>
          <w:szCs w:val="20"/>
          <w:color w:val="auto"/>
        </w:rPr>
      </w:pPr>
    </w:p>
    <w:p>
      <w:pPr>
        <w:ind w:left="340" w:right="640" w:hanging="294"/>
        <w:spacing w:after="0" w:line="235" w:lineRule="auto"/>
        <w:tabs>
          <w:tab w:leader="none" w:pos="191"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256" w:lineRule="exact"/>
        <w:rPr>
          <w:sz w:val="20"/>
          <w:szCs w:val="20"/>
          <w:color w:val="auto"/>
        </w:rPr>
      </w:pPr>
    </w:p>
    <w:p>
      <w:pPr>
        <w:ind w:left="340" w:hanging="294"/>
        <w:spacing w:after="0" w:line="224" w:lineRule="auto"/>
        <w:tabs>
          <w:tab w:leader="none" w:pos="281"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310" w:lineRule="exact"/>
        <w:rPr>
          <w:sz w:val="20"/>
          <w:szCs w:val="20"/>
          <w:color w:val="auto"/>
        </w:rPr>
      </w:pPr>
    </w:p>
    <w:p>
      <w:pPr>
        <w:ind w:left="660" w:right="60" w:hanging="647"/>
        <w:spacing w:after="0" w:line="226" w:lineRule="auto"/>
        <w:rPr>
          <w:sz w:val="20"/>
          <w:szCs w:val="20"/>
          <w:color w:val="auto"/>
        </w:rPr>
      </w:pPr>
      <w:r>
        <w:rPr>
          <w:rFonts w:ascii="Arial" w:cs="Arial" w:eastAsia="Arial" w:hAnsi="Arial"/>
          <w:sz w:val="18"/>
          <w:szCs w:val="18"/>
          <w:b w:val="1"/>
          <w:bCs w:val="1"/>
          <w:color w:val="auto"/>
        </w:rPr>
        <w:t>NOTE: DO NOT SEND ORIGINAL NOTES WITH THIS NOTICE OF GUARANTEED DELIVERY. ACTUAL SURRENDER OF ORIGINAL NOTES MUST BE MADE PURSUANT TO, AND BE ACCOMPANIED BY, A VALIDLY COMPLETED AND DULY EXECUTED LETTER OF TRANSMITTAL AND ANY OTHER REQUIRED DOCUMENTS.</w:t>
      </w:r>
    </w:p>
    <w:p>
      <w:pPr>
        <w:sectPr>
          <w:pgSz w:w="11900" w:h="16838" w:orient="portrait"/>
          <w:cols w:equalWidth="0" w:num="1">
            <w:col w:w="11200"/>
          </w:cols>
          <w:pgMar w:left="340" w:top="1417" w:right="359" w:bottom="1440" w:gutter="0" w:footer="0" w:header="0"/>
        </w:sectPr>
      </w:pPr>
    </w:p>
    <w:bookmarkStart w:id="153" w:name="page154"/>
    <w:bookmarkEnd w:id="153"/>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INSTRUCTIONS FOR NOTICE OF GUARANTEED DELIVERY</w:t>
      </w:r>
    </w:p>
    <w:p>
      <w:pPr>
        <w:spacing w:after="0" w:line="229" w:lineRule="exact"/>
        <w:rPr>
          <w:sz w:val="20"/>
          <w:szCs w:val="20"/>
          <w:color w:val="auto"/>
        </w:rPr>
      </w:pPr>
    </w:p>
    <w:p>
      <w:pPr>
        <w:ind w:firstLine="8"/>
        <w:spacing w:after="0" w:line="254" w:lineRule="auto"/>
        <w:tabs>
          <w:tab w:leader="none" w:pos="315"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This Notice of Guaranteed Delivery. </w:t>
      </w:r>
      <w:r>
        <w:rPr>
          <w:rFonts w:ascii="Arial" w:cs="Arial" w:eastAsia="Arial" w:hAnsi="Arial"/>
          <w:sz w:val="18"/>
          <w:szCs w:val="18"/>
          <w:color w:val="auto"/>
        </w:rPr>
        <w:t>A validly completed and duly executed copy of this Notice of Guaranteed Delivery and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documents must be received by the Exchange Agent at its address set forth herein at or prior to the Expiration Time. The method of delivery of this Notice of Guaranteed Delivery and any other required documents to the Exchange Agent is at the election and sole risk of the holder, and delivery will be deemed made only when actually received by the Exchange Agent. It is recommended that holders use overnight or hand delivery service. If delivery is by mail, it is recommended that holders use properly insured registered mail, return receipt requested. In all cases, holders should allow sufficient time to assure timely delivery to the Exchange Agent. This Notice of Guaranteed Delivery should not be sent to the Company. For a full description of the guaranteed delivery procedures, see “The Exchange Offer—Guaranteed Delivery Procedures” in the Prospectus and Instruction 2 of the Letter of Transmittal.</w:t>
      </w:r>
    </w:p>
    <w:p>
      <w:pPr>
        <w:spacing w:after="0" w:line="191" w:lineRule="exact"/>
        <w:rPr>
          <w:rFonts w:ascii="Arial" w:cs="Arial" w:eastAsia="Arial" w:hAnsi="Arial"/>
          <w:sz w:val="18"/>
          <w:szCs w:val="18"/>
          <w:b w:val="1"/>
          <w:bCs w:val="1"/>
          <w:color w:val="auto"/>
        </w:rPr>
      </w:pPr>
    </w:p>
    <w:p>
      <w:pPr>
        <w:ind w:right="80" w:firstLine="8"/>
        <w:spacing w:after="0" w:line="257" w:lineRule="auto"/>
        <w:tabs>
          <w:tab w:leader="none" w:pos="315"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Original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signature(s) must correspond with the name(s) appearing on the certificate(s) for the Original Notes, without alteration, enlargement or any change whatsoever. If this Notice of Guaranteed Delivery is signed by a participant in DTC’s book-entry transfer system whose name appears on a security position listing as the owner of the Original Notes, the signature must correspond with the name shown on the security position listing as the owner of the Original Notes.</w:t>
      </w:r>
    </w:p>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If this Notice of Guaranteed Delivery is signed by a person other than the registered holder of the Original Notes or a participant in DTC’s book-entry transfer system, this Notice of Guaranteed Delivery must be accompanied by appropriate bond powers, signed as the name(s) of the registered holder(s) appears on the certificate(s) for the Original Notes or signed as the name of the participant shown on DTC’s security position listing.</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this Notice of Guaranteed Delivery is signed by an attorney-in-fact, executor, administrator, trustee, guardian, officer of a corporation, or other person acting in a fiduciary or representative capacity, such person must so indicate when signing and submit evidence satisfactory to the Company of such person’s authority to so act with this Notice of Guaranteed Delivery.</w:t>
      </w:r>
    </w:p>
    <w:p>
      <w:pPr>
        <w:spacing w:after="0" w:line="184" w:lineRule="exact"/>
        <w:rPr>
          <w:sz w:val="20"/>
          <w:szCs w:val="20"/>
          <w:color w:val="auto"/>
        </w:rPr>
      </w:pPr>
    </w:p>
    <w:p>
      <w:pPr>
        <w:ind w:right="200" w:firstLine="8"/>
        <w:spacing w:after="0" w:line="259" w:lineRule="auto"/>
        <w:tabs>
          <w:tab w:leader="none" w:pos="315"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Requests for Assistance or Additional Copies. </w:t>
      </w:r>
      <w:r>
        <w:rPr>
          <w:rFonts w:ascii="Arial" w:cs="Arial" w:eastAsia="Arial" w:hAnsi="Arial"/>
          <w:sz w:val="18"/>
          <w:szCs w:val="18"/>
          <w:color w:val="auto"/>
        </w:rPr>
        <w:t>Questions and requests for assistance with respect to the Exchange Offer, and requests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the Prospectus, the Letter of Transmittal or this Notice of Guaranteed Delivery, should be directed to the Exchange Agent at its address and telephone number set forth herein. Holders may also contact their broker, dealer, commercial bank, trust company or other nominee for assistance concerning the Exchange Offer.</w:t>
      </w:r>
    </w:p>
    <w:p>
      <w:pPr>
        <w:sectPr>
          <w:pgSz w:w="11900" w:h="16838" w:orient="portrait"/>
          <w:cols w:equalWidth="0" w:num="1">
            <w:col w:w="11160"/>
          </w:cols>
          <w:pgMar w:left="320" w:top="1440" w:right="4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154305</wp:posOffset>
            </wp:positionV>
            <wp:extent cx="2777490" cy="522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$500 million aggregate principal amount of outstanding unregistered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AT3 and U8602T AE8)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ind w:left="3360"/>
              <w:spacing w:after="0"/>
              <w:rPr>
                <w:sz w:val="20"/>
                <w:szCs w:val="20"/>
                <w:color w:val="auto"/>
              </w:rPr>
            </w:pPr>
            <w:r>
              <w:rPr>
                <w:rFonts w:ascii="Arial" w:cs="Arial" w:eastAsia="Arial" w:hAnsi="Arial"/>
                <w:sz w:val="22"/>
                <w:szCs w:val="22"/>
                <w:b w:val="1"/>
                <w:bCs w:val="1"/>
                <w:color w:val="auto"/>
                <w:w w:val="99"/>
              </w:rPr>
              <w:t>Pursuant to the Prospectus dated</w:t>
            </w:r>
          </w:p>
        </w:tc>
        <w:tc>
          <w:tcPr>
            <w:tcW w:w="4360" w:type="dxa"/>
            <w:vAlign w:val="bottom"/>
          </w:tcPr>
          <w:p>
            <w:pPr>
              <w:jc w:val="right"/>
              <w:ind w:right="3252"/>
              <w:spacing w:after="0"/>
              <w:rPr>
                <w:sz w:val="20"/>
                <w:szCs w:val="20"/>
                <w:color w:val="auto"/>
              </w:rPr>
            </w:pPr>
            <w:r>
              <w:rPr>
                <w:rFonts w:ascii="Arial" w:cs="Arial" w:eastAsia="Arial" w:hAnsi="Arial"/>
                <w:sz w:val="22"/>
                <w:szCs w:val="22"/>
                <w:b w:val="1"/>
                <w:bCs w:val="1"/>
                <w:color w:val="auto"/>
              </w:rPr>
              <w:t>, 2021</w:t>
            </w:r>
          </w:p>
        </w:tc>
      </w:tr>
      <w:tr>
        <w:trPr>
          <w:trHeight w:val="200"/>
        </w:trPr>
        <w:tc>
          <w:tcPr>
            <w:tcW w:w="68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to exchange up to $500,000,000 in aggregate principal amount of its outstanding unregistered 4.000% Senior Notes due 2031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4.000% Senior Notes due 2031</w:t>
      </w:r>
    </w:p>
    <w:p>
      <w:pPr>
        <w:ind w:right="10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dated , 2021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9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are requesting that you contact your clients for whom you hold Original Notes regarding the Exchange Offer. For your information and for forwarding to your clients for whom you hold Original Notes registered in your name or the name of your nominee, we are enclosing the following documents:</w:t>
      </w:r>
    </w:p>
    <w:p>
      <w:pPr>
        <w:spacing w:after="0" w:line="124" w:lineRule="exact"/>
        <w:rPr>
          <w:sz w:val="20"/>
          <w:szCs w:val="20"/>
          <w:color w:val="auto"/>
        </w:rPr>
      </w:pPr>
    </w:p>
    <w:p>
      <w:pPr>
        <w:ind w:left="960" w:hanging="30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Original Notes and for the information of your clients;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Notice of Guaranteed Delivery to be used to accept the Exchange Offer if (i) certificates for Original Notes are not immediately available,</w:t>
      </w:r>
    </w:p>
    <w:p>
      <w:pPr>
        <w:spacing w:after="0" w:line="46" w:lineRule="exact"/>
        <w:rPr>
          <w:rFonts w:ascii="Arial" w:cs="Arial" w:eastAsia="Arial" w:hAnsi="Arial"/>
          <w:sz w:val="16"/>
          <w:szCs w:val="16"/>
          <w:color w:val="auto"/>
        </w:rPr>
      </w:pPr>
    </w:p>
    <w:p>
      <w:pPr>
        <w:ind w:left="980" w:right="140"/>
        <w:spacing w:after="0" w:line="260" w:lineRule="auto"/>
        <w:tabs>
          <w:tab w:leader="none" w:pos="124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U.S. Bank National Association, the exchange agent</w:t>
      </w:r>
    </w:p>
    <w:p>
      <w:pPr>
        <w:sectPr>
          <w:pgSz w:w="11900" w:h="16838" w:orient="portrait"/>
          <w:cols w:equalWidth="0" w:num="1">
            <w:col w:w="11240"/>
          </w:cols>
          <w:pgMar w:left="320" w:top="1417" w:right="339" w:bottom="1440" w:gutter="0" w:footer="0" w:header="0"/>
        </w:sectPr>
      </w:pPr>
    </w:p>
    <w:bookmarkStart w:id="155" w:name="page156"/>
    <w:bookmarkEnd w:id="155"/>
    <w:p>
      <w:pPr>
        <w:ind w:left="980" w:right="300"/>
        <w:spacing w:after="0" w:line="277" w:lineRule="auto"/>
        <w:rPr>
          <w:sz w:val="20"/>
          <w:szCs w:val="20"/>
          <w:color w:val="auto"/>
        </w:rPr>
      </w:pPr>
      <w:r>
        <w:rPr>
          <w:rFonts w:ascii="Arial" w:cs="Arial" w:eastAsia="Arial" w:hAnsi="Arial"/>
          <w:sz w:val="18"/>
          <w:szCs w:val="18"/>
          <w:color w:val="auto"/>
        </w:rPr>
        <w:t xml:space="preserve">for the exchange offer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at or prior to the Expiration Time or (iii) the procedures for book-entry transfer cannot be completed at or prior to the Expiration Time; and</w:t>
      </w:r>
    </w:p>
    <w:p>
      <w:pPr>
        <w:spacing w:after="0" w:line="170" w:lineRule="exact"/>
        <w:rPr>
          <w:sz w:val="20"/>
          <w:szCs w:val="20"/>
          <w:color w:val="auto"/>
        </w:rPr>
      </w:pPr>
    </w:p>
    <w:p>
      <w:pPr>
        <w:ind w:left="980" w:right="460" w:hanging="324"/>
        <w:spacing w:after="0" w:line="277" w:lineRule="auto"/>
        <w:tabs>
          <w:tab w:leader="none" w:pos="96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urge you to contact your clients as promptly as possible. Please note that the Exchange Offer will expire on the Expiration Time, 11:59 p.m., New York City time, on January [__], 2022, unless extended. Original Notes validly tendered in the Exchange Offer may be withdrawn at any time prior to the Expiration Time.</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participate in the Exchange Offer, (i) a validly completed and duly executed Letter of Transmittal, with any required signature guarantees, or, if tendering by book-entry transfer, an agent’s message from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stating that the tendering holder has expressly acknowledged receipt of, and agrees to be bound by the terms of, the Letter of Transmittal, (ii) certificates representing the Original Notes tendered hereby in proper form for transfer or, if tendering by book-entry transfer, confirmation of book-entry transfer of such Original Notes into the Exchange Agent’s account at DTC and (iii) any other required documents must be delivered to the Exchange Agent, all in accordance with the instructions set forth in the Prospectus and the Letter of Transmittal.</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not pay any fees or commissions to any brokers, dealers or other persons for soliciting acceptances of the Exchange Offer. The Company will, however, reimburse brokers, dealers, commercial banks, trust companies and other nominees for the reasonable out-of-pocket expenses they incur in forwarding copies of the enclosed documents to their clients and in handling or forwarding tenders of the Original Notes for exchange. The Company will pay all transfer taxes, if any, applicable to the exchange of Original Notes in the Exchange Offer, except as otherwise set forth in the Prospectus and the Letter of Transmittal.</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and requests for additional copies of the enclosed documents, should be directed to the Exchange Agent at its address and telephone number set forth on the front of the Letter of Transmittal.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OTHER PERSON AS AN AGENT OF THE COMPANY OR THE EXCHANGE AGENT, OR AUTHORIZE YOU OR ANY OTHER PERSON TO USE ANY DOCUMENT OR MAKE ANY STATEMENT ON BEHALF OF EITHER OF THEM WITH RESPECT TO THE EXCHANGE OFFER, EXCEPT FOR THE DOCUMENTS ENCLOSED HEREWITH AND THE STATEMENTS CONTAINED THEREIN.</w:t>
      </w:r>
    </w:p>
    <w:p>
      <w:pPr>
        <w:sectPr>
          <w:pgSz w:w="11900" w:h="16838" w:orient="portrait"/>
          <w:cols w:equalWidth="0" w:num="1">
            <w:col w:w="11220"/>
          </w:cols>
          <w:pgMar w:left="320" w:top="1421" w:right="3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17145</wp:posOffset>
            </wp:positionV>
            <wp:extent cx="2777490" cy="522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$500 million aggregate principal amount of outstanding unregistered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AT3 and U8602T AE8)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4.000% Senior Notes due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ind w:left="3360"/>
              <w:spacing w:after="0"/>
              <w:rPr>
                <w:sz w:val="20"/>
                <w:szCs w:val="20"/>
                <w:color w:val="auto"/>
              </w:rPr>
            </w:pPr>
            <w:r>
              <w:rPr>
                <w:rFonts w:ascii="Arial" w:cs="Arial" w:eastAsia="Arial" w:hAnsi="Arial"/>
                <w:sz w:val="22"/>
                <w:szCs w:val="22"/>
                <w:b w:val="1"/>
                <w:bCs w:val="1"/>
                <w:color w:val="auto"/>
                <w:w w:val="99"/>
              </w:rPr>
              <w:t>Pursuant to the Prospectus dated</w:t>
            </w:r>
          </w:p>
        </w:tc>
        <w:tc>
          <w:tcPr>
            <w:tcW w:w="4360" w:type="dxa"/>
            <w:vAlign w:val="bottom"/>
          </w:tcPr>
          <w:p>
            <w:pPr>
              <w:jc w:val="right"/>
              <w:ind w:right="3252"/>
              <w:spacing w:after="0"/>
              <w:rPr>
                <w:sz w:val="20"/>
                <w:szCs w:val="20"/>
                <w:color w:val="auto"/>
              </w:rPr>
            </w:pPr>
            <w:r>
              <w:rPr>
                <w:rFonts w:ascii="Arial" w:cs="Arial" w:eastAsia="Arial" w:hAnsi="Arial"/>
                <w:sz w:val="22"/>
                <w:szCs w:val="22"/>
                <w:b w:val="1"/>
                <w:bCs w:val="1"/>
                <w:color w:val="auto"/>
              </w:rPr>
              <w:t>, 2021</w:t>
            </w:r>
          </w:p>
        </w:tc>
      </w:tr>
      <w:tr>
        <w:trPr>
          <w:trHeight w:val="199"/>
        </w:trPr>
        <w:tc>
          <w:tcPr>
            <w:tcW w:w="68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hanging="87"/>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2021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Enclosed for your consideration is a prospectus dated , 2021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accompanying Letter of Transmittal (the “</w:t>
      </w:r>
      <w:r>
        <w:rPr>
          <w:rFonts w:ascii="Arial" w:cs="Arial" w:eastAsia="Arial" w:hAnsi="Arial"/>
          <w:sz w:val="16"/>
          <w:szCs w:val="16"/>
          <w:b w:val="1"/>
          <w:bCs w:val="1"/>
          <w:i w:val="1"/>
          <w:iCs w:val="1"/>
          <w:color w:val="auto"/>
        </w:rPr>
        <w:t>Letter of Transmittal</w:t>
      </w:r>
      <w:r>
        <w:rPr>
          <w:rFonts w:ascii="Arial" w:cs="Arial" w:eastAsia="Arial" w:hAnsi="Arial"/>
          <w:sz w:val="16"/>
          <w:szCs w:val="16"/>
          <w:color w:val="auto"/>
        </w:rPr>
        <w:t>”) relating to the Company’s offer to exchange up to $500,000,000 in aggregate principal amount of its outstanding unregistered 4.000% Senior Notes due 2031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4.000% Senior Notes due 2031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We are the holder of record of Original Notes held by us for your account. </w:t>
      </w:r>
      <w:r>
        <w:rPr>
          <w:rFonts w:ascii="Arial" w:cs="Arial" w:eastAsia="Arial" w:hAnsi="Arial"/>
          <w:sz w:val="18"/>
          <w:szCs w:val="18"/>
          <w:b w:val="1"/>
          <w:bCs w:val="1"/>
          <w:color w:val="auto"/>
        </w:rPr>
        <w:t>A tender of such Original Notes may only be made by us as the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holder and pursuant to your instructions, unless you obtain a properly completed bond power from us or arrange to have the Original Notes registered in your name. </w:t>
      </w:r>
      <w:r>
        <w:rPr>
          <w:rFonts w:ascii="Arial" w:cs="Arial" w:eastAsia="Arial" w:hAnsi="Arial"/>
          <w:sz w:val="18"/>
          <w:szCs w:val="18"/>
          <w:color w:val="auto"/>
        </w:rPr>
        <w:t>The enclosed Letter of Transmittal is being furnished to you for your information only and cannot be used to tender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Notes held by us for your account.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request instructions as to whether you wish for us to tender on your behalf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18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for Exchange Notes unless we receive written instructions from you to do so. If the Original Notes are not tendered for Exchange Notes, you may</w:t>
      </w:r>
    </w:p>
    <w:p>
      <w:pPr>
        <w:sectPr>
          <w:pgSz w:w="11900" w:h="16838" w:orient="portrait"/>
          <w:cols w:equalWidth="0" w:num="1">
            <w:col w:w="11240"/>
          </w:cols>
          <w:pgMar w:left="320" w:top="1417" w:right="339" w:bottom="1440" w:gutter="0" w:footer="0" w:header="0"/>
        </w:sectPr>
      </w:pPr>
    </w:p>
    <w:bookmarkStart w:id="157" w:name="page158"/>
    <w:bookmarkEnd w:id="157"/>
    <w:p>
      <w:pPr>
        <w:ind w:right="540"/>
        <w:spacing w:after="0" w:line="266" w:lineRule="auto"/>
        <w:rPr>
          <w:sz w:val="20"/>
          <w:szCs w:val="20"/>
          <w:color w:val="auto"/>
        </w:rPr>
      </w:pPr>
      <w:r>
        <w:rPr>
          <w:rFonts w:ascii="Arial" w:cs="Arial" w:eastAsia="Arial" w:hAnsi="Arial"/>
          <w:sz w:val="18"/>
          <w:szCs w:val="18"/>
          <w:b w:val="1"/>
          <w:bCs w:val="1"/>
          <w:color w:val="auto"/>
        </w:rPr>
        <w:t>not be able to sell the Original Notes. See the Prospectus, including its “Risk Factors” section, for more information relating to the failure to tender Original Notes.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urge you to read the enclosed Prospectus and Letter of Transmittal carefully before providing instructions regarding tendering your Original Notes. If you wish to tender any or all of the Original Notes held by us for your account, please so instruct us by completing, executing, detaching and returning to us the instruction form attached hereto. Original Notes may be tendered in whole or in part. However, if you tender less than all of your Original Notes, you may tender your Original Notes only in minimum denominations of $2,000 and integral multiples of $1,000 in excess thereof.</w:t>
      </w:r>
    </w:p>
    <w:p>
      <w:pPr>
        <w:spacing w:after="0" w:line="19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Your instructions to us should be forwarded as promptly as possible in order to permit us to tender Original Notes on your behalf in the Exchange Offer. The Exchange Offer will expire at 11:59 p.m., New York City time, on January [__], 2022, unless extended. Original Notes validly tendered in the Exchange Offer may be withdrawn at any time prior to the Expiration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4.000% Senior Notes due 2031 of 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Exchange Offer</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undersigned hereby acknowledges receipt of the prospectus dated , 2021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relating to the Company’s offer to exchange up to $500,000,000 in aggregate principal amount of its outstanding unregistered 4.000% Senior Notes due 2031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4.000% Senior Notes due 2031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Original Notes held by you for the account of the undersigned, upon the terms and conditions of the Exchange Offer.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face amount of the Original Notes held by you for the account of the undersigned is (fill in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of the 4.000% Senior Notes due 2031.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Exchange Offer, the undersigned instructs you (check appropriate box):</w:t>
      </w:r>
    </w:p>
    <w:p>
      <w:pPr>
        <w:spacing w:after="0" w:line="225" w:lineRule="exact"/>
        <w:rPr>
          <w:sz w:val="20"/>
          <w:szCs w:val="20"/>
          <w:color w:val="auto"/>
        </w:rPr>
      </w:pPr>
    </w:p>
    <w:p>
      <w:pPr>
        <w:ind w:left="360" w:hanging="352"/>
        <w:spacing w:after="0"/>
        <w:tabs>
          <w:tab w:leader="none" w:pos="360" w:val="left"/>
        </w:tabs>
        <w:numPr>
          <w:ilvl w:val="0"/>
          <w:numId w:val="185"/>
        </w:numPr>
        <w:rPr>
          <w:rFonts w:ascii="MS PGothic" w:cs="MS PGothic" w:eastAsia="MS PGothic" w:hAnsi="MS PGothic"/>
          <w:sz w:val="16"/>
          <w:szCs w:val="16"/>
          <w:color w:val="auto"/>
        </w:rPr>
      </w:pPr>
      <w:r>
        <w:rPr>
          <w:rFonts w:ascii="Arial" w:cs="Arial" w:eastAsia="Arial" w:hAnsi="Arial"/>
          <w:sz w:val="16"/>
          <w:szCs w:val="16"/>
          <w:color w:val="auto"/>
        </w:rPr>
        <w:t>To TENDER the following Original Notes held by you for the account of the undersigned (insert aggregate principal amount of Original Notes to be</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tendered): $</w:t>
      </w:r>
      <w:r>
        <w:rPr>
          <w:rFonts w:ascii="Arial" w:cs="Arial" w:eastAsia="Arial" w:hAnsi="Arial"/>
          <w:sz w:val="16"/>
          <w:szCs w:val="16"/>
          <w:color w:val="auto"/>
        </w:rPr>
        <w:t>of the 4.000% Senior Notes due 2031.</w:t>
      </w:r>
    </w:p>
    <w:p>
      <w:pPr>
        <w:spacing w:after="0" w:line="209" w:lineRule="exact"/>
        <w:rPr>
          <w:rFonts w:ascii="MS PGothic" w:cs="MS PGothic" w:eastAsia="MS PGothic" w:hAnsi="MS PGothic"/>
          <w:sz w:val="16"/>
          <w:szCs w:val="16"/>
          <w:color w:val="auto"/>
        </w:rPr>
      </w:pPr>
    </w:p>
    <w:p>
      <w:pPr>
        <w:ind w:left="360" w:hanging="352"/>
        <w:spacing w:after="0"/>
        <w:tabs>
          <w:tab w:leader="none" w:pos="360" w:val="left"/>
        </w:tabs>
        <w:numPr>
          <w:ilvl w:val="0"/>
          <w:numId w:val="185"/>
        </w:numPr>
        <w:rPr>
          <w:rFonts w:ascii="MS PGothic" w:cs="MS PGothic" w:eastAsia="MS PGothic" w:hAnsi="MS PGothic"/>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undersigned instructs you to tender any or all of the Original Notes held by you for the account of the undersigned, the undersigned hereby agrees and acknowledges that you are authorized:</w:t>
      </w:r>
    </w:p>
    <w:p>
      <w:pPr>
        <w:spacing w:after="0" w:line="170" w:lineRule="exact"/>
        <w:rPr>
          <w:sz w:val="20"/>
          <w:szCs w:val="20"/>
          <w:color w:val="auto"/>
        </w:rPr>
      </w:pPr>
    </w:p>
    <w:p>
      <w:pPr>
        <w:ind w:left="660" w:right="180" w:hanging="328"/>
        <w:spacing w:after="0" w:line="263"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make, on behalf of the undersigned (and the undersigned, by its signature below, hereby makes to you), the representations contained in the Letter of Transmittal that are to be made with respect to the undersigned as a beneficial owner of the Original Notes, including but not limited to the representations that:</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the Exchange Notes are being acquired by the undersigned in the ordinary course of the undersigned’s business;</w:t>
      </w:r>
    </w:p>
    <w:p>
      <w:pPr>
        <w:sectPr>
          <w:pgSz w:w="11900" w:h="16838" w:orient="portrait"/>
          <w:cols w:equalWidth="0" w:num="1">
            <w:col w:w="11240"/>
          </w:cols>
          <w:pgMar w:left="320" w:top="1417" w:right="339" w:bottom="1440" w:gutter="0" w:footer="0" w:header="0"/>
        </w:sectPr>
      </w:pPr>
    </w:p>
    <w:bookmarkStart w:id="158" w:name="page159"/>
    <w:bookmarkEnd w:id="158"/>
    <w:p>
      <w:pPr>
        <w:ind w:left="648" w:right="60" w:hanging="324"/>
        <w:spacing w:after="0" w:line="263" w:lineRule="auto"/>
        <w:tabs>
          <w:tab w:leader="none" w:pos="64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undersigned has no arrangement or understanding with any person to participate, the undersigned is not participating, and the undersigned does not intend to participate, in the distribution of the Exchange Notes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48" w:hanging="324"/>
        <w:spacing w:after="0"/>
        <w:tabs>
          <w:tab w:leader="none" w:pos="64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48" w:right="140" w:hanging="324"/>
        <w:spacing w:after="0" w:line="277" w:lineRule="auto"/>
        <w:tabs>
          <w:tab w:leader="none" w:pos="64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48" w:hanging="324"/>
        <w:spacing w:after="0" w:line="270" w:lineRule="auto"/>
        <w:tabs>
          <w:tab w:leader="none" w:pos="64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acknowledging and by delivering a prospectus, the undersigned will not be deemed to admit that it is an “underwriter” within the meaning of the Securities Act); and any holder of Original Notes who does not meet these requirements and is unable to make such representations: (i) will not be able to rely on the interpretations of the staff of the Securities and Exchange Commission contained in several no-action letters issued to third parties with respect to exchange offers; (ii) will not be permitted to participate in the Exchange Offer; and (iii) 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0" w:lineRule="exact"/>
        <w:rPr>
          <w:rFonts w:ascii="Arial" w:cs="Arial" w:eastAsia="Arial" w:hAnsi="Arial"/>
          <w:sz w:val="17"/>
          <w:szCs w:val="17"/>
          <w:color w:val="auto"/>
        </w:rPr>
      </w:pPr>
    </w:p>
    <w:p>
      <w:pPr>
        <w:ind w:left="328" w:right="840" w:hanging="328"/>
        <w:spacing w:after="0" w:line="277" w:lineRule="auto"/>
        <w:tabs>
          <w:tab w:leader="none" w:pos="32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agree, on behalf of the undersigned, to the terms and conditions of the Exchange Offer as set forth in the Prospectus and the Letter of Transmittal; and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to take such other action as may be necessary under the Prospectus or the Letter of Transmittal to effect the valid tender of the Original Notes.</w:t>
      </w:r>
    </w:p>
    <w:p>
      <w:pPr>
        <w:spacing w:after="0" w:line="244" w:lineRule="exact"/>
        <w:rPr>
          <w:rFonts w:ascii="Arial" w:cs="Arial" w:eastAsia="Arial" w:hAnsi="Arial"/>
          <w:sz w:val="16"/>
          <w:szCs w:val="16"/>
          <w:color w:val="auto"/>
        </w:rPr>
      </w:pPr>
    </w:p>
    <w:p>
      <w:pPr>
        <w:ind w:left="3588"/>
        <w:spacing w:after="0"/>
        <w:rPr>
          <w:rFonts w:ascii="Arial" w:cs="Arial" w:eastAsia="Arial" w:hAnsi="Arial"/>
          <w:sz w:val="16"/>
          <w:szCs w:val="16"/>
          <w:color w:val="auto"/>
        </w:rPr>
      </w:pPr>
      <w:r>
        <w:rPr>
          <w:rFonts w:ascii="Arial" w:cs="Arial" w:eastAsia="Arial" w:hAnsi="Arial"/>
          <w:sz w:val="18"/>
          <w:szCs w:val="18"/>
          <w:b w:val="1"/>
          <w:bCs w:val="1"/>
          <w:color w:val="auto"/>
        </w:rPr>
        <w:t>PLEASE COMPLETE AND SIGN BELOW</w:t>
      </w:r>
    </w:p>
    <w:p>
      <w:pPr>
        <w:sectPr>
          <w:pgSz w:w="11900" w:h="16838" w:orient="portrait"/>
          <w:cols w:equalWidth="0" w:num="1">
            <w:col w:w="10908"/>
          </w:cols>
          <w:pgMar w:left="652" w:top="1421" w:right="339" w:bottom="1440" w:gutter="0" w:footer="0" w:header="0"/>
        </w:sectPr>
      </w:pPr>
    </w:p>
    <w:bookmarkStart w:id="159" w:name="page160"/>
    <w:bookmarkEnd w:id="159"/>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14605</wp:posOffset>
            </wp:positionV>
            <wp:extent cx="60521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05218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Names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14605</wp:posOffset>
            </wp:positionV>
            <wp:extent cx="4946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14605</wp:posOffset>
            </wp:positionV>
            <wp:extent cx="57861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14605</wp:posOffset>
            </wp:positionV>
            <wp:extent cx="61976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14605</wp:posOffset>
            </wp:positionV>
            <wp:extent cx="55632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6087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59" w:lineRule="exact"/>
        <w:rPr>
          <w:sz w:val="20"/>
          <w:szCs w:val="20"/>
          <w:color w:val="auto"/>
        </w:rPr>
      </w:pPr>
    </w:p>
    <w:p>
      <w:pPr>
        <w:ind w:left="340" w:right="580" w:hanging="334"/>
        <w:spacing w:after="0" w:line="235" w:lineRule="auto"/>
        <w:tabs>
          <w:tab w:leader="none" w:pos="151"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224"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above constitutes an instruction to us to tender ALL of the Original Notes held by us for your account.</w:t>
      </w:r>
    </w:p>
    <w:sectPr>
      <w:pgSz w:w="11900" w:h="16838" w:orient="portrait"/>
      <w:cols w:equalWidth="0" w:num="1">
        <w:col w:w="11100"/>
      </w:cols>
      <w:pgMar w:left="3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1)"/>
      <w:numFmt w:val="decimal"/>
      <w:start w:val="1"/>
    </w:lvl>
  </w:abstractNum>
  <w:abstractNum w:abstractNumId="1">
    <w:nsid w:val="7F01579B"/>
    <w:multiLevelType w:val="hybridMultilevel"/>
    <w:lvl w:ilvl="0">
      <w:lvlJc w:val="left"/>
      <w:lvlText w:val="(%1)"/>
      <w:numFmt w:val="decimal"/>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1)"/>
      <w:numFmt w:val="decimal"/>
      <w:start w:val="937"/>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1)"/>
      <w:numFmt w:val="lowerRoman"/>
      <w:start w:val="3"/>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lvl w:ilvl="1">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1)"/>
      <w:numFmt w:val="decimal"/>
      <w:start w:val="1"/>
    </w:lvl>
  </w:abstractNum>
  <w:abstractNum w:abstractNumId="23">
    <w:nsid w:val="1FBFE8E0"/>
    <w:multiLevelType w:val="hybridMultilevel"/>
    <w:lvl w:ilvl="0">
      <w:lvlJc w:val="left"/>
      <w:lvlText w:val="(%1)"/>
      <w:numFmt w:val="lowerRoman"/>
      <w:start w:val="1"/>
    </w:lvl>
  </w:abstractNum>
  <w:abstractNum w:abstractNumId="24">
    <w:nsid w:val="5092CA79"/>
    <w:multiLevelType w:val="hybridMultilevel"/>
    <w:lvl w:ilvl="0">
      <w:lvlJc w:val="left"/>
      <w:lvlText w:val="(%1)"/>
      <w:numFmt w:val="lowerRoman"/>
      <w:start w:val="2"/>
    </w:lvl>
  </w:abstractNum>
  <w:abstractNum w:abstractNumId="25">
    <w:nsid w:val="1D545C4D"/>
    <w:multiLevelType w:val="hybridMultilevel"/>
    <w:lvl w:ilvl="0">
      <w:lvlJc w:val="left"/>
      <w:lvlText w:val="(%1)"/>
      <w:numFmt w:val="lowerRoman"/>
      <w:start w:val="7"/>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1)"/>
      <w:numFmt w:val="lowerRoman"/>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decimal"/>
      <w:start w:val="1"/>
    </w:lvl>
  </w:abstractNum>
  <w:abstractNum w:abstractNumId="49">
    <w:nsid w:val="4C9B0904"/>
    <w:multiLevelType w:val="hybridMultilevel"/>
    <w:lvl w:ilvl="0">
      <w:lvlJc w:val="left"/>
      <w:lvlText w:val="(%1)"/>
      <w:numFmt w:val="decimal"/>
      <w:start w:val="1"/>
    </w:lvl>
  </w:abstractNum>
  <w:abstractNum w:abstractNumId="50">
    <w:nsid w:val="6AA7B75C"/>
    <w:multiLevelType w:val="hybridMultilevel"/>
    <w:lvl w:ilvl="0">
      <w:lvlJc w:val="left"/>
      <w:lvlText w:val="(%1)"/>
      <w:numFmt w:val="decimal"/>
      <w:start w:val="1"/>
    </w:lvl>
    <w:lvl w:ilvl="1">
      <w:lvlJc w:val="left"/>
      <w:lvlText w:val="(%2)"/>
      <w:numFmt w:val="lowerRoman"/>
      <w:start w:val="1"/>
    </w:lvl>
  </w:abstractNum>
  <w:abstractNum w:abstractNumId="51">
    <w:nsid w:val="1DF029D3"/>
    <w:multiLevelType w:val="hybridMultilevel"/>
    <w:lvl w:ilvl="0">
      <w:lvlJc w:val="left"/>
      <w:lvlText w:val="(%1)"/>
      <w:numFmt w:val="upperLetter"/>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1)"/>
      <w:numFmt w:val="lowerLetter"/>
      <w:start w:val="1"/>
    </w:lvl>
    <w:lvl w:ilvl="1">
      <w:lvlJc w:val="left"/>
      <w:lvlText w:val="(%2)"/>
      <w:numFmt w:val="lowerRoman"/>
      <w:start w:val="1"/>
    </w:lvl>
  </w:abstractNum>
  <w:abstractNum w:abstractNumId="54">
    <w:nsid w:val="3DB012B3"/>
    <w:multiLevelType w:val="hybridMultilevel"/>
    <w:lvl w:ilvl="0">
      <w:lvlJc w:val="left"/>
      <w:lvlText w:val="(%1)"/>
      <w:numFmt w:val="lowerRoman"/>
      <w:start w:val="3"/>
    </w:lvl>
  </w:abstractNum>
  <w:abstractNum w:abstractNumId="55">
    <w:nsid w:val="2708C9AF"/>
    <w:multiLevelType w:val="hybridMultilevel"/>
    <w:lvl w:ilvl="0">
      <w:lvlJc w:val="left"/>
      <w:lvlText w:val="(%1)"/>
      <w:numFmt w:val="decimal"/>
      <w:start w:val="1"/>
    </w:lvl>
  </w:abstractNum>
  <w:abstractNum w:abstractNumId="56">
    <w:nsid w:val="5B25ACE2"/>
    <w:multiLevelType w:val="hybridMultilevel"/>
    <w:lvl w:ilvl="0">
      <w:lvlJc w:val="left"/>
      <w:lvlText w:val="(%1)"/>
      <w:numFmt w:val="decimal"/>
      <w:start w:val="2"/>
    </w:lvl>
    <w:lvl w:ilvl="1">
      <w:lvlJc w:val="left"/>
      <w:lvlText w:val="(%2)"/>
      <w:numFmt w:val="lowerLetter"/>
      <w:start w:val="1"/>
    </w:lvl>
  </w:abstractNum>
  <w:abstractNum w:abstractNumId="57">
    <w:nsid w:val="175DFCF0"/>
    <w:multiLevelType w:val="hybridMultilevel"/>
    <w:lvl w:ilvl="0">
      <w:lvlJc w:val="left"/>
      <w:lvlText w:val="(%1)"/>
      <w:numFmt w:val="decimal"/>
      <w:start w:val="12"/>
    </w:lvl>
  </w:abstractNum>
  <w:abstractNum w:abstractNumId="58">
    <w:nsid w:val="4F97E3E4"/>
    <w:multiLevelType w:val="hybridMultilevel"/>
    <w:lvl w:ilvl="0">
      <w:lvlJc w:val="left"/>
      <w:lvlText w:val="(%1)"/>
      <w:numFmt w:val="decimal"/>
      <w:start w:val="1"/>
    </w:lvl>
  </w:abstractNum>
  <w:abstractNum w:abstractNumId="59">
    <w:nsid w:val="53B0A9E"/>
    <w:multiLevelType w:val="hybridMultilevel"/>
    <w:lvl w:ilvl="0">
      <w:lvlJc w:val="left"/>
      <w:lvlText w:val="(%1)"/>
      <w:numFmt w:val="decimal"/>
      <w:start w:val="1"/>
    </w:lvl>
  </w:abstractNum>
  <w:abstractNum w:abstractNumId="60">
    <w:nsid w:val="34FD6B4F"/>
    <w:multiLevelType w:val="hybridMultilevel"/>
    <w:lvl w:ilvl="0">
      <w:lvlJc w:val="left"/>
      <w:lvlText w:val="(%1)"/>
      <w:numFmt w:val="decimal"/>
      <w:start w:val="1"/>
    </w:lvl>
  </w:abstractNum>
  <w:abstractNum w:abstractNumId="61">
    <w:nsid w:val="5915FF32"/>
    <w:multiLevelType w:val="hybridMultilevel"/>
    <w:lvl w:ilvl="0">
      <w:lvlJc w:val="left"/>
      <w:lvlText w:val="(%1)"/>
      <w:numFmt w:val="decimal"/>
      <w:start w:val="7"/>
    </w:lvl>
  </w:abstractNum>
  <w:abstractNum w:abstractNumId="62">
    <w:nsid w:val="56438D15"/>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24"/>
    </w:lvl>
  </w:abstractNum>
  <w:abstractNum w:abstractNumId="63">
    <w:nsid w:val="519E3149"/>
    <w:multiLevelType w:val="hybridMultilevel"/>
    <w:lvl w:ilvl="0">
      <w:lvlJc w:val="left"/>
      <w:lvlText w:val="(%1)"/>
      <w:numFmt w:val="lowerRoman"/>
      <w:start w:val="2"/>
    </w:lvl>
  </w:abstractNum>
  <w:abstractNum w:abstractNumId="64">
    <w:nsid w:val="2C6E4AFD"/>
    <w:multiLevelType w:val="hybridMultilevel"/>
    <w:lvl w:ilvl="0">
      <w:lvlJc w:val="left"/>
      <w:lvlText w:val="(%1)"/>
      <w:numFmt w:val="lowerRoman"/>
      <w:start w:val="3"/>
    </w:lvl>
  </w:abstractNum>
  <w:abstractNum w:abstractNumId="65">
    <w:nsid w:val="17A1B582"/>
    <w:multiLevelType w:val="hybridMultilevel"/>
    <w:lvl w:ilvl="0">
      <w:lvlJc w:val="left"/>
      <w:lvlText w:val="(%1)"/>
      <w:numFmt w:val="lowerLetter"/>
      <w:start w:val="2"/>
    </w:lvl>
    <w:lvl w:ilvl="1">
      <w:lvlJc w:val="left"/>
      <w:lvlText w:val="(%2)"/>
      <w:numFmt w:val="lowerRoman"/>
      <w:start w:val="1"/>
    </w:lvl>
  </w:abstractNum>
  <w:abstractNum w:abstractNumId="66">
    <w:nsid w:val="4DF72E4E"/>
    <w:multiLevelType w:val="hybridMultilevel"/>
    <w:lvl w:ilvl="0">
      <w:lvlJc w:val="left"/>
      <w:lvlText w:val="(%1)"/>
      <w:numFmt w:val="decimal"/>
      <w:start w:val="1"/>
    </w:lvl>
  </w:abstractNum>
  <w:abstractNum w:abstractNumId="67">
    <w:nsid w:val="5046B5A9"/>
    <w:multiLevelType w:val="hybridMultilevel"/>
    <w:lvl w:ilvl="0">
      <w:lvlJc w:val="left"/>
      <w:lvlText w:val="(%1)"/>
      <w:numFmt w:val="decimal"/>
      <w:start w:val="2"/>
    </w:lvl>
    <w:lvl w:ilvl="1">
      <w:lvlJc w:val="left"/>
      <w:lvlText w:val="(%2)"/>
      <w:numFmt w:val="lowerLetter"/>
      <w:start w:val="1"/>
    </w:lvl>
  </w:abstractNum>
  <w:abstractNum w:abstractNumId="68">
    <w:nsid w:val="5D888A08"/>
    <w:multiLevelType w:val="hybridMultilevel"/>
    <w:lvl w:ilvl="0">
      <w:lvlJc w:val="left"/>
      <w:lvlText w:val="(%1)"/>
      <w:numFmt w:val="decimal"/>
      <w:start w:val="1"/>
    </w:lvl>
  </w:abstractNum>
  <w:abstractNum w:abstractNumId="69">
    <w:nsid w:val="2A082C70"/>
    <w:multiLevelType w:val="hybridMultilevel"/>
    <w:lvl w:ilvl="0">
      <w:lvlJc w:val="left"/>
      <w:lvlText w:val="(%1)"/>
      <w:numFmt w:val="lowerRoman"/>
      <w:start w:val="1"/>
    </w:lvl>
  </w:abstractNum>
  <w:abstractNum w:abstractNumId="70">
    <w:nsid w:val="5EC6AFD4"/>
    <w:multiLevelType w:val="hybridMultilevel"/>
    <w:lvl w:ilvl="0">
      <w:lvlJc w:val="left"/>
      <w:lvlText w:val="(%1)"/>
      <w:numFmt w:val="lowerRoman"/>
      <w:start w:val="2"/>
    </w:lvl>
  </w:abstractNum>
  <w:abstractNum w:abstractNumId="71">
    <w:nsid w:val="19E21BB2"/>
    <w:multiLevelType w:val="hybridMultilevel"/>
    <w:lvl w:ilvl="0">
      <w:lvlJc w:val="left"/>
      <w:lvlText w:val="(%1)"/>
      <w:numFmt w:val="decimal"/>
      <w:start w:val="1"/>
    </w:lvl>
    <w:lvl w:ilvl="1">
      <w:lvlJc w:val="left"/>
      <w:lvlText w:val="(%2)"/>
      <w:numFmt w:val="lowerLetter"/>
      <w:start w:val="1"/>
    </w:lvl>
  </w:abstractNum>
  <w:abstractNum w:abstractNumId="72">
    <w:nsid w:val="75E0858A"/>
    <w:multiLevelType w:val="hybridMultilevel"/>
    <w:lvl w:ilvl="0">
      <w:lvlJc w:val="left"/>
      <w:lvlText w:val="(%1)"/>
      <w:numFmt w:val="decimal"/>
      <w:start w:val="1"/>
    </w:lvl>
  </w:abstractNum>
  <w:abstractNum w:abstractNumId="73">
    <w:nsid w:val="57A61A29"/>
    <w:multiLevelType w:val="hybridMultilevel"/>
    <w:lvl w:ilvl="0">
      <w:lvlJc w:val="left"/>
      <w:lvlText w:val="(%1)"/>
      <w:numFmt w:val="decimal"/>
      <w:start w:val="2"/>
    </w:lvl>
  </w:abstractNum>
  <w:abstractNum w:abstractNumId="74">
    <w:nsid w:val="5399C654"/>
    <w:multiLevelType w:val="hybridMultilevel"/>
    <w:lvl w:ilvl="0">
      <w:lvlJc w:val="left"/>
      <w:lvlText w:val="(%1)"/>
      <w:numFmt w:val="decimal"/>
      <w:start w:val="1"/>
    </w:lvl>
  </w:abstractNum>
  <w:abstractNum w:abstractNumId="75">
    <w:nsid w:val="20EE1348"/>
    <w:multiLevelType w:val="hybridMultilevel"/>
    <w:lvl w:ilvl="0">
      <w:lvlJc w:val="left"/>
      <w:lvlText w:val="%1"/>
      <w:numFmt w:val="decimal"/>
      <w:start w:val="1"/>
    </w:lvl>
    <w:lvl w:ilvl="1">
      <w:lvlJc w:val="left"/>
      <w:lvlText w:val="(%2)"/>
      <w:numFmt w:val="decimal"/>
      <w:start w:val="5"/>
    </w:lvl>
  </w:abstractNum>
  <w:abstractNum w:abstractNumId="76">
    <w:nsid w:val="4427069A"/>
    <w:multiLevelType w:val="hybridMultilevel"/>
    <w:lvl w:ilvl="0">
      <w:lvlJc w:val="left"/>
      <w:lvlText w:val="(%1)"/>
      <w:numFmt w:val="decimal"/>
      <w:start w:val="10"/>
    </w:lvl>
    <w:lvl w:ilvl="1">
      <w:lvlJc w:val="left"/>
      <w:lvlText w:val="(%2)"/>
      <w:numFmt w:val="decimal"/>
      <w:start w:val="7"/>
    </w:lvl>
  </w:abstractNum>
  <w:abstractNum w:abstractNumId="77">
    <w:nsid w:val="B37E80A"/>
    <w:multiLevelType w:val="hybridMultilevel"/>
    <w:lvl w:ilvl="0">
      <w:lvlJc w:val="left"/>
      <w:lvlText w:val="(%1)"/>
      <w:numFmt w:val="decimal"/>
      <w:start w:val="1"/>
    </w:lvl>
  </w:abstractNum>
  <w:abstractNum w:abstractNumId="78">
    <w:nsid w:val="2157F6BC"/>
    <w:multiLevelType w:val="hybridMultilevel"/>
    <w:lvl w:ilvl="0">
      <w:lvlJc w:val="left"/>
      <w:lvlText w:val="(%1)"/>
      <w:numFmt w:val="decimal"/>
      <w:start w:val="3"/>
    </w:lvl>
  </w:abstractNum>
  <w:abstractNum w:abstractNumId="79">
    <w:nsid w:val="704E1DD5"/>
    <w:multiLevelType w:val="hybridMultilevel"/>
    <w:lvl w:ilvl="0">
      <w:lvlJc w:val="left"/>
      <w:lvlText w:val="(%1)"/>
      <w:numFmt w:val="decimal"/>
      <w:start w:val="1"/>
    </w:lvl>
  </w:abstractNum>
  <w:abstractNum w:abstractNumId="80">
    <w:nsid w:val="57D2F10E"/>
    <w:multiLevelType w:val="hybridMultilevel"/>
    <w:lvl w:ilvl="0">
      <w:lvlJc w:val="left"/>
      <w:lvlText w:val="(%1)"/>
      <w:numFmt w:val="decimal"/>
      <w:start w:val="1"/>
    </w:lvl>
  </w:abstractNum>
  <w:abstractNum w:abstractNumId="81">
    <w:nsid w:val="BFFAE18"/>
    <w:multiLevelType w:val="hybridMultilevel"/>
    <w:lvl w:ilvl="0">
      <w:lvlJc w:val="left"/>
      <w:lvlText w:val="(%1)"/>
      <w:numFmt w:val="decimal"/>
      <w:start w:val="3"/>
    </w:lvl>
  </w:abstractNum>
  <w:abstractNum w:abstractNumId="82">
    <w:nsid w:val="E3E47A8"/>
    <w:multiLevelType w:val="hybridMultilevel"/>
    <w:lvl w:ilvl="0">
      <w:lvlJc w:val="left"/>
      <w:lvlText w:val="(%1)"/>
      <w:numFmt w:val="lowerLetter"/>
      <w:start w:val="1"/>
    </w:lvl>
    <w:lvl w:ilvl="1">
      <w:lvlJc w:val="left"/>
      <w:lvlText w:val="(%2)"/>
      <w:numFmt w:val="lowerRoman"/>
      <w:start w:val="1"/>
    </w:lvl>
  </w:abstractNum>
  <w:abstractNum w:abstractNumId="83">
    <w:nsid w:val="2E48F044"/>
    <w:multiLevelType w:val="hybridMultilevel"/>
    <w:lvl w:ilvl="0">
      <w:lvlJc w:val="left"/>
      <w:lvlText w:val="(%1)"/>
      <w:numFmt w:val="lowerRoman"/>
      <w:start w:val="2"/>
    </w:lvl>
  </w:abstractNum>
  <w:abstractNum w:abstractNumId="84">
    <w:nsid w:val="49D0FEAC"/>
    <w:multiLevelType w:val="hybridMultilevel"/>
    <w:lvl w:ilvl="0">
      <w:lvlJc w:val="left"/>
      <w:lvlText w:val="(%1)"/>
      <w:numFmt w:val="decimal"/>
      <w:start w:val="1"/>
    </w:lvl>
  </w:abstractNum>
  <w:abstractNum w:abstractNumId="85">
    <w:nsid w:val="4BEE5A5B"/>
    <w:multiLevelType w:val="hybridMultilevel"/>
    <w:lvl w:ilvl="0">
      <w:lvlJc w:val="left"/>
      <w:lvlText w:val="(%1)"/>
      <w:numFmt w:val="decimal"/>
      <w:start w:val="2"/>
    </w:lvl>
  </w:abstractNum>
  <w:abstractNum w:abstractNumId="86">
    <w:nsid w:val="5551B9F3"/>
    <w:multiLevelType w:val="hybridMultilevel"/>
    <w:lvl w:ilvl="0">
      <w:lvlJc w:val="left"/>
      <w:lvlText w:val="(%1)"/>
      <w:numFmt w:val="decimal"/>
      <w:start w:val="1"/>
    </w:lvl>
  </w:abstractNum>
  <w:abstractNum w:abstractNumId="87">
    <w:nsid w:val="24F6AB8E"/>
    <w:multiLevelType w:val="hybridMultilevel"/>
    <w:lvl w:ilvl="0">
      <w:lvlJc w:val="left"/>
      <w:lvlText w:val="(%1)"/>
      <w:numFmt w:val="decimal"/>
      <w:start w:val="1"/>
    </w:lvl>
  </w:abstractNum>
  <w:abstractNum w:abstractNumId="88">
    <w:nsid w:val="634C574C"/>
    <w:multiLevelType w:val="hybridMultilevel"/>
    <w:lvl w:ilvl="0">
      <w:lvlJc w:val="left"/>
      <w:lvlText w:val="(%1)"/>
      <w:numFmt w:val="decimal"/>
      <w:start w:val="1"/>
    </w:lvl>
  </w:abstractNum>
  <w:abstractNum w:abstractNumId="89">
    <w:nsid w:val="24E99DD7"/>
    <w:multiLevelType w:val="hybridMultilevel"/>
    <w:lvl w:ilvl="0">
      <w:lvlJc w:val="left"/>
      <w:lvlText w:val="(%1)"/>
      <w:numFmt w:val="decimal"/>
      <w:start w:val="3"/>
    </w:lvl>
  </w:abstractNum>
  <w:abstractNum w:abstractNumId="90">
    <w:nsid w:val="2A31B62D"/>
    <w:multiLevelType w:val="hybridMultilevel"/>
    <w:lvl w:ilvl="0">
      <w:lvlJc w:val="left"/>
      <w:lvlText w:val="(%1)"/>
      <w:numFmt w:val="decimal"/>
      <w:start w:val="2"/>
    </w:lvl>
  </w:abstractNum>
  <w:abstractNum w:abstractNumId="91">
    <w:nsid w:val="1849C29B"/>
    <w:multiLevelType w:val="hybridMultilevel"/>
    <w:lvl w:ilvl="0">
      <w:lvlJc w:val="left"/>
      <w:lvlText w:val="(%1)"/>
      <w:numFmt w:val="decimal"/>
      <w:start w:val="1"/>
    </w:lvl>
  </w:abstractNum>
  <w:abstractNum w:abstractNumId="92">
    <w:nsid w:val="7DFF9D09"/>
    <w:multiLevelType w:val="hybridMultilevel"/>
    <w:lvl w:ilvl="0">
      <w:lvlJc w:val="left"/>
      <w:lvlText w:val="(%1)"/>
      <w:numFmt w:val="lowerLetter"/>
      <w:start w:val="12"/>
    </w:lvl>
  </w:abstractNum>
  <w:abstractNum w:abstractNumId="93">
    <w:nsid w:val="754342"/>
    <w:multiLevelType w:val="hybridMultilevel"/>
    <w:lvl w:ilvl="0">
      <w:lvlJc w:val="left"/>
      <w:lvlText w:val="(%1)"/>
      <w:numFmt w:val="decimal"/>
      <w:start w:val="2"/>
    </w:lvl>
  </w:abstractNum>
  <w:abstractNum w:abstractNumId="94">
    <w:nsid w:val="69E7F3E5"/>
    <w:multiLevelType w:val="hybridMultilevel"/>
    <w:lvl w:ilvl="0">
      <w:lvlJc w:val="left"/>
      <w:lvlText w:val="(%1)"/>
      <w:numFmt w:val="decimal"/>
      <w:start w:val="4"/>
    </w:lvl>
  </w:abstractNum>
  <w:abstractNum w:abstractNumId="95">
    <w:nsid w:val="2A6DE806"/>
    <w:multiLevelType w:val="hybridMultilevel"/>
    <w:lvl w:ilvl="0">
      <w:lvlJc w:val="left"/>
      <w:lvlText w:val="(%1)"/>
      <w:numFmt w:val="decimal"/>
      <w:start w:val="1"/>
    </w:lvl>
  </w:abstractNum>
  <w:abstractNum w:abstractNumId="96">
    <w:nsid w:val="1816F8C4"/>
    <w:multiLevelType w:val="hybridMultilevel"/>
    <w:lvl w:ilvl="0">
      <w:lvlJc w:val="left"/>
      <w:lvlText w:val="(%1)"/>
      <w:numFmt w:val="decimal"/>
      <w:start w:val="1"/>
    </w:lvl>
    <w:lvl w:ilvl="1">
      <w:lvlJc w:val="left"/>
      <w:lvlText w:val="(%2)"/>
      <w:numFmt w:val="decimal"/>
      <w:start w:val="2"/>
    </w:lvl>
  </w:abstractNum>
  <w:abstractNum w:abstractNumId="97">
    <w:nsid w:val="37DF2233"/>
    <w:multiLevelType w:val="hybridMultilevel"/>
    <w:lvl w:ilvl="0">
      <w:lvlJc w:val="left"/>
      <w:lvlText w:val="(%1)"/>
      <w:numFmt w:val="decimal"/>
      <w:start w:val="1"/>
    </w:lvl>
  </w:abstractNum>
  <w:abstractNum w:abstractNumId="98">
    <w:nsid w:val="7AB49DAF"/>
    <w:multiLevelType w:val="hybridMultilevel"/>
    <w:lvl w:ilvl="0">
      <w:lvlJc w:val="left"/>
      <w:lvlText w:val="(%1)"/>
      <w:numFmt w:val="decimal"/>
      <w:start w:val="1"/>
    </w:lvl>
  </w:abstractNum>
  <w:abstractNum w:abstractNumId="99">
    <w:nsid w:val="759F82CD"/>
    <w:multiLevelType w:val="hybridMultilevel"/>
    <w:lvl w:ilvl="0">
      <w:lvlJc w:val="left"/>
      <w:lvlText w:val="(%1)"/>
      <w:numFmt w:val="decimal"/>
      <w:start w:val="1"/>
    </w:lvl>
  </w:abstractNum>
  <w:abstractNum w:abstractNumId="100">
    <w:nsid w:val="61E74EA3"/>
    <w:multiLevelType w:val="hybridMultilevel"/>
    <w:lvl w:ilvl="0">
      <w:lvlJc w:val="left"/>
      <w:lvlText w:val="(%1)"/>
      <w:numFmt w:val="decimal"/>
      <w:start w:val="4"/>
    </w:lvl>
  </w:abstractNum>
  <w:abstractNum w:abstractNumId="101">
    <w:nsid w:val="597B4D84"/>
    <w:multiLevelType w:val="hybridMultilevel"/>
    <w:lvl w:ilvl="0">
      <w:lvlJc w:val="left"/>
      <w:lvlText w:val="(%1)"/>
      <w:numFmt w:val="decimal"/>
      <w:start w:val="1"/>
    </w:lvl>
  </w:abstractNum>
  <w:abstractNum w:abstractNumId="102">
    <w:nsid w:val="F819E7F"/>
    <w:multiLevelType w:val="hybridMultilevel"/>
    <w:lvl w:ilvl="0">
      <w:lvlJc w:val="left"/>
      <w:lvlText w:val="(%1)"/>
      <w:numFmt w:val="decimal"/>
      <w:start w:val="1"/>
    </w:lvl>
  </w:abstractNum>
  <w:abstractNum w:abstractNumId="103">
    <w:nsid w:val="57C7D42D"/>
    <w:multiLevelType w:val="hybridMultilevel"/>
    <w:lvl w:ilvl="0">
      <w:lvlJc w:val="left"/>
      <w:lvlText w:val="(%1)"/>
      <w:numFmt w:val="upperLetter"/>
      <w:start w:val="2"/>
    </w:lvl>
  </w:abstractNum>
  <w:abstractNum w:abstractNumId="104">
    <w:nsid w:val="312167AD"/>
    <w:multiLevelType w:val="hybridMultilevel"/>
    <w:lvl w:ilvl="0">
      <w:lvlJc w:val="left"/>
      <w:lvlText w:val="(%1)"/>
      <w:numFmt w:val="lowerLetter"/>
      <w:start w:val="1"/>
    </w:lvl>
  </w:abstractNum>
  <w:abstractNum w:abstractNumId="105">
    <w:nsid w:val="631B64D4"/>
    <w:multiLevelType w:val="hybridMultilevel"/>
    <w:lvl w:ilvl="0">
      <w:lvlJc w:val="left"/>
      <w:lvlText w:val="(%1)"/>
      <w:numFmt w:val="decimal"/>
      <w:start w:val="1"/>
    </w:lvl>
  </w:abstractNum>
  <w:abstractNum w:abstractNumId="106">
    <w:nsid w:val="78B5E776"/>
    <w:multiLevelType w:val="hybridMultilevel"/>
    <w:lvl w:ilvl="0">
      <w:lvlJc w:val="left"/>
      <w:lvlText w:val="(%1)"/>
      <w:numFmt w:val="decimal"/>
      <w:start w:val="1"/>
    </w:lvl>
  </w:abstractNum>
  <w:abstractNum w:abstractNumId="107">
    <w:nsid w:val="75486E47"/>
    <w:multiLevelType w:val="hybridMultilevel"/>
    <w:lvl w:ilvl="0">
      <w:lvlJc w:val="left"/>
      <w:lvlText w:val="(%1)"/>
      <w:numFmt w:val="decimal"/>
      <w:start w:val="1"/>
    </w:lvl>
  </w:abstractNum>
  <w:abstractNum w:abstractNumId="108">
    <w:nsid w:val="6E534CDE"/>
    <w:multiLevelType w:val="hybridMultilevel"/>
    <w:lvl w:ilvl="0">
      <w:lvlJc w:val="left"/>
      <w:lvlText w:val="(%1)"/>
      <w:numFmt w:val="decimal"/>
      <w:start w:val="1"/>
    </w:lvl>
    <w:lvl w:ilvl="1">
      <w:lvlJc w:val="left"/>
      <w:lvlText w:val="(%2)"/>
      <w:numFmt w:val="lowerLetter"/>
      <w:start w:val="1"/>
    </w:lvl>
  </w:abstractNum>
  <w:abstractNum w:abstractNumId="109">
    <w:nsid w:val="1A0DDE32"/>
    <w:multiLevelType w:val="hybridMultilevel"/>
    <w:lvl w:ilvl="0">
      <w:lvlJc w:val="left"/>
      <w:lvlText w:val="(%1)"/>
      <w:numFmt w:val="decimal"/>
      <w:start w:val="5"/>
    </w:lvl>
  </w:abstractNum>
  <w:abstractNum w:abstractNumId="110">
    <w:nsid w:val="65968C1C"/>
    <w:multiLevelType w:val="hybridMultilevel"/>
    <w:lvl w:ilvl="0">
      <w:lvlJc w:val="left"/>
      <w:lvlText w:val="(%1)"/>
      <w:numFmt w:val="decimal"/>
      <w:start w:val="1"/>
    </w:lvl>
  </w:abstractNum>
  <w:abstractNum w:abstractNumId="111">
    <w:nsid w:val="46263DEC"/>
    <w:multiLevelType w:val="hybridMultilevel"/>
    <w:lvl w:ilvl="0">
      <w:lvlJc w:val="left"/>
      <w:lvlText w:val="(%1)"/>
      <w:numFmt w:val="decimal"/>
      <w:start w:val="7"/>
    </w:lvl>
  </w:abstractNum>
  <w:abstractNum w:abstractNumId="112">
    <w:nsid w:val="260D8C4A"/>
    <w:multiLevelType w:val="hybridMultilevel"/>
    <w:lvl w:ilvl="0">
      <w:lvlJc w:val="left"/>
      <w:lvlText w:val="(%1)"/>
      <w:numFmt w:val="decimal"/>
      <w:start w:val="23"/>
    </w:lvl>
  </w:abstractNum>
  <w:abstractNum w:abstractNumId="113">
    <w:nsid w:val="73D4D3C4"/>
    <w:multiLevelType w:val="hybridMultilevel"/>
    <w:lvl w:ilvl="0">
      <w:lvlJc w:val="left"/>
      <w:lvlText w:val="(%1)"/>
      <w:numFmt w:val="decimal"/>
      <w:start w:val="1"/>
    </w:lvl>
  </w:abstractNum>
  <w:abstractNum w:abstractNumId="114">
    <w:nsid w:val="746F2E30"/>
    <w:multiLevelType w:val="hybridMultilevel"/>
    <w:lvl w:ilvl="0">
      <w:lvlJc w:val="left"/>
      <w:lvlText w:val="%1"/>
      <w:numFmt w:val="lowerLetter"/>
      <w:start w:val="1"/>
    </w:lvl>
    <w:lvl w:ilvl="1">
      <w:lvlJc w:val="left"/>
      <w:lvlText w:val="(%2)"/>
      <w:numFmt w:val="decimal"/>
      <w:start w:val="1"/>
    </w:lvl>
  </w:abstractNum>
  <w:abstractNum w:abstractNumId="115">
    <w:nsid w:val="6FDE8AF6"/>
    <w:multiLevelType w:val="hybridMultilevel"/>
    <w:lvl w:ilvl="0">
      <w:lvlJc w:val="left"/>
      <w:lvlText w:val="(%1)"/>
      <w:numFmt w:val="lowerLetter"/>
      <w:start w:val="2"/>
    </w:lvl>
    <w:lvl w:ilvl="1">
      <w:lvlJc w:val="left"/>
      <w:lvlText w:val="%2"/>
      <w:numFmt w:val="decimal"/>
      <w:start w:val="1"/>
    </w:lvl>
  </w:abstractNum>
  <w:abstractNum w:abstractNumId="116">
    <w:nsid w:val="3FC32E20"/>
    <w:multiLevelType w:val="hybridMultilevel"/>
    <w:lvl w:ilvl="0">
      <w:lvlJc w:val="left"/>
      <w:lvlText w:val="(%1)"/>
      <w:numFmt w:val="decimal"/>
      <w:start w:val="1"/>
    </w:lvl>
  </w:abstractNum>
  <w:abstractNum w:abstractNumId="117">
    <w:nsid w:val="49C0E823"/>
    <w:multiLevelType w:val="hybridMultilevel"/>
    <w:lvl w:ilvl="0">
      <w:lvlJc w:val="left"/>
      <w:lvlText w:val="(%1)"/>
      <w:numFmt w:val="decimal"/>
      <w:start w:val="3"/>
    </w:lvl>
  </w:abstractNum>
  <w:abstractNum w:abstractNumId="118">
    <w:nsid w:val="14D53685"/>
    <w:multiLevelType w:val="hybridMultilevel"/>
    <w:lvl w:ilvl="0">
      <w:lvlJc w:val="left"/>
      <w:lvlText w:val="(%1)"/>
      <w:numFmt w:val="decimal"/>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
      <w:numFmt w:val="bullet"/>
      <w:start w:val="1"/>
    </w:lvl>
  </w:abstractNum>
  <w:abstractNum w:abstractNumId="125">
    <w:nsid w:val="25413BEC"/>
    <w:multiLevelType w:val="hybridMultilevel"/>
    <w:lvl w:ilvl="0">
      <w:lvlJc w:val="left"/>
      <w:lvlText w:val="•"/>
      <w:numFmt w:val="bullet"/>
      <w:start w:val="1"/>
    </w:lvl>
  </w:abstractNum>
  <w:abstractNum w:abstractNumId="126">
    <w:nsid w:val="17180B0B"/>
    <w:multiLevelType w:val="hybridMultilevel"/>
    <w:lvl w:ilvl="0">
      <w:lvlJc w:val="left"/>
      <w:lvlText w:val="•"/>
      <w:numFmt w:val="bullet"/>
      <w:start w:val="1"/>
    </w:lvl>
  </w:abstractNum>
  <w:abstractNum w:abstractNumId="127">
    <w:nsid w:val="579328B9"/>
    <w:multiLevelType w:val="hybridMultilevel"/>
    <w:lvl w:ilvl="0">
      <w:lvlJc w:val="left"/>
      <w:lvlText w:val="•"/>
      <w:numFmt w:val="bullet"/>
      <w:start w:val="1"/>
    </w:lvl>
  </w:abstractNum>
  <w:abstractNum w:abstractNumId="128">
    <w:nsid w:val="5D205E20"/>
    <w:multiLevelType w:val="hybridMultilevel"/>
    <w:lvl w:ilvl="0">
      <w:lvlJc w:val="left"/>
      <w:lvlText w:val="(%1)"/>
      <w:numFmt w:val="lowerLetter"/>
      <w:start w:val="1"/>
    </w:lvl>
    <w:lvl w:ilvl="1">
      <w:lvlJc w:val="left"/>
      <w:lvlText w:val="(%2)"/>
      <w:numFmt w:val="lowerRoman"/>
      <w:start w:val="1"/>
    </w:lvl>
  </w:abstractNum>
  <w:abstractNum w:abstractNumId="129">
    <w:nsid w:val="11CCA8BA"/>
    <w:multiLevelType w:val="hybridMultilevel"/>
    <w:lvl w:ilvl="0">
      <w:lvlJc w:val="left"/>
      <w:lvlText w:val="(%1)"/>
      <w:numFmt w:val="lowerRoman"/>
      <w:start w:val="1"/>
    </w:lvl>
  </w:abstractNum>
  <w:abstractNum w:abstractNumId="130">
    <w:nsid w:val="4D32AB86"/>
    <w:multiLevelType w:val="hybridMultilevel"/>
    <w:lvl w:ilvl="0">
      <w:lvlJc w:val="left"/>
      <w:lvlText w:val="(%1)"/>
      <w:numFmt w:val="lowerLetter"/>
      <w:start w:val="6"/>
    </w:lvl>
  </w:abstractNum>
  <w:abstractNum w:abstractNumId="131">
    <w:nsid w:val="3F07ACC3"/>
    <w:multiLevelType w:val="hybridMultilevel"/>
    <w:lvl w:ilvl="0">
      <w:lvlJc w:val="left"/>
      <w:lvlText w:val="(%1)"/>
      <w:numFmt w:val="lowerRoman"/>
      <w:start w:val="4"/>
    </w:lvl>
  </w:abstractNum>
  <w:abstractNum w:abstractNumId="132">
    <w:nsid w:val="6B47F63E"/>
    <w:multiLevelType w:val="hybridMultilevel"/>
    <w:lvl w:ilvl="0">
      <w:lvlJc w:val="left"/>
      <w:lvlText w:val="1"/>
      <w:numFmt w:val="bullet"/>
      <w:start w:val="1"/>
    </w:lvl>
  </w:abstractNum>
  <w:abstractNum w:abstractNumId="133">
    <w:nsid w:val="5CB44A05"/>
    <w:multiLevelType w:val="hybridMultilevel"/>
    <w:lvl w:ilvl="0">
      <w:lvlJc w:val="left"/>
      <w:lvlText w:val="2"/>
      <w:numFmt w:val="bullet"/>
      <w:start w:val="1"/>
    </w:lvl>
  </w:abstractNum>
  <w:abstractNum w:abstractNumId="134">
    <w:nsid w:val="16CF80F1"/>
    <w:multiLevelType w:val="hybridMultilevel"/>
    <w:lvl w:ilvl="0">
      <w:lvlJc w:val="left"/>
      <w:lvlText w:val="3"/>
      <w:numFmt w:val="bullet"/>
      <w:start w:val="1"/>
    </w:lvl>
  </w:abstractNum>
  <w:abstractNum w:abstractNumId="135">
    <w:nsid w:val="1C695DEC"/>
    <w:multiLevelType w:val="hybridMultilevel"/>
    <w:lvl w:ilvl="0">
      <w:lvlJc w:val="left"/>
      <w:lvlText w:val="4"/>
      <w:numFmt w:val="bullet"/>
      <w:start w:val="1"/>
    </w:lvl>
  </w:abstractNum>
  <w:abstractNum w:abstractNumId="136">
    <w:nsid w:val="3FCFAED9"/>
    <w:multiLevelType w:val="hybridMultilevel"/>
    <w:lvl w:ilvl="0">
      <w:lvlJc w:val="left"/>
      <w:lvlText w:val="☐"/>
      <w:numFmt w:val="bullet"/>
      <w:start w:val="1"/>
    </w:lvl>
  </w:abstractNum>
  <w:abstractNum w:abstractNumId="137">
    <w:nsid w:val="F856867"/>
    <w:multiLevelType w:val="hybridMultilevel"/>
    <w:lvl w:ilvl="0">
      <w:lvlJc w:val="left"/>
      <w:lvlText w:val="(%1)"/>
      <w:numFmt w:val="decimal"/>
      <w:start w:val="1"/>
    </w:lvl>
  </w:abstractNum>
  <w:abstractNum w:abstractNumId="138">
    <w:nsid w:val="11B1CC33"/>
    <w:multiLevelType w:val="hybridMultilevel"/>
    <w:lvl w:ilvl="0">
      <w:lvlJc w:val="left"/>
      <w:lvlText w:val="%1)"/>
      <w:numFmt w:val="lowerLetter"/>
      <w:start w:val="1"/>
    </w:lvl>
  </w:abstractNum>
  <w:abstractNum w:abstractNumId="139">
    <w:nsid w:val="2E22FBB7"/>
    <w:multiLevelType w:val="hybridMultilevel"/>
    <w:lvl w:ilvl="0">
      <w:lvlJc w:val="left"/>
      <w:lvlText w:val="%1)"/>
      <w:numFmt w:val="lowerLetter"/>
      <w:start w:val="2"/>
    </w:lvl>
  </w:abstractNum>
  <w:abstractNum w:abstractNumId="140">
    <w:nsid w:val="29934699"/>
    <w:multiLevelType w:val="hybridMultilevel"/>
    <w:lvl w:ilvl="0">
      <w:lvlJc w:val="left"/>
      <w:lvlText w:val="1"/>
      <w:numFmt w:val="bullet"/>
      <w:start w:val="1"/>
    </w:lvl>
  </w:abstractNum>
  <w:abstractNum w:abstractNumId="141">
    <w:nsid w:val="77485850"/>
    <w:multiLevelType w:val="hybridMultilevel"/>
    <w:lvl w:ilvl="0">
      <w:lvlJc w:val="left"/>
      <w:lvlText w:val="2"/>
      <w:numFmt w:val="bullet"/>
      <w:start w:val="1"/>
    </w:lvl>
  </w:abstractNum>
  <w:abstractNum w:abstractNumId="142">
    <w:nsid w:val="744939A3"/>
    <w:multiLevelType w:val="hybridMultilevel"/>
    <w:lvl w:ilvl="0">
      <w:lvlJc w:val="left"/>
      <w:lvlText w:val="3"/>
      <w:numFmt w:val="bullet"/>
      <w:start w:val="1"/>
    </w:lvl>
  </w:abstractNum>
  <w:abstractNum w:abstractNumId="143">
    <w:nsid w:val="4FA0D2E3"/>
    <w:multiLevelType w:val="hybridMultilevel"/>
    <w:lvl w:ilvl="0">
      <w:lvlJc w:val="left"/>
      <w:lvlText w:val="4"/>
      <w:numFmt w:val="bullet"/>
      <w:start w:val="1"/>
    </w:lvl>
  </w:abstractNum>
  <w:abstractNum w:abstractNumId="144">
    <w:nsid w:val="6B1D2C14"/>
    <w:multiLevelType w:val="hybridMultilevel"/>
    <w:lvl w:ilvl="0">
      <w:lvlJc w:val="left"/>
      <w:lvlText w:val="5"/>
      <w:numFmt w:val="bullet"/>
      <w:start w:val="1"/>
    </w:lvl>
  </w:abstractNum>
  <w:abstractNum w:abstractNumId="145">
    <w:nsid w:val="68B867D3"/>
    <w:multiLevelType w:val="hybridMultilevel"/>
    <w:lvl w:ilvl="0">
      <w:lvlJc w:val="left"/>
      <w:lvlText w:val="6"/>
      <w:numFmt w:val="bullet"/>
      <w:start w:val="1"/>
    </w:lvl>
  </w:abstractNum>
  <w:abstractNum w:abstractNumId="146">
    <w:nsid w:val="3F7F5DD9"/>
    <w:multiLevelType w:val="hybridMultilevel"/>
    <w:lvl w:ilvl="0">
      <w:lvlJc w:val="left"/>
      <w:lvlText w:val="7"/>
      <w:numFmt w:val="bullet"/>
      <w:start w:val="1"/>
    </w:lvl>
  </w:abstractNum>
  <w:abstractNum w:abstractNumId="147">
    <w:nsid w:val="2AE05A34"/>
    <w:multiLevelType w:val="hybridMultilevel"/>
    <w:lvl w:ilvl="0">
      <w:lvlJc w:val="left"/>
      <w:lvlText w:val="*"/>
      <w:numFmt w:val="bullet"/>
      <w:start w:val="1"/>
    </w:lvl>
  </w:abstractNum>
  <w:abstractNum w:abstractNumId="148">
    <w:nsid w:val="32794FF7"/>
    <w:multiLevelType w:val="hybridMultilevel"/>
    <w:lvl w:ilvl="0">
      <w:lvlJc w:val="left"/>
      <w:lvlText w:val="**"/>
      <w:numFmt w:val="bullet"/>
      <w:start w:val="1"/>
    </w:lvl>
  </w:abstractNum>
  <w:abstractNum w:abstractNumId="149">
    <w:nsid w:val="5454945E"/>
    <w:multiLevelType w:val="hybridMultilevel"/>
    <w:lvl w:ilvl="0">
      <w:lvlJc w:val="left"/>
      <w:lvlText w:val="•"/>
      <w:numFmt w:val="bullet"/>
      <w:start w:val="1"/>
    </w:lvl>
  </w:abstractNum>
  <w:abstractNum w:abstractNumId="150">
    <w:nsid w:val="4DEFDFA0"/>
    <w:multiLevelType w:val="hybridMultilevel"/>
    <w:lvl w:ilvl="0">
      <w:lvlJc w:val="left"/>
      <w:lvlText w:val="•"/>
      <w:numFmt w:val="bullet"/>
      <w:start w:val="1"/>
    </w:lvl>
  </w:abstractNum>
  <w:abstractNum w:abstractNumId="151">
    <w:nsid w:val="2123D5F2"/>
    <w:multiLevelType w:val="hybridMultilevel"/>
    <w:lvl w:ilvl="0">
      <w:lvlJc w:val="left"/>
      <w:lvlText w:val="•"/>
      <w:numFmt w:val="bullet"/>
      <w:start w:val="1"/>
    </w:lvl>
  </w:abstractNum>
  <w:abstractNum w:abstractNumId="152">
    <w:nsid w:val="135B8110"/>
    <w:multiLevelType w:val="hybridMultilevel"/>
    <w:lvl w:ilvl="0">
      <w:lvlJc w:val="left"/>
      <w:lvlText w:val="☐"/>
      <w:numFmt w:val="bullet"/>
      <w:start w:val="1"/>
    </w:lvl>
  </w:abstractNum>
  <w:abstractNum w:abstractNumId="153">
    <w:nsid w:val="94927A8"/>
    <w:multiLevelType w:val="hybridMultilevel"/>
    <w:lvl w:ilvl="0">
      <w:lvlJc w:val="left"/>
      <w:lvlText w:val="☐"/>
      <w:numFmt w:val="bullet"/>
      <w:start w:val="1"/>
    </w:lvl>
  </w:abstractNum>
  <w:abstractNum w:abstractNumId="154">
    <w:nsid w:val="DCDF8F6"/>
    <w:multiLevelType w:val="hybridMultilevel"/>
    <w:lvl w:ilvl="0">
      <w:lvlJc w:val="left"/>
      <w:lvlText w:val="•"/>
      <w:numFmt w:val="bullet"/>
      <w:start w:val="1"/>
    </w:lvl>
  </w:abstractNum>
  <w:abstractNum w:abstractNumId="155">
    <w:nsid w:val="52D7B105"/>
    <w:multiLevelType w:val="hybridMultilevel"/>
    <w:lvl w:ilvl="0">
      <w:lvlJc w:val="left"/>
      <w:lvlText w:val="•"/>
      <w:numFmt w:val="bullet"/>
      <w:start w:val="1"/>
    </w:lvl>
  </w:abstractNum>
  <w:abstractNum w:abstractNumId="156">
    <w:nsid w:val="2E8A6394"/>
    <w:multiLevelType w:val="hybridMultilevel"/>
    <w:lvl w:ilvl="0">
      <w:lvlJc w:val="left"/>
      <w:lvlText w:val="•"/>
      <w:numFmt w:val="bullet"/>
      <w:start w:val="1"/>
    </w:lvl>
  </w:abstractNum>
  <w:abstractNum w:abstractNumId="157">
    <w:nsid w:val="24E60401"/>
    <w:multiLevelType w:val="hybridMultilevel"/>
    <w:lvl w:ilvl="0">
      <w:lvlJc w:val="left"/>
      <w:lvlText w:val="*"/>
      <w:numFmt w:val="bullet"/>
      <w:start w:val="1"/>
    </w:lvl>
  </w:abstractNum>
  <w:abstractNum w:abstractNumId="158">
    <w:nsid w:val="2A6AD9BE"/>
    <w:multiLevelType w:val="hybridMultilevel"/>
    <w:lvl w:ilvl="0">
      <w:lvlJc w:val="left"/>
      <w:lvlText w:val="**"/>
      <w:numFmt w:val="bullet"/>
      <w:start w:val="1"/>
    </w:lvl>
  </w:abstractNum>
  <w:abstractNum w:abstractNumId="159">
    <w:nsid w:val="BAAC1B4"/>
    <w:multiLevelType w:val="hybridMultilevel"/>
    <w:lvl w:ilvl="0">
      <w:lvlJc w:val="left"/>
      <w:lvlText w:val="%1."/>
      <w:numFmt w:val="decimal"/>
      <w:start w:val="1"/>
    </w:lvl>
    <w:lvl w:ilvl="1">
      <w:lvlJc w:val="left"/>
      <w:lvlText w:val="•"/>
      <w:numFmt w:val="bullet"/>
      <w:start w:val="1"/>
    </w:lvl>
  </w:abstractNum>
  <w:abstractNum w:abstractNumId="160">
    <w:nsid w:val="36B2ACBC"/>
    <w:multiLevelType w:val="hybridMultilevel"/>
    <w:lvl w:ilvl="0">
      <w:lvlJc w:val="left"/>
      <w:lvlText w:val="%1."/>
      <w:numFmt w:val="decimal"/>
      <w:start w:val="2"/>
    </w:lvl>
  </w:abstractNum>
  <w:abstractNum w:abstractNumId="161">
    <w:nsid w:val="779D8544"/>
    <w:multiLevelType w:val="hybridMultilevel"/>
    <w:lvl w:ilvl="0">
      <w:lvlJc w:val="left"/>
      <w:lvlText w:val="•"/>
      <w:numFmt w:val="bullet"/>
      <w:start w:val="1"/>
    </w:lvl>
  </w:abstractNum>
  <w:abstractNum w:abstractNumId="162">
    <w:nsid w:val="4AB26E78"/>
    <w:multiLevelType w:val="hybridMultilevel"/>
    <w:lvl w:ilvl="0">
      <w:lvlJc w:val="left"/>
      <w:lvlText w:val="%1."/>
      <w:numFmt w:val="decimal"/>
      <w:start w:val="3"/>
    </w:lvl>
  </w:abstractNum>
  <w:abstractNum w:abstractNumId="163">
    <w:nsid w:val="21FAA2FA"/>
    <w:multiLevelType w:val="hybridMultilevel"/>
    <w:lvl w:ilvl="0">
      <w:lvlJc w:val="left"/>
      <w:lvlText w:val="%1."/>
      <w:numFmt w:val="decimal"/>
      <w:start w:val="4"/>
    </w:lvl>
    <w:lvl w:ilvl="1">
      <w:lvlJc w:val="left"/>
      <w:lvlText w:val="•"/>
      <w:numFmt w:val="bullet"/>
      <w:start w:val="1"/>
    </w:lvl>
  </w:abstractNum>
  <w:abstractNum w:abstractNumId="164">
    <w:nsid w:val="5451CF49"/>
    <w:multiLevelType w:val="hybridMultilevel"/>
    <w:lvl w:ilvl="0">
      <w:lvlJc w:val="left"/>
      <w:lvlText w:val="%1."/>
      <w:numFmt w:val="decimal"/>
      <w:start w:val="5"/>
    </w:lvl>
  </w:abstractNum>
  <w:abstractNum w:abstractNumId="165">
    <w:nsid w:val="6181EF69"/>
    <w:multiLevelType w:val="hybridMultilevel"/>
    <w:lvl w:ilvl="0">
      <w:lvlJc w:val="left"/>
      <w:lvlText w:val="%1."/>
      <w:numFmt w:val="decimal"/>
      <w:start w:val="7"/>
    </w:lvl>
  </w:abstractNum>
  <w:abstractNum w:abstractNumId="166">
    <w:nsid w:val="3E6400E6"/>
    <w:multiLevelType w:val="hybridMultilevel"/>
    <w:lvl w:ilvl="0">
      <w:lvlJc w:val="left"/>
      <w:lvlText w:val="%1."/>
      <w:numFmt w:val="decimal"/>
      <w:start w:val="12"/>
    </w:lvl>
  </w:abstractNum>
  <w:abstractNum w:abstractNumId="167">
    <w:nsid w:val="14217E23"/>
    <w:multiLevelType w:val="hybridMultilevel"/>
    <w:lvl w:ilvl="0">
      <w:lvlJc w:val="left"/>
      <w:lvlText w:val="%1"/>
      <w:numFmt w:val="decimal"/>
      <w:start w:val="1"/>
    </w:lvl>
    <w:lvl w:ilvl="1">
      <w:lvlJc w:val="left"/>
      <w:lvlText w:val="(%2)"/>
      <w:numFmt w:val="decimal"/>
      <w:start w:val="1"/>
    </w:lvl>
  </w:abstractNum>
  <w:abstractNum w:abstractNumId="168">
    <w:nsid w:val="710757D0"/>
    <w:multiLevelType w:val="hybridMultilevel"/>
    <w:lvl w:ilvl="0">
      <w:lvlJc w:val="left"/>
      <w:lvlText w:val="(%1)"/>
      <w:numFmt w:val="decimal"/>
      <w:start w:val="3"/>
    </w:lvl>
    <w:lvl w:ilvl="1">
      <w:lvlJc w:val="left"/>
      <w:lvlText w:val="%2"/>
      <w:numFmt w:val="decimal"/>
      <w:start w:val="1"/>
    </w:lvl>
  </w:abstractNum>
  <w:abstractNum w:abstractNumId="169">
    <w:nsid w:val="5015CD1A"/>
    <w:multiLevelType w:val="hybridMultilevel"/>
    <w:lvl w:ilvl="0">
      <w:lvlJc w:val="left"/>
      <w:lvlText w:val="%1."/>
      <w:numFmt w:val="decimal"/>
      <w:start w:val="6"/>
    </w:lvl>
  </w:abstractNum>
  <w:abstractNum w:abstractNumId="170">
    <w:nsid w:val="424479DA"/>
    <w:multiLevelType w:val="hybridMultilevel"/>
    <w:lvl w:ilvl="0">
      <w:lvlJc w:val="left"/>
      <w:lvlText w:val="%1."/>
      <w:numFmt w:val="decimal"/>
      <w:start w:val="12"/>
    </w:lvl>
  </w:abstractNum>
  <w:abstractNum w:abstractNumId="171">
    <w:nsid w:val="1A9A9E69"/>
    <w:multiLevelType w:val="hybridMultilevel"/>
    <w:lvl w:ilvl="0">
      <w:lvlJc w:val="left"/>
      <w:lvlText w:val="(%1)"/>
      <w:numFmt w:val="decimal"/>
      <w:start w:val="1"/>
    </w:lvl>
  </w:abstractNum>
  <w:abstractNum w:abstractNumId="172">
    <w:nsid w:val="475E256A"/>
    <w:multiLevelType w:val="hybridMultilevel"/>
    <w:lvl w:ilvl="0">
      <w:lvlJc w:val="left"/>
      <w:lvlText w:val="•"/>
      <w:numFmt w:val="bullet"/>
      <w:start w:val="1"/>
    </w:lvl>
  </w:abstractNum>
  <w:abstractNum w:abstractNumId="173">
    <w:nsid w:val="368DB37E"/>
    <w:multiLevelType w:val="hybridMultilevel"/>
    <w:lvl w:ilvl="0">
      <w:lvlJc w:val="left"/>
      <w:lvlText w:val="(%1)"/>
      <w:numFmt w:val="lowerRoman"/>
      <w:start w:val="1"/>
    </w:lvl>
  </w:abstractNum>
  <w:abstractNum w:abstractNumId="174">
    <w:nsid w:val="6A3B714C"/>
    <w:multiLevelType w:val="hybridMultilevel"/>
    <w:lvl w:ilvl="0">
      <w:lvlJc w:val="left"/>
      <w:lvlText w:val="☐"/>
      <w:numFmt w:val="bullet"/>
      <w:start w:val="1"/>
    </w:lvl>
  </w:abstractNum>
  <w:abstractNum w:abstractNumId="175">
    <w:nsid w:val="327B517E"/>
    <w:multiLevelType w:val="hybridMultilevel"/>
    <w:lvl w:ilvl="0">
      <w:lvlJc w:val="left"/>
      <w:lvlText w:val="*"/>
      <w:numFmt w:val="bullet"/>
      <w:start w:val="1"/>
    </w:lvl>
  </w:abstractNum>
  <w:abstractNum w:abstractNumId="176">
    <w:nsid w:val="1F461B51"/>
    <w:multiLevelType w:val="hybridMultilevel"/>
    <w:lvl w:ilvl="0">
      <w:lvlJc w:val="left"/>
      <w:lvlText w:val="**"/>
      <w:numFmt w:val="bullet"/>
      <w:start w:val="1"/>
    </w:lvl>
  </w:abstractNum>
  <w:abstractNum w:abstractNumId="177">
    <w:nsid w:val="29BACF25"/>
    <w:multiLevelType w:val="hybridMultilevel"/>
    <w:lvl w:ilvl="0">
      <w:lvlJc w:val="left"/>
      <w:lvlText w:val="*"/>
      <w:numFmt w:val="bullet"/>
      <w:start w:val="1"/>
    </w:lvl>
  </w:abstractNum>
  <w:abstractNum w:abstractNumId="178">
    <w:nsid w:val="5D5BABB3"/>
    <w:multiLevelType w:val="hybridMultilevel"/>
    <w:lvl w:ilvl="0">
      <w:lvlJc w:val="left"/>
      <w:lvlText w:val="**"/>
      <w:numFmt w:val="bullet"/>
      <w:start w:val="1"/>
    </w:lvl>
  </w:abstractNum>
  <w:abstractNum w:abstractNumId="179">
    <w:nsid w:val="51BF6B48"/>
    <w:multiLevelType w:val="hybridMultilevel"/>
    <w:lvl w:ilvl="0">
      <w:lvlJc w:val="left"/>
      <w:lvlText w:val="%1."/>
      <w:numFmt w:val="decimal"/>
      <w:start w:val="1"/>
    </w:lvl>
  </w:abstractNum>
  <w:abstractNum w:abstractNumId="180">
    <w:nsid w:val="7E0F6384"/>
    <w:multiLevelType w:val="hybridMultilevel"/>
    <w:lvl w:ilvl="0">
      <w:lvlJc w:val="left"/>
      <w:lvlText w:val="%1."/>
      <w:numFmt w:val="decimal"/>
      <w:start w:val="3"/>
    </w:lvl>
  </w:abstractNum>
  <w:abstractNum w:abstractNumId="181">
    <w:nsid w:val="2B4B8B53"/>
    <w:multiLevelType w:val="hybridMultilevel"/>
    <w:lvl w:ilvl="0">
      <w:lvlJc w:val="left"/>
      <w:lvlText w:val="%1."/>
      <w:numFmt w:val="decimal"/>
      <w:start w:val="1"/>
    </w:lvl>
    <w:lvl w:ilvl="1">
      <w:lvlJc w:val="left"/>
      <w:lvlText w:val="(%2)"/>
      <w:numFmt w:val="lowerRoman"/>
      <w:start w:val="2"/>
    </w:lvl>
  </w:abstractNum>
  <w:abstractNum w:abstractNumId="182">
    <w:nsid w:val="72E3413A"/>
    <w:multiLevelType w:val="hybridMultilevel"/>
    <w:lvl w:ilvl="0">
      <w:lvlJc w:val="left"/>
      <w:lvlText w:val="%1."/>
      <w:numFmt w:val="decimal"/>
      <w:start w:val="4"/>
    </w:lvl>
  </w:abstractNum>
  <w:abstractNum w:abstractNumId="183">
    <w:nsid w:val="116AE494"/>
    <w:multiLevelType w:val="hybridMultilevel"/>
    <w:lvl w:ilvl="0">
      <w:lvlJc w:val="left"/>
      <w:lvlText w:val=","/>
      <w:numFmt w:val="bullet"/>
      <w:start w:val="1"/>
    </w:lvl>
  </w:abstractNum>
  <w:abstractNum w:abstractNumId="184">
    <w:nsid w:val="3494B2FB"/>
    <w:multiLevelType w:val="hybridMultilevel"/>
    <w:lvl w:ilvl="0">
      <w:lvlJc w:val="left"/>
      <w:lvlText w:val="☐"/>
      <w:numFmt w:val="bullet"/>
      <w:start w:val="1"/>
    </w:lvl>
  </w:abstractNum>
  <w:abstractNum w:abstractNumId="185">
    <w:nsid w:val="B13A31"/>
    <w:multiLevelType w:val="hybridMultilevel"/>
    <w:lvl w:ilvl="0">
      <w:lvlJc w:val="left"/>
      <w:lvlText w:val="•"/>
      <w:numFmt w:val="bullet"/>
      <w:start w:val="1"/>
    </w:lvl>
  </w:abstractNum>
  <w:abstractNum w:abstractNumId="186">
    <w:nsid w:val="64429599"/>
    <w:multiLevelType w:val="hybridMultilevel"/>
    <w:lvl w:ilvl="0">
      <w:lvlJc w:val="left"/>
      <w:lvlText w:val="•"/>
      <w:numFmt w:val="bullet"/>
      <w:start w:val="1"/>
    </w:lvl>
    <w:lvl w:ilvl="1">
      <w:lvlJc w:val="left"/>
      <w:lvlText w:val="•"/>
      <w:numFmt w:val="bullet"/>
      <w:start w:val="1"/>
    </w:lvl>
  </w:abstractNum>
  <w:abstractNum w:abstractNumId="187">
    <w:nsid w:val="631F16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e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jpe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jpeg"/><Relationship Id="rId111" Type="http://schemas.openxmlformats.org/officeDocument/2006/relationships/image" Target="media/image98.png"/><Relationship Id="rId112" Type="http://schemas.openxmlformats.org/officeDocument/2006/relationships/image" Target="media/image99.jpe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8" Type="http://schemas.openxmlformats.org/officeDocument/2006/relationships/hyperlink" Target="http://www.sec.gov/ix?doc=/Archives/edgar/data/825542/000154638021000037/smg-20210930.htm" TargetMode="External"/><Relationship Id="rId22" Type="http://schemas.openxmlformats.org/officeDocument/2006/relationships/hyperlink" Target="http://www.sec.gov/Archives/edgar/data/825542/000095015205002525/l12922aexv3w1.htm" TargetMode="External"/><Relationship Id="rId23" Type="http://schemas.openxmlformats.org/officeDocument/2006/relationships/hyperlink" Target="http://www.sec.gov/Archives/edgar/data/825542/000095015205002525/l12922aexv3w2.htm" TargetMode="External"/><Relationship Id="rId24" Type="http://schemas.openxmlformats.org/officeDocument/2006/relationships/hyperlink" Target="http://www.sec.gov/Archives/edgar/data/825542/000095015205002525/l12922aexv3w3.htm" TargetMode="External"/><Relationship Id="rId25" Type="http://schemas.openxmlformats.org/officeDocument/2006/relationships/hyperlink" Target="http://www.sec.gov/Archives/edgar/data/825542/000144398421000157/exhibit41-smg2021x03x178xk.htm" TargetMode="External"/><Relationship Id="rId26" Type="http://schemas.openxmlformats.org/officeDocument/2006/relationships/hyperlink" Target="http://www.sec.gov/Archives/edgar/data/825542/000144398421000157/exhibit43-smg2021x03x17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2021-12-10T15:16:11Z</dcterms:created>
  <dcterms:modified xsi:type="dcterms:W3CDTF">2021-12-10T15:16:11Z</dcterms:modified>
</cp:coreProperties>
</file>