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As filed with the Securities and Exchange Commission on May 9, 2005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Registration Nos. 333-06061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333-27561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333-76697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165735</wp:posOffset>
            </wp:positionV>
            <wp:extent cx="3353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POST-EFFECTIVE AMENDMENT NO. 1</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148590</wp:posOffset>
            </wp:positionV>
            <wp:extent cx="3353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305435</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gridSpan w:val="3"/>
          </w:tcPr>
          <w:p>
            <w:pPr>
              <w:jc w:val="center"/>
              <w:ind w:left="770"/>
              <w:spacing w:after="0"/>
              <w:rPr>
                <w:sz w:val="20"/>
                <w:szCs w:val="20"/>
                <w:color w:val="auto"/>
              </w:rPr>
            </w:pPr>
            <w:r>
              <w:rPr>
                <w:rFonts w:ascii="Arial" w:cs="Arial" w:eastAsia="Arial" w:hAnsi="Arial"/>
                <w:sz w:val="18"/>
                <w:szCs w:val="18"/>
                <w:color w:val="auto"/>
                <w:w w:val="94"/>
              </w:rPr>
              <w:t>Ohio</w:t>
            </w:r>
          </w:p>
        </w:tc>
        <w:tc>
          <w:tcPr>
            <w:tcW w:w="6860" w:type="dxa"/>
            <w:vAlign w:val="bottom"/>
            <w:gridSpan w:val="4"/>
          </w:tcPr>
          <w:p>
            <w:pPr>
              <w:jc w:val="right"/>
              <w:ind w:right="2300"/>
              <w:spacing w:after="0"/>
              <w:rPr>
                <w:sz w:val="20"/>
                <w:szCs w:val="20"/>
                <w:color w:val="auto"/>
              </w:rPr>
            </w:pPr>
            <w:r>
              <w:rPr>
                <w:rFonts w:ascii="Arial" w:cs="Arial" w:eastAsia="Arial" w:hAnsi="Arial"/>
                <w:sz w:val="18"/>
                <w:szCs w:val="18"/>
                <w:color w:val="auto"/>
              </w:rPr>
              <w:t>31-1414921</w:t>
            </w:r>
          </w:p>
        </w:tc>
      </w:tr>
      <w:tr>
        <w:trPr>
          <w:trHeight w:val="202"/>
        </w:trPr>
        <w:tc>
          <w:tcPr>
            <w:tcW w:w="4580" w:type="dxa"/>
            <w:vAlign w:val="bottom"/>
            <w:tcBorders>
              <w:top w:val="single" w:sz="8" w:color="auto"/>
            </w:tcBorders>
            <w:gridSpan w:val="3"/>
          </w:tcPr>
          <w:p>
            <w:pPr>
              <w:jc w:val="center"/>
              <w:ind w:left="770"/>
              <w:spacing w:after="0" w:line="201" w:lineRule="exact"/>
              <w:rPr>
                <w:sz w:val="20"/>
                <w:szCs w:val="20"/>
                <w:color w:val="auto"/>
              </w:rPr>
            </w:pPr>
            <w:r>
              <w:rPr>
                <w:rFonts w:ascii="Arial" w:cs="Arial" w:eastAsia="Arial" w:hAnsi="Arial"/>
                <w:sz w:val="18"/>
                <w:szCs w:val="18"/>
                <w:color w:val="auto"/>
                <w:w w:val="92"/>
              </w:rPr>
              <w:t>(State or other jurisdiction of</w:t>
            </w:r>
          </w:p>
        </w:tc>
        <w:tc>
          <w:tcPr>
            <w:tcW w:w="8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40" w:type="dxa"/>
            <w:vAlign w:val="bottom"/>
            <w:tcBorders>
              <w:top w:val="single" w:sz="8" w:color="auto"/>
            </w:tcBorders>
            <w:gridSpan w:val="2"/>
          </w:tcPr>
          <w:p>
            <w:pPr>
              <w:jc w:val="center"/>
              <w:ind w:right="2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80" w:type="dxa"/>
            <w:vAlign w:val="bottom"/>
            <w:gridSpan w:val="3"/>
          </w:tcPr>
          <w:p>
            <w:pPr>
              <w:jc w:val="center"/>
              <w:ind w:left="770"/>
              <w:spacing w:after="0"/>
              <w:rPr>
                <w:sz w:val="20"/>
                <w:szCs w:val="20"/>
                <w:color w:val="auto"/>
              </w:rPr>
            </w:pPr>
            <w:r>
              <w:rPr>
                <w:rFonts w:ascii="Arial" w:cs="Arial" w:eastAsia="Arial" w:hAnsi="Arial"/>
                <w:sz w:val="18"/>
                <w:szCs w:val="18"/>
                <w:color w:val="auto"/>
                <w:w w:val="92"/>
              </w:rPr>
              <w:t>incorporation or organization)</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5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2"/>
              </w:rPr>
              <w:t>14111 Scottslawn Road, Marysville, Ohio</w:t>
            </w:r>
          </w:p>
        </w:tc>
        <w:tc>
          <w:tcPr>
            <w:tcW w:w="6860" w:type="dxa"/>
            <w:vAlign w:val="bottom"/>
            <w:tcBorders>
              <w:bottom w:val="single" w:sz="8" w:color="auto"/>
            </w:tcBorders>
            <w:gridSpan w:val="4"/>
          </w:tcPr>
          <w:p>
            <w:pPr>
              <w:jc w:val="right"/>
              <w:ind w:right="2500"/>
              <w:spacing w:after="0"/>
              <w:rPr>
                <w:sz w:val="20"/>
                <w:szCs w:val="20"/>
                <w:color w:val="auto"/>
              </w:rPr>
            </w:pPr>
            <w:r>
              <w:rPr>
                <w:rFonts w:ascii="Arial" w:cs="Arial" w:eastAsia="Arial" w:hAnsi="Arial"/>
                <w:sz w:val="18"/>
                <w:szCs w:val="18"/>
                <w:color w:val="auto"/>
              </w:rPr>
              <w:t>43041</w:t>
            </w:r>
          </w:p>
        </w:tc>
      </w:tr>
      <w:tr>
        <w:trPr>
          <w:trHeight w:val="230"/>
        </w:trPr>
        <w:tc>
          <w:tcPr>
            <w:tcW w:w="4580" w:type="dxa"/>
            <w:vAlign w:val="bottom"/>
            <w:gridSpan w:val="3"/>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(Zip Code)</w:t>
            </w:r>
          </w:p>
        </w:tc>
      </w:tr>
      <w:tr>
        <w:trPr>
          <w:trHeight w:val="391"/>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0" w:type="dxa"/>
            <w:vAlign w:val="bottom"/>
            <w:gridSpan w:val="5"/>
          </w:tcPr>
          <w:p>
            <w:pPr>
              <w:jc w:val="center"/>
              <w:ind w:right="3460"/>
              <w:spacing w:after="0"/>
              <w:rPr>
                <w:sz w:val="20"/>
                <w:szCs w:val="20"/>
                <w:color w:val="auto"/>
              </w:rPr>
            </w:pPr>
            <w:r>
              <w:rPr>
                <w:rFonts w:ascii="Arial" w:cs="Arial" w:eastAsia="Arial" w:hAnsi="Arial"/>
                <w:sz w:val="18"/>
                <w:szCs w:val="18"/>
                <w:color w:val="auto"/>
                <w:w w:val="91"/>
              </w:rPr>
              <w:t>The Scotts Miracle-Gro Company 1996 Stock Option Plan</w:t>
            </w:r>
          </w:p>
        </w:tc>
      </w:tr>
      <w:tr>
        <w:trPr>
          <w:trHeight w:val="176"/>
        </w:trPr>
        <w:tc>
          <w:tcPr>
            <w:tcW w:w="3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3"/>
          </w:tcPr>
          <w:p>
            <w:pPr>
              <w:spacing w:after="0"/>
              <w:rPr>
                <w:sz w:val="15"/>
                <w:szCs w:val="15"/>
                <w:color w:val="auto"/>
              </w:rPr>
            </w:pPr>
          </w:p>
        </w:tc>
        <w:tc>
          <w:tcPr>
            <w:tcW w:w="3080" w:type="dxa"/>
            <w:vAlign w:val="bottom"/>
          </w:tcPr>
          <w:p>
            <w:pPr>
              <w:spacing w:after="0"/>
              <w:rPr>
                <w:sz w:val="15"/>
                <w:szCs w:val="15"/>
                <w:color w:val="auto"/>
              </w:rPr>
            </w:pPr>
          </w:p>
        </w:tc>
      </w:tr>
      <w:tr>
        <w:trPr>
          <w:trHeight w:val="304"/>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60" w:type="dxa"/>
            <w:vAlign w:val="bottom"/>
            <w:gridSpan w:val="4"/>
          </w:tcPr>
          <w:p>
            <w:pPr>
              <w:jc w:val="center"/>
              <w:ind w:right="4600"/>
              <w:spacing w:after="0"/>
              <w:rPr>
                <w:sz w:val="20"/>
                <w:szCs w:val="20"/>
                <w:color w:val="auto"/>
              </w:rPr>
            </w:pPr>
            <w:r>
              <w:rPr>
                <w:rFonts w:ascii="Arial" w:cs="Arial" w:eastAsia="Arial" w:hAnsi="Arial"/>
                <w:sz w:val="18"/>
                <w:szCs w:val="18"/>
                <w:color w:val="auto"/>
                <w:w w:val="94"/>
              </w:rPr>
              <w:t>(Full title of the plan)</w:t>
            </w:r>
          </w:p>
        </w:tc>
      </w:tr>
      <w:tr>
        <w:trPr>
          <w:trHeight w:val="418"/>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Copy to:</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David M. Aronowitz, Esq.</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Elizabeth Turrell Farrar, Esq.</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The Scotts Miracle-Gro Company</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Vorys, Sater, Seymour and Pease LLP</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14111 Scottslawn Road</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52 East Gay Street</w:t>
            </w: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Marysville, Ohio 43041</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P.O. Box 1008</w:t>
            </w:r>
          </w:p>
        </w:tc>
      </w:tr>
      <w:tr>
        <w:trPr>
          <w:trHeight w:val="224"/>
        </w:trPr>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and address of agent for service)</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Columbus, Ohio 43216-1008</w:t>
            </w:r>
          </w:p>
        </w:tc>
      </w:tr>
      <w:tr>
        <w:trPr>
          <w:trHeight w:val="377"/>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80" w:type="dxa"/>
            <w:vAlign w:val="bottom"/>
            <w:gridSpan w:val="3"/>
          </w:tcPr>
          <w:p>
            <w:pPr>
              <w:jc w:val="center"/>
              <w:ind w:right="1410"/>
              <w:spacing w:after="0"/>
              <w:rPr>
                <w:sz w:val="20"/>
                <w:szCs w:val="20"/>
                <w:color w:val="auto"/>
              </w:rPr>
            </w:pPr>
            <w:r>
              <w:rPr>
                <w:rFonts w:ascii="Arial" w:cs="Arial" w:eastAsia="Arial" w:hAnsi="Arial"/>
                <w:sz w:val="18"/>
                <w:szCs w:val="18"/>
                <w:color w:val="auto"/>
                <w:w w:val="90"/>
              </w:rPr>
              <w:t>(937) 644-0011</w:t>
            </w:r>
          </w:p>
        </w:tc>
        <w:tc>
          <w:tcPr>
            <w:tcW w:w="3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111760</wp:posOffset>
            </wp:positionV>
            <wp:extent cx="3353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EXPLANATORY NOTE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ADOPTION OF PREDECESSOR ISSUER’S REGISTRATION STATEMENT</w:t>
      </w:r>
    </w:p>
    <w:p>
      <w:pPr>
        <w:spacing w:after="0" w:line="184"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This Post-Effective Amendment No. 1 to Registration Statement on Form S-8 (this “Post-Effective Amendment No. 1”), is being filed by The Scotts Miracle-Gro Company, an Ohio corporation (“Scotts Miracle-Gro” or the “Registrant”), as the public company successor to The Scotts Company, an Ohio corporation (“Scotts”).</w:t>
      </w:r>
    </w:p>
    <w:p>
      <w:pPr>
        <w:spacing w:after="0" w:line="141" w:lineRule="exact"/>
        <w:rPr>
          <w:sz w:val="20"/>
          <w:szCs w:val="20"/>
          <w:color w:val="auto"/>
        </w:rPr>
      </w:pPr>
    </w:p>
    <w:p>
      <w:pPr>
        <w:ind w:right="380" w:firstLine="225"/>
        <w:spacing w:after="0" w:line="259" w:lineRule="auto"/>
        <w:rPr>
          <w:sz w:val="20"/>
          <w:szCs w:val="20"/>
          <w:color w:val="auto"/>
        </w:rPr>
      </w:pPr>
      <w:r>
        <w:rPr>
          <w:rFonts w:ascii="Arial" w:cs="Arial" w:eastAsia="Arial" w:hAnsi="Arial"/>
          <w:sz w:val="18"/>
          <w:szCs w:val="18"/>
          <w:color w:val="auto"/>
        </w:rPr>
        <w:t>On March 18, 2005 (the “Effective Time”), Scotts consummated the restructuring of Scotts’ corporate structure into a holding company structure by merging Scotts into a newly-created, wholly-owned, second-tier Ohio limited liability company subsidiary, The Scotts Company LLC (“Scotts LLC”), pursuant to an Agreement and Plan of Merger, dated as of December 13, 2004, by and among Scotts, Scotts LLC and Scotts Miracle-Gro. This merger is referred to in this Post-Effective Amendment No. 1 as the “Restructuring Merger.”</w:t>
      </w:r>
    </w:p>
    <w:p>
      <w:pPr>
        <w:spacing w:after="0" w:line="146"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Upon consummation of the Restructuring Merger, each of Scotts’ common shares, without par value (the “Scotts Common Shares”), issued and outstanding immediately prior to the Effective Time was automatically converted into one fully paid and nonassessable common share, without par value, of Scotts Miracle-Gro (the “Scotts Miracle-Gro Common Shares”). Also, the entire class of Scotts Miracle-Gro Common Shares became registered under Section 12(b) of the Securities Exchange Act of 1934, as amended (the “Exchange Act”), in accordance with Rule 12g-3 under the Exchange Act. As a result of the Restructuring Merger, Scotts Miracle-Gro is the new parent holding company and the public company successor to Scotts. Scotts LLC is the successor to Scotts and is a direct, wholly-owned subsidiary of Scotts Miracle-Gro.</w:t>
      </w:r>
    </w:p>
    <w:p>
      <w:pPr>
        <w:spacing w:after="0" w:line="166" w:lineRule="exact"/>
        <w:rPr>
          <w:sz w:val="20"/>
          <w:szCs w:val="20"/>
          <w:color w:val="auto"/>
        </w:rPr>
      </w:pPr>
    </w:p>
    <w:p>
      <w:pPr>
        <w:ind w:right="100" w:firstLine="215"/>
        <w:spacing w:after="0" w:line="308" w:lineRule="auto"/>
        <w:rPr>
          <w:sz w:val="20"/>
          <w:szCs w:val="20"/>
          <w:color w:val="auto"/>
        </w:rPr>
      </w:pPr>
      <w:r>
        <w:rPr>
          <w:rFonts w:ascii="Arial" w:cs="Arial" w:eastAsia="Arial" w:hAnsi="Arial"/>
          <w:sz w:val="17"/>
          <w:szCs w:val="17"/>
          <w:color w:val="auto"/>
        </w:rPr>
        <w:t>As of the Effective Time, Scotts Miracle-Gro assumed The Scotts Company 1996 Stock Option Plan (the “1996 Plan”) as well as all obligations of Scotts under the 1996 Plan, including the outstanding options and stock units granted pursuant to the 1996 Plan. As part of the Restructuring Merger:</w:t>
      </w:r>
    </w:p>
    <w:p>
      <w:pPr>
        <w:spacing w:after="0" w:line="147" w:lineRule="exact"/>
        <w:rPr>
          <w:sz w:val="20"/>
          <w:szCs w:val="20"/>
          <w:color w:val="auto"/>
        </w:rPr>
      </w:pPr>
    </w:p>
    <w:p>
      <w:pPr>
        <w:ind w:left="1020" w:right="140" w:hanging="445"/>
        <w:spacing w:after="0" w:line="259"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option to purchase Scotts Common Shares granted under the 1996 Plan which was outstanding immediately prior to the Effective Time was converted into and became an option to purchase the same number of Scotts Miracle-Gro Common Shares as the number of Scotts Common Shares which were subject to such option immediately prior to the Effective Time, at the same exercise price per share and upon the same terms and subject to the same conditions as were in effect at the Effective Time.</w:t>
      </w:r>
    </w:p>
    <w:p>
      <w:pPr>
        <w:spacing w:after="0" w:line="186" w:lineRule="exact"/>
        <w:rPr>
          <w:rFonts w:ascii="Arial" w:cs="Arial" w:eastAsia="Arial" w:hAnsi="Arial"/>
          <w:sz w:val="18"/>
          <w:szCs w:val="18"/>
          <w:color w:val="auto"/>
        </w:rPr>
      </w:pPr>
    </w:p>
    <w:p>
      <w:pPr>
        <w:ind w:left="1020" w:hanging="445"/>
        <w:spacing w:after="0" w:line="279" w:lineRule="auto"/>
        <w:tabs>
          <w:tab w:leader="none" w:pos="1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Scotts Common Shares attributable to accounts of directors of Scotts (who became directors of Scotts Miracle-Gro following the Restructuring Merger) holding stock units received under the 1996 Plan immediately prior to the Effective Time were converted into the same number of Scotts Miracle-Gro Common Shares and those Scotts Miracle-Gro Common Shares are attributable to the accounts of those directors upon the same terms and subject to the same conditions as were in effect at the Effective Time.</w:t>
      </w:r>
    </w:p>
    <w:p>
      <w:pPr>
        <w:spacing w:after="0" w:line="171"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All provisions of the 1996 Plan remain the same following the Restructuring Merger, except that the 1996 Plan has been amended to replace references in the 1996 Plan to “The Scotts Company” with references to “The Scotts Miracle-Gro Company” and to change the name of the 1996 Plan from “The Scotts Company 1996 Stock Option Plan” to “The Scotts Miracle-Gro Company 1996 Stock Option Plan.” From and after the Effective Time, all awards made under the 1996 Plan will be made with respect to Scotts Miracle-Gro Common Shares.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line="230" w:lineRule="auto"/>
        <w:rPr>
          <w:sz w:val="20"/>
          <w:szCs w:val="20"/>
          <w:color w:val="auto"/>
        </w:rPr>
      </w:pPr>
      <w:r>
        <w:rPr>
          <w:rFonts w:ascii="Arial" w:cs="Arial" w:eastAsia="Arial" w:hAnsi="Arial"/>
          <w:sz w:val="22"/>
          <w:szCs w:val="22"/>
          <w:u w:val="single" w:color="auto"/>
          <w:color w:val="0000EE"/>
        </w:rPr>
        <w:t>Exhibit 10.1</w:t>
      </w:r>
    </w:p>
    <w:p>
      <w:pPr>
        <w:spacing w:after="0" w:line="231" w:lineRule="auto"/>
        <w:rPr>
          <w:sz w:val="20"/>
          <w:szCs w:val="20"/>
          <w:color w:val="auto"/>
        </w:rPr>
      </w:pPr>
      <w:r>
        <w:rPr>
          <w:rFonts w:ascii="Arial" w:cs="Arial" w:eastAsia="Arial" w:hAnsi="Arial"/>
          <w:sz w:val="22"/>
          <w:szCs w:val="22"/>
          <w:u w:val="single" w:color="auto"/>
          <w:color w:val="0000EE"/>
        </w:rPr>
        <w:t>Exhibit 23.1</w:t>
      </w:r>
    </w:p>
    <w:p>
      <w:pPr>
        <w:spacing w:after="0"/>
        <w:rPr>
          <w:sz w:val="20"/>
          <w:szCs w:val="20"/>
          <w:color w:val="auto"/>
        </w:rPr>
      </w:pPr>
      <w:r>
        <w:rPr>
          <w:rFonts w:ascii="Arial" w:cs="Arial" w:eastAsia="Arial" w:hAnsi="Arial"/>
          <w:sz w:val="22"/>
          <w:szCs w:val="22"/>
          <w:u w:val="single" w:color="auto"/>
          <w:color w:val="0000EE"/>
        </w:rPr>
        <w:t>Exhibit 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Restructuring Merger was approved by the shareholders of Scotts at the Annual Meeting of Shareholders held on January 27, 2005. Prior to the Restructuring Merger, Scotts Miracle-Gro had engaged in no activities other than those incident to the restructuring and had no assets or liabilities other than nominal assets and liabilities.</w:t>
      </w:r>
    </w:p>
    <w:p>
      <w:pPr>
        <w:spacing w:after="0" w:line="15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Pursuant to Rule 414(d) under the Securities Act of 1933, as amended (the “Securities Act”), Scotts Miracle-Gro, as the successor issuer to Scotts, hereby adopts Scotts’ Registration Statements on Form S-8 (Registration Nos. 333-06061, 333-27561 and 333-76697), which Registration Statements are applicable to the securities issuable under the 1996 Plan, as the Registration Statements of Scotts Miracle-Gro for all purposes of the Securities Act and the Exchange Act.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II</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Incorporation of Documents by Reference</w:t>
      </w:r>
      <w:r>
        <w:rPr>
          <w:rFonts w:ascii="Arial" w:cs="Arial" w:eastAsia="Arial" w:hAnsi="Arial"/>
          <w:sz w:val="18"/>
          <w:szCs w:val="18"/>
          <w:color w:val="auto"/>
        </w:rPr>
        <w:t>.</w:t>
      </w:r>
    </w:p>
    <w:p>
      <w:pPr>
        <w:spacing w:after="0" w:line="185"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Scotts Miracle-Gro hereby incorporates into this Post-Effective Amendment No. 1 to Registration Statements on Form S-8 (Registration Nos. 333-06061, 333-27561 and 333-76697 (the “Registration Statements”) the following documents filed by Scotts Miracle-Gro and Scotts with the Securities and Exchange Commission (the “Commission”):</w:t>
      </w:r>
    </w:p>
    <w:p>
      <w:pPr>
        <w:spacing w:after="0" w:line="181" w:lineRule="exact"/>
        <w:rPr>
          <w:sz w:val="20"/>
          <w:szCs w:val="20"/>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Report on Form 10-K of Scotts for the fiscal year ended September 30, 2004.</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Quarterly Report on Form 10-Q of Scotts for the quarterly period ended January 1, 2005.</w:t>
      </w:r>
    </w:p>
    <w:p>
      <w:pPr>
        <w:spacing w:after="0" w:line="225" w:lineRule="exact"/>
        <w:rPr>
          <w:rFonts w:ascii="Arial" w:cs="Arial" w:eastAsia="Arial" w:hAnsi="Arial"/>
          <w:sz w:val="18"/>
          <w:szCs w:val="18"/>
          <w:color w:val="auto"/>
        </w:rPr>
      </w:pPr>
    </w:p>
    <w:p>
      <w:pPr>
        <w:ind w:left="1020" w:right="140" w:hanging="445"/>
        <w:spacing w:after="0" w:line="30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Current Reports on Form 8-K filed by Scotts with the Commission on November 19, 2004, December 8, 2004 (as subsequently amended by the Current Report on Form 8-K/A filed with the Commission on December 17, 2004) and February 2, 2005.</w:t>
      </w:r>
    </w:p>
    <w:p>
      <w:pPr>
        <w:spacing w:after="0" w:line="146" w:lineRule="exact"/>
        <w:rPr>
          <w:rFonts w:ascii="Arial" w:cs="Arial" w:eastAsia="Arial" w:hAnsi="Arial"/>
          <w:sz w:val="17"/>
          <w:szCs w:val="17"/>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 Report on Form 8-K filed by Scotts Miracle-Gro with the Commission on March 24, 2005.</w:t>
      </w:r>
    </w:p>
    <w:p>
      <w:pPr>
        <w:spacing w:after="0" w:line="225" w:lineRule="exact"/>
        <w:rPr>
          <w:rFonts w:ascii="Arial" w:cs="Arial" w:eastAsia="Arial" w:hAnsi="Arial"/>
          <w:sz w:val="18"/>
          <w:szCs w:val="18"/>
          <w:color w:val="auto"/>
        </w:rPr>
      </w:pPr>
    </w:p>
    <w:p>
      <w:pPr>
        <w:ind w:left="1020" w:right="46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Scotts Miracle-Gro Common Shares contained in Scotts Miracle-Gro’s Current Report on Form 8-K filed with the Commission on March 24, 2005.</w:t>
      </w:r>
    </w:p>
    <w:p>
      <w:pPr>
        <w:spacing w:after="0" w:line="170" w:lineRule="exact"/>
        <w:rPr>
          <w:sz w:val="20"/>
          <w:szCs w:val="20"/>
          <w:color w:val="auto"/>
        </w:rPr>
      </w:pPr>
    </w:p>
    <w:p>
      <w:pPr>
        <w:jc w:val="both"/>
        <w:ind w:firstLine="215"/>
        <w:spacing w:after="0" w:line="257" w:lineRule="auto"/>
        <w:rPr>
          <w:sz w:val="20"/>
          <w:szCs w:val="20"/>
          <w:color w:val="auto"/>
        </w:rPr>
      </w:pPr>
      <w:r>
        <w:rPr>
          <w:rFonts w:ascii="Arial" w:cs="Arial" w:eastAsia="Arial" w:hAnsi="Arial"/>
          <w:sz w:val="18"/>
          <w:szCs w:val="18"/>
          <w:color w:val="auto"/>
        </w:rPr>
        <w:t>Any definitive proxy statement or information statement filed by Scotts Miracle-Gro pursuant to Section 14 of the Exchange Act and all documents which may be filed by Scotts Miracle-Gro with the Commission pursuant to Section 13, 14 or 15(d) of the Exchange Act subsequent to the date hereof and prior to the completion of the offering contemplated by the 1996 Plan, shall also be deemed to be incorporated herein by reference and to be made a part hereof from the date of filing of such documents. Information furnished by Scotts Miracle-Gro under any Current Report on Form 8-K is not incorporated by reference in this Registration Statement.</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Description of Securities</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Interests of Named Experts and Counsel</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Indemnification of Directors and Officers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Section 11.5 of the 1996 Plan provides for indemnification of the Registrant’s Board of Directors (the “Board”) and of members of the Compensation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Organization Committee (the “Committee”) which administers the 1996 Plan as follows:</w:t>
      </w:r>
    </w:p>
    <w:p>
      <w:pPr>
        <w:spacing w:after="0" w:line="170" w:lineRule="exact"/>
        <w:rPr>
          <w:sz w:val="20"/>
          <w:szCs w:val="20"/>
          <w:color w:val="auto"/>
        </w:rPr>
      </w:pPr>
    </w:p>
    <w:p>
      <w:pPr>
        <w:ind w:left="360" w:firstLine="225"/>
        <w:spacing w:after="0" w:line="271" w:lineRule="auto"/>
        <w:rPr>
          <w:sz w:val="20"/>
          <w:szCs w:val="20"/>
          <w:color w:val="auto"/>
        </w:rPr>
      </w:pPr>
      <w:r>
        <w:rPr>
          <w:rFonts w:ascii="Arial" w:cs="Arial" w:eastAsia="Arial" w:hAnsi="Arial"/>
          <w:sz w:val="17"/>
          <w:szCs w:val="17"/>
          <w:color w:val="auto"/>
        </w:rPr>
        <w:t>11.5.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regulations, by contract, as a matter of law, or otherwise.</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Article Five of the Code of Regulations of the Registrant governs the indemnification of officers and directors of the Registrant. Article Five provides:</w:t>
      </w:r>
    </w:p>
    <w:p>
      <w:pPr>
        <w:spacing w:after="0" w:line="196" w:lineRule="exact"/>
        <w:rPr>
          <w:sz w:val="20"/>
          <w:szCs w:val="20"/>
          <w:color w:val="auto"/>
        </w:rPr>
      </w:pPr>
    </w:p>
    <w:p>
      <w:pPr>
        <w:ind w:left="360" w:right="20" w:firstLine="225"/>
        <w:spacing w:after="0" w:line="287" w:lineRule="auto"/>
        <w:rPr>
          <w:sz w:val="20"/>
          <w:szCs w:val="20"/>
          <w:color w:val="auto"/>
        </w:rPr>
      </w:pPr>
      <w:r>
        <w:rPr>
          <w:rFonts w:ascii="Arial" w:cs="Arial" w:eastAsia="Arial" w:hAnsi="Arial"/>
          <w:sz w:val="16"/>
          <w:szCs w:val="16"/>
          <w:u w:val="single" w:color="auto"/>
          <w:color w:val="auto"/>
        </w:rPr>
        <w:t>Section 5.01. Mandatory Indemnification</w:t>
      </w:r>
      <w:r>
        <w:rPr>
          <w:rFonts w:ascii="Arial" w:cs="Arial" w:eastAsia="Arial" w:hAnsi="Arial"/>
          <w:sz w:val="16"/>
          <w:szCs w:val="16"/>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260"/>
        <w:spacing w:after="0" w:line="277" w:lineRule="auto"/>
        <w:rPr>
          <w:sz w:val="20"/>
          <w:szCs w:val="20"/>
          <w:color w:val="auto"/>
        </w:rPr>
      </w:pPr>
      <w:r>
        <w:rPr>
          <w:rFonts w:ascii="Arial" w:cs="Arial" w:eastAsia="Arial" w:hAnsi="Arial"/>
          <w:sz w:val="18"/>
          <w:szCs w:val="18"/>
          <w:color w:val="auto"/>
        </w:rPr>
        <w:t>believe his conduct was unlawful, and the termination of any action, suit or proceeding by judgment, order, settlement or conviction, or upon a plea of nolo contendere or its equivalent, shall not, of itself, rebut such presumption.</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5.02. Court-Approved Indemnification</w:t>
      </w:r>
      <w:r>
        <w:rPr>
          <w:rFonts w:ascii="Arial" w:cs="Arial" w:eastAsia="Arial" w:hAnsi="Arial"/>
          <w:sz w:val="18"/>
          <w:szCs w:val="18"/>
          <w:color w:val="auto"/>
        </w:rPr>
        <w:t>. Anything contained in the Regulations or elsewhere to the contrary notwithstanding:</w:t>
      </w:r>
    </w:p>
    <w:p>
      <w:pPr>
        <w:spacing w:after="0" w:line="185" w:lineRule="exact"/>
        <w:rPr>
          <w:sz w:val="20"/>
          <w:szCs w:val="20"/>
          <w:color w:val="auto"/>
        </w:rPr>
      </w:pPr>
    </w:p>
    <w:p>
      <w:pPr>
        <w:ind w:left="360" w:right="60" w:firstLine="215"/>
        <w:spacing w:after="0" w:line="270"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141" w:lineRule="exact"/>
        <w:rPr>
          <w:rFonts w:ascii="Arial" w:cs="Arial" w:eastAsia="Arial" w:hAnsi="Arial"/>
          <w:sz w:val="17"/>
          <w:szCs w:val="17"/>
          <w:color w:val="auto"/>
        </w:rPr>
      </w:pPr>
    </w:p>
    <w:p>
      <w:pPr>
        <w:ind w:left="860" w:hanging="285"/>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shall promptly make any such unpaid indemnification as is determined by a court to be proper as contemplated by this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5.02.</w:t>
      </w:r>
    </w:p>
    <w:p>
      <w:pPr>
        <w:spacing w:after="0" w:line="184" w:lineRule="exact"/>
        <w:rPr>
          <w:sz w:val="20"/>
          <w:szCs w:val="20"/>
          <w:color w:val="auto"/>
        </w:rPr>
      </w:pPr>
    </w:p>
    <w:p>
      <w:pPr>
        <w:ind w:left="360" w:right="80" w:firstLine="225"/>
        <w:spacing w:after="0" w:line="291" w:lineRule="auto"/>
        <w:rPr>
          <w:sz w:val="20"/>
          <w:szCs w:val="20"/>
          <w:color w:val="auto"/>
        </w:rPr>
      </w:pPr>
      <w:r>
        <w:rPr>
          <w:rFonts w:ascii="Arial" w:cs="Arial" w:eastAsia="Arial" w:hAnsi="Arial"/>
          <w:sz w:val="16"/>
          <w:szCs w:val="16"/>
          <w:u w:val="single" w:color="auto"/>
          <w:color w:val="auto"/>
        </w:rPr>
        <w:t>Section 5.03. Indemnification for Expenses</w:t>
      </w:r>
      <w:r>
        <w:rPr>
          <w:rFonts w:ascii="Arial" w:cs="Arial" w:eastAsia="Arial" w:hAnsi="Arial"/>
          <w:sz w:val="16"/>
          <w:szCs w:val="16"/>
          <w:color w:val="auto"/>
        </w:rPr>
        <w:t>. Anything contained in the Regulations or elsewhere to the contrary notwithstanding, to the extent that an officer or director of the corporation has been successful on the merits or otherwise in defense of any action, suit or proceeding referred to in</w:t>
      </w:r>
    </w:p>
    <w:p>
      <w:pPr>
        <w:ind w:left="360" w:right="60"/>
        <w:spacing w:after="0" w:line="323" w:lineRule="auto"/>
        <w:rPr>
          <w:sz w:val="20"/>
          <w:szCs w:val="20"/>
          <w:color w:val="auto"/>
        </w:rPr>
      </w:pPr>
      <w:r>
        <w:rPr>
          <w:rFonts w:ascii="Arial" w:cs="Arial" w:eastAsia="Arial" w:hAnsi="Arial"/>
          <w:sz w:val="16"/>
          <w:szCs w:val="16"/>
          <w:color w:val="auto"/>
        </w:rPr>
        <w:t>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98" w:lineRule="exact"/>
        <w:rPr>
          <w:sz w:val="20"/>
          <w:szCs w:val="20"/>
          <w:color w:val="auto"/>
        </w:rPr>
      </w:pPr>
    </w:p>
    <w:p>
      <w:pPr>
        <w:ind w:left="360" w:firstLine="225"/>
        <w:spacing w:after="0" w:line="288" w:lineRule="auto"/>
        <w:rPr>
          <w:sz w:val="20"/>
          <w:szCs w:val="20"/>
          <w:color w:val="auto"/>
        </w:rPr>
      </w:pPr>
      <w:r>
        <w:rPr>
          <w:rFonts w:ascii="Arial" w:cs="Arial" w:eastAsia="Arial" w:hAnsi="Arial"/>
          <w:sz w:val="16"/>
          <w:szCs w:val="16"/>
          <w:u w:val="single" w:color="auto"/>
          <w:color w:val="auto"/>
        </w:rPr>
        <w:t>Section 5.04. Determination Required</w:t>
      </w:r>
      <w:r>
        <w:rPr>
          <w:rFonts w:ascii="Arial" w:cs="Arial" w:eastAsia="Arial" w:hAnsi="Arial"/>
          <w:sz w:val="16"/>
          <w:szCs w:val="16"/>
          <w:color w:val="auto"/>
        </w:rPr>
        <w:t>.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line="271" w:lineRule="auto"/>
        <w:rPr>
          <w:sz w:val="20"/>
          <w:szCs w:val="20"/>
          <w:color w:val="auto"/>
        </w:rPr>
      </w:pPr>
      <w:r>
        <w:rPr>
          <w:rFonts w:ascii="Arial" w:cs="Arial" w:eastAsia="Arial" w:hAnsi="Arial"/>
          <w:sz w:val="17"/>
          <w:szCs w:val="17"/>
          <w:color w:val="auto"/>
        </w:rPr>
        <w:t>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52" w:lineRule="exact"/>
        <w:rPr>
          <w:sz w:val="20"/>
          <w:szCs w:val="20"/>
          <w:color w:val="auto"/>
        </w:rPr>
      </w:pPr>
    </w:p>
    <w:p>
      <w:pPr>
        <w:ind w:left="360" w:firstLine="225"/>
        <w:spacing w:after="0" w:line="257" w:lineRule="auto"/>
        <w:rPr>
          <w:sz w:val="20"/>
          <w:szCs w:val="20"/>
          <w:color w:val="auto"/>
        </w:rPr>
      </w:pPr>
      <w:r>
        <w:rPr>
          <w:rFonts w:ascii="Arial" w:cs="Arial" w:eastAsia="Arial" w:hAnsi="Arial"/>
          <w:sz w:val="18"/>
          <w:szCs w:val="18"/>
          <w:u w:val="single" w:color="auto"/>
          <w:color w:val="auto"/>
        </w:rPr>
        <w:t>Section 5.05. Advances for Expenses</w:t>
      </w:r>
      <w:r>
        <w:rPr>
          <w:rFonts w:ascii="Arial" w:cs="Arial" w:eastAsia="Arial" w:hAnsi="Arial"/>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48" w:lineRule="exact"/>
        <w:rPr>
          <w:sz w:val="20"/>
          <w:szCs w:val="20"/>
          <w:color w:val="auto"/>
        </w:rPr>
      </w:pPr>
    </w:p>
    <w:p>
      <w:pPr>
        <w:ind w:left="360" w:right="480" w:firstLine="215"/>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129" w:lineRule="exact"/>
        <w:rPr>
          <w:rFonts w:ascii="Arial" w:cs="Arial" w:eastAsia="Arial" w:hAnsi="Arial"/>
          <w:sz w:val="18"/>
          <w:szCs w:val="18"/>
          <w:color w:val="auto"/>
        </w:rPr>
      </w:pPr>
    </w:p>
    <w:p>
      <w:pPr>
        <w:ind w:left="360" w:right="100" w:firstLine="215"/>
        <w:spacing w:after="0" w:line="257" w:lineRule="auto"/>
        <w:tabs>
          <w:tab w:leader="none" w:pos="87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61" w:lineRule="exact"/>
        <w:rPr>
          <w:sz w:val="20"/>
          <w:szCs w:val="20"/>
          <w:color w:val="auto"/>
        </w:rPr>
      </w:pPr>
    </w:p>
    <w:p>
      <w:pPr>
        <w:ind w:left="360" w:right="20" w:firstLine="225"/>
        <w:spacing w:after="0" w:line="257" w:lineRule="auto"/>
        <w:rPr>
          <w:sz w:val="20"/>
          <w:szCs w:val="20"/>
          <w:color w:val="auto"/>
        </w:rPr>
      </w:pPr>
      <w:r>
        <w:rPr>
          <w:rFonts w:ascii="Arial" w:cs="Arial" w:eastAsia="Arial" w:hAnsi="Arial"/>
          <w:sz w:val="18"/>
          <w:szCs w:val="18"/>
          <w:u w:val="single" w:color="auto"/>
          <w:color w:val="auto"/>
        </w:rPr>
        <w:t>Section 5.06. Article FIVE Not Exclusive</w:t>
      </w:r>
      <w:r>
        <w:rPr>
          <w:rFonts w:ascii="Arial" w:cs="Arial" w:eastAsia="Arial" w:hAnsi="Arial"/>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148" w:lineRule="exact"/>
        <w:rPr>
          <w:sz w:val="20"/>
          <w:szCs w:val="20"/>
          <w:color w:val="auto"/>
        </w:rPr>
      </w:pPr>
    </w:p>
    <w:p>
      <w:pPr>
        <w:jc w:val="both"/>
        <w:ind w:left="360" w:right="120" w:firstLine="225"/>
        <w:spacing w:after="0" w:line="302" w:lineRule="auto"/>
        <w:rPr>
          <w:sz w:val="20"/>
          <w:szCs w:val="20"/>
          <w:color w:val="auto"/>
        </w:rPr>
      </w:pPr>
      <w:r>
        <w:rPr>
          <w:rFonts w:ascii="Arial" w:cs="Arial" w:eastAsia="Arial" w:hAnsi="Arial"/>
          <w:sz w:val="16"/>
          <w:szCs w:val="16"/>
          <w:u w:val="single" w:color="auto"/>
          <w:color w:val="auto"/>
        </w:rPr>
        <w:t>Section 5.07. Insurance</w:t>
      </w:r>
      <w:r>
        <w:rPr>
          <w:rFonts w:ascii="Arial" w:cs="Arial" w:eastAsia="Arial" w:hAnsi="Arial"/>
          <w:sz w:val="16"/>
          <w:szCs w:val="16"/>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80"/>
        <w:spacing w:after="0" w:line="264" w:lineRule="auto"/>
        <w:rPr>
          <w:sz w:val="20"/>
          <w:szCs w:val="20"/>
          <w:color w:val="auto"/>
        </w:rPr>
      </w:pPr>
      <w:r>
        <w:rPr>
          <w:rFonts w:ascii="Arial" w:cs="Arial" w:eastAsia="Arial" w:hAnsi="Arial"/>
          <w:sz w:val="18"/>
          <w:szCs w:val="18"/>
          <w:color w:val="auto"/>
        </w:rPr>
        <w:t>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5.08. Certain Definitions</w:t>
      </w:r>
      <w:r>
        <w:rPr>
          <w:rFonts w:ascii="Arial" w:cs="Arial" w:eastAsia="Arial" w:hAnsi="Arial"/>
          <w:sz w:val="18"/>
          <w:szCs w:val="18"/>
          <w:color w:val="auto"/>
        </w:rPr>
        <w:t>. For purposes of this Article FIVE, and as examples and not by way of limitation:</w:t>
      </w:r>
    </w:p>
    <w:p>
      <w:pPr>
        <w:spacing w:after="0" w:line="185" w:lineRule="exact"/>
        <w:rPr>
          <w:sz w:val="20"/>
          <w:szCs w:val="20"/>
          <w:color w:val="auto"/>
        </w:rPr>
      </w:pPr>
    </w:p>
    <w:p>
      <w:pPr>
        <w:ind w:left="360" w:right="120" w:firstLine="215"/>
        <w:spacing w:after="0" w:line="297"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117" w:lineRule="exact"/>
        <w:rPr>
          <w:rFonts w:ascii="Arial" w:cs="Arial" w:eastAsia="Arial" w:hAnsi="Arial"/>
          <w:sz w:val="16"/>
          <w:szCs w:val="16"/>
          <w:color w:val="auto"/>
        </w:rPr>
      </w:pPr>
    </w:p>
    <w:p>
      <w:pPr>
        <w:ind w:left="360" w:firstLine="215"/>
        <w:spacing w:after="0" w:line="273" w:lineRule="auto"/>
        <w:tabs>
          <w:tab w:leader="none" w:pos="87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51" w:lineRule="exact"/>
        <w:rPr>
          <w:sz w:val="20"/>
          <w:szCs w:val="20"/>
          <w:color w:val="auto"/>
        </w:rPr>
      </w:pPr>
    </w:p>
    <w:p>
      <w:pPr>
        <w:ind w:left="360" w:right="240" w:firstLine="225"/>
        <w:spacing w:after="0" w:line="259" w:lineRule="auto"/>
        <w:rPr>
          <w:sz w:val="20"/>
          <w:szCs w:val="20"/>
          <w:color w:val="auto"/>
        </w:rPr>
      </w:pPr>
      <w:r>
        <w:rPr>
          <w:rFonts w:ascii="Arial" w:cs="Arial" w:eastAsia="Arial" w:hAnsi="Arial"/>
          <w:sz w:val="18"/>
          <w:szCs w:val="18"/>
          <w:u w:val="single" w:color="auto"/>
          <w:color w:val="auto"/>
        </w:rPr>
        <w:t>Section 5.09. Venue</w:t>
      </w:r>
      <w:r>
        <w:rPr>
          <w:rFonts w:ascii="Arial" w:cs="Arial" w:eastAsia="Arial" w:hAnsi="Arial"/>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Division (E) of Section 1701.13 of the Ohio Revised Code addresses indemnification by an Ohio corporation and provides as follows:</w:t>
      </w:r>
    </w:p>
    <w:p>
      <w:pPr>
        <w:spacing w:after="0" w:line="185" w:lineRule="exact"/>
        <w:rPr>
          <w:sz w:val="20"/>
          <w:szCs w:val="20"/>
          <w:color w:val="auto"/>
        </w:rPr>
      </w:pPr>
    </w:p>
    <w:p>
      <w:pPr>
        <w:ind w:left="360" w:right="80" w:firstLine="225"/>
        <w:spacing w:after="0" w:line="291" w:lineRule="auto"/>
        <w:rPr>
          <w:sz w:val="20"/>
          <w:szCs w:val="20"/>
          <w:color w:val="auto"/>
        </w:rPr>
      </w:pPr>
      <w:r>
        <w:rPr>
          <w:rFonts w:ascii="Arial" w:cs="Arial" w:eastAsia="Arial" w:hAnsi="Arial"/>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40"/>
        <w:spacing w:after="0" w:line="259" w:lineRule="auto"/>
        <w:rPr>
          <w:sz w:val="20"/>
          <w:szCs w:val="20"/>
          <w:color w:val="auto"/>
        </w:rPr>
      </w:pPr>
      <w:r>
        <w:rPr>
          <w:rFonts w:ascii="Arial" w:cs="Arial" w:eastAsia="Arial" w:hAnsi="Arial"/>
          <w:sz w:val="18"/>
          <w:szCs w:val="18"/>
          <w:color w:val="auto"/>
        </w:rPr>
        <w:t>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60" w:lineRule="exact"/>
        <w:rPr>
          <w:sz w:val="20"/>
          <w:szCs w:val="20"/>
          <w:color w:val="auto"/>
        </w:rPr>
      </w:pPr>
    </w:p>
    <w:p>
      <w:pPr>
        <w:ind w:left="360" w:firstLine="215"/>
        <w:spacing w:after="0" w:line="272"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37" w:lineRule="exact"/>
        <w:rPr>
          <w:sz w:val="20"/>
          <w:szCs w:val="20"/>
          <w:color w:val="auto"/>
        </w:rPr>
      </w:pPr>
    </w:p>
    <w:p>
      <w:pPr>
        <w:ind w:left="360" w:right="360" w:firstLine="215"/>
        <w:spacing w:after="0" w:line="279" w:lineRule="auto"/>
        <w:tabs>
          <w:tab w:leader="none" w:pos="83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30" w:lineRule="exact"/>
        <w:rPr>
          <w:rFonts w:ascii="Arial" w:cs="Arial" w:eastAsia="Arial" w:hAnsi="Arial"/>
          <w:sz w:val="17"/>
          <w:szCs w:val="17"/>
          <w:color w:val="auto"/>
        </w:rPr>
      </w:pPr>
    </w:p>
    <w:p>
      <w:pPr>
        <w:ind w:left="840" w:hanging="265"/>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action or suit in which the only liability asserted against a director is pursuant to section 1701.95 of the Revised Code.</w:t>
      </w:r>
    </w:p>
    <w:p>
      <w:pPr>
        <w:spacing w:after="0" w:line="198" w:lineRule="exact"/>
        <w:rPr>
          <w:sz w:val="20"/>
          <w:szCs w:val="20"/>
          <w:color w:val="auto"/>
        </w:rPr>
      </w:pPr>
    </w:p>
    <w:p>
      <w:pPr>
        <w:ind w:left="360" w:right="300" w:firstLine="215"/>
        <w:spacing w:after="0" w:line="312"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06" w:lineRule="exact"/>
        <w:rPr>
          <w:rFonts w:ascii="Arial" w:cs="Arial" w:eastAsia="Arial" w:hAnsi="Arial"/>
          <w:sz w:val="16"/>
          <w:szCs w:val="16"/>
          <w:color w:val="auto"/>
        </w:rPr>
      </w:pPr>
    </w:p>
    <w:p>
      <w:pPr>
        <w:ind w:left="360" w:right="140" w:firstLine="215"/>
        <w:spacing w:after="0" w:line="259"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146" w:lineRule="exact"/>
        <w:rPr>
          <w:sz w:val="20"/>
          <w:szCs w:val="20"/>
          <w:color w:val="auto"/>
        </w:rPr>
      </w:pPr>
    </w:p>
    <w:p>
      <w:pPr>
        <w:ind w:left="360" w:right="140" w:firstLine="215"/>
        <w:spacing w:after="0" w:line="277" w:lineRule="auto"/>
        <w:tabs>
          <w:tab w:leader="none" w:pos="83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40" w:firstLine="215"/>
        <w:spacing w:after="0" w:line="286"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38" w:lineRule="exact"/>
        <w:rPr>
          <w:rFonts w:ascii="Arial" w:cs="Arial" w:eastAsia="Arial" w:hAnsi="Arial"/>
          <w:sz w:val="17"/>
          <w:szCs w:val="17"/>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84" w:lineRule="exact"/>
        <w:rPr>
          <w:rFonts w:ascii="Arial" w:cs="Arial" w:eastAsia="Arial" w:hAnsi="Arial"/>
          <w:sz w:val="18"/>
          <w:szCs w:val="18"/>
          <w:color w:val="auto"/>
        </w:rPr>
      </w:pPr>
    </w:p>
    <w:p>
      <w:pPr>
        <w:ind w:left="840" w:hanging="265"/>
        <w:spacing w:after="0"/>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By the court of common pleas or the court in which the action, suit, or proceeding referred to in division (E)(1) or (2) of this section was brought.</w:t>
      </w:r>
    </w:p>
    <w:p>
      <w:pPr>
        <w:spacing w:after="0" w:line="208" w:lineRule="exact"/>
        <w:rPr>
          <w:sz w:val="20"/>
          <w:szCs w:val="20"/>
          <w:color w:val="auto"/>
        </w:rPr>
      </w:pPr>
    </w:p>
    <w:p>
      <w:pPr>
        <w:ind w:left="360" w:right="20" w:firstLine="440"/>
        <w:spacing w:after="0" w:line="291" w:lineRule="auto"/>
        <w:rPr>
          <w:sz w:val="20"/>
          <w:szCs w:val="20"/>
          <w:color w:val="auto"/>
        </w:rPr>
      </w:pPr>
      <w:r>
        <w:rPr>
          <w:rFonts w:ascii="Arial" w:cs="Arial" w:eastAsia="Arial" w:hAnsi="Arial"/>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w:t>
      </w:r>
    </w:p>
    <w:p>
      <w:pPr>
        <w:ind w:left="360" w:right="320" w:hanging="10"/>
        <w:spacing w:after="0" w:line="261" w:lineRule="auto"/>
        <w:tabs>
          <w:tab w:leader="none" w:pos="6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57" w:lineRule="exact"/>
        <w:rPr>
          <w:sz w:val="20"/>
          <w:szCs w:val="20"/>
          <w:color w:val="auto"/>
        </w:rPr>
      </w:pPr>
    </w:p>
    <w:p>
      <w:pPr>
        <w:jc w:val="both"/>
        <w:ind w:left="360" w:right="100" w:firstLine="225"/>
        <w:spacing w:after="0" w:line="273" w:lineRule="auto"/>
        <w:rPr>
          <w:sz w:val="20"/>
          <w:szCs w:val="20"/>
          <w:color w:val="auto"/>
        </w:rPr>
      </w:pPr>
      <w:r>
        <w:rPr>
          <w:rFonts w:ascii="Arial" w:cs="Arial" w:eastAsia="Arial" w:hAnsi="Arial"/>
          <w:sz w:val="17"/>
          <w:szCs w:val="17"/>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138" w:lineRule="exact"/>
        <w:rPr>
          <w:sz w:val="20"/>
          <w:szCs w:val="20"/>
          <w:color w:val="auto"/>
        </w:rPr>
      </w:pPr>
    </w:p>
    <w:p>
      <w:pPr>
        <w:ind w:left="360" w:right="60" w:firstLine="215"/>
        <w:spacing w:after="0" w:line="26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40" w:lineRule="exact"/>
        <w:rPr>
          <w:rFonts w:ascii="Arial" w:cs="Arial" w:eastAsia="Arial" w:hAnsi="Arial"/>
          <w:sz w:val="18"/>
          <w:szCs w:val="18"/>
          <w:color w:val="auto"/>
        </w:rPr>
      </w:pPr>
    </w:p>
    <w:p>
      <w:pPr>
        <w:ind w:left="840" w:hanging="265"/>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198" w:lineRule="exact"/>
        <w:rPr>
          <w:sz w:val="20"/>
          <w:szCs w:val="20"/>
          <w:color w:val="auto"/>
        </w:rPr>
      </w:pPr>
    </w:p>
    <w:p>
      <w:pPr>
        <w:ind w:left="360" w:right="100" w:firstLine="215"/>
        <w:spacing w:after="0" w:line="25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48" w:lineRule="exact"/>
        <w:rPr>
          <w:sz w:val="20"/>
          <w:szCs w:val="20"/>
          <w:color w:val="auto"/>
        </w:rPr>
      </w:pPr>
    </w:p>
    <w:p>
      <w:pPr>
        <w:ind w:left="360" w:firstLine="215"/>
        <w:spacing w:after="0" w:line="264"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340"/>
        <w:spacing w:after="0" w:line="308" w:lineRule="auto"/>
        <w:rPr>
          <w:sz w:val="20"/>
          <w:szCs w:val="20"/>
          <w:color w:val="auto"/>
        </w:rPr>
      </w:pPr>
      <w:r>
        <w:rPr>
          <w:rFonts w:ascii="Arial" w:cs="Arial" w:eastAsia="Arial" w:hAnsi="Arial"/>
          <w:sz w:val="17"/>
          <w:szCs w:val="17"/>
          <w:color w:val="auto"/>
        </w:rPr>
        <w:t>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20" w:lineRule="exact"/>
        <w:rPr>
          <w:sz w:val="20"/>
          <w:szCs w:val="20"/>
          <w:color w:val="auto"/>
        </w:rPr>
      </w:pPr>
    </w:p>
    <w:p>
      <w:pPr>
        <w:ind w:left="360" w:firstLine="215"/>
        <w:spacing w:after="0" w:line="293"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24" w:lineRule="exact"/>
        <w:rPr>
          <w:rFonts w:ascii="Arial" w:cs="Arial" w:eastAsia="Arial" w:hAnsi="Arial"/>
          <w:sz w:val="16"/>
          <w:szCs w:val="16"/>
          <w:color w:val="auto"/>
        </w:rPr>
      </w:pPr>
    </w:p>
    <w:p>
      <w:pPr>
        <w:ind w:left="360" w:right="60" w:firstLine="215"/>
        <w:spacing w:after="0" w:line="312"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106" w:lineRule="exact"/>
        <w:rPr>
          <w:rFonts w:ascii="Arial" w:cs="Arial" w:eastAsia="Arial" w:hAnsi="Arial"/>
          <w:sz w:val="16"/>
          <w:szCs w:val="16"/>
          <w:color w:val="auto"/>
        </w:rPr>
      </w:pPr>
    </w:p>
    <w:p>
      <w:pPr>
        <w:ind w:left="360" w:firstLine="215"/>
        <w:spacing w:after="0" w:line="297"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3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Registrant has purchased insurance coverage under a policy which insures directors and officers against certain liabilities which might be incurred by them in such capacity.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Exemption from Registration Claimed</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Index to Exhibits attached hereto and beginning at page 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Undertakings</w:t>
      </w:r>
      <w:r>
        <w:rPr>
          <w:rFonts w:ascii="Arial" w:cs="Arial" w:eastAsia="Arial" w:hAnsi="Arial"/>
          <w:sz w:val="18"/>
          <w:szCs w:val="18"/>
          <w:color w:val="auto"/>
        </w:rPr>
        <w:t>.</w:t>
      </w:r>
    </w:p>
    <w:p>
      <w:pPr>
        <w:spacing w:after="0" w:line="22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5560" w:right="1700" w:hanging="5336"/>
        <w:spacing w:after="0" w:line="528" w:lineRule="auto"/>
        <w:tabs>
          <w:tab w:leader="none" w:pos="6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360" w:hanging="447"/>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60" w:hanging="447"/>
        <w:spacing w:after="0" w:line="272" w:lineRule="auto"/>
        <w:tabs>
          <w:tab w:leader="none" w:pos="1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60" w:right="220" w:hanging="447"/>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020" w:right="180"/>
        <w:spacing w:after="0" w:line="286" w:lineRule="auto"/>
        <w:rPr>
          <w:sz w:val="20"/>
          <w:szCs w:val="20"/>
          <w:color w:val="auto"/>
        </w:rPr>
      </w:pPr>
      <w:r>
        <w:rPr>
          <w:rFonts w:ascii="Arial" w:cs="Arial" w:eastAsia="Arial" w:hAnsi="Arial"/>
          <w:sz w:val="17"/>
          <w:szCs w:val="17"/>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6" w:lineRule="exact"/>
        <w:rPr>
          <w:sz w:val="20"/>
          <w:szCs w:val="20"/>
          <w:color w:val="auto"/>
        </w:rPr>
      </w:pPr>
    </w:p>
    <w:p>
      <w:pPr>
        <w:ind w:left="1020" w:right="40" w:hanging="445"/>
        <w:spacing w:after="0" w:line="264"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1020" w:right="700" w:hanging="445"/>
        <w:spacing w:after="0" w:line="27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60" w:right="240" w:hanging="252"/>
        <w:spacing w:after="0" w:line="259"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ind w:left="260" w:right="20" w:hanging="252"/>
        <w:spacing w:after="0" w:line="255"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appropriate jurisdiction the question whether such indemnification by it is against public policy as expressed in the Act and will be governed by the final adjudication of such issue.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[Remainder of page intentionally left blank; signatures on following page.]</w:t>
      </w:r>
    </w:p>
    <w:p>
      <w:pPr>
        <w:spacing w:after="0" w:line="18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Registration Statement to be signed on its behalf by the undersigned, thereunto duly authorized, in the City of Marysville, State of Ohio, on the 9th day of May, 2005.</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Hagedorn, President,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Officer and Chairman of the Board</w:t>
      </w:r>
    </w:p>
    <w:p>
      <w:pPr>
        <w:spacing w:after="0" w:line="386"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Registration Statement has been signed by the following persons in the capacities indicated on May 9, 2005.</w:t>
      </w:r>
    </w:p>
    <w:p>
      <w:pPr>
        <w:spacing w:after="0" w:line="342" w:lineRule="exact"/>
        <w:rPr>
          <w:sz w:val="20"/>
          <w:szCs w:val="20"/>
          <w:color w:val="auto"/>
        </w:rPr>
      </w:pPr>
    </w:p>
    <w:p>
      <w:pPr>
        <w:spacing w:after="0"/>
        <w:tabs>
          <w:tab w:leader="none" w:pos="87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 *Mark R. Baker</w:t>
            </w:r>
          </w:p>
        </w:tc>
        <w:tc>
          <w:tcPr>
            <w:tcW w:w="1660" w:type="dxa"/>
            <w:vAlign w:val="bottom"/>
          </w:tcPr>
          <w:p>
            <w:pPr>
              <w:spacing w:after="0"/>
              <w:rPr>
                <w:sz w:val="20"/>
                <w:szCs w:val="20"/>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Mark R. Baker</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*Lynn J. Beasley</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Lynn J. Beasley</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*Gordon F. Brunner</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Gordon F. Brunner</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*Arnold W. Donald</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Arnold W. Donald</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*Joseph P. Flannery</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Joseph P. Flannery</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/s/ James Hagedorn</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President, Chief Executive Officer and Chairman of the Board</w:t>
            </w:r>
          </w:p>
        </w:tc>
        <w:tc>
          <w:tcPr>
            <w:tcW w:w="0" w:type="dxa"/>
            <w:vAlign w:val="bottom"/>
          </w:tcPr>
          <w:p>
            <w:pPr>
              <w:spacing w:after="0"/>
              <w:rPr>
                <w:sz w:val="1"/>
                <w:szCs w:val="1"/>
                <w:color w:val="auto"/>
              </w:rPr>
            </w:pPr>
          </w:p>
        </w:tc>
      </w:tr>
      <w:tr>
        <w:trPr>
          <w:trHeight w:val="109"/>
        </w:trPr>
        <w:tc>
          <w:tcPr>
            <w:tcW w:w="40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5700" w:type="dxa"/>
            <w:vAlign w:val="bottom"/>
            <w:vMerge w:val="restart"/>
          </w:tcPr>
          <w:p>
            <w:pPr>
              <w:ind w:left="560"/>
              <w:spacing w:after="0"/>
              <w:rPr>
                <w:sz w:val="20"/>
                <w:szCs w:val="20"/>
                <w:color w:val="auto"/>
              </w:rPr>
            </w:pPr>
            <w:r>
              <w:rPr>
                <w:rFonts w:ascii="Arial" w:cs="Arial" w:eastAsia="Arial" w:hAnsi="Arial"/>
                <w:sz w:val="18"/>
                <w:szCs w:val="18"/>
                <w:color w:val="auto"/>
              </w:rPr>
              <w:t>(Principal Executive Officer) and Director</w:t>
            </w:r>
          </w:p>
        </w:tc>
        <w:tc>
          <w:tcPr>
            <w:tcW w:w="0" w:type="dxa"/>
            <w:vAlign w:val="bottom"/>
          </w:tcPr>
          <w:p>
            <w:pPr>
              <w:spacing w:after="0"/>
              <w:rPr>
                <w:sz w:val="1"/>
                <w:szCs w:val="1"/>
                <w:color w:val="auto"/>
              </w:rPr>
            </w:pPr>
          </w:p>
        </w:tc>
      </w:tr>
      <w:tr>
        <w:trPr>
          <w:trHeight w:val="102"/>
        </w:trPr>
        <w:tc>
          <w:tcPr>
            <w:tcW w:w="4060" w:type="dxa"/>
            <w:vAlign w:val="bottom"/>
            <w:vMerge w:val="restart"/>
          </w:tcPr>
          <w:p>
            <w:pPr>
              <w:spacing w:after="0"/>
              <w:rPr>
                <w:sz w:val="20"/>
                <w:szCs w:val="20"/>
                <w:color w:val="auto"/>
              </w:rPr>
            </w:pPr>
            <w:r>
              <w:rPr>
                <w:rFonts w:ascii="Arial" w:cs="Arial" w:eastAsia="Arial" w:hAnsi="Arial"/>
                <w:sz w:val="18"/>
                <w:szCs w:val="18"/>
                <w:color w:val="auto"/>
              </w:rPr>
              <w:t>James Hagedorn</w:t>
            </w:r>
          </w:p>
        </w:tc>
        <w:tc>
          <w:tcPr>
            <w:tcW w:w="166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4060" w:type="dxa"/>
            <w:vAlign w:val="bottom"/>
          </w:tcPr>
          <w:p>
            <w:pPr>
              <w:spacing w:after="0"/>
              <w:rPr>
                <w:sz w:val="20"/>
                <w:szCs w:val="20"/>
                <w:color w:val="auto"/>
              </w:rPr>
            </w:pPr>
            <w:r>
              <w:rPr>
                <w:rFonts w:ascii="Arial" w:cs="Arial" w:eastAsia="Arial" w:hAnsi="Arial"/>
                <w:sz w:val="18"/>
                <w:szCs w:val="18"/>
                <w:color w:val="auto"/>
              </w:rPr>
              <w:t>/s/ *Katherine Hagedorn Littlefield</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/s/ Christopher L. Nagel</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Executive Vice President and Chief Financial Officer (Principal</w:t>
            </w:r>
          </w:p>
        </w:tc>
        <w:tc>
          <w:tcPr>
            <w:tcW w:w="0" w:type="dxa"/>
            <w:vAlign w:val="bottom"/>
          </w:tcPr>
          <w:p>
            <w:pPr>
              <w:spacing w:after="0"/>
              <w:rPr>
                <w:sz w:val="1"/>
                <w:szCs w:val="1"/>
                <w:color w:val="auto"/>
              </w:rPr>
            </w:pPr>
          </w:p>
        </w:tc>
      </w:tr>
      <w:tr>
        <w:trPr>
          <w:trHeight w:val="109"/>
        </w:trPr>
        <w:tc>
          <w:tcPr>
            <w:tcW w:w="40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5700" w:type="dxa"/>
            <w:vAlign w:val="bottom"/>
            <w:vMerge w:val="restart"/>
          </w:tcPr>
          <w:p>
            <w:pPr>
              <w:ind w:left="560"/>
              <w:spacing w:after="0"/>
              <w:rPr>
                <w:sz w:val="20"/>
                <w:szCs w:val="20"/>
                <w:color w:val="auto"/>
              </w:rPr>
            </w:pPr>
            <w:r>
              <w:rPr>
                <w:rFonts w:ascii="Arial" w:cs="Arial" w:eastAsia="Arial" w:hAnsi="Arial"/>
                <w:sz w:val="18"/>
                <w:szCs w:val="18"/>
                <w:color w:val="auto"/>
              </w:rPr>
              <w:t>Officer and Principal Accounting Officer)</w:t>
            </w:r>
          </w:p>
        </w:tc>
        <w:tc>
          <w:tcPr>
            <w:tcW w:w="0" w:type="dxa"/>
            <w:vAlign w:val="bottom"/>
          </w:tcPr>
          <w:p>
            <w:pPr>
              <w:spacing w:after="0"/>
              <w:rPr>
                <w:sz w:val="1"/>
                <w:szCs w:val="1"/>
                <w:color w:val="auto"/>
              </w:rPr>
            </w:pPr>
          </w:p>
        </w:tc>
      </w:tr>
      <w:tr>
        <w:trPr>
          <w:trHeight w:val="102"/>
        </w:trPr>
        <w:tc>
          <w:tcPr>
            <w:tcW w:w="4060" w:type="dxa"/>
            <w:vAlign w:val="bottom"/>
            <w:vMerge w:val="restart"/>
          </w:tcPr>
          <w:p>
            <w:pPr>
              <w:spacing w:after="0"/>
              <w:rPr>
                <w:sz w:val="20"/>
                <w:szCs w:val="20"/>
                <w:color w:val="auto"/>
              </w:rPr>
            </w:pPr>
            <w:r>
              <w:rPr>
                <w:rFonts w:ascii="Arial" w:cs="Arial" w:eastAsia="Arial" w:hAnsi="Arial"/>
                <w:sz w:val="18"/>
                <w:szCs w:val="18"/>
                <w:color w:val="auto"/>
              </w:rPr>
              <w:t>Christopher L. Nagel</w:t>
            </w:r>
          </w:p>
        </w:tc>
        <w:tc>
          <w:tcPr>
            <w:tcW w:w="166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060" w:type="dxa"/>
            <w:vAlign w:val="bottom"/>
          </w:tcPr>
          <w:p>
            <w:pPr>
              <w:spacing w:after="0"/>
              <w:rPr>
                <w:sz w:val="24"/>
                <w:szCs w:val="24"/>
                <w:color w:val="auto"/>
              </w:rPr>
            </w:pPr>
          </w:p>
        </w:tc>
        <w:tc>
          <w:tcPr>
            <w:tcW w:w="7360" w:type="dxa"/>
            <w:vAlign w:val="bottom"/>
            <w:gridSpan w:val="2"/>
          </w:tcPr>
          <w:p>
            <w:pPr>
              <w:jc w:val="right"/>
              <w:ind w:right="54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40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tabs>
          <w:tab w:leader="none" w:pos="87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 *Patrick J. Norton</w:t>
            </w:r>
          </w:p>
        </w:tc>
        <w:tc>
          <w:tcPr>
            <w:tcW w:w="1160" w:type="dxa"/>
            <w:vAlign w:val="bottom"/>
          </w:tcPr>
          <w:p>
            <w:pPr>
              <w:ind w:left="560"/>
              <w:spacing w:after="0"/>
              <w:rPr>
                <w:sz w:val="20"/>
                <w:szCs w:val="20"/>
                <w:color w:val="auto"/>
              </w:rPr>
            </w:pPr>
            <w:r>
              <w:rPr>
                <w:rFonts w:ascii="Arial" w:cs="Arial" w:eastAsia="Arial" w:hAnsi="Arial"/>
                <w:sz w:val="18"/>
                <w:szCs w:val="18"/>
                <w:color w:val="auto"/>
                <w:w w:val="91"/>
              </w:rPr>
              <w:t>Director</w:t>
            </w:r>
          </w:p>
        </w:tc>
      </w:tr>
      <w:tr>
        <w:trPr>
          <w:trHeight w:val="95"/>
        </w:trPr>
        <w:tc>
          <w:tcPr>
            <w:tcW w:w="57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291"/>
        </w:trPr>
        <w:tc>
          <w:tcPr>
            <w:tcW w:w="5720" w:type="dxa"/>
            <w:vAlign w:val="bottom"/>
          </w:tcPr>
          <w:p>
            <w:pPr>
              <w:spacing w:after="0"/>
              <w:rPr>
                <w:sz w:val="20"/>
                <w:szCs w:val="20"/>
                <w:color w:val="auto"/>
              </w:rPr>
            </w:pPr>
            <w:r>
              <w:rPr>
                <w:rFonts w:ascii="Arial" w:cs="Arial" w:eastAsia="Arial" w:hAnsi="Arial"/>
                <w:sz w:val="18"/>
                <w:szCs w:val="18"/>
                <w:color w:val="auto"/>
              </w:rPr>
              <w:t>Patrick J. Norton</w:t>
            </w:r>
          </w:p>
        </w:tc>
        <w:tc>
          <w:tcPr>
            <w:tcW w:w="1160" w:type="dxa"/>
            <w:vAlign w:val="bottom"/>
          </w:tcPr>
          <w:p>
            <w:pPr>
              <w:spacing w:after="0"/>
              <w:rPr>
                <w:sz w:val="24"/>
                <w:szCs w:val="24"/>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/s/ *Stephanie M. Shern</w:t>
            </w:r>
          </w:p>
        </w:tc>
        <w:tc>
          <w:tcPr>
            <w:tcW w:w="1160" w:type="dxa"/>
            <w:vAlign w:val="bottom"/>
          </w:tcPr>
          <w:p>
            <w:pPr>
              <w:ind w:left="560"/>
              <w:spacing w:after="0"/>
              <w:rPr>
                <w:sz w:val="20"/>
                <w:szCs w:val="20"/>
                <w:color w:val="auto"/>
              </w:rPr>
            </w:pPr>
            <w:r>
              <w:rPr>
                <w:rFonts w:ascii="Arial" w:cs="Arial" w:eastAsia="Arial" w:hAnsi="Arial"/>
                <w:sz w:val="18"/>
                <w:szCs w:val="18"/>
                <w:color w:val="auto"/>
                <w:w w:val="91"/>
              </w:rPr>
              <w:t>Director</w:t>
            </w:r>
          </w:p>
        </w:tc>
      </w:tr>
      <w:tr>
        <w:trPr>
          <w:trHeight w:val="95"/>
        </w:trPr>
        <w:tc>
          <w:tcPr>
            <w:tcW w:w="57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291"/>
        </w:trPr>
        <w:tc>
          <w:tcPr>
            <w:tcW w:w="5720" w:type="dxa"/>
            <w:vAlign w:val="bottom"/>
          </w:tcPr>
          <w:p>
            <w:pPr>
              <w:spacing w:after="0"/>
              <w:rPr>
                <w:sz w:val="20"/>
                <w:szCs w:val="20"/>
                <w:color w:val="auto"/>
              </w:rPr>
            </w:pPr>
            <w:r>
              <w:rPr>
                <w:rFonts w:ascii="Arial" w:cs="Arial" w:eastAsia="Arial" w:hAnsi="Arial"/>
                <w:sz w:val="18"/>
                <w:szCs w:val="18"/>
                <w:color w:val="auto"/>
              </w:rPr>
              <w:t>Stephanie M. Shern</w:t>
            </w:r>
          </w:p>
        </w:tc>
        <w:tc>
          <w:tcPr>
            <w:tcW w:w="1160" w:type="dxa"/>
            <w:vAlign w:val="bottom"/>
          </w:tcPr>
          <w:p>
            <w:pPr>
              <w:spacing w:after="0"/>
              <w:rPr>
                <w:sz w:val="24"/>
                <w:szCs w:val="24"/>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/s/ *John M. Sullivan</w:t>
            </w:r>
          </w:p>
        </w:tc>
        <w:tc>
          <w:tcPr>
            <w:tcW w:w="1160" w:type="dxa"/>
            <w:vAlign w:val="bottom"/>
          </w:tcPr>
          <w:p>
            <w:pPr>
              <w:ind w:left="560"/>
              <w:spacing w:after="0"/>
              <w:rPr>
                <w:sz w:val="20"/>
                <w:szCs w:val="20"/>
                <w:color w:val="auto"/>
              </w:rPr>
            </w:pPr>
            <w:r>
              <w:rPr>
                <w:rFonts w:ascii="Arial" w:cs="Arial" w:eastAsia="Arial" w:hAnsi="Arial"/>
                <w:sz w:val="18"/>
                <w:szCs w:val="18"/>
                <w:color w:val="auto"/>
                <w:w w:val="91"/>
              </w:rPr>
              <w:t>Director</w:t>
            </w:r>
          </w:p>
        </w:tc>
      </w:tr>
      <w:tr>
        <w:trPr>
          <w:trHeight w:val="95"/>
        </w:trPr>
        <w:tc>
          <w:tcPr>
            <w:tcW w:w="57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291"/>
        </w:trPr>
        <w:tc>
          <w:tcPr>
            <w:tcW w:w="5720" w:type="dxa"/>
            <w:vAlign w:val="bottom"/>
          </w:tcPr>
          <w:p>
            <w:pPr>
              <w:spacing w:after="0"/>
              <w:rPr>
                <w:sz w:val="20"/>
                <w:szCs w:val="20"/>
                <w:color w:val="auto"/>
              </w:rPr>
            </w:pPr>
            <w:r>
              <w:rPr>
                <w:rFonts w:ascii="Arial" w:cs="Arial" w:eastAsia="Arial" w:hAnsi="Arial"/>
                <w:sz w:val="18"/>
                <w:szCs w:val="18"/>
                <w:color w:val="auto"/>
              </w:rPr>
              <w:t>John M. Sullivan</w:t>
            </w: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46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By James Hagedorn pursuant to Powers of Attorney executed by the directors and executive officers identified above, which Powers of Attorney have been filed with the Securities and Exchange Commission as exhibits to this Post-Effective Amendment No. 1 to Registration Statement on Form S-8.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James Hagedorn, Attorney-in-Fact</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INDEX TO EXHIBITS</w:t>
            </w:r>
          </w:p>
        </w:tc>
      </w:tr>
      <w:tr>
        <w:trPr>
          <w:trHeight w:val="574"/>
        </w:trPr>
        <w:tc>
          <w:tcPr>
            <w:tcW w:w="1380" w:type="dxa"/>
            <w:vAlign w:val="bottom"/>
            <w:gridSpan w:val="2"/>
          </w:tcPr>
          <w:p>
            <w:pPr>
              <w:jc w:val="right"/>
              <w:ind w:right="610"/>
              <w:spacing w:after="0"/>
              <w:rPr>
                <w:sz w:val="20"/>
                <w:szCs w:val="20"/>
                <w:color w:val="auto"/>
              </w:rPr>
            </w:pPr>
            <w:r>
              <w:rPr>
                <w:rFonts w:ascii="Arial" w:cs="Arial" w:eastAsia="Arial" w:hAnsi="Arial"/>
                <w:sz w:val="14"/>
                <w:szCs w:val="14"/>
                <w:color w:val="auto"/>
                <w:w w:val="97"/>
              </w:rPr>
              <w:t>Exhibit No.</w:t>
            </w:r>
          </w:p>
        </w:tc>
        <w:tc>
          <w:tcPr>
            <w:tcW w:w="240" w:type="dxa"/>
            <w:vAlign w:val="bottom"/>
          </w:tcPr>
          <w:p>
            <w:pPr>
              <w:spacing w:after="0"/>
              <w:rPr>
                <w:sz w:val="24"/>
                <w:szCs w:val="24"/>
                <w:color w:val="auto"/>
              </w:rPr>
            </w:pPr>
          </w:p>
        </w:tc>
        <w:tc>
          <w:tcPr>
            <w:tcW w:w="3240" w:type="dxa"/>
            <w:vAlign w:val="bottom"/>
          </w:tcPr>
          <w:p>
            <w:pPr>
              <w:ind w:left="2180"/>
              <w:spacing w:after="0"/>
              <w:rPr>
                <w:sz w:val="20"/>
                <w:szCs w:val="20"/>
                <w:color w:val="auto"/>
              </w:rPr>
            </w:pPr>
            <w:r>
              <w:rPr>
                <w:rFonts w:ascii="Arial" w:cs="Arial" w:eastAsia="Arial" w:hAnsi="Arial"/>
                <w:sz w:val="14"/>
                <w:szCs w:val="14"/>
                <w:color w:val="auto"/>
              </w:rPr>
              <w:t>Description</w:t>
            </w:r>
          </w:p>
        </w:tc>
        <w:tc>
          <w:tcPr>
            <w:tcW w:w="1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jc w:val="right"/>
              <w:ind w:right="490"/>
              <w:spacing w:after="0" w:line="195"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6"/>
                <w:szCs w:val="16"/>
                <w:color w:val="auto"/>
              </w:rPr>
            </w:pPr>
          </w:p>
        </w:tc>
        <w:tc>
          <w:tcPr>
            <w:tcW w:w="50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4"/>
              </w:rPr>
              <w:t>Initial Articles of Incorporation of The Scotts Miracle-Gro Company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9"/>
              </w:rPr>
              <w:t>as filed with the Ohio Secretary of State on November 22, 2004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700" w:type="dxa"/>
            <w:vAlign w:val="bottom"/>
          </w:tcPr>
          <w:p>
            <w:pPr>
              <w:jc w:val="center"/>
              <w:ind w:right="310"/>
              <w:spacing w:after="0"/>
              <w:rPr>
                <w:sz w:val="20"/>
                <w:szCs w:val="20"/>
                <w:color w:val="auto"/>
              </w:rPr>
            </w:pPr>
            <w:r>
              <w:rPr>
                <w:rFonts w:ascii="Arial" w:cs="Arial" w:eastAsia="Arial" w:hAnsi="Arial"/>
                <w:sz w:val="18"/>
                <w:szCs w:val="18"/>
                <w:color w:val="auto"/>
                <w:w w:val="87"/>
              </w:rPr>
              <w:t>4.2</w:t>
            </w:r>
          </w:p>
        </w:tc>
        <w:tc>
          <w:tcPr>
            <w:tcW w:w="5260" w:type="dxa"/>
            <w:vAlign w:val="bottom"/>
          </w:tcPr>
          <w:p>
            <w:pPr>
              <w:ind w:left="380"/>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16"/>
        </w:trPr>
        <w:tc>
          <w:tcPr>
            <w:tcW w:w="700" w:type="dxa"/>
            <w:vAlign w:val="bottom"/>
          </w:tcPr>
          <w:p>
            <w:pPr>
              <w:spacing w:after="0"/>
              <w:rPr>
                <w:sz w:val="18"/>
                <w:szCs w:val="18"/>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w w:val="92"/>
              </w:rPr>
              <w:t>Incorporation of The Scotts Miracle-Gro Company as filed with the</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Ohio Secretary of State on March 18, 2005</w:t>
            </w:r>
          </w:p>
        </w:tc>
      </w:tr>
      <w:tr>
        <w:trPr>
          <w:trHeight w:val="432"/>
        </w:trPr>
        <w:tc>
          <w:tcPr>
            <w:tcW w:w="700" w:type="dxa"/>
            <w:vAlign w:val="bottom"/>
          </w:tcPr>
          <w:p>
            <w:pPr>
              <w:jc w:val="center"/>
              <w:ind w:right="310"/>
              <w:spacing w:after="0"/>
              <w:rPr>
                <w:sz w:val="20"/>
                <w:szCs w:val="20"/>
                <w:color w:val="auto"/>
              </w:rPr>
            </w:pPr>
            <w:r>
              <w:rPr>
                <w:rFonts w:ascii="Arial" w:cs="Arial" w:eastAsia="Arial" w:hAnsi="Arial"/>
                <w:sz w:val="18"/>
                <w:szCs w:val="18"/>
                <w:color w:val="auto"/>
                <w:w w:val="87"/>
              </w:rPr>
              <w:t>4.3</w:t>
            </w:r>
          </w:p>
        </w:tc>
        <w:tc>
          <w:tcPr>
            <w:tcW w:w="5260" w:type="dxa"/>
            <w:vAlign w:val="bottom"/>
          </w:tcPr>
          <w:p>
            <w:pPr>
              <w:ind w:left="380"/>
              <w:spacing w:after="0"/>
              <w:rPr>
                <w:sz w:val="20"/>
                <w:szCs w:val="20"/>
                <w:color w:val="auto"/>
              </w:rPr>
            </w:pPr>
            <w:r>
              <w:rPr>
                <w:rFonts w:ascii="Arial" w:cs="Arial" w:eastAsia="Arial" w:hAnsi="Arial"/>
                <w:sz w:val="18"/>
                <w:szCs w:val="18"/>
                <w:color w:val="auto"/>
              </w:rPr>
              <w:t>Code of Regulations of The Scotts Miracle-Gro Company</w:t>
            </w:r>
          </w:p>
        </w:tc>
      </w:tr>
      <w:tr>
        <w:trPr>
          <w:trHeight w:val="648"/>
        </w:trPr>
        <w:tc>
          <w:tcPr>
            <w:tcW w:w="700" w:type="dxa"/>
            <w:vAlign w:val="bottom"/>
          </w:tcPr>
          <w:p>
            <w:pPr>
              <w:jc w:val="center"/>
              <w:ind w:right="310"/>
              <w:spacing w:after="0"/>
              <w:rPr>
                <w:sz w:val="20"/>
                <w:szCs w:val="20"/>
                <w:color w:val="auto"/>
              </w:rPr>
            </w:pPr>
            <w:r>
              <w:rPr>
                <w:rFonts w:ascii="Arial" w:cs="Arial" w:eastAsia="Arial" w:hAnsi="Arial"/>
                <w:sz w:val="18"/>
                <w:szCs w:val="18"/>
                <w:color w:val="auto"/>
                <w:w w:val="87"/>
              </w:rPr>
              <w:t>5.1</w:t>
            </w:r>
          </w:p>
        </w:tc>
        <w:tc>
          <w:tcPr>
            <w:tcW w:w="5260" w:type="dxa"/>
            <w:vAlign w:val="bottom"/>
          </w:tcPr>
          <w:p>
            <w:pPr>
              <w:ind w:left="380"/>
              <w:spacing w:after="0"/>
              <w:rPr>
                <w:sz w:val="20"/>
                <w:szCs w:val="20"/>
                <w:color w:val="auto"/>
              </w:rPr>
            </w:pPr>
            <w:r>
              <w:rPr>
                <w:rFonts w:ascii="Arial" w:cs="Arial" w:eastAsia="Arial" w:hAnsi="Arial"/>
                <w:sz w:val="18"/>
                <w:szCs w:val="18"/>
                <w:color w:val="auto"/>
                <w:w w:val="90"/>
              </w:rPr>
              <w:t>Opinion of Vorys, Sater, Seymour and Pease LLP regarding legality</w:t>
            </w:r>
          </w:p>
        </w:tc>
      </w:tr>
      <w:tr>
        <w:trPr>
          <w:trHeight w:val="418"/>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10.1</w:t>
            </w:r>
          </w:p>
        </w:tc>
        <w:tc>
          <w:tcPr>
            <w:tcW w:w="5260" w:type="dxa"/>
            <w:vAlign w:val="bottom"/>
          </w:tcPr>
          <w:p>
            <w:pPr>
              <w:ind w:left="380"/>
              <w:spacing w:after="0"/>
              <w:rPr>
                <w:sz w:val="20"/>
                <w:szCs w:val="20"/>
                <w:color w:val="auto"/>
              </w:rPr>
            </w:pPr>
            <w:r>
              <w:rPr>
                <w:rFonts w:ascii="Arial" w:cs="Arial" w:eastAsia="Arial" w:hAnsi="Arial"/>
                <w:sz w:val="18"/>
                <w:szCs w:val="18"/>
                <w:color w:val="auto"/>
                <w:w w:val="90"/>
              </w:rPr>
              <w:t>Amendment to The Scotts Company 1996 Stock Option Plan (2005</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Amendment)</w:t>
            </w:r>
          </w:p>
        </w:tc>
      </w:tr>
      <w:tr>
        <w:trPr>
          <w:trHeight w:val="418"/>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23.1</w:t>
            </w:r>
          </w:p>
        </w:tc>
        <w:tc>
          <w:tcPr>
            <w:tcW w:w="5260" w:type="dxa"/>
            <w:vAlign w:val="bottom"/>
          </w:tcPr>
          <w:p>
            <w:pPr>
              <w:ind w:left="380"/>
              <w:spacing w:after="0"/>
              <w:rPr>
                <w:sz w:val="20"/>
                <w:szCs w:val="20"/>
                <w:color w:val="auto"/>
              </w:rPr>
            </w:pPr>
            <w:r>
              <w:rPr>
                <w:rFonts w:ascii="Arial" w:cs="Arial" w:eastAsia="Arial" w:hAnsi="Arial"/>
                <w:sz w:val="18"/>
                <w:szCs w:val="18"/>
                <w:color w:val="auto"/>
                <w:w w:val="92"/>
              </w:rPr>
              <w:t>Consent of PricewaterhouseCoopers LLP, independent registered</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public accounting firm</w:t>
            </w:r>
          </w:p>
        </w:tc>
      </w:tr>
      <w:tr>
        <w:trPr>
          <w:trHeight w:val="432"/>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23.2</w:t>
            </w:r>
          </w:p>
        </w:tc>
        <w:tc>
          <w:tcPr>
            <w:tcW w:w="5260" w:type="dxa"/>
            <w:vAlign w:val="bottom"/>
          </w:tcPr>
          <w:p>
            <w:pPr>
              <w:ind w:left="380"/>
              <w:spacing w:after="0"/>
              <w:rPr>
                <w:sz w:val="20"/>
                <w:szCs w:val="20"/>
                <w:color w:val="auto"/>
              </w:rPr>
            </w:pPr>
            <w:r>
              <w:rPr>
                <w:rFonts w:ascii="Arial" w:cs="Arial" w:eastAsia="Arial" w:hAnsi="Arial"/>
                <w:sz w:val="18"/>
                <w:szCs w:val="18"/>
                <w:color w:val="auto"/>
              </w:rPr>
              <w:t>Consent of Vorys, Sater, Seymour and Pease LLP</w:t>
            </w:r>
          </w:p>
        </w:tc>
      </w:tr>
      <w:tr>
        <w:trPr>
          <w:trHeight w:val="418"/>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24.1</w:t>
            </w:r>
          </w:p>
        </w:tc>
        <w:tc>
          <w:tcPr>
            <w:tcW w:w="5260" w:type="dxa"/>
            <w:vAlign w:val="bottom"/>
          </w:tcPr>
          <w:p>
            <w:pPr>
              <w:ind w:left="380"/>
              <w:spacing w:after="0"/>
              <w:rPr>
                <w:sz w:val="20"/>
                <w:szCs w:val="20"/>
                <w:color w:val="auto"/>
              </w:rPr>
            </w:pPr>
            <w:r>
              <w:rPr>
                <w:rFonts w:ascii="Arial" w:cs="Arial" w:eastAsia="Arial" w:hAnsi="Arial"/>
                <w:sz w:val="18"/>
                <w:szCs w:val="18"/>
                <w:color w:val="auto"/>
                <w:w w:val="99"/>
              </w:rPr>
              <w:t>Powers of Attorney of Executive Officers and Directors of The</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Scotts Miracle-Gro Company</w:t>
            </w:r>
          </w:p>
        </w:tc>
      </w:tr>
      <w:tr>
        <w:trPr>
          <w:trHeight w:val="392"/>
        </w:trPr>
        <w:tc>
          <w:tcPr>
            <w:tcW w:w="700" w:type="dxa"/>
            <w:vAlign w:val="bottom"/>
          </w:tcPr>
          <w:p>
            <w:pPr>
              <w:spacing w:after="0"/>
              <w:rPr>
                <w:sz w:val="24"/>
                <w:szCs w:val="24"/>
                <w:color w:val="auto"/>
              </w:rPr>
            </w:pPr>
          </w:p>
        </w:tc>
        <w:tc>
          <w:tcPr>
            <w:tcW w:w="5260" w:type="dxa"/>
            <w:vAlign w:val="bottom"/>
          </w:tcPr>
          <w:p>
            <w:pPr>
              <w:ind w:left="432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Incorporated herein by reference to Exhibit 3.1 to the Current Report on Form 8-K of The Scotts Miracle-Gro Company dated and filed with the Securities and Exchange Commission on March 24, 2005 (File No. 1-13292) (the “March 24, 2005 Form 8-K”)</w:t>
      </w:r>
    </w:p>
    <w:p>
      <w:pPr>
        <w:spacing w:after="0" w:line="194"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Incorporated herein by reference to Exhibit 3.2 to the March 24, 2005 Form 8-K (File No. 1-13292)</w:t>
      </w:r>
    </w:p>
    <w:p>
      <w:pPr>
        <w:spacing w:after="0" w:line="36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Incorporated herein by reference to Exhibit 3.3 to the March 24, 2005 Form 8-K (File No. 1-13292)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as part of 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640" w:space="220"/>
            <w:col w:w="4460"/>
          </w:cols>
          <w:pgMar w:left="240" w:top="419"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(614) 464-6400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9,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1996 Stock Option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have acted as counsel to The Scotts Miracle-Gro Company, an Ohio corporation (the “Company”), in connection with the preparation of Post-Effective Amendment No. 1 (“Post-Effective Amendment No. 1”) to Registration Statements on Form S-8 (Registration Nos. 333-06061; 333-27561 and 333-76697) (the “Registration Statements”), which Post-Effective Amendment No. 1 was filed by the Company with the Securities and Exchange Commission on the date hereof pursuant to Rule 414 promulgated under the provisions of the Securities Act of 1933, as amended (the “Act”), with respect to the Company’s adoption of The Scotts Miracle-Gro Company 1996 Stock Option Plan (formerly known as The Scotts Company 1996 Stock Option Plan), as amended (the “Plan”), in the Company’s capacity as the successor issuer to The Scotts Company, an Ohio corporation (“Scotts”).</w:t>
      </w:r>
    </w:p>
    <w:p>
      <w:pPr>
        <w:spacing w:after="0" w:line="151"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connection with rendering this opinion, we have examined an original or copy of, and have relied upon the accuracy of, without independent verification or investigation: (a) Post-Effective Amendment No. 1; (b) the Registration Statements; (c) the Agreement and Plan of Merger, dated as of December 13, 2004, by and among Scotts, The Scotts Company LLC (“Scotts LLC”) and the Company; (d) the Plan; (e) the Company’s Articles of Incorporation, as amended (the “Articles”); (f) the Company’s Code of Regulations (the “Regulations”); (g) certain corporate records of each of the Company and Scotts, including resolutions adopted by the directors and by the shareholders of each of the Company and Scotts; and (h) certain limited liability records of Scotts LLC, including resolutions adopted by the manager of Scotts LLC. We have also relied upon such representations of the Company, Scotts and Scotts LLC and officers of the Company, Scotts and Scotts LLC and examined such authorities of law as we have deemed relevant as a basis for this opinion.</w:t>
      </w:r>
    </w:p>
    <w:p>
      <w:pPr>
        <w:spacing w:after="0" w:line="12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our examination of the aforesaid documents, we have assumed, without independent investigation, the genuineness of all signatures, the legal capacity of all individuals who have executed any of the aforesaid documents, the authenticity of all documents submitted to us as originals, the conformity with originals of all documents submitted to us as copies (and the authenticity of the originals of such copies), and the accuracy and completeness of all public records reviewed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have relied solely upon the examinations and inquiries recited herein, and, except for the examinations and inquiries recited herein, we have not undertaken any independent investigation to determine the existence or absence of any facts, and no inference as to our knowledge concerning such facts should be drawn.</w:t>
      </w:r>
    </w:p>
    <w:p>
      <w:pPr>
        <w:spacing w:after="0" w:line="141" w:lineRule="exact"/>
        <w:rPr>
          <w:sz w:val="20"/>
          <w:szCs w:val="20"/>
          <w:color w:val="auto"/>
        </w:rPr>
      </w:pPr>
    </w:p>
    <w:p>
      <w:pPr>
        <w:ind w:right="100" w:firstLine="215"/>
        <w:spacing w:after="0" w:line="342" w:lineRule="auto"/>
        <w:rPr>
          <w:sz w:val="20"/>
          <w:szCs w:val="20"/>
          <w:color w:val="auto"/>
        </w:rPr>
      </w:pPr>
      <w:r>
        <w:rPr>
          <w:rFonts w:ascii="Arial" w:cs="Arial" w:eastAsia="Arial" w:hAnsi="Arial"/>
          <w:sz w:val="16"/>
          <w:szCs w:val="16"/>
          <w:color w:val="auto"/>
        </w:rPr>
        <w:t>As used herein, the phrase “validly issued” means that particular action has been authorized by all necessary corporate action of the Company and that the Company has the corporate authority to take such action under Chapter 1701 of the Ohio Revised Code and the Company’s Articles and Regulations.</w:t>
      </w:r>
    </w:p>
    <w:p>
      <w:pPr>
        <w:spacing w:after="0" w:line="8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Based upon and subject to the foregoing and the further qualifications and limitations set forth below, as of the date hereof, we are of the opinion that the common shares, without par value, of the Company (the “Common Shares”) available for issuance under the Plan, when issued, delivered and paid for in accordance with the terms and conditions of the Plan and the applicable award agreements with participants in the Plan, will be validly issued, fully paid and non-assessable, assuming compliance with applicable securities laws.</w:t>
      </w:r>
    </w:p>
    <w:p>
      <w:pPr>
        <w:spacing w:after="0" w:line="160" w:lineRule="exact"/>
        <w:rPr>
          <w:sz w:val="20"/>
          <w:szCs w:val="20"/>
          <w:color w:val="auto"/>
        </w:rPr>
      </w:pPr>
    </w:p>
    <w:p>
      <w:pPr>
        <w:jc w:val="both"/>
        <w:ind w:right="300" w:firstLine="222"/>
        <w:spacing w:after="0" w:line="342" w:lineRule="auto"/>
        <w:rPr>
          <w:sz w:val="20"/>
          <w:szCs w:val="20"/>
          <w:color w:val="auto"/>
        </w:rPr>
      </w:pPr>
      <w:r>
        <w:rPr>
          <w:rFonts w:ascii="Arial" w:cs="Arial" w:eastAsia="Arial" w:hAnsi="Arial"/>
          <w:sz w:val="16"/>
          <w:szCs w:val="16"/>
          <w:color w:val="auto"/>
        </w:rPr>
        <w:t>We are members of the Bar of the State of Ohio and do not purport to be experts in the laws of any jurisdiction other than the laws of the State of Ohio, including the applicable provisions of the Ohio Constitution and the reported judicial decisions interpreting those laws, and the United States of America.</w:t>
      </w:r>
    </w:p>
    <w:p>
      <w:pPr>
        <w:spacing w:after="0" w:line="8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opinion is based upon the laws and legal interpretations in effect, and the facts and circumstances existing, on the date hereof, and we assume no obligation to revise or supplement this opinion should any such law or legal interpretation be changed by legislative action, judicial interpretation or otherwise or should there be any change in such facts or circumstances.</w:t>
      </w:r>
    </w:p>
    <w:p>
      <w:pPr>
        <w:spacing w:after="0" w:line="14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This opinion is furnished by us solely for the benefit of the Company in connection with the offering of Common Shares pursuant to the Plan and the filing of Post-Effective Amendment No. 1 and any further amendments to the Registration Statements. This opinion may not be relied upon by any other person or assigned, quoted or otherwise used without our specific written consent.</w:t>
      </w:r>
    </w:p>
    <w:p>
      <w:pPr>
        <w:spacing w:after="0" w:line="15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Notwithstanding the foregoing, we consent to the filing of this opinion as an exhibit to Post-Effective Amendment No. 1 and to the reference to us therein. By giving such consent, we do not thereby admit that we come within the category of persons whose consent is required under Section 7 of the Act or the rules and regulations promulgated under the Act.</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VORYS, SATER, SEYMOUR AND PEASE LLP</w:t>
      </w:r>
    </w:p>
    <w:p>
      <w:pPr>
        <w:sectPr>
          <w:pgSz w:w="11900" w:h="16838" w:orient="portrait"/>
          <w:cols w:equalWidth="0" w:num="1">
            <w:col w:w="11420"/>
          </w:cols>
          <w:pgMar w:left="240" w:top="93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 1996 STOCK OPTION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AMENDMENT</w:t>
      </w:r>
    </w:p>
    <w:p>
      <w:pPr>
        <w:spacing w:after="0" w:line="185"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shareholders of The Scotts Company (“Scotts”) previously approved the adoption of The Scotts Company 1996 Stock Option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w:t>
      </w:r>
    </w:p>
    <w:p>
      <w:pPr>
        <w:spacing w:after="0" w:line="121"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(“Scotts LLC”), pursuant to the Agreement and Plan of Merger, dated as of December 13, 2004 (the “Merger Agreement”), by and among Scotts, Scotts LLC and The Scotts Miracle-Gro Company (the “Company”); and</w:t>
      </w:r>
    </w:p>
    <w:p>
      <w:pPr>
        <w:spacing w:after="0" w:line="153"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Merger Agreement, the Company assumed, as of the Effective Time, the Plan and all obligations and liabilities of Scotts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and</w:t>
      </w:r>
    </w:p>
    <w:p>
      <w:pPr>
        <w:spacing w:after="0" w:line="121" w:lineRule="exact"/>
        <w:rPr>
          <w:sz w:val="20"/>
          <w:szCs w:val="20"/>
          <w:color w:val="auto"/>
        </w:rPr>
      </w:pPr>
    </w:p>
    <w:p>
      <w:pPr>
        <w:jc w:val="both"/>
        <w:ind w:right="18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9 of the Plan provides that the Company’s Board of Directors (the “Board”) may amend the Plan at any time without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except to the extent that shareholder approval is required to satisfy applicable requirements imposed by Rule 16b-3 under the Securities Exchange Act of 1934, as amended; applicable requirements of the Internal Revenue Code of 1986, as amended; or any securities exchange, market or other quotation system on or through which the Company’s securities are listed or traded; and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has resolved to amend the Plan to reflect the Company’s assumption of the Plan;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Plan is amended effective as of the Effective Time as follows:</w:t>
      </w:r>
    </w:p>
    <w:p>
      <w:pPr>
        <w:spacing w:after="0" w:line="189" w:lineRule="exact"/>
        <w:rPr>
          <w:sz w:val="20"/>
          <w:szCs w:val="20"/>
          <w:color w:val="auto"/>
        </w:rPr>
      </w:pPr>
    </w:p>
    <w:p>
      <w:pPr>
        <w:ind w:left="400" w:hanging="16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Miracle-Gro Company 1996 Stock Option Plan.”</w:t>
      </w:r>
    </w:p>
    <w:p>
      <w:pPr>
        <w:spacing w:after="0" w:line="184" w:lineRule="exact"/>
        <w:rPr>
          <w:rFonts w:ascii="Arial" w:cs="Arial" w:eastAsia="Arial" w:hAnsi="Arial"/>
          <w:sz w:val="18"/>
          <w:szCs w:val="18"/>
          <w:color w:val="auto"/>
        </w:rPr>
      </w:pPr>
    </w:p>
    <w:p>
      <w:pPr>
        <w:ind w:right="380" w:firstLine="233"/>
        <w:spacing w:after="0" w:line="277"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2.1(k) of the Plan is amended and restated, in its entirety, to read as follows: “Company” means The Scotts Miracle-Gro Company, an Ohio corporation, and any successor thereto.</w:t>
      </w:r>
    </w:p>
    <w:p>
      <w:pPr>
        <w:spacing w:after="0" w:line="143" w:lineRule="exact"/>
        <w:rPr>
          <w:rFonts w:ascii="Arial" w:cs="Arial" w:eastAsia="Arial" w:hAnsi="Arial"/>
          <w:sz w:val="18"/>
          <w:szCs w:val="18"/>
          <w:color w:val="auto"/>
        </w:rPr>
      </w:pPr>
    </w:p>
    <w:p>
      <w:pPr>
        <w:ind w:right="40" w:firstLine="233"/>
        <w:spacing w:after="0" w:line="277"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2.1(s) of the Plan is amended and restated to read, in its entirety, as follows: “Plan” means The Scotts Miracle-Gro Company 1996 Stock Option Plan, as in effect from time to time.</w:t>
      </w:r>
    </w:p>
    <w:p>
      <w:pPr>
        <w:spacing w:after="0" w:line="126"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Amendment to be executed as of the 6th day of May, 2005, to be effective as of March 18,</w:t>
      </w:r>
      <w:r>
        <w:rPr>
          <w:rFonts w:ascii="Arial" w:cs="Arial" w:eastAsia="Arial" w:hAnsi="Arial"/>
          <w:sz w:val="18"/>
          <w:szCs w:val="18"/>
          <w:b w:val="1"/>
          <w:bCs w:val="1"/>
          <w:color w:val="auto"/>
        </w:rPr>
        <w:t xml:space="preserve"> </w:t>
      </w:r>
      <w:r>
        <w:rPr>
          <w:rFonts w:ascii="Arial" w:cs="Arial" w:eastAsia="Arial" w:hAnsi="Arial"/>
          <w:sz w:val="18"/>
          <w:szCs w:val="18"/>
          <w:color w:val="auto"/>
        </w:rPr>
        <w:t>2005.</w:t>
      </w:r>
    </w:p>
    <w:p>
      <w:pPr>
        <w:spacing w:after="0" w:line="1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THE SCOTTS MIRACLE-GRO COMPANY</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EVP and Chief Financial Officer</w:t>
      </w:r>
    </w:p>
    <w:p>
      <w:pPr>
        <w:sectPr>
          <w:pgSz w:w="11900" w:h="16838" w:orient="portrait"/>
          <w:cols w:equalWidth="0" w:num="1">
            <w:col w:w="11420"/>
          </w:cols>
          <w:pgMar w:left="240" w:top="93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November 22, 2004 relating to the financial statements, which appears in The Scotts Company’s Annual Report on Form 10-K for the fiscal year ended September 30, 2004. We also consent to the incorporation by reference of our report dated November 22, 2004 related to the financial statement schedule, which appears in such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2005</w:t>
      </w:r>
    </w:p>
    <w:p>
      <w:pPr>
        <w:sectPr>
          <w:pgSz w:w="11900" w:h="16838" w:orient="portrait"/>
          <w:cols w:equalWidth="0" w:num="1">
            <w:col w:w="11420"/>
          </w:cols>
          <w:pgMar w:left="240" w:top="931"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u w:val="single" w:color="auto"/>
          <w:color w:val="auto"/>
        </w:rPr>
        <w:t>EXHIBIT 24.1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Baker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Lynn J. Beasley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Lynn J.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Gordon F. Brunner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Arnold W. Donald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P. Flannery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and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Post-Effective Amendment No. 1 to Registration Statements on Form S-8</w:t>
      </w:r>
      <w:r>
        <w:rPr>
          <w:rFonts w:ascii="Arial" w:cs="Arial" w:eastAsia="Arial" w:hAnsi="Arial"/>
          <w:sz w:val="17"/>
          <w:szCs w:val="17"/>
          <w:color w:val="auto"/>
        </w:rPr>
        <w:t xml:space="preserve"> (Registration Nos. 333-06061, 333-27561 and 333-76697) for the registration 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Katherine Hagedorn Littlefield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and </w:t>
      </w:r>
      <w:r>
        <w:rPr>
          <w:rFonts w:ascii="Arial" w:cs="Arial" w:eastAsia="Arial" w:hAnsi="Arial"/>
          <w:sz w:val="17"/>
          <w:szCs w:val="17"/>
          <w:b w:val="1"/>
          <w:bCs w:val="1"/>
          <w:color w:val="auto"/>
        </w:rPr>
        <w:t>David M. Aronowitz</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6th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 Nagel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J. Norton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Stephanie M. Shern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M. Sullivan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420"/>
      </w:cols>
      <w:pgMar w:left="240" w:top="1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1)"/>
      <w:numFmt w:val="upperLetter"/>
      <w:start w:val="1"/>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2"/>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decimal"/>
      <w:start w:val="6"/>
    </w:lvl>
  </w:abstractNum>
  <w:abstractNum w:abstractNumId="14">
    <w:nsid w:val="431BD7B7"/>
    <w:multiLevelType w:val="hybridMultilevel"/>
    <w:lvl w:ilvl="0">
      <w:lvlJc w:val="left"/>
      <w:lvlText w:val="(%1)"/>
      <w:numFmt w:val="decimal"/>
      <w:start w:val="7"/>
    </w:lvl>
  </w:abstractNum>
  <w:abstractNum w:abstractNumId="15">
    <w:nsid w:val="3F2DBA31"/>
    <w:multiLevelType w:val="hybridMultilevel"/>
    <w:lvl w:ilvl="0">
      <w:lvlJc w:val="left"/>
      <w:lvlText w:val="%1."/>
      <w:numFmt w:val="upperLetter"/>
      <w:start w:val="1"/>
    </w:lvl>
    <w:lvl w:ilvl="1">
      <w:lvlJc w:val="left"/>
      <w:lvlText w:val="(%2)"/>
      <w:numFmt w:val="lowerLetter"/>
      <w:start w:val="12"/>
    </w:lvl>
  </w:abstractNum>
  <w:abstractNum w:abstractNumId="16">
    <w:nsid w:val="7C83E458"/>
    <w:multiLevelType w:val="hybridMultilevel"/>
    <w:lvl w:ilvl="0">
      <w:lvlJc w:val="left"/>
      <w:lvlText w:val="(%1)"/>
      <w:numFmt w:val="lowerRoman"/>
      <w:start w:val="1"/>
    </w:lvl>
  </w:abstractNum>
  <w:abstractNum w:abstractNumId="17">
    <w:nsid w:val="257130A3"/>
    <w:multiLevelType w:val="hybridMultilevel"/>
    <w:lvl w:ilvl="0">
      <w:lvlJc w:val="left"/>
      <w:lvlText w:val="%1"/>
      <w:numFmt w:val="upperLetter"/>
      <w:start w:val="1"/>
    </w:lvl>
    <w:lvl w:ilvl="1">
      <w:lvlJc w:val="left"/>
      <w:lvlText w:val="(%2)"/>
      <w:numFmt w:val="decimal"/>
      <w:start w:val="2"/>
    </w:lvl>
  </w:abstractNum>
  <w:abstractNum w:abstractNumId="18">
    <w:nsid w:val="62BBD95A"/>
    <w:multiLevelType w:val="hybridMultilevel"/>
    <w:lvl w:ilvl="0">
      <w:lvlJc w:val="left"/>
      <w:lvlText w:val="%1."/>
      <w:numFmt w:val="upperLetter"/>
      <w:start w:val="2"/>
    </w:lvl>
    <w:lvl w:ilvl="1">
      <w:lvlJc w:val="left"/>
      <w:lvlText w:val="%2"/>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2019-12-20T06:17:02Z</dcterms:created>
  <dcterms:modified xsi:type="dcterms:W3CDTF">2019-12-20T06:17:02Z</dcterms:modified>
</cp:coreProperties>
</file>