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 C. 20549</w:t>
      </w:r>
    </w:p>
    <w:p>
      <w:pPr>
        <w:spacing w:after="0" w:line="269"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5" w:lineRule="exact"/>
        <w:rPr>
          <w:sz w:val="24"/>
          <w:szCs w:val="24"/>
          <w:color w:val="auto"/>
        </w:rPr>
      </w:pPr>
    </w:p>
    <w:p>
      <w:pPr>
        <w:ind w:left="820" w:right="1159" w:hanging="488"/>
        <w:spacing w:after="0" w:line="563"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2007</w:t>
      </w:r>
    </w:p>
    <w:p>
      <w:pPr>
        <w:spacing w:after="0" w:line="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ectPr>
          <w:pgSz w:w="11900" w:h="16838" w:orient="portrait"/>
          <w:cols w:equalWidth="0" w:num="1">
            <w:col w:w="10219"/>
          </w:cols>
          <w:pgMar w:left="240" w:top="477" w:right="1440" w:bottom="1440" w:gutter="0" w:footer="0" w:header="0"/>
        </w:sectPr>
      </w:pPr>
    </w:p>
    <w:p>
      <w:pPr>
        <w:spacing w:after="0" w:line="28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spacing w:after="0" w:line="605" w:lineRule="auto"/>
        <w:rPr>
          <w:sz w:val="20"/>
          <w:szCs w:val="20"/>
          <w:color w:val="auto"/>
        </w:rPr>
      </w:pPr>
      <w:r>
        <w:rPr>
          <w:rFonts w:ascii="Arial" w:cs="Arial" w:eastAsia="Arial" w:hAnsi="Arial"/>
          <w:sz w:val="17"/>
          <w:szCs w:val="17"/>
          <w:b w:val="1"/>
          <w:bCs w:val="1"/>
          <w:color w:val="auto"/>
        </w:rPr>
        <w:t>TRANSITION REPORT PURSUANT TO SECTION 15(d) OF THE SECURITIES FOR THE TRANSITION PERIOD FROM ________________ TO 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4248150</wp:posOffset>
            </wp:positionH>
            <wp:positionV relativeFrom="paragraph">
              <wp:posOffset>-184785</wp:posOffset>
            </wp:positionV>
            <wp:extent cx="28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EXCHANGE ACT OF 1934</w:t>
      </w:r>
    </w:p>
    <w:p>
      <w:pPr>
        <w:spacing w:after="0" w:line="791" w:lineRule="exact"/>
        <w:rPr>
          <w:sz w:val="24"/>
          <w:szCs w:val="24"/>
          <w:color w:val="auto"/>
        </w:rPr>
      </w:pPr>
    </w:p>
    <w:p>
      <w:pPr>
        <w:sectPr>
          <w:pgSz w:w="11900" w:h="16838" w:orient="portrait"/>
          <w:cols w:equalWidth="0" w:num="3">
            <w:col w:w="420" w:space="400"/>
            <w:col w:w="6700" w:space="300"/>
            <w:col w:w="2399"/>
          </w:cols>
          <w:pgMar w:left="240" w:top="477" w:right="1440"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COMMISSION FILE NUMBER 033-47073</w:t>
      </w:r>
    </w:p>
    <w:p>
      <w:pPr>
        <w:spacing w:after="0" w:line="283" w:lineRule="exact"/>
        <w:rPr>
          <w:sz w:val="24"/>
          <w:szCs w:val="24"/>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the address of the plan, if different from that of the issuer named below:</w:t>
      </w:r>
    </w:p>
    <w:p>
      <w:pPr>
        <w:spacing w:after="0" w:line="333"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The Scotts Company LLC Retirement Savings Plan</w:t>
      </w:r>
    </w:p>
    <w:p>
      <w:pPr>
        <w:spacing w:after="0" w:line="279" w:lineRule="exact"/>
        <w:rPr>
          <w:sz w:val="24"/>
          <w:szCs w:val="24"/>
          <w:color w:val="auto"/>
        </w:rPr>
      </w:pPr>
    </w:p>
    <w:p>
      <w:pPr>
        <w:ind w:left="820"/>
        <w:spacing w:after="0"/>
        <w:tabs>
          <w:tab w:leader="none" w:pos="11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33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14111 Scottslawn Road</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Marysville, Ohio 43041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77" w:right="1440" w:bottom="1440" w:gutter="0" w:footer="0" w:header="0"/>
          <w:type w:val="continuous"/>
        </w:sectPr>
      </w:pPr>
    </w:p>
    <w:bookmarkStart w:id="1" w:name="page2"/>
    <w:bookmarkEnd w:id="1"/>
    <w:p>
      <w:pPr>
        <w:ind w:left="4940"/>
        <w:spacing w:after="0"/>
        <w:rPr>
          <w:sz w:val="20"/>
          <w:szCs w:val="20"/>
          <w:color w:val="auto"/>
        </w:rPr>
      </w:pPr>
      <w:r>
        <w:rPr>
          <w:rFonts w:ascii="Arial" w:cs="Arial" w:eastAsia="Arial" w:hAnsi="Arial"/>
          <w:sz w:val="18"/>
          <w:szCs w:val="18"/>
          <w:color w:val="auto"/>
        </w:rPr>
        <w:t>REQUIRED INFORMATION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financial statements and supplemental schedule for The Scotts Company LLC Retirement Savings Plan are being filed herewith: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Audited Financial Statements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Statement of Net Assets Available for Benefits as of December 31, 2007 and 2006</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Statement of Changes in Net Assets Available for Benefits for the Years Ended December 31, 2007 and 2006</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Schedule: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Schedule of Assets Held for Investment Purposes at End of Year</w:t>
            </w:r>
          </w:p>
        </w:tc>
      </w:tr>
      <w:tr>
        <w:trPr>
          <w:trHeight w:val="47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w w:val="90"/>
              </w:rPr>
              <w:t>Note: Other supplemental schedules required by Section 252.103-10 of the Department of Labor’s Rules and Regulations for Reporting and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Disclosure under ERISA have been omitted because they are not applicable.</w:t>
            </w:r>
          </w:p>
        </w:tc>
      </w:tr>
      <w:tr>
        <w:trPr>
          <w:trHeight w:val="486"/>
        </w:trPr>
        <w:tc>
          <w:tcPr>
            <w:tcW w:w="11420" w:type="dxa"/>
            <w:vAlign w:val="bottom"/>
            <w:gridSpan w:val="3"/>
          </w:tcPr>
          <w:p>
            <w:pPr>
              <w:spacing w:after="0"/>
              <w:rPr>
                <w:sz w:val="20"/>
                <w:szCs w:val="20"/>
                <w:color w:val="auto"/>
              </w:rPr>
            </w:pPr>
            <w:r>
              <w:rPr>
                <w:rFonts w:ascii="Arial" w:cs="Arial" w:eastAsia="Arial" w:hAnsi="Arial"/>
                <w:sz w:val="18"/>
                <w:szCs w:val="18"/>
                <w:color w:val="auto"/>
              </w:rPr>
              <w:t>The following exhibit is being filed herewith:</w:t>
            </w:r>
          </w:p>
        </w:tc>
      </w:tr>
      <w:tr>
        <w:trPr>
          <w:trHeight w:val="493"/>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240" w:type="dxa"/>
            <w:vAlign w:val="bottom"/>
          </w:tcPr>
          <w:p>
            <w:pPr>
              <w:spacing w:after="0"/>
              <w:rPr>
                <w:sz w:val="24"/>
                <w:szCs w:val="2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 Meaden &amp; Moore, Ltd.</w:t>
            </w:r>
          </w:p>
        </w:tc>
      </w:tr>
      <w:tr>
        <w:trPr>
          <w:trHeight w:val="486"/>
        </w:trPr>
        <w:tc>
          <w:tcPr>
            <w:tcW w:w="920" w:type="dxa"/>
            <w:vAlign w:val="bottom"/>
          </w:tcPr>
          <w:p>
            <w:pPr>
              <w:spacing w:after="0"/>
              <w:rPr>
                <w:sz w:val="24"/>
                <w:szCs w:val="24"/>
                <w:color w:val="auto"/>
              </w:rPr>
            </w:pPr>
          </w:p>
        </w:tc>
        <w:tc>
          <w:tcPr>
            <w:tcW w:w="10500" w:type="dxa"/>
            <w:vAlign w:val="bottom"/>
            <w:gridSpan w:val="2"/>
          </w:tcPr>
          <w:p>
            <w:pPr>
              <w:jc w:val="right"/>
              <w:ind w:right="5570"/>
              <w:spacing w:after="0"/>
              <w:rPr>
                <w:sz w:val="20"/>
                <w:szCs w:val="20"/>
                <w:color w:val="auto"/>
              </w:rPr>
            </w:pPr>
            <w:r>
              <w:rPr>
                <w:rFonts w:ascii="Arial" w:cs="Arial" w:eastAsia="Arial" w:hAnsi="Arial"/>
                <w:sz w:val="18"/>
                <w:szCs w:val="18"/>
                <w:color w:val="auto"/>
              </w:rPr>
              <w:t>2</w:t>
            </w:r>
          </w:p>
        </w:tc>
      </w:tr>
      <w:tr>
        <w:trPr>
          <w:trHeight w:val="118"/>
        </w:trPr>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June 26, 2008</w:t>
            </w:r>
          </w:p>
        </w:tc>
        <w:tc>
          <w:tcPr>
            <w:tcW w:w="3140" w:type="dxa"/>
            <w:vAlign w:val="bottom"/>
          </w:tcPr>
          <w:p>
            <w:pPr>
              <w:ind w:left="208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24"/>
        </w:trPr>
        <w:tc>
          <w:tcPr>
            <w:tcW w:w="3540" w:type="dxa"/>
            <w:vAlign w:val="bottom"/>
          </w:tcPr>
          <w:p>
            <w:pPr>
              <w:spacing w:after="0"/>
              <w:rPr>
                <w:sz w:val="19"/>
                <w:szCs w:val="19"/>
                <w:color w:val="auto"/>
              </w:rPr>
            </w:pPr>
          </w:p>
        </w:tc>
        <w:tc>
          <w:tcPr>
            <w:tcW w:w="7880" w:type="dxa"/>
            <w:vAlign w:val="bottom"/>
            <w:gridSpan w:val="2"/>
          </w:tcPr>
          <w:p>
            <w:pPr>
              <w:ind w:left="2080"/>
              <w:spacing w:after="0"/>
              <w:rPr>
                <w:sz w:val="20"/>
                <w:szCs w:val="20"/>
                <w:color w:val="auto"/>
              </w:rPr>
            </w:pPr>
            <w:r>
              <w:rPr>
                <w:rFonts w:ascii="Arial" w:cs="Arial" w:eastAsia="Arial" w:hAnsi="Arial"/>
                <w:sz w:val="18"/>
                <w:szCs w:val="18"/>
                <w:color w:val="auto"/>
              </w:rPr>
              <w:t>Printed Name:David C. Evans</w:t>
            </w:r>
          </w:p>
        </w:tc>
      </w:tr>
      <w:tr>
        <w:trPr>
          <w:trHeight w:val="472"/>
        </w:trPr>
        <w:tc>
          <w:tcPr>
            <w:tcW w:w="3540" w:type="dxa"/>
            <w:vAlign w:val="bottom"/>
          </w:tcPr>
          <w:p>
            <w:pPr>
              <w:spacing w:after="0"/>
              <w:rPr>
                <w:sz w:val="24"/>
                <w:szCs w:val="24"/>
                <w:color w:val="auto"/>
              </w:rPr>
            </w:pPr>
          </w:p>
        </w:tc>
        <w:tc>
          <w:tcPr>
            <w:tcW w:w="3140" w:type="dxa"/>
            <w:vAlign w:val="bottom"/>
          </w:tcPr>
          <w:p>
            <w:pPr>
              <w:ind w:left="208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Executive Vice President and Chief</w:t>
            </w:r>
          </w:p>
        </w:tc>
      </w:tr>
      <w:tr>
        <w:trPr>
          <w:trHeight w:val="243"/>
        </w:trPr>
        <w:tc>
          <w:tcPr>
            <w:tcW w:w="35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Financial Officer of The Scotts</w:t>
            </w:r>
          </w:p>
        </w:tc>
      </w:tr>
      <w:tr>
        <w:trPr>
          <w:trHeight w:val="243"/>
        </w:trPr>
        <w:tc>
          <w:tcPr>
            <w:tcW w:w="35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Miracle-Gro Company</w:t>
            </w:r>
          </w:p>
        </w:tc>
      </w:tr>
      <w:tr>
        <w:trPr>
          <w:trHeight w:val="486"/>
        </w:trPr>
        <w:tc>
          <w:tcPr>
            <w:tcW w:w="3540" w:type="dxa"/>
            <w:vAlign w:val="bottom"/>
          </w:tcPr>
          <w:p>
            <w:pPr>
              <w:spacing w:after="0"/>
              <w:rPr>
                <w:sz w:val="24"/>
                <w:szCs w:val="24"/>
                <w:color w:val="auto"/>
              </w:rPr>
            </w:pPr>
          </w:p>
        </w:tc>
        <w:tc>
          <w:tcPr>
            <w:tcW w:w="3140" w:type="dxa"/>
            <w:vAlign w:val="bottom"/>
          </w:tcPr>
          <w:p>
            <w:pPr>
              <w:jc w:val="right"/>
              <w:ind w:right="830"/>
              <w:spacing w:after="0"/>
              <w:rPr>
                <w:sz w:val="20"/>
                <w:szCs w:val="20"/>
                <w:color w:val="auto"/>
              </w:rPr>
            </w:pPr>
            <w:r>
              <w:rPr>
                <w:rFonts w:ascii="Arial" w:cs="Arial" w:eastAsia="Arial" w:hAnsi="Arial"/>
                <w:sz w:val="18"/>
                <w:szCs w:val="18"/>
                <w:color w:val="auto"/>
              </w:rPr>
              <w:t>3</w:t>
            </w:r>
          </w:p>
        </w:tc>
        <w:tc>
          <w:tcPr>
            <w:tcW w:w="4740" w:type="dxa"/>
            <w:vAlign w:val="bottom"/>
          </w:tcPr>
          <w:p>
            <w:pPr>
              <w:spacing w:after="0"/>
              <w:rPr>
                <w:sz w:val="24"/>
                <w:szCs w:val="24"/>
                <w:color w:val="auto"/>
              </w:rPr>
            </w:pPr>
          </w:p>
        </w:tc>
      </w:tr>
      <w:tr>
        <w:trPr>
          <w:trHeight w:val="118"/>
        </w:trPr>
        <w:tc>
          <w:tcPr>
            <w:tcW w:w="354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920" w:type="dxa"/>
            <w:vAlign w:val="bottom"/>
          </w:tcPr>
          <w:p>
            <w:pPr>
              <w:jc w:val="center"/>
              <w:ind w:right="590"/>
              <w:spacing w:after="0"/>
              <w:rPr>
                <w:sz w:val="20"/>
                <w:szCs w:val="20"/>
                <w:color w:val="auto"/>
              </w:rPr>
            </w:pPr>
            <w:r>
              <w:rPr>
                <w:rFonts w:ascii="Arial" w:cs="Arial" w:eastAsia="Arial" w:hAnsi="Arial"/>
                <w:sz w:val="18"/>
                <w:szCs w:val="18"/>
                <w:color w:val="auto"/>
                <w:w w:val="96"/>
              </w:rPr>
              <w:t>THE SCOTTS COMPANY LLC RETIREMENT SAVINGS PLAN</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920" w:type="dxa"/>
            <w:vAlign w:val="bottom"/>
          </w:tcPr>
          <w:p>
            <w:pPr>
              <w:jc w:val="center"/>
              <w:ind w:right="590"/>
              <w:spacing w:after="0"/>
              <w:rPr>
                <w:sz w:val="20"/>
                <w:szCs w:val="20"/>
                <w:color w:val="auto"/>
              </w:rPr>
            </w:pPr>
            <w:r>
              <w:rPr>
                <w:rFonts w:ascii="Arial" w:cs="Arial" w:eastAsia="Arial" w:hAnsi="Arial"/>
                <w:sz w:val="18"/>
                <w:szCs w:val="18"/>
                <w:color w:val="auto"/>
                <w:w w:val="97"/>
              </w:rPr>
              <w:t>INDEX TO THE 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920" w:type="dxa"/>
            <w:vAlign w:val="bottom"/>
          </w:tcPr>
          <w:p>
            <w:pPr>
              <w:jc w:val="center"/>
              <w:ind w:right="590"/>
              <w:spacing w:after="0"/>
              <w:rPr>
                <w:sz w:val="20"/>
                <w:szCs w:val="20"/>
                <w:color w:val="auto"/>
              </w:rPr>
            </w:pPr>
            <w:r>
              <w:rPr>
                <w:rFonts w:ascii="Arial" w:cs="Arial" w:eastAsia="Arial" w:hAnsi="Arial"/>
                <w:sz w:val="18"/>
                <w:szCs w:val="18"/>
                <w:color w:val="auto"/>
                <w:w w:val="89"/>
              </w:rPr>
              <w:t>December 31, 2007 and 2006</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PAGE NO.</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580" w:type="dxa"/>
            <w:vAlign w:val="bottom"/>
          </w:tcPr>
          <w:p>
            <w:pPr>
              <w:spacing w:after="0"/>
              <w:rPr>
                <w:sz w:val="21"/>
                <w:szCs w:val="21"/>
                <w:color w:val="auto"/>
              </w:rPr>
            </w:pPr>
          </w:p>
        </w:tc>
        <w:tc>
          <w:tcPr>
            <w:tcW w:w="8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580" w:type="dxa"/>
            <w:vAlign w:val="bottom"/>
          </w:tcPr>
          <w:p>
            <w:pPr>
              <w:spacing w:after="0"/>
              <w:rPr>
                <w:sz w:val="21"/>
                <w:szCs w:val="21"/>
                <w:color w:val="auto"/>
              </w:rPr>
            </w:pPr>
          </w:p>
        </w:tc>
        <w:tc>
          <w:tcPr>
            <w:tcW w:w="8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580" w:type="dxa"/>
            <w:vAlign w:val="bottom"/>
            <w:shd w:val="clear" w:color="auto" w:fill="CCFFCC"/>
          </w:tcPr>
          <w:p>
            <w:pPr>
              <w:spacing w:after="0"/>
              <w:rPr>
                <w:sz w:val="20"/>
                <w:szCs w:val="20"/>
                <w:color w:val="auto"/>
              </w:rPr>
            </w:pPr>
            <w:r>
              <w:rPr>
                <w:rFonts w:ascii="Arial" w:cs="Arial" w:eastAsia="Arial" w:hAnsi="Arial"/>
                <w:sz w:val="18"/>
                <w:szCs w:val="18"/>
                <w:color w:val="auto"/>
                <w:w w:val="90"/>
              </w:rPr>
              <w:t>Financial Statements:</w:t>
            </w:r>
          </w:p>
        </w:tc>
        <w:tc>
          <w:tcPr>
            <w:tcW w:w="89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Statement of Net Assets Available for Benefits</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tcPr>
          <w:p>
            <w:pPr>
              <w:ind w:left="640"/>
              <w:spacing w:after="0"/>
              <w:rPr>
                <w:sz w:val="20"/>
                <w:szCs w:val="20"/>
                <w:color w:val="auto"/>
              </w:rPr>
            </w:pPr>
            <w:r>
              <w:rPr>
                <w:rFonts w:ascii="Arial" w:cs="Arial" w:eastAsia="Arial" w:hAnsi="Arial"/>
                <w:sz w:val="18"/>
                <w:szCs w:val="18"/>
                <w:color w:val="auto"/>
              </w:rPr>
              <w:t>Statement of Changes in Net Assets Available for Benefits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Notes to Financial Statements</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8 - 16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50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0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Supplemental Schedule</w:t>
            </w:r>
          </w:p>
        </w:tc>
        <w:tc>
          <w:tcPr>
            <w:tcW w:w="9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50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Schedule of Assets Held for Investment Purposes at End of Year</w:t>
            </w:r>
          </w:p>
        </w:tc>
        <w:tc>
          <w:tcPr>
            <w:tcW w:w="9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580" w:type="dxa"/>
            <w:vAlign w:val="bottom"/>
          </w:tcPr>
          <w:p>
            <w:pPr>
              <w:ind w:left="640"/>
              <w:spacing w:after="0"/>
              <w:rPr>
                <w:sz w:val="20"/>
                <w:szCs w:val="20"/>
                <w:color w:val="auto"/>
              </w:rPr>
            </w:pPr>
            <w:r>
              <w:rPr>
                <w:rFonts w:ascii="Arial" w:cs="Arial" w:eastAsia="Arial" w:hAnsi="Arial"/>
                <w:sz w:val="18"/>
                <w:szCs w:val="18"/>
                <w:color w:val="auto"/>
              </w:rPr>
              <w:t>NOTE:</w:t>
            </w:r>
          </w:p>
        </w:tc>
        <w:tc>
          <w:tcPr>
            <w:tcW w:w="9820" w:type="dxa"/>
            <w:vAlign w:val="bottom"/>
            <w:gridSpan w:val="2"/>
          </w:tcPr>
          <w:p>
            <w:pPr>
              <w:ind w:left="20"/>
              <w:spacing w:after="0"/>
              <w:rPr>
                <w:sz w:val="20"/>
                <w:szCs w:val="20"/>
                <w:color w:val="auto"/>
              </w:rPr>
            </w:pPr>
            <w:r>
              <w:rPr>
                <w:rFonts w:ascii="Arial" w:cs="Arial" w:eastAsia="Arial" w:hAnsi="Arial"/>
                <w:sz w:val="18"/>
                <w:szCs w:val="18"/>
                <w:color w:val="auto"/>
                <w:w w:val="93"/>
              </w:rPr>
              <w:t>Other supplement schedules required by Section 252.103-10 of the Department of Labor’s Rules and Regulations for Reporting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rPr>
              <w:t>Disclosure and ERISA have been omitted because they are not applicable.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920" w:type="dxa"/>
            <w:vAlign w:val="bottom"/>
          </w:tcPr>
          <w:p>
            <w:pPr>
              <w:jc w:val="center"/>
              <w:ind w:right="610"/>
              <w:spacing w:after="0"/>
              <w:rPr>
                <w:sz w:val="20"/>
                <w:szCs w:val="20"/>
                <w:color w:val="auto"/>
              </w:rPr>
            </w:pPr>
            <w:r>
              <w:rPr>
                <w:rFonts w:ascii="Arial" w:cs="Arial" w:eastAsia="Arial" w:hAnsi="Arial"/>
                <w:sz w:val="18"/>
                <w:szCs w:val="18"/>
                <w:color w:val="auto"/>
                <w:w w:val="99"/>
              </w:rPr>
              <w:t>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89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Participants and Administrator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 Retirement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26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have audited the accompanying Statement of Net Assets Available for Benefits of THE SCOTTS COMPANY LLC RETIREMENT SAVINGS PLAN as of December 31, 2007 and 2006 and the related Statement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20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Scotts Company LLC Retirement Savings Plan as of December 31, 2007 and 2006 and the changes in its net assets available for benefits for the years then ended, in conformity with accounting principles generally accepted in the United States of America.</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 was performed for the purpose of forming an opinion on the financial statements taken as a whole. The accompanying supplemental schedule of assets (held at end of year) as of December 31, 2007, is presented for the purposes of additional analysis and is not a required part of the financial statements but is supplemental information required by the Department of Labor's Rules and Regulations for Reporting and Disclosure under the Employee Retirement Income Security Act of 1974. The supplemental schedule is the responsibility of the Plan's management. The supplemental information has been subjected to the auditing procedures applied in our audit of the financial statements and, in our opinion, is fairly stated in all material respects in relation to the financial statements taken as a whole.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MEADEN &amp; MOORE,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June 4, 2008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20" w:type="dxa"/>
            <w:vAlign w:val="bottom"/>
          </w:tcPr>
          <w:p>
            <w:pPr>
              <w:jc w:val="center"/>
              <w:ind w:left="2970"/>
              <w:spacing w:after="0"/>
              <w:rPr>
                <w:sz w:val="20"/>
                <w:szCs w:val="20"/>
                <w:color w:val="auto"/>
              </w:rPr>
            </w:pPr>
            <w:r>
              <w:rPr>
                <w:rFonts w:ascii="Arial" w:cs="Arial" w:eastAsia="Arial" w:hAnsi="Arial"/>
                <w:sz w:val="18"/>
                <w:szCs w:val="18"/>
                <w:color w:val="auto"/>
                <w:w w:val="95"/>
              </w:rPr>
              <w:t>STATEMENT OF NET ASSETS AVAILABLE FOR BENEFITS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8320" w:type="dxa"/>
            <w:vAlign w:val="bottom"/>
          </w:tcPr>
          <w:p>
            <w:pPr>
              <w:jc w:val="center"/>
              <w:ind w:left="2970"/>
              <w:spacing w:after="0"/>
              <w:rPr>
                <w:sz w:val="20"/>
                <w:szCs w:val="20"/>
                <w:color w:val="auto"/>
              </w:rPr>
            </w:pPr>
            <w:r>
              <w:rPr>
                <w:rFonts w:ascii="Arial" w:cs="Arial" w:eastAsia="Arial" w:hAnsi="Arial"/>
                <w:sz w:val="18"/>
                <w:szCs w:val="18"/>
                <w:color w:val="auto"/>
                <w:w w:val="92"/>
              </w:rPr>
              <w:t>The Scotts Company LLC</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jc w:val="center"/>
              <w:ind w:left="2970"/>
              <w:spacing w:after="0"/>
              <w:rPr>
                <w:sz w:val="20"/>
                <w:szCs w:val="20"/>
                <w:color w:val="auto"/>
              </w:rPr>
            </w:pPr>
            <w:r>
              <w:rPr>
                <w:rFonts w:ascii="Arial" w:cs="Arial" w:eastAsia="Arial" w:hAnsi="Arial"/>
                <w:sz w:val="18"/>
                <w:szCs w:val="18"/>
                <w:color w:val="auto"/>
                <w:w w:val="89"/>
              </w:rPr>
              <w:t>Retirement Savings Plan</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December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Receivables:</w:t>
            </w:r>
          </w:p>
        </w:tc>
        <w:tc>
          <w:tcPr>
            <w:tcW w:w="2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Employer contribution receivable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color w:val="auto"/>
              </w:rPr>
              <w:t>Employee contribution receivable</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675</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receivable</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19,403</w:t>
            </w:r>
          </w:p>
        </w:tc>
        <w:tc>
          <w:tcPr>
            <w:tcW w:w="10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44,704</w:t>
            </w:r>
          </w:p>
        </w:tc>
        <w:tc>
          <w:tcPr>
            <w:tcW w:w="0" w:type="dxa"/>
            <w:vAlign w:val="bottom"/>
          </w:tcPr>
          <w:p>
            <w:pPr>
              <w:spacing w:after="0"/>
              <w:rPr>
                <w:sz w:val="1"/>
                <w:szCs w:val="1"/>
                <w:color w:val="auto"/>
              </w:rPr>
            </w:pPr>
          </w:p>
        </w:tc>
      </w:tr>
      <w:tr>
        <w:trPr>
          <w:trHeight w:val="243"/>
        </w:trPr>
        <w:tc>
          <w:tcPr>
            <w:tcW w:w="834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CRM Small Cap Value Fund</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3,334,050</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3,094,157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Dodge and Cox Stock Fund</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17,596,623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15,501,108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EuroPacific Growth Fund-Class A</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19,174,580</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14,143,510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Fidelity Blue Chip Fund</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22,712,543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21,493,816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Fidelity Contrafund</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26,696,055</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21,571,540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Fidelity Freedom Income Fund</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1,134,444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819,344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Fidelity Freedom 2000 Fund</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1,071,999</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1,136,651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Fidelity Freedom 2005 Fund</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329,790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Fidelity Freedom 2010 Fund</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5,055,818</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4,489,628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Fidelity Freedom 2015 Fund</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535,376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Fidelity Freedom 2020 Fund</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10,950,002</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9,589,363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Fidelity Freedom 2025 Fund</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58,106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Fidelity Freedom 2030 Fund</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6,357,045</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5,735,821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Fidelity Freedom 2035 Fund</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210,102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Fidelity Freedom 2040 Fund</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2,050,515</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1,328,362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Fidelity Freedom 2045 Fund</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59,141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Fidelity Freedom 2050 Fund</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180,548</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Fidelity Low Price Stock Fund</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6,374,267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6,889,830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Fidelity Managed Income Portfolio</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25,182,677</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27,211,156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Fidelity Puritan Fund</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23,140,365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24,388,839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Managers Special Equity Fund</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13,468,313</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13,559,000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PIMCO Total Return Fund</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5,892,397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5,035,844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480"/>
              <w:spacing w:after="0"/>
              <w:rPr>
                <w:sz w:val="20"/>
                <w:szCs w:val="20"/>
                <w:color w:val="auto"/>
              </w:rPr>
            </w:pPr>
            <w:r>
              <w:rPr>
                <w:rFonts w:ascii="Arial" w:cs="Arial" w:eastAsia="Arial" w:hAnsi="Arial"/>
                <w:sz w:val="18"/>
                <w:szCs w:val="18"/>
                <w:color w:val="auto"/>
              </w:rPr>
              <w:t>Spartan U.S. Equity Index Fund</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19,832,975</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20,253,923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Pr>
          <w:p>
            <w:pPr>
              <w:ind w:left="480"/>
              <w:spacing w:after="0"/>
              <w:rPr>
                <w:sz w:val="20"/>
                <w:szCs w:val="20"/>
                <w:color w:val="auto"/>
              </w:rPr>
            </w:pPr>
            <w:r>
              <w:rPr>
                <w:rFonts w:ascii="Arial" w:cs="Arial" w:eastAsia="Arial" w:hAnsi="Arial"/>
                <w:sz w:val="18"/>
                <w:szCs w:val="18"/>
                <w:color w:val="auto"/>
              </w:rPr>
              <w:t>The Scotts Miracle-Gro Company Common Shares</w:t>
            </w: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16,449,323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16,686,541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Participant Loans</w:t>
            </w:r>
          </w:p>
        </w:tc>
        <w:tc>
          <w:tcPr>
            <w:tcW w:w="280" w:type="dxa"/>
            <w:vAlign w:val="bottom"/>
            <w:tcBorders>
              <w:bottom w:val="single" w:sz="8" w:color="auto"/>
            </w:tcBorders>
            <w:shd w:val="clear" w:color="auto" w:fill="CCFFCC"/>
          </w:tcPr>
          <w:p>
            <w:pPr>
              <w:spacing w:after="0"/>
              <w:rPr>
                <w:sz w:val="21"/>
                <w:szCs w:val="21"/>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6,123,133</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5,190,321</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800"/>
              <w:spacing w:after="0"/>
              <w:rPr>
                <w:sz w:val="20"/>
                <w:szCs w:val="20"/>
                <w:color w:val="auto"/>
              </w:rPr>
            </w:pPr>
            <w:r>
              <w:rPr>
                <w:rFonts w:ascii="Arial" w:cs="Arial" w:eastAsia="Arial" w:hAnsi="Arial"/>
                <w:sz w:val="18"/>
                <w:szCs w:val="18"/>
                <w:color w:val="auto"/>
              </w:rPr>
              <w:t>Total Investments</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233,970,187</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218,118,754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CCFFC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80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233,989,590</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218,163,458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20" w:type="dxa"/>
            <w:vAlign w:val="bottom"/>
            <w:tcBorders>
              <w:top w:val="single" w:sz="8" w:color="CCFFC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shd w:val="clear" w:color="auto" w:fill="CCFFCC"/>
          </w:tcPr>
          <w:p>
            <w:pPr>
              <w:ind w:left="800"/>
              <w:spacing w:after="0"/>
              <w:rPr>
                <w:sz w:val="20"/>
                <w:szCs w:val="20"/>
                <w:color w:val="auto"/>
              </w:rPr>
            </w:pPr>
            <w:r>
              <w:rPr>
                <w:rFonts w:ascii="Arial" w:cs="Arial" w:eastAsia="Arial" w:hAnsi="Arial"/>
                <w:sz w:val="18"/>
                <w:szCs w:val="18"/>
                <w:color w:val="auto"/>
              </w:rPr>
              <w:t>Net Assets Available for Benefits at Fair Value</w:t>
            </w:r>
          </w:p>
        </w:tc>
        <w:tc>
          <w:tcPr>
            <w:tcW w:w="28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233,989,590</w:t>
            </w:r>
          </w:p>
        </w:tc>
        <w:tc>
          <w:tcPr>
            <w:tcW w:w="10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218,163,458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280" w:type="dxa"/>
            <w:vAlign w:val="bottom"/>
            <w:tcBorders>
              <w:bottom w:val="single" w:sz="8" w:color="auto"/>
            </w:tcBorders>
            <w:shd w:val="clear" w:color="auto" w:fill="CCFFCC"/>
          </w:tcPr>
          <w:p>
            <w:pPr>
              <w:spacing w:after="0"/>
              <w:rPr>
                <w:sz w:val="21"/>
                <w:szCs w:val="21"/>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273,673</w:t>
            </w: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273,491</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520" w:type="dxa"/>
            <w:vAlign w:val="bottom"/>
            <w:gridSpan w:val="2"/>
          </w:tcPr>
          <w:p>
            <w:pPr>
              <w:spacing w:after="0"/>
              <w:rPr>
                <w:sz w:val="20"/>
                <w:szCs w:val="20"/>
                <w:color w:val="auto"/>
              </w:rPr>
            </w:pPr>
          </w:p>
        </w:tc>
        <w:tc>
          <w:tcPr>
            <w:tcW w:w="10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3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assets available for benefits</w:t>
            </w: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234,263,263</w:t>
            </w:r>
          </w:p>
        </w:tc>
        <w:tc>
          <w:tcPr>
            <w:tcW w:w="120" w:type="dxa"/>
            <w:vAlign w:val="bottom"/>
            <w:tcBorders>
              <w:bottom w:val="single" w:sz="8" w:color="CCFFCC"/>
            </w:tcBorders>
            <w:shd w:val="clear" w:color="auto" w:fill="CCFFCC"/>
          </w:tcPr>
          <w:p>
            <w:pPr>
              <w:spacing w:after="0"/>
              <w:rPr>
                <w:sz w:val="24"/>
                <w:szCs w:val="24"/>
                <w:color w:val="auto"/>
              </w:rPr>
            </w:pPr>
          </w:p>
        </w:tc>
        <w:tc>
          <w:tcPr>
            <w:tcW w:w="100" w:type="dxa"/>
            <w:vAlign w:val="bottom"/>
            <w:tcBorders>
              <w:bottom w:val="single" w:sz="8" w:color="CCFFCC"/>
            </w:tcBorders>
            <w:shd w:val="clear" w:color="auto" w:fill="CCFFCC"/>
          </w:tcPr>
          <w:p>
            <w:pPr>
              <w:spacing w:after="0"/>
              <w:rPr>
                <w:sz w:val="24"/>
                <w:szCs w:val="24"/>
                <w:color w:val="auto"/>
              </w:rPr>
            </w:pPr>
          </w:p>
        </w:tc>
        <w:tc>
          <w:tcPr>
            <w:tcW w:w="42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218,436,949</w:t>
            </w:r>
          </w:p>
        </w:tc>
        <w:tc>
          <w:tcPr>
            <w:tcW w:w="100" w:type="dxa"/>
            <w:vAlign w:val="bottom"/>
            <w:tcBorders>
              <w:bottom w:val="single" w:sz="8" w:color="CCFFCC"/>
            </w:tcBorders>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8340" w:type="dxa"/>
            <w:vAlign w:val="bottom"/>
            <w:gridSpan w:val="2"/>
          </w:tcPr>
          <w:p>
            <w:pPr>
              <w:spacing w:after="0"/>
              <w:rPr>
                <w:sz w:val="20"/>
                <w:szCs w:val="20"/>
                <w:color w:val="auto"/>
              </w:rPr>
            </w:pPr>
            <w:r>
              <w:rPr>
                <w:rFonts w:ascii="Arial" w:cs="Arial" w:eastAsia="Arial" w:hAnsi="Arial"/>
                <w:sz w:val="18"/>
                <w:szCs w:val="18"/>
                <w:i w:val="1"/>
                <w:iCs w:val="1"/>
                <w:color w:val="auto"/>
              </w:rPr>
              <w:t>See accompanying notes.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7"/>
          <w:szCs w:val="17"/>
          <w:color w:val="auto"/>
        </w:rPr>
        <w:t>STATEMENT OF CHANGES IN NET ASSETS AVAILABLE FOR BENEFITS</w:t>
      </w:r>
    </w:p>
    <w:p>
      <w:pPr>
        <w:spacing w:after="0" w:line="29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Additions to Net Assets Attributed to:</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Contributions:</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Employer</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Participant</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Rollovers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Year Ended December 31</w:t>
      </w:r>
    </w:p>
    <w:p>
      <w:pPr>
        <w:spacing w:after="0" w:line="32" w:lineRule="exact"/>
        <w:rPr>
          <w:sz w:val="20"/>
          <w:szCs w:val="20"/>
          <w:color w:val="auto"/>
        </w:rPr>
      </w:pPr>
    </w:p>
    <w:p>
      <w:pPr>
        <w:ind w:left="500"/>
        <w:spacing w:after="0"/>
        <w:tabs>
          <w:tab w:leader="none" w:pos="2100" w:val="left"/>
        </w:tabs>
        <w:rPr>
          <w:sz w:val="20"/>
          <w:szCs w:val="20"/>
          <w:color w:val="auto"/>
        </w:rPr>
      </w:pPr>
      <w:r>
        <w:rPr>
          <w:rFonts w:ascii="Arial" w:cs="Arial" w:eastAsia="Arial" w:hAnsi="Arial"/>
          <w:sz w:val="18"/>
          <w:szCs w:val="18"/>
          <w:b w:val="1"/>
          <w:bCs w:val="1"/>
          <w:color w:val="auto"/>
        </w:rPr>
        <w:t>2007</w:t>
      </w:r>
      <w:r>
        <w:rPr>
          <w:sz w:val="20"/>
          <w:szCs w:val="20"/>
          <w:color w:val="auto"/>
        </w:rPr>
        <w:tab/>
      </w:r>
      <w:r>
        <w:rPr>
          <w:rFonts w:ascii="Arial" w:cs="Arial" w:eastAsia="Arial" w:hAnsi="Arial"/>
          <w:sz w:val="18"/>
          <w:szCs w:val="18"/>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17145</wp:posOffset>
            </wp:positionV>
            <wp:extent cx="7246620"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540" w:val="left"/>
          <w:tab w:leader="none" w:pos="1580" w:val="left"/>
          <w:tab w:leader="none" w:pos="21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10,150,672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10,258,531</w:t>
      </w:r>
    </w:p>
    <w:p>
      <w:pPr>
        <w:spacing w:after="0" w:line="36" w:lineRule="exact"/>
        <w:rPr>
          <w:sz w:val="20"/>
          <w:szCs w:val="20"/>
          <w:color w:val="auto"/>
        </w:rPr>
      </w:pPr>
    </w:p>
    <w:p>
      <w:pPr>
        <w:jc w:val="both"/>
        <w:ind w:left="580"/>
        <w:spacing w:after="0"/>
        <w:tabs>
          <w:tab w:leader="none" w:pos="2140" w:val="left"/>
        </w:tabs>
        <w:rPr>
          <w:sz w:val="20"/>
          <w:szCs w:val="20"/>
          <w:color w:val="auto"/>
        </w:rPr>
      </w:pPr>
      <w:r>
        <w:rPr>
          <w:rFonts w:ascii="Arial" w:cs="Arial" w:eastAsia="Arial" w:hAnsi="Arial"/>
          <w:sz w:val="18"/>
          <w:szCs w:val="18"/>
          <w:b w:val="1"/>
          <w:bCs w:val="1"/>
          <w:color w:val="auto"/>
        </w:rPr>
        <w:t>11,335,621</w:t>
      </w:r>
      <w:r>
        <w:rPr>
          <w:sz w:val="20"/>
          <w:szCs w:val="20"/>
          <w:color w:val="auto"/>
        </w:rPr>
        <w:tab/>
      </w:r>
      <w:r>
        <w:rPr>
          <w:rFonts w:ascii="Arial" w:cs="Arial" w:eastAsia="Arial" w:hAnsi="Arial"/>
          <w:sz w:val="18"/>
          <w:szCs w:val="18"/>
          <w:color w:val="auto"/>
        </w:rPr>
        <w:t>10,752,334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17145</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6" w:lineRule="exact"/>
        <w:rPr>
          <w:sz w:val="20"/>
          <w:szCs w:val="20"/>
          <w:color w:val="auto"/>
        </w:rPr>
      </w:pPr>
    </w:p>
    <w:p>
      <w:pPr>
        <w:jc w:val="both"/>
        <w:ind w:left="660"/>
        <w:spacing w:after="0"/>
        <w:tabs>
          <w:tab w:leader="none" w:pos="2240" w:val="left"/>
        </w:tabs>
        <w:rPr>
          <w:sz w:val="20"/>
          <w:szCs w:val="20"/>
          <w:color w:val="auto"/>
        </w:rPr>
      </w:pPr>
      <w:r>
        <w:rPr>
          <w:rFonts w:ascii="Arial" w:cs="Arial" w:eastAsia="Arial" w:hAnsi="Arial"/>
          <w:sz w:val="18"/>
          <w:szCs w:val="18"/>
          <w:b w:val="1"/>
          <w:bCs w:val="1"/>
          <w:color w:val="auto"/>
        </w:rPr>
        <w:t>2,239,639</w:t>
      </w:r>
      <w:r>
        <w:rPr>
          <w:sz w:val="20"/>
          <w:szCs w:val="20"/>
          <w:color w:val="auto"/>
        </w:rPr>
        <w:tab/>
      </w:r>
      <w:r>
        <w:rPr>
          <w:rFonts w:ascii="Arial" w:cs="Arial" w:eastAsia="Arial" w:hAnsi="Arial"/>
          <w:sz w:val="18"/>
          <w:szCs w:val="18"/>
          <w:color w:val="auto"/>
        </w:rPr>
        <w:t>1,023,783</w:t>
      </w:r>
    </w:p>
    <w:p>
      <w:pPr>
        <w:spacing w:after="0" w:line="50" w:lineRule="exact"/>
        <w:rPr>
          <w:sz w:val="20"/>
          <w:szCs w:val="20"/>
          <w:color w:val="auto"/>
        </w:rPr>
      </w:pPr>
    </w:p>
    <w:p>
      <w:pPr>
        <w:jc w:val="both"/>
        <w:ind w:left="560"/>
        <w:spacing w:after="0"/>
        <w:tabs>
          <w:tab w:leader="none" w:pos="2140" w:val="left"/>
        </w:tabs>
        <w:rPr>
          <w:sz w:val="20"/>
          <w:szCs w:val="20"/>
          <w:color w:val="auto"/>
        </w:rPr>
      </w:pPr>
      <w:r>
        <w:rPr>
          <w:rFonts w:ascii="Arial" w:cs="Arial" w:eastAsia="Arial" w:hAnsi="Arial"/>
          <w:sz w:val="18"/>
          <w:szCs w:val="18"/>
          <w:b w:val="1"/>
          <w:bCs w:val="1"/>
          <w:color w:val="auto"/>
        </w:rPr>
        <w:t>23,725,932</w:t>
      </w:r>
      <w:r>
        <w:rPr>
          <w:sz w:val="20"/>
          <w:szCs w:val="20"/>
          <w:color w:val="auto"/>
        </w:rPr>
        <w:tab/>
      </w:r>
      <w:r>
        <w:rPr>
          <w:rFonts w:ascii="Arial" w:cs="Arial" w:eastAsia="Arial" w:hAnsi="Arial"/>
          <w:sz w:val="18"/>
          <w:szCs w:val="18"/>
          <w:color w:val="auto"/>
        </w:rPr>
        <w:t>22,034,648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17145</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20" w:space="720"/>
            <w:col w:w="3080"/>
          </w:cols>
          <w:pgMar w:left="240" w:top="395" w:right="2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500"/>
              <w:spacing w:after="0"/>
              <w:rPr>
                <w:sz w:val="20"/>
                <w:szCs w:val="20"/>
                <w:color w:val="auto"/>
              </w:rPr>
            </w:pPr>
            <w:r>
              <w:rPr>
                <w:rFonts w:ascii="Arial" w:cs="Arial" w:eastAsia="Arial" w:hAnsi="Arial"/>
                <w:sz w:val="18"/>
                <w:szCs w:val="18"/>
                <w:color w:val="auto"/>
              </w:rPr>
              <w:t>Interest on participant loans</w:t>
            </w:r>
          </w:p>
        </w:tc>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412,588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321,102</w:t>
            </w:r>
          </w:p>
        </w:tc>
      </w:tr>
      <w:tr>
        <w:trPr>
          <w:trHeight w:val="243"/>
        </w:trPr>
        <w:tc>
          <w:tcPr>
            <w:tcW w:w="47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Interest income and dividends</w:t>
            </w:r>
          </w:p>
        </w:tc>
        <w:tc>
          <w:tcPr>
            <w:tcW w:w="35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20,519,192</w:t>
            </w:r>
          </w:p>
        </w:tc>
        <w:tc>
          <w:tcPr>
            <w:tcW w:w="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11,897,580</w:t>
            </w:r>
          </w:p>
        </w:tc>
      </w:tr>
      <w:tr>
        <w:trPr>
          <w:trHeight w:val="243"/>
        </w:trPr>
        <w:tc>
          <w:tcPr>
            <w:tcW w:w="4760" w:type="dxa"/>
            <w:vAlign w:val="bottom"/>
          </w:tcPr>
          <w:p>
            <w:pPr>
              <w:ind w:left="500"/>
              <w:spacing w:after="0"/>
              <w:rPr>
                <w:sz w:val="20"/>
                <w:szCs w:val="20"/>
                <w:color w:val="auto"/>
              </w:rPr>
            </w:pPr>
            <w:r>
              <w:rPr>
                <w:rFonts w:ascii="Arial" w:cs="Arial" w:eastAsia="Arial" w:hAnsi="Arial"/>
                <w:sz w:val="18"/>
                <w:szCs w:val="18"/>
                <w:color w:val="auto"/>
              </w:rPr>
              <w:t>Net appreciation (depreciation) of investments</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(7,129,322)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10,714,247</w:t>
            </w:r>
          </w:p>
        </w:tc>
      </w:tr>
      <w:tr>
        <w:trPr>
          <w:trHeight w:val="237"/>
        </w:trPr>
        <w:tc>
          <w:tcPr>
            <w:tcW w:w="4760" w:type="dxa"/>
            <w:vAlign w:val="bottom"/>
            <w:shd w:val="clear" w:color="auto" w:fill="CCFFCC"/>
          </w:tcPr>
          <w:p>
            <w:pPr>
              <w:spacing w:after="0"/>
              <w:rPr>
                <w:sz w:val="20"/>
                <w:szCs w:val="20"/>
                <w:color w:val="auto"/>
              </w:rPr>
            </w:pPr>
          </w:p>
        </w:tc>
        <w:tc>
          <w:tcPr>
            <w:tcW w:w="3580" w:type="dxa"/>
            <w:vAlign w:val="bottom"/>
            <w:shd w:val="clear" w:color="auto" w:fill="CCFFCC"/>
          </w:tcPr>
          <w:p>
            <w:pPr>
              <w:spacing w:after="0"/>
              <w:rPr>
                <w:sz w:val="20"/>
                <w:szCs w:val="20"/>
                <w:color w:val="auto"/>
              </w:rPr>
            </w:pPr>
          </w:p>
        </w:tc>
        <w:tc>
          <w:tcPr>
            <w:tcW w:w="280" w:type="dxa"/>
            <w:vAlign w:val="bottom"/>
            <w:tcBorders>
              <w:top w:val="single" w:sz="8" w:color="auto"/>
            </w:tcBorders>
            <w:shd w:val="clear" w:color="auto" w:fill="CCFFCC"/>
          </w:tcPr>
          <w:p>
            <w:pPr>
              <w:spacing w:after="0"/>
              <w:rPr>
                <w:sz w:val="20"/>
                <w:szCs w:val="20"/>
                <w:color w:val="auto"/>
              </w:rPr>
            </w:pPr>
          </w:p>
        </w:tc>
        <w:tc>
          <w:tcPr>
            <w:tcW w:w="110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tcBorders>
              <w:top w:val="single" w:sz="8" w:color="auto"/>
            </w:tcBorders>
            <w:shd w:val="clear" w:color="auto" w:fill="CCFFCC"/>
          </w:tcPr>
          <w:p>
            <w:pPr>
              <w:spacing w:after="0"/>
              <w:rPr>
                <w:sz w:val="20"/>
                <w:szCs w:val="20"/>
                <w:color w:val="auto"/>
              </w:rPr>
            </w:pPr>
          </w:p>
        </w:tc>
        <w:tc>
          <w:tcPr>
            <w:tcW w:w="11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760" w:type="dxa"/>
            <w:vAlign w:val="bottom"/>
          </w:tcPr>
          <w:p>
            <w:pPr>
              <w:ind w:left="1140"/>
              <w:spacing w:after="0"/>
              <w:rPr>
                <w:sz w:val="20"/>
                <w:szCs w:val="20"/>
                <w:color w:val="auto"/>
              </w:rPr>
            </w:pPr>
            <w:r>
              <w:rPr>
                <w:rFonts w:ascii="Arial" w:cs="Arial" w:eastAsia="Arial" w:hAnsi="Arial"/>
                <w:sz w:val="18"/>
                <w:szCs w:val="18"/>
                <w:color w:val="auto"/>
              </w:rPr>
              <w:t>Total Additions</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37,528,390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44,967,577</w:t>
            </w:r>
          </w:p>
        </w:tc>
      </w:tr>
      <w:tr>
        <w:trPr>
          <w:trHeight w:val="243"/>
        </w:trPr>
        <w:tc>
          <w:tcPr>
            <w:tcW w:w="4760" w:type="dxa"/>
            <w:vAlign w:val="bottom"/>
            <w:shd w:val="clear" w:color="auto" w:fill="CCFFCC"/>
          </w:tcPr>
          <w:p>
            <w:pPr>
              <w:spacing w:after="0"/>
              <w:rPr>
                <w:sz w:val="21"/>
                <w:szCs w:val="21"/>
                <w:color w:val="auto"/>
              </w:rPr>
            </w:pPr>
          </w:p>
        </w:tc>
        <w:tc>
          <w:tcPr>
            <w:tcW w:w="35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Deductions from Net Assets Attributed to:</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Benefits paid to participants</w:t>
            </w:r>
          </w:p>
        </w:tc>
        <w:tc>
          <w:tcPr>
            <w:tcW w:w="35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21,649,937</w:t>
            </w:r>
          </w:p>
        </w:tc>
        <w:tc>
          <w:tcPr>
            <w:tcW w:w="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22,096,699</w:t>
            </w:r>
          </w:p>
        </w:tc>
      </w:tr>
      <w:tr>
        <w:trPr>
          <w:trHeight w:val="243"/>
        </w:trPr>
        <w:tc>
          <w:tcPr>
            <w:tcW w:w="4760" w:type="dxa"/>
            <w:vAlign w:val="bottom"/>
          </w:tcPr>
          <w:p>
            <w:pPr>
              <w:ind w:left="500"/>
              <w:spacing w:after="0"/>
              <w:rPr>
                <w:sz w:val="20"/>
                <w:szCs w:val="20"/>
                <w:color w:val="auto"/>
              </w:rPr>
            </w:pPr>
            <w:r>
              <w:rPr>
                <w:rFonts w:ascii="Arial" w:cs="Arial" w:eastAsia="Arial" w:hAnsi="Arial"/>
                <w:sz w:val="18"/>
                <w:szCs w:val="18"/>
                <w:color w:val="auto"/>
              </w:rPr>
              <w:t>Other</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52,139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37,498</w:t>
            </w:r>
          </w:p>
        </w:tc>
      </w:tr>
      <w:tr>
        <w:trPr>
          <w:trHeight w:val="237"/>
        </w:trPr>
        <w:tc>
          <w:tcPr>
            <w:tcW w:w="4760" w:type="dxa"/>
            <w:vAlign w:val="bottom"/>
            <w:shd w:val="clear" w:color="auto" w:fill="CCFFCC"/>
          </w:tcPr>
          <w:p>
            <w:pPr>
              <w:spacing w:after="0"/>
              <w:rPr>
                <w:sz w:val="20"/>
                <w:szCs w:val="20"/>
                <w:color w:val="auto"/>
              </w:rPr>
            </w:pPr>
          </w:p>
        </w:tc>
        <w:tc>
          <w:tcPr>
            <w:tcW w:w="3580" w:type="dxa"/>
            <w:vAlign w:val="bottom"/>
            <w:shd w:val="clear" w:color="auto" w:fill="CCFFCC"/>
          </w:tcPr>
          <w:p>
            <w:pPr>
              <w:spacing w:after="0"/>
              <w:rPr>
                <w:sz w:val="20"/>
                <w:szCs w:val="20"/>
                <w:color w:val="auto"/>
              </w:rPr>
            </w:pPr>
          </w:p>
        </w:tc>
        <w:tc>
          <w:tcPr>
            <w:tcW w:w="280" w:type="dxa"/>
            <w:vAlign w:val="bottom"/>
            <w:tcBorders>
              <w:top w:val="single" w:sz="8" w:color="auto"/>
            </w:tcBorders>
            <w:shd w:val="clear" w:color="auto" w:fill="CCFFCC"/>
          </w:tcPr>
          <w:p>
            <w:pPr>
              <w:spacing w:after="0"/>
              <w:rPr>
                <w:sz w:val="20"/>
                <w:szCs w:val="20"/>
                <w:color w:val="auto"/>
              </w:rPr>
            </w:pPr>
          </w:p>
        </w:tc>
        <w:tc>
          <w:tcPr>
            <w:tcW w:w="110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tcBorders>
              <w:top w:val="single" w:sz="8" w:color="auto"/>
            </w:tcBorders>
            <w:shd w:val="clear" w:color="auto" w:fill="CCFFCC"/>
          </w:tcPr>
          <w:p>
            <w:pPr>
              <w:spacing w:after="0"/>
              <w:rPr>
                <w:sz w:val="20"/>
                <w:szCs w:val="20"/>
                <w:color w:val="auto"/>
              </w:rPr>
            </w:pPr>
          </w:p>
        </w:tc>
        <w:tc>
          <w:tcPr>
            <w:tcW w:w="11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760" w:type="dxa"/>
            <w:vAlign w:val="bottom"/>
          </w:tcPr>
          <w:p>
            <w:pPr>
              <w:ind w:left="1140"/>
              <w:spacing w:after="0"/>
              <w:rPr>
                <w:sz w:val="20"/>
                <w:szCs w:val="20"/>
                <w:color w:val="auto"/>
              </w:rPr>
            </w:pPr>
            <w:r>
              <w:rPr>
                <w:rFonts w:ascii="Arial" w:cs="Arial" w:eastAsia="Arial" w:hAnsi="Arial"/>
                <w:sz w:val="18"/>
                <w:szCs w:val="18"/>
                <w:color w:val="auto"/>
              </w:rPr>
              <w:t>Total Deductions</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21,702,076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22,134,197</w:t>
            </w:r>
          </w:p>
        </w:tc>
      </w:tr>
      <w:tr>
        <w:trPr>
          <w:trHeight w:val="237"/>
        </w:trPr>
        <w:tc>
          <w:tcPr>
            <w:tcW w:w="4760" w:type="dxa"/>
            <w:vAlign w:val="bottom"/>
            <w:shd w:val="clear" w:color="auto" w:fill="CCFFCC"/>
          </w:tcPr>
          <w:p>
            <w:pPr>
              <w:spacing w:after="0"/>
              <w:rPr>
                <w:sz w:val="20"/>
                <w:szCs w:val="20"/>
                <w:color w:val="auto"/>
              </w:rPr>
            </w:pPr>
          </w:p>
        </w:tc>
        <w:tc>
          <w:tcPr>
            <w:tcW w:w="3580" w:type="dxa"/>
            <w:vAlign w:val="bottom"/>
            <w:shd w:val="clear" w:color="auto" w:fill="CCFFCC"/>
          </w:tcPr>
          <w:p>
            <w:pPr>
              <w:spacing w:after="0"/>
              <w:rPr>
                <w:sz w:val="20"/>
                <w:szCs w:val="20"/>
                <w:color w:val="auto"/>
              </w:rPr>
            </w:pPr>
          </w:p>
        </w:tc>
        <w:tc>
          <w:tcPr>
            <w:tcW w:w="280" w:type="dxa"/>
            <w:vAlign w:val="bottom"/>
            <w:tcBorders>
              <w:top w:val="single" w:sz="8" w:color="auto"/>
            </w:tcBorders>
            <w:shd w:val="clear" w:color="auto" w:fill="CCFFCC"/>
          </w:tcPr>
          <w:p>
            <w:pPr>
              <w:spacing w:after="0"/>
              <w:rPr>
                <w:sz w:val="20"/>
                <w:szCs w:val="20"/>
                <w:color w:val="auto"/>
              </w:rPr>
            </w:pPr>
          </w:p>
        </w:tc>
        <w:tc>
          <w:tcPr>
            <w:tcW w:w="110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0" w:type="dxa"/>
            <w:vAlign w:val="bottom"/>
            <w:tcBorders>
              <w:top w:val="single" w:sz="8" w:color="auto"/>
            </w:tcBorders>
            <w:shd w:val="clear" w:color="auto" w:fill="CCFFCC"/>
          </w:tcPr>
          <w:p>
            <w:pPr>
              <w:spacing w:after="0"/>
              <w:rPr>
                <w:sz w:val="20"/>
                <w:szCs w:val="20"/>
                <w:color w:val="auto"/>
              </w:rPr>
            </w:pPr>
          </w:p>
        </w:tc>
        <w:tc>
          <w:tcPr>
            <w:tcW w:w="11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760" w:type="dxa"/>
            <w:vAlign w:val="bottom"/>
          </w:tcPr>
          <w:p>
            <w:pPr>
              <w:ind w:left="1140"/>
              <w:spacing w:after="0"/>
              <w:rPr>
                <w:sz w:val="20"/>
                <w:szCs w:val="20"/>
                <w:color w:val="auto"/>
              </w:rPr>
            </w:pPr>
            <w:r>
              <w:rPr>
                <w:rFonts w:ascii="Arial" w:cs="Arial" w:eastAsia="Arial" w:hAnsi="Arial"/>
                <w:sz w:val="18"/>
                <w:szCs w:val="18"/>
                <w:color w:val="auto"/>
              </w:rPr>
              <w:t>Net Increase before Plan Transfer</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15,826,314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22,833,380</w:t>
            </w:r>
          </w:p>
        </w:tc>
      </w:tr>
      <w:tr>
        <w:trPr>
          <w:trHeight w:val="243"/>
        </w:trPr>
        <w:tc>
          <w:tcPr>
            <w:tcW w:w="4760" w:type="dxa"/>
            <w:vAlign w:val="bottom"/>
            <w:shd w:val="clear" w:color="auto" w:fill="CCFFCC"/>
          </w:tcPr>
          <w:p>
            <w:pPr>
              <w:spacing w:after="0"/>
              <w:rPr>
                <w:sz w:val="21"/>
                <w:szCs w:val="21"/>
                <w:color w:val="auto"/>
              </w:rPr>
            </w:pPr>
          </w:p>
        </w:tc>
        <w:tc>
          <w:tcPr>
            <w:tcW w:w="35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4760" w:type="dxa"/>
            <w:vAlign w:val="bottom"/>
          </w:tcPr>
          <w:p>
            <w:pPr>
              <w:ind w:left="1140"/>
              <w:spacing w:after="0"/>
              <w:rPr>
                <w:sz w:val="20"/>
                <w:szCs w:val="20"/>
                <w:color w:val="auto"/>
              </w:rPr>
            </w:pPr>
            <w:r>
              <w:rPr>
                <w:rFonts w:ascii="Arial" w:cs="Arial" w:eastAsia="Arial" w:hAnsi="Arial"/>
                <w:sz w:val="18"/>
                <w:szCs w:val="18"/>
                <w:color w:val="auto"/>
              </w:rPr>
              <w:t>Plan Transfer</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1,570,975</w:t>
            </w:r>
          </w:p>
        </w:tc>
      </w:tr>
      <w:tr>
        <w:trPr>
          <w:trHeight w:val="243"/>
        </w:trPr>
        <w:tc>
          <w:tcPr>
            <w:tcW w:w="4760" w:type="dxa"/>
            <w:vAlign w:val="bottom"/>
            <w:shd w:val="clear" w:color="auto" w:fill="CCFFCC"/>
          </w:tcPr>
          <w:p>
            <w:pPr>
              <w:spacing w:after="0"/>
              <w:rPr>
                <w:sz w:val="21"/>
                <w:szCs w:val="21"/>
                <w:color w:val="auto"/>
              </w:rPr>
            </w:pPr>
          </w:p>
        </w:tc>
        <w:tc>
          <w:tcPr>
            <w:tcW w:w="35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3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6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8"/>
                <w:szCs w:val="18"/>
                <w:color w:val="auto"/>
              </w:rPr>
              <w:t>Beginning of Year</w:t>
            </w:r>
          </w:p>
        </w:tc>
        <w:tc>
          <w:tcPr>
            <w:tcW w:w="358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218,436,949</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194,032,594</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4760" w:type="dxa"/>
            <w:vAlign w:val="bottom"/>
          </w:tcPr>
          <w:p>
            <w:pPr>
              <w:spacing w:after="0"/>
              <w:rPr>
                <w:sz w:val="20"/>
                <w:szCs w:val="20"/>
                <w:color w:val="auto"/>
              </w:rPr>
            </w:pPr>
          </w:p>
        </w:tc>
        <w:tc>
          <w:tcPr>
            <w:tcW w:w="3860" w:type="dxa"/>
            <w:vAlign w:val="bottom"/>
            <w:gridSpan w:val="2"/>
          </w:tcPr>
          <w:p>
            <w:pPr>
              <w:spacing w:after="0"/>
              <w:rPr>
                <w:sz w:val="20"/>
                <w:szCs w:val="20"/>
                <w:color w:val="auto"/>
              </w:rPr>
            </w:pPr>
          </w:p>
        </w:tc>
        <w:tc>
          <w:tcPr>
            <w:tcW w:w="1240" w:type="dxa"/>
            <w:vAlign w:val="bottom"/>
            <w:gridSpan w:val="2"/>
          </w:tcPr>
          <w:p>
            <w:pPr>
              <w:spacing w:after="0"/>
              <w:rPr>
                <w:sz w:val="20"/>
                <w:szCs w:val="20"/>
                <w:color w:val="auto"/>
              </w:rPr>
            </w:pPr>
          </w:p>
        </w:tc>
        <w:tc>
          <w:tcPr>
            <w:tcW w:w="360" w:type="dxa"/>
            <w:vAlign w:val="bottom"/>
            <w:gridSpan w:val="2"/>
          </w:tcPr>
          <w:p>
            <w:pPr>
              <w:spacing w:after="0"/>
              <w:rPr>
                <w:sz w:val="20"/>
                <w:szCs w:val="20"/>
                <w:color w:val="auto"/>
              </w:rPr>
            </w:pPr>
          </w:p>
        </w:tc>
        <w:tc>
          <w:tcPr>
            <w:tcW w:w="1200" w:type="dxa"/>
            <w:vAlign w:val="bottom"/>
            <w:gridSpan w:val="2"/>
          </w:tcPr>
          <w:p>
            <w:pPr>
              <w:spacing w:after="0"/>
              <w:rPr>
                <w:sz w:val="20"/>
                <w:szCs w:val="20"/>
                <w:color w:val="auto"/>
              </w:rPr>
            </w:pPr>
          </w:p>
        </w:tc>
      </w:tr>
      <w:tr>
        <w:trPr>
          <w:trHeight w:val="283"/>
        </w:trPr>
        <w:tc>
          <w:tcPr>
            <w:tcW w:w="4760" w:type="dxa"/>
            <w:vAlign w:val="bottom"/>
            <w:shd w:val="clear" w:color="auto" w:fill="CCFFCC"/>
          </w:tcPr>
          <w:p>
            <w:pPr>
              <w:ind w:left="500"/>
              <w:spacing w:after="0"/>
              <w:rPr>
                <w:sz w:val="20"/>
                <w:szCs w:val="20"/>
                <w:color w:val="auto"/>
              </w:rPr>
            </w:pPr>
            <w:r>
              <w:rPr>
                <w:rFonts w:ascii="Arial" w:cs="Arial" w:eastAsia="Arial" w:hAnsi="Arial"/>
                <w:sz w:val="18"/>
                <w:szCs w:val="18"/>
                <w:color w:val="auto"/>
              </w:rPr>
              <w:t>End of Year</w:t>
            </w:r>
          </w:p>
        </w:tc>
        <w:tc>
          <w:tcPr>
            <w:tcW w:w="3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234,263,263</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218,436,949</w:t>
            </w:r>
          </w:p>
        </w:tc>
      </w:tr>
      <w:tr>
        <w:trPr>
          <w:trHeight w:val="440"/>
        </w:trPr>
        <w:tc>
          <w:tcPr>
            <w:tcW w:w="4760" w:type="dxa"/>
            <w:vAlign w:val="bottom"/>
            <w:tcBorders>
              <w:top w:val="single" w:sz="8" w:color="CCFFCC"/>
            </w:tcBorders>
          </w:tcPr>
          <w:p>
            <w:pPr>
              <w:spacing w:after="0"/>
              <w:rPr>
                <w:sz w:val="20"/>
                <w:szCs w:val="20"/>
                <w:color w:val="auto"/>
              </w:rPr>
            </w:pPr>
            <w:r>
              <w:rPr>
                <w:rFonts w:ascii="Arial" w:cs="Arial" w:eastAsia="Arial" w:hAnsi="Arial"/>
                <w:sz w:val="18"/>
                <w:szCs w:val="18"/>
                <w:i w:val="1"/>
                <w:iCs w:val="1"/>
                <w:color w:val="auto"/>
              </w:rPr>
              <w:t>See accompanying notes.</w:t>
            </w:r>
          </w:p>
        </w:tc>
        <w:tc>
          <w:tcPr>
            <w:tcW w:w="3580" w:type="dxa"/>
            <w:vAlign w:val="bottom"/>
            <w:tcBorders>
              <w:top w:val="single" w:sz="8" w:color="CCFFC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486"/>
        </w:trPr>
        <w:tc>
          <w:tcPr>
            <w:tcW w:w="4760" w:type="dxa"/>
            <w:vAlign w:val="bottom"/>
          </w:tcPr>
          <w:p>
            <w:pPr>
              <w:spacing w:after="0"/>
              <w:rPr>
                <w:sz w:val="24"/>
                <w:szCs w:val="24"/>
                <w:color w:val="auto"/>
              </w:rPr>
            </w:pPr>
          </w:p>
        </w:tc>
        <w:tc>
          <w:tcPr>
            <w:tcW w:w="3580" w:type="dxa"/>
            <w:vAlign w:val="bottom"/>
          </w:tcPr>
          <w:p>
            <w:pPr>
              <w:jc w:val="right"/>
              <w:ind w:right="249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76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7" w:name="page8"/>
    <w:bookmarkEnd w:id="7"/>
    <w:p>
      <w:pPr>
        <w:jc w:val="center"/>
        <w:ind w:right="-11"/>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ind w:left="4752"/>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12"/>
        <w:spacing w:after="0"/>
        <w:rPr>
          <w:sz w:val="20"/>
          <w:szCs w:val="20"/>
          <w:color w:val="auto"/>
        </w:rPr>
      </w:pPr>
      <w:r>
        <w:rPr>
          <w:rFonts w:ascii="Arial" w:cs="Arial" w:eastAsia="Arial" w:hAnsi="Arial"/>
          <w:sz w:val="18"/>
          <w:szCs w:val="18"/>
          <w:color w:val="auto"/>
        </w:rPr>
        <w:t>Retirement Savings Plan</w:t>
      </w:r>
    </w:p>
    <w:p>
      <w:pPr>
        <w:spacing w:after="0" w:line="261" w:lineRule="exact"/>
        <w:rPr>
          <w:sz w:val="20"/>
          <w:szCs w:val="20"/>
          <w:color w:val="auto"/>
        </w:rPr>
      </w:pPr>
    </w:p>
    <w:p>
      <w:pPr>
        <w:ind w:left="332" w:hanging="332"/>
        <w:spacing w:after="0"/>
        <w:tabs>
          <w:tab w:leader="none" w:pos="33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Plan</w:t>
      </w:r>
    </w:p>
    <w:p>
      <w:pPr>
        <w:spacing w:after="0" w:line="283" w:lineRule="exact"/>
        <w:rPr>
          <w:rFonts w:ascii="Arial" w:cs="Arial" w:eastAsia="Arial" w:hAnsi="Arial"/>
          <w:sz w:val="18"/>
          <w:szCs w:val="18"/>
          <w:b w:val="1"/>
          <w:bCs w:val="1"/>
          <w:color w:val="auto"/>
        </w:rPr>
      </w:pPr>
    </w:p>
    <w:p>
      <w:pPr>
        <w:ind w:left="33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Scotts Company LLC Retirement Savings Plan (the "Plan") provides only general information. Participants should refer to the Plan document for a complete description of the Plan's provisions, such as eligibility, vesting, allocation and funding.</w:t>
      </w:r>
    </w:p>
    <w:p>
      <w:pPr>
        <w:spacing w:after="0" w:line="224"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w:t>
      </w:r>
    </w:p>
    <w:p>
      <w:pPr>
        <w:spacing w:after="0" w:line="279" w:lineRule="exact"/>
        <w:rPr>
          <w:rFonts w:ascii="Arial" w:cs="Arial" w:eastAsia="Arial" w:hAnsi="Arial"/>
          <w:sz w:val="18"/>
          <w:szCs w:val="18"/>
          <w:b w:val="1"/>
          <w:bCs w:val="1"/>
          <w:color w:val="auto"/>
        </w:rPr>
      </w:pPr>
    </w:p>
    <w:p>
      <w:pPr>
        <w:ind w:left="332" w:right="8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Plan is a defined contribution plan covering all eligible employees of The Scotts Company LLC (the "Company") who meet the eligibility requirements. It is subject to the provisions of the Employee Retirement Income Security Act of 1974 (ERISA).</w:t>
      </w:r>
    </w:p>
    <w:p>
      <w:pPr>
        <w:spacing w:after="0" w:line="224"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Eligibility:</w:t>
      </w:r>
    </w:p>
    <w:p>
      <w:pPr>
        <w:spacing w:after="0" w:line="279" w:lineRule="exact"/>
        <w:rPr>
          <w:rFonts w:ascii="Arial" w:cs="Arial" w:eastAsia="Arial" w:hAnsi="Arial"/>
          <w:sz w:val="18"/>
          <w:szCs w:val="18"/>
          <w:b w:val="1"/>
          <w:bCs w:val="1"/>
          <w:color w:val="auto"/>
        </w:rPr>
      </w:pPr>
    </w:p>
    <w:p>
      <w:pPr>
        <w:ind w:left="33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Regular domestic employees of the Company are eligible to participate in the Plan on the first day of the month coincident with or immediately following their date of employment. Regular employees of EG Systems, Inc. doing business as Scotts LawnService®, a subsidiary of the Company, are eligible to receive base retirement contributions on the first day of the month after completing one year of eligibility service and are eligible to make contributions and receive matching contributions on the first day of the month coincide with or after completing 60 days of service. Effective January 1, 2003, temporary employees are not eligible to participate in the Plan.</w:t>
      </w:r>
    </w:p>
    <w:p>
      <w:pPr>
        <w:spacing w:after="0" w:line="242"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Contributions:</w:t>
      </w:r>
    </w:p>
    <w:p>
      <w:pPr>
        <w:spacing w:after="0" w:line="279" w:lineRule="exact"/>
        <w:rPr>
          <w:rFonts w:ascii="Arial" w:cs="Arial" w:eastAsia="Arial" w:hAnsi="Arial"/>
          <w:sz w:val="18"/>
          <w:szCs w:val="18"/>
          <w:b w:val="1"/>
          <w:bCs w:val="1"/>
          <w:color w:val="auto"/>
        </w:rPr>
      </w:pPr>
    </w:p>
    <w:p>
      <w:pPr>
        <w:ind w:left="332"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Plan provides for a participant to make pre-tax contributions up to 75% of eligible wages, not to exceed the annual Internal Revenue Service ("IRS") maximum deferral amount. The maximum pre-tax contributions for the years ended December 31, 2007 and 2006 were $15,500 and $15,000 respectively. The Plan also provides that participants who are projected to be age 50 or older by the end of the calendar year and who are making deferral contributions to the Plan may also make catch-up contributions of up to $5,000 during each of the years ended December 31, 2007 and 2006.</w:t>
      </w:r>
    </w:p>
    <w:p>
      <w:pPr>
        <w:spacing w:after="0" w:line="208"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Employer Contributions:</w:t>
      </w:r>
    </w:p>
    <w:p>
      <w:pPr>
        <w:spacing w:after="0" w:line="279" w:lineRule="exact"/>
        <w:rPr>
          <w:rFonts w:ascii="Arial" w:cs="Arial" w:eastAsia="Arial" w:hAnsi="Arial"/>
          <w:sz w:val="18"/>
          <w:szCs w:val="18"/>
          <w:b w:val="1"/>
          <w:bCs w:val="1"/>
          <w:color w:val="auto"/>
        </w:rPr>
      </w:pPr>
    </w:p>
    <w:p>
      <w:pPr>
        <w:ind w:left="332"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Plan provides a base retirement contribution for all eligible employees. Generally, eligible employees receive an allocation equal to 2% of monthly compensation. This percentage increases to 4% when employees' year-to-date compensation exceeds 50% of the social security taxable wage base. The Company also matches participant pre-tax contributions dollar for dollar for the first 3% of pay and matches $0.50 on the dollar for the next 2% of participant pre-tax contributions.</w:t>
      </w:r>
    </w:p>
    <w:p>
      <w:pPr>
        <w:spacing w:after="0" w:line="241"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Contributions are subject to limitations on annual additions and other limitations imposed by the Internal Revenue Code as defined in the Plan agreement.</w:t>
      </w:r>
    </w:p>
    <w:p>
      <w:pPr>
        <w:spacing w:after="0" w:line="2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95" w:right="239" w:bottom="1440" w:gutter="0" w:footer="0" w:header="0"/>
        </w:sectPr>
      </w:pPr>
    </w:p>
    <w:bookmarkStart w:id="8" w:name="page9"/>
    <w:bookmarkEnd w:id="8"/>
    <w:p>
      <w:pPr>
        <w:jc w:val="center"/>
        <w:ind w:right="-11"/>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ind w:left="4752"/>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12"/>
        <w:spacing w:after="0"/>
        <w:rPr>
          <w:sz w:val="20"/>
          <w:szCs w:val="20"/>
          <w:color w:val="auto"/>
        </w:rPr>
      </w:pPr>
      <w:r>
        <w:rPr>
          <w:rFonts w:ascii="Arial" w:cs="Arial" w:eastAsia="Arial" w:hAnsi="Arial"/>
          <w:sz w:val="18"/>
          <w:szCs w:val="18"/>
          <w:color w:val="auto"/>
        </w:rPr>
        <w:t>Retirement Savings Plan</w:t>
      </w:r>
    </w:p>
    <w:p>
      <w:pPr>
        <w:spacing w:after="0" w:line="261" w:lineRule="exact"/>
        <w:rPr>
          <w:sz w:val="20"/>
          <w:szCs w:val="20"/>
          <w:color w:val="auto"/>
        </w:rPr>
      </w:pPr>
    </w:p>
    <w:p>
      <w:pPr>
        <w:ind w:left="332" w:right="8680" w:hanging="332"/>
        <w:spacing w:after="0" w:line="636" w:lineRule="auto"/>
        <w:tabs>
          <w:tab w:leader="none" w:pos="33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Description of Plan, Continued </w:t>
      </w:r>
      <w:r>
        <w:rPr>
          <w:rFonts w:ascii="Arial" w:cs="Arial" w:eastAsia="Arial" w:hAnsi="Arial"/>
          <w:sz w:val="16"/>
          <w:szCs w:val="16"/>
          <w:b w:val="1"/>
          <w:bCs w:val="1"/>
          <w:i w:val="1"/>
          <w:iCs w:val="1"/>
          <w:color w:val="auto"/>
        </w:rPr>
        <w:t>Participants' Accounts:</w:t>
      </w:r>
    </w:p>
    <w:p>
      <w:pPr>
        <w:spacing w:after="0" w:line="1" w:lineRule="exact"/>
        <w:rPr>
          <w:rFonts w:ascii="Arial" w:cs="Arial" w:eastAsia="Arial" w:hAnsi="Arial"/>
          <w:sz w:val="16"/>
          <w:szCs w:val="16"/>
          <w:b w:val="1"/>
          <w:bCs w:val="1"/>
          <w:color w:val="auto"/>
        </w:rPr>
      </w:pPr>
    </w:p>
    <w:p>
      <w:pPr>
        <w:ind w:left="332" w:right="4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401(k) Accounts - Each participant's account is credited with the participant's elective contributions, employer matching contributions, earnings and losses thereon.</w:t>
      </w:r>
    </w:p>
    <w:p>
      <w:pPr>
        <w:spacing w:after="0" w:line="224" w:lineRule="exact"/>
        <w:rPr>
          <w:rFonts w:ascii="Arial" w:cs="Arial" w:eastAsia="Arial" w:hAnsi="Arial"/>
          <w:sz w:val="16"/>
          <w:szCs w:val="16"/>
          <w:b w:val="1"/>
          <w:bCs w:val="1"/>
          <w:color w:val="auto"/>
        </w:rPr>
      </w:pPr>
    </w:p>
    <w:p>
      <w:pPr>
        <w:ind w:left="332"/>
        <w:spacing w:after="0"/>
        <w:rPr>
          <w:rFonts w:ascii="Arial" w:cs="Arial" w:eastAsia="Arial" w:hAnsi="Arial"/>
          <w:sz w:val="16"/>
          <w:szCs w:val="16"/>
          <w:b w:val="1"/>
          <w:bCs w:val="1"/>
          <w:color w:val="auto"/>
        </w:rPr>
      </w:pPr>
      <w:r>
        <w:rPr>
          <w:rFonts w:ascii="Arial" w:cs="Arial" w:eastAsia="Arial" w:hAnsi="Arial"/>
          <w:sz w:val="18"/>
          <w:szCs w:val="18"/>
          <w:color w:val="auto"/>
        </w:rPr>
        <w:t>Rollover contributions from other Plans are also accepted, providing certain specified conditions are met.</w:t>
      </w:r>
    </w:p>
    <w:p>
      <w:pPr>
        <w:spacing w:after="0" w:line="279" w:lineRule="exact"/>
        <w:rPr>
          <w:rFonts w:ascii="Arial" w:cs="Arial" w:eastAsia="Arial" w:hAnsi="Arial"/>
          <w:sz w:val="16"/>
          <w:szCs w:val="16"/>
          <w:b w:val="1"/>
          <w:bCs w:val="1"/>
          <w:color w:val="auto"/>
        </w:rPr>
      </w:pPr>
    </w:p>
    <w:p>
      <w:pPr>
        <w:ind w:left="332"/>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Vesting:</w:t>
      </w:r>
    </w:p>
    <w:p>
      <w:pPr>
        <w:spacing w:after="0" w:line="279" w:lineRule="exact"/>
        <w:rPr>
          <w:rFonts w:ascii="Arial" w:cs="Arial" w:eastAsia="Arial" w:hAnsi="Arial"/>
          <w:sz w:val="16"/>
          <w:szCs w:val="16"/>
          <w:b w:val="1"/>
          <w:bCs w:val="1"/>
          <w:color w:val="auto"/>
        </w:rPr>
      </w:pPr>
    </w:p>
    <w:p>
      <w:pPr>
        <w:ind w:left="332" w:right="16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All participants are immediately vested in their contributions plus actual earnings thereon. Matching and transition contributions made by the Company vest immediately. However, base contributions made by the Company vest after three years of service or immediately upon death or disability.</w:t>
      </w:r>
    </w:p>
    <w:p>
      <w:pPr>
        <w:spacing w:after="0" w:line="177" w:lineRule="exact"/>
        <w:rPr>
          <w:rFonts w:ascii="Arial" w:cs="Arial" w:eastAsia="Arial" w:hAnsi="Arial"/>
          <w:sz w:val="16"/>
          <w:szCs w:val="16"/>
          <w:b w:val="1"/>
          <w:bCs w:val="1"/>
          <w:color w:val="auto"/>
        </w:rPr>
      </w:pPr>
    </w:p>
    <w:p>
      <w:pPr>
        <w:ind w:left="332"/>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Forfeitures:</w:t>
      </w:r>
    </w:p>
    <w:p>
      <w:pPr>
        <w:spacing w:after="0" w:line="279" w:lineRule="exact"/>
        <w:rPr>
          <w:rFonts w:ascii="Arial" w:cs="Arial" w:eastAsia="Arial" w:hAnsi="Arial"/>
          <w:sz w:val="16"/>
          <w:szCs w:val="16"/>
          <w:b w:val="1"/>
          <w:bCs w:val="1"/>
          <w:color w:val="auto"/>
        </w:rPr>
      </w:pPr>
    </w:p>
    <w:p>
      <w:pPr>
        <w:ind w:left="332"/>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nonvested portions of participant account balances are forfeitable and used to reduce employer contributions to the Plan. Plan forfeitures used totaled $767,029 and $411,470 for the years ended December 31, 2007 and 2006, respectively.</w:t>
      </w:r>
    </w:p>
    <w:p>
      <w:pPr>
        <w:spacing w:after="0" w:line="224" w:lineRule="exact"/>
        <w:rPr>
          <w:rFonts w:ascii="Arial" w:cs="Arial" w:eastAsia="Arial" w:hAnsi="Arial"/>
          <w:sz w:val="16"/>
          <w:szCs w:val="16"/>
          <w:b w:val="1"/>
          <w:bCs w:val="1"/>
          <w:color w:val="auto"/>
        </w:rPr>
      </w:pPr>
    </w:p>
    <w:p>
      <w:pPr>
        <w:ind w:left="332"/>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Participants' Loans:</w:t>
      </w:r>
    </w:p>
    <w:p>
      <w:pPr>
        <w:spacing w:after="0" w:line="279" w:lineRule="exact"/>
        <w:rPr>
          <w:rFonts w:ascii="Arial" w:cs="Arial" w:eastAsia="Arial" w:hAnsi="Arial"/>
          <w:sz w:val="16"/>
          <w:szCs w:val="16"/>
          <w:b w:val="1"/>
          <w:bCs w:val="1"/>
          <w:color w:val="auto"/>
        </w:rPr>
      </w:pPr>
    </w:p>
    <w:p>
      <w:pPr>
        <w:ind w:left="332" w:right="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Loans are permitted under certain circumstances and are subject to limitations. Participants may borrow from their account up to a maximum equal to the lesser of $50,000 or 50% of their account balance. Loans are repaid over a period not to exceed 5 years with exceptions for the purchase of a primary residence. The loans are secured by the balance in the participant's account and bear interest at rates established by Fidelity Management Trust Company. Principal and interest are paid ratably through monthly payroll deductions.</w:t>
      </w:r>
    </w:p>
    <w:p>
      <w:pPr>
        <w:spacing w:after="0" w:line="240" w:lineRule="exact"/>
        <w:rPr>
          <w:rFonts w:ascii="Arial" w:cs="Arial" w:eastAsia="Arial" w:hAnsi="Arial"/>
          <w:sz w:val="16"/>
          <w:szCs w:val="16"/>
          <w:b w:val="1"/>
          <w:bCs w:val="1"/>
          <w:color w:val="auto"/>
        </w:rPr>
      </w:pPr>
    </w:p>
    <w:p>
      <w:pPr>
        <w:ind w:left="332"/>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Other Plan Provisions:</w:t>
      </w:r>
    </w:p>
    <w:p>
      <w:pPr>
        <w:spacing w:after="0" w:line="279" w:lineRule="exact"/>
        <w:rPr>
          <w:rFonts w:ascii="Arial" w:cs="Arial" w:eastAsia="Arial" w:hAnsi="Arial"/>
          <w:sz w:val="16"/>
          <w:szCs w:val="16"/>
          <w:b w:val="1"/>
          <w:bCs w:val="1"/>
          <w:color w:val="auto"/>
        </w:rPr>
      </w:pPr>
    </w:p>
    <w:p>
      <w:pPr>
        <w:ind w:left="332"/>
        <w:spacing w:after="0"/>
        <w:rPr>
          <w:rFonts w:ascii="Arial" w:cs="Arial" w:eastAsia="Arial" w:hAnsi="Arial"/>
          <w:sz w:val="16"/>
          <w:szCs w:val="16"/>
          <w:b w:val="1"/>
          <w:bCs w:val="1"/>
          <w:color w:val="auto"/>
        </w:rPr>
      </w:pPr>
      <w:r>
        <w:rPr>
          <w:rFonts w:ascii="Arial" w:cs="Arial" w:eastAsia="Arial" w:hAnsi="Arial"/>
          <w:sz w:val="18"/>
          <w:szCs w:val="18"/>
          <w:color w:val="auto"/>
        </w:rPr>
        <w:t>Normal retirement age is 65, however the Plan also provides for in-service withdrawals for active employees under certain circumstances.</w:t>
      </w:r>
    </w:p>
    <w:p>
      <w:pPr>
        <w:spacing w:after="0" w:line="279" w:lineRule="exact"/>
        <w:rPr>
          <w:rFonts w:ascii="Arial" w:cs="Arial" w:eastAsia="Arial" w:hAnsi="Arial"/>
          <w:sz w:val="16"/>
          <w:szCs w:val="16"/>
          <w:b w:val="1"/>
          <w:bCs w:val="1"/>
          <w:color w:val="auto"/>
        </w:rPr>
      </w:pPr>
    </w:p>
    <w:p>
      <w:pPr>
        <w:ind w:left="332"/>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Payment of Benefits:</w:t>
      </w:r>
    </w:p>
    <w:p>
      <w:pPr>
        <w:spacing w:after="0" w:line="279" w:lineRule="exact"/>
        <w:rPr>
          <w:sz w:val="20"/>
          <w:szCs w:val="20"/>
          <w:color w:val="auto"/>
        </w:rPr>
      </w:pPr>
    </w:p>
    <w:p>
      <w:pPr>
        <w:ind w:left="332" w:right="480"/>
        <w:spacing w:after="0" w:line="277" w:lineRule="auto"/>
        <w:rPr>
          <w:sz w:val="20"/>
          <w:szCs w:val="20"/>
          <w:color w:val="auto"/>
        </w:rPr>
      </w:pPr>
      <w:r>
        <w:rPr>
          <w:rFonts w:ascii="Arial" w:cs="Arial" w:eastAsia="Arial" w:hAnsi="Arial"/>
          <w:sz w:val="18"/>
          <w:szCs w:val="18"/>
          <w:color w:val="auto"/>
        </w:rPr>
        <w:t>Participants are eligible to receive benefit payments upon termination, retirement, death or disability equal to the vested balance of the participant's account as of the business day the trustee processes the distribution.</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8" w:right="259" w:bottom="1440" w:gutter="0" w:footer="0" w:header="0"/>
        </w:sectPr>
      </w:pPr>
    </w:p>
    <w:bookmarkStart w:id="9" w:name="page10"/>
    <w:bookmarkEnd w:id="9"/>
    <w:p>
      <w:pPr>
        <w:jc w:val="center"/>
        <w:ind w:right="-151"/>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ind w:left="4752"/>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12"/>
        <w:spacing w:after="0"/>
        <w:rPr>
          <w:sz w:val="20"/>
          <w:szCs w:val="20"/>
          <w:color w:val="auto"/>
        </w:rPr>
      </w:pPr>
      <w:r>
        <w:rPr>
          <w:rFonts w:ascii="Arial" w:cs="Arial" w:eastAsia="Arial" w:hAnsi="Arial"/>
          <w:sz w:val="18"/>
          <w:szCs w:val="18"/>
          <w:color w:val="auto"/>
        </w:rPr>
        <w:t>Retirement Savings Plan</w:t>
      </w:r>
    </w:p>
    <w:p>
      <w:pPr>
        <w:spacing w:after="0" w:line="261" w:lineRule="exact"/>
        <w:rPr>
          <w:sz w:val="20"/>
          <w:szCs w:val="20"/>
          <w:color w:val="auto"/>
        </w:rPr>
      </w:pPr>
    </w:p>
    <w:p>
      <w:pPr>
        <w:ind w:left="332" w:right="8560" w:hanging="332"/>
        <w:spacing w:after="0" w:line="636" w:lineRule="auto"/>
        <w:tabs>
          <w:tab w:leader="none" w:pos="332"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Description of Plan, Continued </w:t>
      </w:r>
      <w:r>
        <w:rPr>
          <w:rFonts w:ascii="Arial" w:cs="Arial" w:eastAsia="Arial" w:hAnsi="Arial"/>
          <w:sz w:val="16"/>
          <w:szCs w:val="16"/>
          <w:b w:val="1"/>
          <w:bCs w:val="1"/>
          <w:i w:val="1"/>
          <w:iCs w:val="1"/>
          <w:color w:val="auto"/>
        </w:rPr>
        <w:t>Hardship Withdrawals:</w:t>
      </w:r>
    </w:p>
    <w:p>
      <w:pPr>
        <w:spacing w:after="0" w:line="1" w:lineRule="exact"/>
        <w:rPr>
          <w:rFonts w:ascii="Arial" w:cs="Arial" w:eastAsia="Arial" w:hAnsi="Arial"/>
          <w:sz w:val="16"/>
          <w:szCs w:val="16"/>
          <w:b w:val="1"/>
          <w:bCs w:val="1"/>
          <w:color w:val="auto"/>
        </w:rPr>
      </w:pPr>
    </w:p>
    <w:p>
      <w:pPr>
        <w:ind w:left="332"/>
        <w:spacing w:after="0"/>
        <w:rPr>
          <w:rFonts w:ascii="Arial" w:cs="Arial" w:eastAsia="Arial" w:hAnsi="Arial"/>
          <w:sz w:val="16"/>
          <w:szCs w:val="16"/>
          <w:b w:val="1"/>
          <w:bCs w:val="1"/>
          <w:color w:val="auto"/>
        </w:rPr>
      </w:pPr>
      <w:r>
        <w:rPr>
          <w:rFonts w:ascii="Arial" w:cs="Arial" w:eastAsia="Arial" w:hAnsi="Arial"/>
          <w:sz w:val="18"/>
          <w:szCs w:val="18"/>
          <w:color w:val="auto"/>
        </w:rPr>
        <w:t>Hardship withdrawals are permitted in accordance with Internal Revenue Service guidelines.</w:t>
      </w:r>
    </w:p>
    <w:p>
      <w:pPr>
        <w:spacing w:after="0" w:line="279"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Investment Options:</w:t>
      </w:r>
    </w:p>
    <w:p>
      <w:pPr>
        <w:spacing w:after="0" w:line="27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Upon enrollment in the Plan, a participant may direct their contributions in any or all of the investment options under the Plan.</w:t>
      </w:r>
    </w:p>
    <w:p>
      <w:pPr>
        <w:spacing w:after="0" w:line="275" w:lineRule="exact"/>
        <w:rPr>
          <w:sz w:val="20"/>
          <w:szCs w:val="20"/>
          <w:color w:val="auto"/>
        </w:rPr>
      </w:pPr>
    </w:p>
    <w:p>
      <w:pPr>
        <w:ind w:left="332" w:right="7560" w:hanging="332"/>
        <w:spacing w:after="0" w:line="566" w:lineRule="auto"/>
        <w:tabs>
          <w:tab w:leader="none" w:pos="33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Accounting:</w:t>
      </w:r>
    </w:p>
    <w:p>
      <w:pPr>
        <w:ind w:left="332"/>
        <w:spacing w:after="0"/>
        <w:rPr>
          <w:rFonts w:ascii="Arial" w:cs="Arial" w:eastAsia="Arial" w:hAnsi="Arial"/>
          <w:sz w:val="18"/>
          <w:szCs w:val="18"/>
          <w:b w:val="1"/>
          <w:bCs w:val="1"/>
          <w:color w:val="auto"/>
        </w:rPr>
      </w:pPr>
      <w:r>
        <w:rPr>
          <w:rFonts w:ascii="Arial" w:cs="Arial" w:eastAsia="Arial" w:hAnsi="Arial"/>
          <w:sz w:val="16"/>
          <w:szCs w:val="16"/>
          <w:color w:val="auto"/>
        </w:rPr>
        <w:t>The financial statements of the Plan have been prepared on the accrual basis of accounting in accordance with generally accepted accounting principles.</w:t>
      </w:r>
    </w:p>
    <w:p>
      <w:pPr>
        <w:spacing w:after="0" w:line="302"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Investments:</w:t>
      </w:r>
    </w:p>
    <w:p>
      <w:pPr>
        <w:spacing w:after="0" w:line="279" w:lineRule="exact"/>
        <w:rPr>
          <w:rFonts w:ascii="Arial" w:cs="Arial" w:eastAsia="Arial" w:hAnsi="Arial"/>
          <w:sz w:val="18"/>
          <w:szCs w:val="18"/>
          <w:b w:val="1"/>
          <w:bCs w:val="1"/>
          <w:color w:val="auto"/>
        </w:rPr>
      </w:pPr>
    </w:p>
    <w:p>
      <w:pPr>
        <w:ind w:left="332"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Plan’s investments are stated at fair value. Quoted market prices are used to value investments. Shares of mutual funds are valued at the net asset value of shares held by the Plan at year-end.</w:t>
      </w:r>
    </w:p>
    <w:p>
      <w:pPr>
        <w:spacing w:after="0" w:line="224" w:lineRule="exact"/>
        <w:rPr>
          <w:rFonts w:ascii="Arial" w:cs="Arial" w:eastAsia="Arial" w:hAnsi="Arial"/>
          <w:sz w:val="18"/>
          <w:szCs w:val="18"/>
          <w:b w:val="1"/>
          <w:bCs w:val="1"/>
          <w:color w:val="auto"/>
        </w:rPr>
      </w:pPr>
    </w:p>
    <w:p>
      <w:pPr>
        <w:ind w:left="332" w:right="1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As described in Financial Accounting Standards Board Staff Position, FSP AAG INV-1 and SOP 94-4-1, "Reporting of Fully Benefit-Responsive Investment Contracts Held by Certain Investment Companies Subject to the AICPA Investment Company Guide and Defined-Contribution Health and Welfare and Pension Plans" (the FSP), investment contracts held by a defined-contribution plan are required to be reported at fair value. However, contract value is the relevant measurement attribute for that portion of the net assets available for benefits of a defined-contribution plan attributable to fully benefit-responsive investment contracts because contract value is the amount participants would receive if they were to initiate permitted transactions under the terms of the Plan. As required by the FSP, the Statement of Net Assets Available for Benefits presents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232" w:lineRule="exact"/>
        <w:rPr>
          <w:rFonts w:ascii="Arial" w:cs="Arial" w:eastAsia="Arial" w:hAnsi="Arial"/>
          <w:sz w:val="18"/>
          <w:szCs w:val="18"/>
          <w:b w:val="1"/>
          <w:bCs w:val="1"/>
          <w:color w:val="auto"/>
        </w:rPr>
      </w:pPr>
    </w:p>
    <w:p>
      <w:pPr>
        <w:ind w:left="332"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value of the wrapper investment is calculated by discounting the related cash flows based on current yields of similar instruments with comparable durations.</w:t>
      </w:r>
    </w:p>
    <w:p>
      <w:pPr>
        <w:spacing w:after="0" w:line="224" w:lineRule="exact"/>
        <w:rPr>
          <w:sz w:val="20"/>
          <w:szCs w:val="20"/>
          <w:color w:val="auto"/>
        </w:rPr>
      </w:pPr>
    </w:p>
    <w:p>
      <w:pPr>
        <w:ind w:left="332"/>
        <w:spacing w:after="0"/>
        <w:rPr>
          <w:sz w:val="20"/>
          <w:szCs w:val="20"/>
          <w:color w:val="auto"/>
        </w:rPr>
      </w:pPr>
      <w:r>
        <w:rPr>
          <w:rFonts w:ascii="Arial" w:cs="Arial" w:eastAsia="Arial" w:hAnsi="Arial"/>
          <w:sz w:val="18"/>
          <w:szCs w:val="18"/>
          <w:color w:val="auto"/>
        </w:rPr>
        <w:t>Participants' loans are valued at their outstanding balances, which approximates fair value.</w:t>
      </w:r>
    </w:p>
    <w:p>
      <w:pPr>
        <w:spacing w:after="0" w:line="25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72"/>
          </w:cols>
          <w:pgMar w:left="248" w:top="368" w:right="379" w:bottom="1440" w:gutter="0" w:footer="0" w:header="0"/>
        </w:sectPr>
      </w:pPr>
    </w:p>
    <w:bookmarkStart w:id="10" w:name="page11"/>
    <w:bookmarkEnd w:id="10"/>
    <w:p>
      <w:pPr>
        <w:jc w:val="center"/>
        <w:ind w:right="-71"/>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ind w:left="4752"/>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12"/>
        <w:spacing w:after="0"/>
        <w:rPr>
          <w:sz w:val="20"/>
          <w:szCs w:val="20"/>
          <w:color w:val="auto"/>
        </w:rPr>
      </w:pPr>
      <w:r>
        <w:rPr>
          <w:rFonts w:ascii="Arial" w:cs="Arial" w:eastAsia="Arial" w:hAnsi="Arial"/>
          <w:sz w:val="18"/>
          <w:szCs w:val="18"/>
          <w:color w:val="auto"/>
        </w:rPr>
        <w:t>Retirement Savings Plan</w:t>
      </w:r>
    </w:p>
    <w:p>
      <w:pPr>
        <w:spacing w:after="0" w:line="261" w:lineRule="exact"/>
        <w:rPr>
          <w:sz w:val="20"/>
          <w:szCs w:val="20"/>
          <w:color w:val="auto"/>
        </w:rPr>
      </w:pPr>
    </w:p>
    <w:p>
      <w:pPr>
        <w:ind w:left="332" w:right="6740" w:hanging="332"/>
        <w:spacing w:after="0" w:line="566" w:lineRule="auto"/>
        <w:tabs>
          <w:tab w:leader="none" w:pos="33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i w:val="1"/>
          <w:iCs w:val="1"/>
          <w:color w:val="auto"/>
        </w:rPr>
        <w:t>Investments, Continued:</w:t>
      </w: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Cash equivalents include short-term investments with original term to maturity of 90 days or less. Cost approximates fair value.</w:t>
      </w:r>
    </w:p>
    <w:p>
      <w:pPr>
        <w:spacing w:after="0" w:line="279" w:lineRule="exact"/>
        <w:rPr>
          <w:rFonts w:ascii="Arial" w:cs="Arial" w:eastAsia="Arial" w:hAnsi="Arial"/>
          <w:sz w:val="18"/>
          <w:szCs w:val="18"/>
          <w:b w:val="1"/>
          <w:bCs w:val="1"/>
          <w:color w:val="auto"/>
        </w:rPr>
      </w:pPr>
    </w:p>
    <w:p>
      <w:pPr>
        <w:ind w:left="332"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Plan presents in the statement of changes in net assets available for benefits the net appreciation (depreciation) in the fair value of its investments, which consists of the realized gains or losses and the unrealized appreciation (depreciation) on those investments. Gains and losses on sales of investments are based on the average cost method.</w:t>
      </w:r>
    </w:p>
    <w:p>
      <w:pPr>
        <w:spacing w:after="0" w:line="235"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w:t>
      </w:r>
    </w:p>
    <w:p>
      <w:pPr>
        <w:spacing w:after="0" w:line="279" w:lineRule="exact"/>
        <w:rPr>
          <w:rFonts w:ascii="Arial" w:cs="Arial" w:eastAsia="Arial" w:hAnsi="Arial"/>
          <w:sz w:val="18"/>
          <w:szCs w:val="18"/>
          <w:b w:val="1"/>
          <w:bCs w:val="1"/>
          <w:color w:val="auto"/>
        </w:rPr>
      </w:pPr>
    </w:p>
    <w:p>
      <w:pPr>
        <w:ind w:left="3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generally accepted accounting principles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240"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Payments of Benefits:</w:t>
      </w:r>
    </w:p>
    <w:p>
      <w:pPr>
        <w:spacing w:after="0" w:line="27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Benefits are recorded when paid.</w:t>
      </w:r>
    </w:p>
    <w:p>
      <w:pPr>
        <w:spacing w:after="0" w:line="27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Administrative Fees:</w:t>
      </w:r>
    </w:p>
    <w:p>
      <w:pPr>
        <w:spacing w:after="0" w:line="27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The Company pays for all administrative fees except those that are participant specific, such as loan establishment and maintenance fees.</w:t>
      </w:r>
    </w:p>
    <w:p>
      <w:pPr>
        <w:spacing w:after="0" w:line="27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Risks and Uncertainties:</w:t>
      </w:r>
    </w:p>
    <w:p>
      <w:pPr>
        <w:spacing w:after="0" w:line="279" w:lineRule="exact"/>
        <w:rPr>
          <w:sz w:val="20"/>
          <w:szCs w:val="20"/>
          <w:color w:val="auto"/>
        </w:rPr>
      </w:pPr>
    </w:p>
    <w:p>
      <w:pPr>
        <w:ind w:left="332" w:right="240"/>
        <w:spacing w:after="0" w:line="259" w:lineRule="auto"/>
        <w:rPr>
          <w:sz w:val="20"/>
          <w:szCs w:val="20"/>
          <w:color w:val="auto"/>
        </w:rPr>
      </w:pPr>
      <w:r>
        <w:rPr>
          <w:rFonts w:ascii="Arial" w:cs="Arial" w:eastAsia="Arial" w:hAnsi="Arial"/>
          <w:sz w:val="18"/>
          <w:szCs w:val="18"/>
          <w:color w:val="auto"/>
        </w:rPr>
        <w:t>The Plan provides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 of net assets available for benefits.</w:t>
      </w:r>
    </w:p>
    <w:p>
      <w:pPr>
        <w:spacing w:after="0" w:line="2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368"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6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fair values of the investments individually represent 5% or more of net assets available for benefits as of December 31: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Dodge and Cox Stock Fund</w:t>
            </w:r>
          </w:p>
        </w:tc>
        <w:tc>
          <w:tcPr>
            <w:tcW w:w="27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17,596,623</w:t>
            </w:r>
          </w:p>
        </w:tc>
        <w:tc>
          <w:tcPr>
            <w:tcW w:w="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15,501,108</w:t>
            </w:r>
          </w:p>
        </w:tc>
        <w:tc>
          <w:tcPr>
            <w:tcW w:w="112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EuroPacific Growth Fund-Class A</w:t>
            </w:r>
          </w:p>
        </w:tc>
        <w:tc>
          <w:tcPr>
            <w:tcW w:w="2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19,174,580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14,143,510</w:t>
            </w:r>
          </w:p>
        </w:tc>
        <w:tc>
          <w:tcPr>
            <w:tcW w:w="11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Fidelity Blue Chip Fund</w:t>
            </w:r>
          </w:p>
        </w:tc>
        <w:tc>
          <w:tcPr>
            <w:tcW w:w="25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22,712,543</w:t>
            </w:r>
          </w:p>
        </w:tc>
        <w:tc>
          <w:tcPr>
            <w:tcW w:w="1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21,493,816</w:t>
            </w:r>
          </w:p>
        </w:tc>
        <w:tc>
          <w:tcPr>
            <w:tcW w:w="11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Fidelity Contrafund</w:t>
            </w:r>
          </w:p>
        </w:tc>
        <w:tc>
          <w:tcPr>
            <w:tcW w:w="2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26,696,055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21,571,540</w:t>
            </w:r>
          </w:p>
        </w:tc>
        <w:tc>
          <w:tcPr>
            <w:tcW w:w="11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Fidelity Managed Income Portfolio</w:t>
            </w:r>
          </w:p>
        </w:tc>
        <w:tc>
          <w:tcPr>
            <w:tcW w:w="25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25,182,677</w:t>
            </w:r>
          </w:p>
        </w:tc>
        <w:tc>
          <w:tcPr>
            <w:tcW w:w="1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27,211,156</w:t>
            </w:r>
          </w:p>
        </w:tc>
        <w:tc>
          <w:tcPr>
            <w:tcW w:w="11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Fidelity Puritan Fund</w:t>
            </w:r>
          </w:p>
        </w:tc>
        <w:tc>
          <w:tcPr>
            <w:tcW w:w="2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23,140,365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24,388,839</w:t>
            </w:r>
          </w:p>
        </w:tc>
        <w:tc>
          <w:tcPr>
            <w:tcW w:w="11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Managers Special Equity Fund</w:t>
            </w:r>
          </w:p>
        </w:tc>
        <w:tc>
          <w:tcPr>
            <w:tcW w:w="25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13,468,313</w:t>
            </w:r>
          </w:p>
        </w:tc>
        <w:tc>
          <w:tcPr>
            <w:tcW w:w="1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13,559,000</w:t>
            </w:r>
          </w:p>
        </w:tc>
        <w:tc>
          <w:tcPr>
            <w:tcW w:w="11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Spartan U.S. Equity Index Fund</w:t>
            </w:r>
          </w:p>
        </w:tc>
        <w:tc>
          <w:tcPr>
            <w:tcW w:w="2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19,832,975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20,253,923</w:t>
            </w:r>
          </w:p>
        </w:tc>
        <w:tc>
          <w:tcPr>
            <w:tcW w:w="11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The Scotts Miracle-Gro Company Common Shares</w:t>
            </w:r>
          </w:p>
        </w:tc>
        <w:tc>
          <w:tcPr>
            <w:tcW w:w="25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16,449,323</w:t>
            </w:r>
          </w:p>
        </w:tc>
        <w:tc>
          <w:tcPr>
            <w:tcW w:w="1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16,686,541</w:t>
            </w:r>
          </w:p>
        </w:tc>
        <w:tc>
          <w:tcPr>
            <w:tcW w:w="1120" w:type="dxa"/>
            <w:vAlign w:val="bottom"/>
          </w:tcPr>
          <w:p>
            <w:pPr>
              <w:spacing w:after="0"/>
              <w:rPr>
                <w:sz w:val="21"/>
                <w:szCs w:val="21"/>
                <w:color w:val="auto"/>
              </w:rPr>
            </w:pPr>
          </w:p>
        </w:tc>
      </w:tr>
      <w:tr>
        <w:trPr>
          <w:trHeight w:val="486"/>
        </w:trPr>
        <w:tc>
          <w:tcPr>
            <w:tcW w:w="3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500" w:type="dxa"/>
            <w:vAlign w:val="bottom"/>
          </w:tcPr>
          <w:p>
            <w:pPr>
              <w:jc w:val="right"/>
              <w:ind w:right="143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8"/>
        </w:trPr>
        <w:tc>
          <w:tcPr>
            <w:tcW w:w="34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5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6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Contract with Fidelity Trust Company</w:t>
      </w:r>
    </w:p>
    <w:p>
      <w:pPr>
        <w:spacing w:after="0" w:line="283" w:lineRule="exact"/>
        <w:rPr>
          <w:rFonts w:ascii="Arial" w:cs="Arial" w:eastAsia="Arial" w:hAnsi="Arial"/>
          <w:sz w:val="18"/>
          <w:szCs w:val="18"/>
          <w:b w:val="1"/>
          <w:bCs w:val="1"/>
          <w:color w:val="auto"/>
        </w:rPr>
      </w:pPr>
    </w:p>
    <w:p>
      <w:pPr>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Plan holds a stable value investment contract, Fidelity Managed Income Portfolio, (the Portfolio) with Fidelity Investments, the trustee. The Portfolio is an open-end commingled pool dedicated exclusively to the management of assets of defined contribution plans. The Portfolio invests in underlying assets (typically fixed-income securities or bond funds and may include derivative instruments such as futures contracts and swap agreements) and enters into "wrapper" contracts issued by a third party. The account is credited with earnings on the underlying investments and charged for participant withdrawals and administrative expenses. The wrap issuer agrees to pay the Portfolio an amount sufficient to cover unitholder redemptions and certain other payments (such as portfolio expenses), provided all the terms of the wrap contract have been met. Wrappers are normally purchased from issuers rated in the top three long-term rating categories (A- or the equivalent and above).</w:t>
      </w:r>
    </w:p>
    <w:p>
      <w:pPr>
        <w:spacing w:after="0" w:line="231" w:lineRule="exact"/>
        <w:rPr>
          <w:rFonts w:ascii="Arial" w:cs="Arial" w:eastAsia="Arial" w:hAnsi="Arial"/>
          <w:sz w:val="18"/>
          <w:szCs w:val="18"/>
          <w:b w:val="1"/>
          <w:bCs w:val="1"/>
          <w:color w:val="auto"/>
        </w:rPr>
      </w:pPr>
    </w:p>
    <w:p>
      <w:pPr>
        <w:ind w:left="340" w:right="1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As described in Note 2, because the stable value investment contract is fully benefit-responsive, contract value is the relevant measurement attribute for that portion of the net assets available for benefits attributable to the stable value investment contract. Contract value, as reported by Fidelity, represents contributions made under the contract, plus earnings, less participant withdrawals and administrative expenses. Participants may ordinarily direct the withdrawal or transfer of all or a portion of their investment at contract value.</w:t>
      </w:r>
    </w:p>
    <w:p>
      <w:pPr>
        <w:spacing w:after="0" w:line="225" w:lineRule="exact"/>
        <w:rPr>
          <w:rFonts w:ascii="Arial" w:cs="Arial" w:eastAsia="Arial" w:hAnsi="Arial"/>
          <w:sz w:val="18"/>
          <w:szCs w:val="18"/>
          <w:b w:val="1"/>
          <w:bCs w:val="1"/>
          <w:color w:val="auto"/>
        </w:rPr>
      </w:pPr>
    </w:p>
    <w:p>
      <w:pPr>
        <w:ind w:left="340" w:right="36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There are no reserves against contract value for credit risk of the contract issuer or otherwise. The crediting interest rate is based on a formula agreed upon with the issuer. Such interest rates are reviewed on a quarterly basis for resetting.</w:t>
      </w:r>
    </w:p>
    <w:p>
      <w:pPr>
        <w:spacing w:after="0" w:line="1" w:lineRule="exact"/>
        <w:rPr>
          <w:rFonts w:ascii="Arial" w:cs="Arial" w:eastAsia="Arial" w:hAnsi="Arial"/>
          <w:sz w:val="18"/>
          <w:szCs w:val="18"/>
          <w:b w:val="1"/>
          <w:bCs w:val="1"/>
          <w:color w:val="auto"/>
        </w:rPr>
      </w:pPr>
    </w:p>
    <w:p>
      <w:pPr>
        <w:ind w:left="340" w:right="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Certain events limit the ability of the Plan to transact at contract value with the issuer. Such events include the following: (1) amendments to the Plan documents (including complete or partial plan termination or merger with another plan), (2) changes to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Employee Retirement Income Security Act of 1974. The Plan administrator does not believe that the occurrence of any such value event, which would limit the Plan’s ability to transact at contract value with participants, is probable.</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guaranteed bank investment contract does not permit Fidelity to terminate the agreement prior to the scheduled maturity date.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Retirement Savings Plan</w:t>
      </w:r>
    </w:p>
    <w:p>
      <w:pPr>
        <w:spacing w:after="0" w:line="26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Contract with Fidelity Trust Company, Continued</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are the average yields for the guaranteed bank investment contract for 2007 and 2006:</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57"/>
        </w:trPr>
        <w:tc>
          <w:tcPr>
            <w:tcW w:w="6920" w:type="dxa"/>
            <w:vAlign w:val="bottom"/>
          </w:tcPr>
          <w:p>
            <w:pPr>
              <w:spacing w:after="0"/>
              <w:rPr>
                <w:sz w:val="20"/>
                <w:szCs w:val="20"/>
                <w:color w:val="auto"/>
              </w:rPr>
            </w:pPr>
            <w:r>
              <w:rPr>
                <w:rFonts w:ascii="Arial" w:cs="Arial" w:eastAsia="Arial" w:hAnsi="Arial"/>
                <w:sz w:val="18"/>
                <w:szCs w:val="18"/>
                <w:color w:val="auto"/>
              </w:rPr>
              <w:t>Average Yields:</w:t>
            </w: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2"/>
                <w:szCs w:val="22"/>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22"/>
                <w:szCs w:val="22"/>
                <w:color w:val="auto"/>
              </w:rPr>
            </w:pPr>
          </w:p>
        </w:tc>
      </w:tr>
      <w:tr>
        <w:trPr>
          <w:trHeight w:val="237"/>
        </w:trPr>
        <w:tc>
          <w:tcPr>
            <w:tcW w:w="6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6920" w:type="dxa"/>
            <w:vAlign w:val="bottom"/>
            <w:shd w:val="clear" w:color="auto" w:fill="CCFFCC"/>
          </w:tcPr>
          <w:p>
            <w:pPr>
              <w:spacing w:after="0"/>
              <w:rPr>
                <w:sz w:val="20"/>
                <w:szCs w:val="20"/>
                <w:color w:val="auto"/>
              </w:rPr>
            </w:pPr>
            <w:r>
              <w:rPr>
                <w:rFonts w:ascii="Arial" w:cs="Arial" w:eastAsia="Arial" w:hAnsi="Arial"/>
                <w:sz w:val="18"/>
                <w:szCs w:val="18"/>
                <w:color w:val="auto"/>
              </w:rPr>
              <w:t>Based on actual earnings</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4.31%</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3.90%</w:t>
            </w: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Based on interest rates credited to participants</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4.27%</w:t>
            </w:r>
          </w:p>
        </w:tc>
      </w:tr>
    </w:tbl>
    <w:p>
      <w:pPr>
        <w:spacing w:after="0" w:line="2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b w:val="1"/>
          <w:bCs w:val="1"/>
          <w:color w:val="auto"/>
        </w:rPr>
        <w:t>Tax Status</w:t>
      </w:r>
    </w:p>
    <w:p>
      <w:pPr>
        <w:spacing w:after="0" w:line="297"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The Plan obtained a determination letter dated September 24, 2003, in which the Internal Revenue Service stated that the Plan, as amended through February 4, 2002, was in compliance with the applicable requirements of the Internal Revenue Code. The Plan administrator, the Company and the Plan's legal counsel believe that the Plan is designed and has been operated in compliance with the applicable requirements of the Internal Revenue Code. On January 31, 2007, the Company applied for a new determination letter to cover all amendments to the Plan subsequent to February 4, 2002. Accordingly, no provision for federal income taxes has been made.</w:t>
      </w:r>
    </w:p>
    <w:p>
      <w:pPr>
        <w:spacing w:after="0" w:line="279"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97" w:lineRule="exact"/>
        <w:rPr>
          <w:sz w:val="20"/>
          <w:szCs w:val="20"/>
          <w:color w:val="auto"/>
        </w:rPr>
      </w:pPr>
    </w:p>
    <w:p>
      <w:pPr>
        <w:ind w:left="340" w:right="540"/>
        <w:spacing w:after="0" w:line="308" w:lineRule="auto"/>
        <w:rPr>
          <w:sz w:val="20"/>
          <w:szCs w:val="20"/>
          <w:color w:val="auto"/>
        </w:rPr>
      </w:pPr>
      <w:r>
        <w:rPr>
          <w:rFonts w:ascii="Arial" w:cs="Arial" w:eastAsia="Arial" w:hAnsi="Arial"/>
          <w:sz w:val="17"/>
          <w:szCs w:val="17"/>
          <w:color w:val="auto"/>
        </w:rPr>
        <w:t>Although it has not expressed any intent to do so, the Company has the right under the Plan to terminate the Plan or its contributions subject to the provisions of ERISA. In the event the Plan is terminated, participants will become fully vested in their accounts.</w:t>
      </w:r>
    </w:p>
    <w:p>
      <w:pPr>
        <w:spacing w:after="0" w:line="237"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net assets available for benefits per the financial statements to the Form 5500: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December 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December 31</w:t>
            </w:r>
          </w:p>
        </w:tc>
        <w:tc>
          <w:tcPr>
            <w:tcW w:w="112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234,263,263</w:t>
            </w:r>
          </w:p>
        </w:tc>
        <w:tc>
          <w:tcPr>
            <w:tcW w:w="120" w:type="dxa"/>
            <w:vAlign w:val="bottom"/>
            <w:shd w:val="clear" w:color="auto" w:fill="CCFFCC"/>
          </w:tcPr>
          <w:p>
            <w:pPr>
              <w:spacing w:after="0"/>
              <w:rPr>
                <w:sz w:val="20"/>
                <w:szCs w:val="20"/>
                <w:color w:val="auto"/>
              </w:rPr>
            </w:pP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218,436,949</w:t>
            </w:r>
          </w:p>
        </w:tc>
        <w:tc>
          <w:tcPr>
            <w:tcW w:w="112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color w:val="auto"/>
                <w:w w:val="95"/>
              </w:rPr>
              <w:t>Adjustment from fair value to contract value for fully benefit-responsive investment contracts</w:t>
            </w:r>
          </w:p>
        </w:tc>
        <w:tc>
          <w:tcPr>
            <w:tcW w:w="1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(273,673)</w:t>
            </w: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(273,491)</w:t>
            </w:r>
          </w:p>
        </w:tc>
        <w:tc>
          <w:tcPr>
            <w:tcW w:w="11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6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color w:val="auto"/>
              </w:rPr>
              <w:t>Rounding</w:t>
            </w:r>
          </w:p>
        </w:tc>
        <w:tc>
          <w:tcPr>
            <w:tcW w:w="120" w:type="dxa"/>
            <w:vAlign w:val="bottom"/>
            <w:shd w:val="clear" w:color="auto" w:fill="CCFFCC"/>
          </w:tcPr>
          <w:p>
            <w:pPr>
              <w:spacing w:after="0"/>
              <w:rPr>
                <w:sz w:val="21"/>
                <w:szCs w:val="21"/>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w:t>
            </w:r>
          </w:p>
        </w:tc>
        <w:tc>
          <w:tcPr>
            <w:tcW w:w="112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6980" w:type="dxa"/>
            <w:vAlign w:val="bottom"/>
            <w:tcBorders>
              <w:top w:val="single" w:sz="8" w:color="CCFFC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340" w:type="dxa"/>
            <w:vAlign w:val="bottom"/>
          </w:tcPr>
          <w:p>
            <w:pPr>
              <w:spacing w:after="0"/>
              <w:rPr>
                <w:sz w:val="24"/>
                <w:szCs w:val="24"/>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233,989,590</w:t>
            </w:r>
          </w:p>
        </w:tc>
        <w:tc>
          <w:tcPr>
            <w:tcW w:w="120" w:type="dxa"/>
            <w:vAlign w:val="bottom"/>
            <w:shd w:val="clear" w:color="auto" w:fill="CCFFCC"/>
          </w:tcPr>
          <w:p>
            <w:pPr>
              <w:spacing w:after="0"/>
              <w:rPr>
                <w:sz w:val="24"/>
                <w:szCs w:val="24"/>
                <w:color w:val="auto"/>
              </w:rPr>
            </w:pP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218,163,455</w:t>
            </w:r>
          </w:p>
        </w:tc>
        <w:tc>
          <w:tcPr>
            <w:tcW w:w="1120" w:type="dxa"/>
            <w:vAlign w:val="bottom"/>
          </w:tcPr>
          <w:p>
            <w:pPr>
              <w:spacing w:after="0"/>
              <w:rPr>
                <w:sz w:val="24"/>
                <w:szCs w:val="24"/>
                <w:color w:val="auto"/>
              </w:rPr>
            </w:pPr>
          </w:p>
        </w:tc>
      </w:tr>
      <w:tr>
        <w:trPr>
          <w:trHeight w:val="467"/>
        </w:trPr>
        <w:tc>
          <w:tcPr>
            <w:tcW w:w="340" w:type="dxa"/>
            <w:vAlign w:val="bottom"/>
          </w:tcPr>
          <w:p>
            <w:pPr>
              <w:spacing w:after="0"/>
              <w:rPr>
                <w:sz w:val="24"/>
                <w:szCs w:val="24"/>
                <w:color w:val="auto"/>
              </w:rPr>
            </w:pPr>
          </w:p>
        </w:tc>
        <w:tc>
          <w:tcPr>
            <w:tcW w:w="6980" w:type="dxa"/>
            <w:vAlign w:val="bottom"/>
            <w:tcBorders>
              <w:top w:val="single" w:sz="8" w:color="CCFFCC"/>
            </w:tcBorders>
          </w:tcPr>
          <w:p>
            <w:pPr>
              <w:ind w:left="528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120" w:type="dxa"/>
            <w:vAlign w:val="bottom"/>
          </w:tcPr>
          <w:p>
            <w:pPr>
              <w:spacing w:after="0"/>
              <w:rPr>
                <w:sz w:val="24"/>
                <w:szCs w:val="24"/>
                <w:color w:val="auto"/>
              </w:rPr>
            </w:pPr>
          </w:p>
        </w:tc>
      </w:tr>
      <w:tr>
        <w:trPr>
          <w:trHeight w:val="118"/>
        </w:trPr>
        <w:tc>
          <w:tcPr>
            <w:tcW w:w="340" w:type="dxa"/>
            <w:vAlign w:val="bottom"/>
            <w:tcBorders>
              <w:bottom w:val="single" w:sz="8" w:color="808080"/>
            </w:tcBorders>
          </w:tcPr>
          <w:p>
            <w:pPr>
              <w:spacing w:after="0"/>
              <w:rPr>
                <w:sz w:val="10"/>
                <w:szCs w:val="10"/>
                <w:color w:val="auto"/>
              </w:rPr>
            </w:pPr>
          </w:p>
        </w:tc>
        <w:tc>
          <w:tcPr>
            <w:tcW w:w="6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jc w:val="center"/>
        <w:ind w:right="-91"/>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ind w:left="4752"/>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12"/>
        <w:spacing w:after="0"/>
        <w:rPr>
          <w:sz w:val="20"/>
          <w:szCs w:val="20"/>
          <w:color w:val="auto"/>
        </w:rPr>
      </w:pPr>
      <w:r>
        <w:rPr>
          <w:rFonts w:ascii="Arial" w:cs="Arial" w:eastAsia="Arial" w:hAnsi="Arial"/>
          <w:sz w:val="18"/>
          <w:szCs w:val="18"/>
          <w:color w:val="auto"/>
        </w:rPr>
        <w:t>Retirement Savings Plan</w:t>
      </w:r>
    </w:p>
    <w:p>
      <w:pPr>
        <w:spacing w:after="0" w:line="261" w:lineRule="exact"/>
        <w:rPr>
          <w:sz w:val="20"/>
          <w:szCs w:val="20"/>
          <w:color w:val="auto"/>
        </w:rPr>
      </w:pPr>
    </w:p>
    <w:p>
      <w:pPr>
        <w:ind w:left="332" w:hanging="332"/>
        <w:spacing w:after="0"/>
        <w:tabs>
          <w:tab w:leader="none" w:pos="33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 Continued</w:t>
      </w:r>
    </w:p>
    <w:p>
      <w:pPr>
        <w:spacing w:after="0" w:line="283"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investment income per the financial statements to the Form 5500.</w:t>
      </w:r>
    </w:p>
    <w:p>
      <w:pPr>
        <w:spacing w:after="0" w:line="302"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December 31, 2007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Investment income per the financial statements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13,802,458</w:t>
            </w:r>
          </w:p>
        </w:tc>
        <w:tc>
          <w:tcPr>
            <w:tcW w:w="0" w:type="dxa"/>
            <w:vAlign w:val="bottom"/>
          </w:tcPr>
          <w:p>
            <w:pPr>
              <w:spacing w:after="0"/>
              <w:rPr>
                <w:sz w:val="1"/>
                <w:szCs w:val="1"/>
                <w:color w:val="auto"/>
              </w:rPr>
            </w:pPr>
          </w:p>
        </w:tc>
      </w:tr>
      <w:tr>
        <w:trPr>
          <w:trHeight w:val="243"/>
        </w:trPr>
        <w:tc>
          <w:tcPr>
            <w:tcW w:w="7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0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Adjustment from fair value to contract value for fully benefit-responsive investment contracts -</w:t>
            </w:r>
          </w:p>
        </w:tc>
        <w:tc>
          <w:tcPr>
            <w:tcW w:w="100" w:type="dxa"/>
            <w:vAlign w:val="bottom"/>
            <w:shd w:val="clear" w:color="auto" w:fill="CCFFCC"/>
          </w:tcPr>
          <w:p>
            <w:pPr>
              <w:spacing w:after="0"/>
              <w:rPr>
                <w:sz w:val="17"/>
                <w:szCs w:val="17"/>
                <w:color w:val="auto"/>
              </w:rPr>
            </w:pPr>
          </w:p>
        </w:tc>
        <w:tc>
          <w:tcPr>
            <w:tcW w:w="1700" w:type="dxa"/>
            <w:vAlign w:val="bottom"/>
            <w:gridSpan w:val="2"/>
            <w:vMerge w:val="restart"/>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(273,673)</w:t>
            </w:r>
          </w:p>
        </w:tc>
        <w:tc>
          <w:tcPr>
            <w:tcW w:w="0" w:type="dxa"/>
            <w:vAlign w:val="bottom"/>
          </w:tcPr>
          <w:p>
            <w:pPr>
              <w:spacing w:after="0"/>
              <w:rPr>
                <w:sz w:val="1"/>
                <w:szCs w:val="1"/>
                <w:color w:val="auto"/>
              </w:rPr>
            </w:pPr>
          </w:p>
        </w:tc>
      </w:tr>
      <w:tr>
        <w:trPr>
          <w:trHeight w:val="230"/>
        </w:trPr>
        <w:tc>
          <w:tcPr>
            <w:tcW w:w="7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current year</w:t>
            </w:r>
          </w:p>
        </w:tc>
        <w:tc>
          <w:tcPr>
            <w:tcW w:w="100" w:type="dxa"/>
            <w:vAlign w:val="bottom"/>
            <w:shd w:val="clear" w:color="auto" w:fill="CCFFCC"/>
          </w:tcPr>
          <w:p>
            <w:pPr>
              <w:spacing w:after="0"/>
              <w:rPr>
                <w:sz w:val="20"/>
                <w:szCs w:val="20"/>
                <w:color w:val="auto"/>
              </w:rPr>
            </w:pPr>
          </w:p>
        </w:tc>
        <w:tc>
          <w:tcPr>
            <w:tcW w:w="1700" w:type="dxa"/>
            <w:vAlign w:val="bottom"/>
            <w:gridSpan w:val="2"/>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0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Adjustment from fair value to contract value for fully benefit-responsive investment contracts -</w:t>
            </w:r>
          </w:p>
        </w:tc>
        <w:tc>
          <w:tcPr>
            <w:tcW w:w="100" w:type="dxa"/>
            <w:vAlign w:val="bottom"/>
            <w:shd w:val="clear" w:color="auto" w:fill="CCFFCC"/>
          </w:tcPr>
          <w:p>
            <w:pPr>
              <w:spacing w:after="0"/>
              <w:rPr>
                <w:sz w:val="17"/>
                <w:szCs w:val="17"/>
                <w:color w:val="auto"/>
              </w:rPr>
            </w:pPr>
          </w:p>
        </w:tc>
        <w:tc>
          <w:tcPr>
            <w:tcW w:w="170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273,491</w:t>
            </w:r>
          </w:p>
        </w:tc>
        <w:tc>
          <w:tcPr>
            <w:tcW w:w="0" w:type="dxa"/>
            <w:vAlign w:val="bottom"/>
          </w:tcPr>
          <w:p>
            <w:pPr>
              <w:spacing w:after="0"/>
              <w:rPr>
                <w:sz w:val="1"/>
                <w:szCs w:val="1"/>
                <w:color w:val="auto"/>
              </w:rPr>
            </w:pPr>
          </w:p>
        </w:tc>
      </w:tr>
      <w:tr>
        <w:trPr>
          <w:trHeight w:val="230"/>
        </w:trPr>
        <w:tc>
          <w:tcPr>
            <w:tcW w:w="7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prior year</w:t>
            </w:r>
          </w:p>
        </w:tc>
        <w:tc>
          <w:tcPr>
            <w:tcW w:w="100" w:type="dxa"/>
            <w:vAlign w:val="bottom"/>
            <w:shd w:val="clear" w:color="auto" w:fill="CCFFCC"/>
          </w:tcPr>
          <w:p>
            <w:pPr>
              <w:spacing w:after="0"/>
              <w:rPr>
                <w:sz w:val="20"/>
                <w:szCs w:val="20"/>
                <w:color w:val="auto"/>
              </w:rPr>
            </w:pPr>
          </w:p>
        </w:tc>
        <w:tc>
          <w:tcPr>
            <w:tcW w:w="1700" w:type="dxa"/>
            <w:vAlign w:val="bottom"/>
            <w:gridSpan w:val="2"/>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0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Rounding</w:t>
            </w:r>
          </w:p>
        </w:tc>
        <w:tc>
          <w:tcPr>
            <w:tcW w:w="100" w:type="dxa"/>
            <w:vAlign w:val="bottom"/>
            <w:tcBorders>
              <w:bottom w:val="single" w:sz="8" w:color="CCFFCC"/>
            </w:tcBorders>
            <w:shd w:val="clear" w:color="auto" w:fill="CCFFCC"/>
          </w:tcPr>
          <w:p>
            <w:pPr>
              <w:spacing w:after="0"/>
              <w:rPr>
                <w:sz w:val="23"/>
                <w:szCs w:val="23"/>
                <w:color w:val="auto"/>
              </w:rPr>
            </w:pPr>
          </w:p>
        </w:tc>
        <w:tc>
          <w:tcPr>
            <w:tcW w:w="17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7"/>
        </w:trPr>
        <w:tc>
          <w:tcPr>
            <w:tcW w:w="7060" w:type="dxa"/>
            <w:vAlign w:val="bottom"/>
            <w:tcBorders>
              <w:top w:val="single" w:sz="8" w:color="CCFFC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Net investment income per the Form 5500</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13,802,280</w:t>
            </w:r>
          </w:p>
        </w:tc>
        <w:tc>
          <w:tcPr>
            <w:tcW w:w="0" w:type="dxa"/>
            <w:vAlign w:val="bottom"/>
          </w:tcPr>
          <w:p>
            <w:pPr>
              <w:spacing w:after="0"/>
              <w:rPr>
                <w:sz w:val="1"/>
                <w:szCs w:val="1"/>
                <w:color w:val="auto"/>
              </w:rPr>
            </w:pPr>
          </w:p>
        </w:tc>
      </w:tr>
      <w:tr>
        <w:trPr>
          <w:trHeight w:val="20"/>
        </w:trPr>
        <w:tc>
          <w:tcPr>
            <w:tcW w:w="70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32" w:hanging="332"/>
        <w:spacing w:after="0"/>
        <w:tabs>
          <w:tab w:leader="none" w:pos="33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83" w:lineRule="exact"/>
        <w:rPr>
          <w:rFonts w:ascii="Arial" w:cs="Arial" w:eastAsia="Arial" w:hAnsi="Arial"/>
          <w:sz w:val="18"/>
          <w:szCs w:val="18"/>
          <w:b w:val="1"/>
          <w:bCs w:val="1"/>
          <w:color w:val="auto"/>
        </w:rPr>
      </w:pPr>
    </w:p>
    <w:p>
      <w:pPr>
        <w:ind w:left="332" w:right="1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Certain Plan investments are shares of mutual funds managed by Fidelity, the Trustee as defined by the Plan and therefore, these transactions qualify as party-in-interest. Usual and customary fees were paid by the mutual fund for the investment management services.</w:t>
      </w:r>
    </w:p>
    <w:p>
      <w:pPr>
        <w:spacing w:after="0" w:line="197" w:lineRule="exact"/>
        <w:rPr>
          <w:sz w:val="20"/>
          <w:szCs w:val="20"/>
          <w:color w:val="auto"/>
        </w:rPr>
      </w:pPr>
    </w:p>
    <w:p>
      <w:pPr>
        <w:ind w:left="332" w:hanging="332"/>
        <w:spacing w:after="0"/>
        <w:tabs>
          <w:tab w:leader="none" w:pos="33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into the Plan</w:t>
      </w:r>
    </w:p>
    <w:p>
      <w:pPr>
        <w:spacing w:after="0" w:line="283" w:lineRule="exact"/>
        <w:rPr>
          <w:sz w:val="20"/>
          <w:szCs w:val="20"/>
          <w:color w:val="auto"/>
        </w:rPr>
      </w:pPr>
    </w:p>
    <w:p>
      <w:pPr>
        <w:ind w:left="332"/>
        <w:spacing w:after="0" w:line="264" w:lineRule="auto"/>
        <w:rPr>
          <w:sz w:val="20"/>
          <w:szCs w:val="20"/>
          <w:color w:val="auto"/>
        </w:rPr>
      </w:pPr>
      <w:r>
        <w:rPr>
          <w:rFonts w:ascii="Arial" w:cs="Arial" w:eastAsia="Arial" w:hAnsi="Arial"/>
          <w:sz w:val="18"/>
          <w:szCs w:val="18"/>
          <w:color w:val="auto"/>
        </w:rPr>
        <w:t>On June 1, 2006, the Morning Song Wild Bird Food 401(k) Savings Retirement Plan ("Morning Song Plan") transferred its net assets into the Plan in the amount of $1,570,975. Prior to the merger, the Morning Song Plan covered eligible employees of Gutwein &amp; Co., Inc. Also, the Plan was amended so that the participants of the Morning Song Plan could immediately participant in the Plan.</w:t>
      </w:r>
    </w:p>
    <w:p>
      <w:pPr>
        <w:spacing w:after="0" w:line="20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368" w:right="319" w:bottom="1440" w:gutter="0" w:footer="0" w:header="0"/>
        </w:sectPr>
      </w:pPr>
    </w:p>
    <w:bookmarkStart w:id="15" w:name="page16"/>
    <w:bookmarkEnd w:id="15"/>
    <w:p>
      <w:pPr>
        <w:jc w:val="center"/>
        <w:ind w:right="-31"/>
        <w:spacing w:after="0"/>
        <w:rPr>
          <w:sz w:val="20"/>
          <w:szCs w:val="20"/>
          <w:color w:val="auto"/>
        </w:rPr>
      </w:pPr>
      <w:r>
        <w:rPr>
          <w:rFonts w:ascii="Arial" w:cs="Arial" w:eastAsia="Arial" w:hAnsi="Arial"/>
          <w:sz w:val="18"/>
          <w:szCs w:val="18"/>
          <w:color w:val="auto"/>
        </w:rPr>
        <w:t>NOTES TO FINANCIAL STATEMENTS</w:t>
      </w:r>
    </w:p>
    <w:p>
      <w:pPr>
        <w:spacing w:after="0" w:line="279" w:lineRule="exact"/>
        <w:rPr>
          <w:sz w:val="20"/>
          <w:szCs w:val="20"/>
          <w:color w:val="auto"/>
        </w:rPr>
      </w:pPr>
    </w:p>
    <w:p>
      <w:pPr>
        <w:ind w:left="4752"/>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ind w:left="4812"/>
        <w:spacing w:after="0"/>
        <w:rPr>
          <w:sz w:val="20"/>
          <w:szCs w:val="20"/>
          <w:color w:val="auto"/>
        </w:rPr>
      </w:pPr>
      <w:r>
        <w:rPr>
          <w:rFonts w:ascii="Arial" w:cs="Arial" w:eastAsia="Arial" w:hAnsi="Arial"/>
          <w:sz w:val="18"/>
          <w:szCs w:val="18"/>
          <w:color w:val="auto"/>
        </w:rPr>
        <w:t>Retirement Savings Plan</w:t>
      </w:r>
    </w:p>
    <w:p>
      <w:pPr>
        <w:spacing w:after="0" w:line="261" w:lineRule="exact"/>
        <w:rPr>
          <w:sz w:val="20"/>
          <w:szCs w:val="20"/>
          <w:color w:val="auto"/>
        </w:rPr>
      </w:pPr>
    </w:p>
    <w:p>
      <w:pPr>
        <w:ind w:left="332" w:hanging="332"/>
        <w:spacing w:after="0"/>
        <w:tabs>
          <w:tab w:leader="none" w:pos="33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83" w:lineRule="exact"/>
        <w:rPr>
          <w:rFonts w:ascii="Arial" w:cs="Arial" w:eastAsia="Arial" w:hAnsi="Arial"/>
          <w:sz w:val="18"/>
          <w:szCs w:val="18"/>
          <w:b w:val="1"/>
          <w:bCs w:val="1"/>
          <w:color w:val="auto"/>
        </w:rPr>
      </w:pPr>
    </w:p>
    <w:p>
      <w:pPr>
        <w:ind w:left="332"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September 2006, the Financial Accounting Standards Board (“FASB”) issued Statement of Financial Accounting Standards (“SFAS”) No. 157, “Fair Value Measurements” (“SFAS 157”). SFAS 157 defines fair value, establishes a framework for measuring fair value, and expands disclosures about fair value measurements. The Plan will be required to adopt SFAS 157 no later than January 1, 2008. The effect of this pronouncement on these financial statements has not been determined.</w:t>
      </w:r>
    </w:p>
    <w:p>
      <w:pPr>
        <w:spacing w:after="0" w:line="240" w:lineRule="exact"/>
        <w:rPr>
          <w:rFonts w:ascii="Arial" w:cs="Arial" w:eastAsia="Arial" w:hAnsi="Arial"/>
          <w:sz w:val="18"/>
          <w:szCs w:val="18"/>
          <w:b w:val="1"/>
          <w:bCs w:val="1"/>
          <w:color w:val="auto"/>
        </w:rPr>
      </w:pPr>
    </w:p>
    <w:p>
      <w:pPr>
        <w:ind w:left="332" w:right="1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February 15, 2007, the FASB issued SFAS No. 159, “The Fair Value Option for Financial Assets and Financial Liabilities” (“SFAS 159”), which allows an entity the irrevocable option to elect fair value for the initial and subsequent measurement for certain financial assets and liabilities on a contract-by-contract basis. Subsequent changes in fair value of these financial assets and liabilities would be recognized in earnings when they occur. SFAS 159 further establishes certain additional disclosure requirements. SFAS 159 is effective for the Plan’s financial statements for the fiscal year beginning on January 1, 2008, with earlier adoption permitted. The effect of this pronouncement on these financial statements has not been determined.</w:t>
      </w:r>
    </w:p>
    <w:p>
      <w:pPr>
        <w:spacing w:after="0" w:line="212" w:lineRule="exact"/>
        <w:rPr>
          <w:rFonts w:ascii="Arial" w:cs="Arial" w:eastAsia="Arial" w:hAnsi="Arial"/>
          <w:sz w:val="18"/>
          <w:szCs w:val="18"/>
          <w:b w:val="1"/>
          <w:bCs w:val="1"/>
          <w:color w:val="auto"/>
        </w:rPr>
      </w:pPr>
    </w:p>
    <w:p>
      <w:pPr>
        <w:ind w:left="33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March 2008, the FASB issued SFAS No. 161, “Disclosure about Derivative Instruments and Hedging Activities” (“SFAS 161”), which amends the disclosure requirements of SFAS 133. SFAS 161 requires increased disclosures about derivative instruments and hedging activities and their effects on an entity's financial position, financial performance, and cash flows. SFAS 161 is effective for fiscal years beginning after November 15, 2008, with early adoption permitted. SFAS 161 is not expected to have a material impact on the Plan’s financial statements.</w:t>
      </w:r>
    </w:p>
    <w:p>
      <w:pPr>
        <w:spacing w:after="0" w:line="225" w:lineRule="exact"/>
        <w:rPr>
          <w:rFonts w:ascii="Arial" w:cs="Arial" w:eastAsia="Arial" w:hAnsi="Arial"/>
          <w:sz w:val="18"/>
          <w:szCs w:val="18"/>
          <w:b w:val="1"/>
          <w:bCs w:val="1"/>
          <w:color w:val="auto"/>
        </w:rPr>
      </w:pPr>
    </w:p>
    <w:p>
      <w:pPr>
        <w:ind w:left="332"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May 2008, the FASB issued SFAS No. 162, “The Hierarchy of Generally Accepted Accounting Principles” (“SFAS 162”), which is intended to improve financial reporting by identifying the sources of accounting principles and a consistent framework, or hierarchy, for selecting accounting principles to be used in preparing financial statements that are presented in conformity with U.S. GAAP for nongovernmental entities. SFAS 162 will be effected 60 days after U.S. Securities and Exchange Commission approves the Public Company Accounting Oversight Board's amendments to AU section 411, "The Meaning of Present Fairly in Conformity With Generally Accepted Accounting Principles". SFAS 162 is not expected to have a material impact on the Plan's financial statements.</w:t>
      </w:r>
    </w:p>
    <w:p>
      <w:pPr>
        <w:spacing w:after="0" w:line="24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68"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SCHEDULE OF ASSETS HELD FOR INVESTMENT PURPOSES AT END OF YEAR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5500, Schedule H, Part IV, Line 4i</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Company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Retirement Savings Plan (formerly known as The Scotts Company Retirement Savings Plan)</w:t>
      </w:r>
    </w:p>
    <w:p>
      <w:pPr>
        <w:spacing w:after="0" w:line="26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EIN 31-1414921</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Plan Number 001</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color w:val="auto"/>
                <w:w w:val="95"/>
              </w:rPr>
              <w:t>(b) Identity of Issue,</w:t>
            </w:r>
          </w:p>
        </w:tc>
        <w:tc>
          <w:tcPr>
            <w:tcW w:w="2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color w:val="auto"/>
                <w:w w:val="95"/>
              </w:rPr>
              <w:t>(c) Description of Investment Including</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(e)</w:t>
            </w:r>
          </w:p>
        </w:tc>
      </w:tr>
      <w:tr>
        <w:trPr>
          <w:trHeight w:val="176"/>
        </w:trPr>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color w:val="auto"/>
                <w:w w:val="94"/>
              </w:rPr>
              <w:t>Borrower, Lessor,</w:t>
            </w:r>
          </w:p>
        </w:tc>
        <w:tc>
          <w:tcPr>
            <w:tcW w:w="2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color w:val="auto"/>
                <w:w w:val="94"/>
              </w:rPr>
              <w:t>Maturity Date, Rate of Interest,</w:t>
            </w:r>
          </w:p>
        </w:tc>
        <w:tc>
          <w:tcPr>
            <w:tcW w:w="220" w:type="dxa"/>
            <w:vAlign w:val="bottom"/>
          </w:tcPr>
          <w:p>
            <w:pPr>
              <w:spacing w:after="0"/>
              <w:rPr>
                <w:sz w:val="15"/>
                <w:szCs w:val="15"/>
                <w:color w:val="auto"/>
              </w:rPr>
            </w:pPr>
          </w:p>
        </w:tc>
        <w:tc>
          <w:tcPr>
            <w:tcW w:w="800" w:type="dxa"/>
            <w:vAlign w:val="bottom"/>
          </w:tcPr>
          <w:p>
            <w:pPr>
              <w:ind w:left="300"/>
              <w:spacing w:after="0"/>
              <w:rPr>
                <w:sz w:val="20"/>
                <w:szCs w:val="20"/>
                <w:color w:val="auto"/>
              </w:rPr>
            </w:pPr>
            <w:r>
              <w:rPr>
                <w:rFonts w:ascii="Arial" w:cs="Arial" w:eastAsia="Arial" w:hAnsi="Arial"/>
                <w:sz w:val="14"/>
                <w:szCs w:val="14"/>
                <w:color w:val="auto"/>
              </w:rPr>
              <w:t>(d)</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Current</w:t>
            </w:r>
          </w:p>
        </w:tc>
      </w:tr>
      <w:tr>
        <w:trPr>
          <w:trHeight w:val="181"/>
        </w:trPr>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w:t>
            </w:r>
          </w:p>
        </w:tc>
        <w:tc>
          <w:tcPr>
            <w:tcW w:w="220" w:type="dxa"/>
            <w:vAlign w:val="bottom"/>
          </w:tcPr>
          <w:p>
            <w:pPr>
              <w:spacing w:after="0"/>
              <w:rPr>
                <w:sz w:val="15"/>
                <w:szCs w:val="15"/>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or Similar Party</w:t>
            </w:r>
          </w:p>
        </w:tc>
        <w:tc>
          <w:tcPr>
            <w:tcW w:w="220" w:type="dxa"/>
            <w:vAlign w:val="bottom"/>
          </w:tcPr>
          <w:p>
            <w:pPr>
              <w:spacing w:after="0"/>
              <w:rPr>
                <w:sz w:val="15"/>
                <w:szCs w:val="15"/>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Collateral, Par or Maturity Value</w:t>
            </w:r>
          </w:p>
        </w:tc>
        <w:tc>
          <w:tcPr>
            <w:tcW w:w="220" w:type="dxa"/>
            <w:vAlign w:val="bottom"/>
          </w:tcPr>
          <w:p>
            <w:pPr>
              <w:spacing w:after="0"/>
              <w:rPr>
                <w:sz w:val="15"/>
                <w:szCs w:val="15"/>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Cost</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color w:val="auto"/>
                <w:w w:val="89"/>
              </w:rPr>
              <w:t>Value</w:t>
            </w:r>
          </w:p>
        </w:tc>
        <w:tc>
          <w:tcPr>
            <w:tcW w:w="100" w:type="dxa"/>
            <w:vAlign w:val="bottom"/>
          </w:tcPr>
          <w:p>
            <w:pPr>
              <w:spacing w:after="0"/>
              <w:rPr>
                <w:sz w:val="15"/>
                <w:szCs w:val="15"/>
                <w:color w:val="auto"/>
              </w:rPr>
            </w:pPr>
          </w:p>
        </w:tc>
      </w:tr>
      <w:tr>
        <w:trPr>
          <w:trHeight w:val="237"/>
        </w:trPr>
        <w:tc>
          <w:tcPr>
            <w:tcW w:w="2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CRM Small Cap Value Fund</w:t>
            </w:r>
          </w:p>
        </w:tc>
        <w:tc>
          <w:tcPr>
            <w:tcW w:w="220" w:type="dxa"/>
            <w:vAlign w:val="bottom"/>
            <w:shd w:val="clear" w:color="auto" w:fill="CCFFCC"/>
          </w:tcPr>
          <w:p>
            <w:pPr>
              <w:spacing w:after="0"/>
              <w:rPr>
                <w:sz w:val="20"/>
                <w:szCs w:val="20"/>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shd w:val="clear" w:color="auto" w:fill="CCFFCC"/>
          </w:tcPr>
          <w:p>
            <w:pPr>
              <w:spacing w:after="0"/>
              <w:rPr>
                <w:sz w:val="20"/>
                <w:szCs w:val="20"/>
                <w:color w:val="auto"/>
              </w:rPr>
            </w:pPr>
          </w:p>
        </w:tc>
        <w:tc>
          <w:tcPr>
            <w:tcW w:w="8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N/A</w:t>
            </w:r>
          </w:p>
        </w:tc>
        <w:tc>
          <w:tcPr>
            <w:tcW w:w="4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3,334,050</w:t>
            </w:r>
          </w:p>
        </w:tc>
        <w:tc>
          <w:tcPr>
            <w:tcW w:w="100" w:type="dxa"/>
            <w:vAlign w:val="bottom"/>
            <w:shd w:val="clear" w:color="auto" w:fill="CCFFCC"/>
          </w:tcPr>
          <w:p>
            <w:pPr>
              <w:spacing w:after="0"/>
              <w:rPr>
                <w:sz w:val="20"/>
                <w:szCs w:val="20"/>
                <w:color w:val="auto"/>
              </w:rPr>
            </w:pPr>
          </w:p>
        </w:tc>
      </w:tr>
      <w:tr>
        <w:trPr>
          <w:trHeight w:val="243"/>
        </w:trPr>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Dodge and Cox Stock Fund</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17,596,623</w:t>
            </w:r>
          </w:p>
        </w:tc>
        <w:tc>
          <w:tcPr>
            <w:tcW w:w="100" w:type="dxa"/>
            <w:vAlign w:val="bottom"/>
          </w:tcPr>
          <w:p>
            <w:pPr>
              <w:spacing w:after="0"/>
              <w:rPr>
                <w:sz w:val="21"/>
                <w:szCs w:val="21"/>
                <w:color w:val="auto"/>
              </w:rPr>
            </w:pPr>
          </w:p>
        </w:tc>
      </w:tr>
      <w:tr>
        <w:trPr>
          <w:trHeight w:val="243"/>
        </w:trPr>
        <w:tc>
          <w:tcPr>
            <w:tcW w:w="2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EuroPacific Growth Fund-Class A</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19,174,580</w:t>
            </w:r>
          </w:p>
        </w:tc>
        <w:tc>
          <w:tcPr>
            <w:tcW w:w="100" w:type="dxa"/>
            <w:vAlign w:val="bottom"/>
            <w:shd w:val="clear" w:color="auto" w:fill="CCFFCC"/>
          </w:tcPr>
          <w:p>
            <w:pPr>
              <w:spacing w:after="0"/>
              <w:rPr>
                <w:sz w:val="21"/>
                <w:szCs w:val="21"/>
                <w:color w:val="auto"/>
              </w:rPr>
            </w:pPr>
          </w:p>
        </w:tc>
      </w:tr>
      <w:tr>
        <w:trPr>
          <w:trHeight w:val="243"/>
        </w:trPr>
        <w:tc>
          <w:tcPr>
            <w:tcW w:w="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Fidelity Blue Chip Fund</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22,712,543</w:t>
            </w:r>
          </w:p>
        </w:tc>
        <w:tc>
          <w:tcPr>
            <w:tcW w:w="100" w:type="dxa"/>
            <w:vAlign w:val="bottom"/>
          </w:tcPr>
          <w:p>
            <w:pPr>
              <w:spacing w:after="0"/>
              <w:rPr>
                <w:sz w:val="21"/>
                <w:szCs w:val="21"/>
                <w:color w:val="auto"/>
              </w:rPr>
            </w:pPr>
          </w:p>
        </w:tc>
      </w:tr>
      <w:tr>
        <w:trPr>
          <w:trHeight w:val="243"/>
        </w:trPr>
        <w:tc>
          <w:tcPr>
            <w:tcW w:w="24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Fidelity Contrafund</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26,696,055</w:t>
            </w:r>
          </w:p>
        </w:tc>
        <w:tc>
          <w:tcPr>
            <w:tcW w:w="100" w:type="dxa"/>
            <w:vAlign w:val="bottom"/>
            <w:shd w:val="clear" w:color="auto" w:fill="CCFFCC"/>
          </w:tcPr>
          <w:p>
            <w:pPr>
              <w:spacing w:after="0"/>
              <w:rPr>
                <w:sz w:val="21"/>
                <w:szCs w:val="21"/>
                <w:color w:val="auto"/>
              </w:rPr>
            </w:pPr>
          </w:p>
        </w:tc>
      </w:tr>
      <w:tr>
        <w:trPr>
          <w:trHeight w:val="243"/>
        </w:trPr>
        <w:tc>
          <w:tcPr>
            <w:tcW w:w="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Fidelity Freedom Income Fund</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1,134,444</w:t>
            </w:r>
          </w:p>
        </w:tc>
        <w:tc>
          <w:tcPr>
            <w:tcW w:w="100" w:type="dxa"/>
            <w:vAlign w:val="bottom"/>
          </w:tcPr>
          <w:p>
            <w:pPr>
              <w:spacing w:after="0"/>
              <w:rPr>
                <w:sz w:val="21"/>
                <w:szCs w:val="21"/>
                <w:color w:val="auto"/>
              </w:rPr>
            </w:pPr>
          </w:p>
        </w:tc>
      </w:tr>
      <w:tr>
        <w:trPr>
          <w:trHeight w:val="243"/>
        </w:trPr>
        <w:tc>
          <w:tcPr>
            <w:tcW w:w="24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Fidelity Freedom 2000 Fund</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1,071,999</w:t>
            </w:r>
          </w:p>
        </w:tc>
        <w:tc>
          <w:tcPr>
            <w:tcW w:w="100" w:type="dxa"/>
            <w:vAlign w:val="bottom"/>
            <w:shd w:val="clear" w:color="auto" w:fill="CCFFCC"/>
          </w:tcPr>
          <w:p>
            <w:pPr>
              <w:spacing w:after="0"/>
              <w:rPr>
                <w:sz w:val="21"/>
                <w:szCs w:val="21"/>
                <w:color w:val="auto"/>
              </w:rPr>
            </w:pPr>
          </w:p>
        </w:tc>
      </w:tr>
      <w:tr>
        <w:trPr>
          <w:trHeight w:val="243"/>
        </w:trPr>
        <w:tc>
          <w:tcPr>
            <w:tcW w:w="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Fidelity Freedom 2005 Fund</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329,790</w:t>
            </w:r>
          </w:p>
        </w:tc>
        <w:tc>
          <w:tcPr>
            <w:tcW w:w="100" w:type="dxa"/>
            <w:vAlign w:val="bottom"/>
          </w:tcPr>
          <w:p>
            <w:pPr>
              <w:spacing w:after="0"/>
              <w:rPr>
                <w:sz w:val="21"/>
                <w:szCs w:val="21"/>
                <w:color w:val="auto"/>
              </w:rPr>
            </w:pPr>
          </w:p>
        </w:tc>
      </w:tr>
      <w:tr>
        <w:trPr>
          <w:trHeight w:val="243"/>
        </w:trPr>
        <w:tc>
          <w:tcPr>
            <w:tcW w:w="24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Fidelity Freedom 2010 Fund</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5,055,818</w:t>
            </w:r>
          </w:p>
        </w:tc>
        <w:tc>
          <w:tcPr>
            <w:tcW w:w="100" w:type="dxa"/>
            <w:vAlign w:val="bottom"/>
            <w:shd w:val="clear" w:color="auto" w:fill="CCFFCC"/>
          </w:tcPr>
          <w:p>
            <w:pPr>
              <w:spacing w:after="0"/>
              <w:rPr>
                <w:sz w:val="21"/>
                <w:szCs w:val="21"/>
                <w:color w:val="auto"/>
              </w:rPr>
            </w:pPr>
          </w:p>
        </w:tc>
      </w:tr>
      <w:tr>
        <w:trPr>
          <w:trHeight w:val="243"/>
        </w:trPr>
        <w:tc>
          <w:tcPr>
            <w:tcW w:w="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Fidelity Freedom 2015 Fund</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535,376</w:t>
            </w:r>
          </w:p>
        </w:tc>
        <w:tc>
          <w:tcPr>
            <w:tcW w:w="100" w:type="dxa"/>
            <w:vAlign w:val="bottom"/>
          </w:tcPr>
          <w:p>
            <w:pPr>
              <w:spacing w:after="0"/>
              <w:rPr>
                <w:sz w:val="21"/>
                <w:szCs w:val="21"/>
                <w:color w:val="auto"/>
              </w:rPr>
            </w:pPr>
          </w:p>
        </w:tc>
      </w:tr>
      <w:tr>
        <w:trPr>
          <w:trHeight w:val="243"/>
        </w:trPr>
        <w:tc>
          <w:tcPr>
            <w:tcW w:w="24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Fidelity Freedom 2020 Fund</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10,950,002</w:t>
            </w:r>
          </w:p>
        </w:tc>
        <w:tc>
          <w:tcPr>
            <w:tcW w:w="100" w:type="dxa"/>
            <w:vAlign w:val="bottom"/>
            <w:shd w:val="clear" w:color="auto" w:fill="CCFFCC"/>
          </w:tcPr>
          <w:p>
            <w:pPr>
              <w:spacing w:after="0"/>
              <w:rPr>
                <w:sz w:val="21"/>
                <w:szCs w:val="21"/>
                <w:color w:val="auto"/>
              </w:rPr>
            </w:pPr>
          </w:p>
        </w:tc>
      </w:tr>
      <w:tr>
        <w:trPr>
          <w:trHeight w:val="243"/>
        </w:trPr>
        <w:tc>
          <w:tcPr>
            <w:tcW w:w="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Fidelity Freedom 2025 Fund</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58,106</w:t>
            </w:r>
          </w:p>
        </w:tc>
        <w:tc>
          <w:tcPr>
            <w:tcW w:w="100" w:type="dxa"/>
            <w:vAlign w:val="bottom"/>
          </w:tcPr>
          <w:p>
            <w:pPr>
              <w:spacing w:after="0"/>
              <w:rPr>
                <w:sz w:val="21"/>
                <w:szCs w:val="21"/>
                <w:color w:val="auto"/>
              </w:rPr>
            </w:pPr>
          </w:p>
        </w:tc>
      </w:tr>
      <w:tr>
        <w:trPr>
          <w:trHeight w:val="243"/>
        </w:trPr>
        <w:tc>
          <w:tcPr>
            <w:tcW w:w="24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Fidelity Freedom 2030 Fund</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6,357,045</w:t>
            </w:r>
          </w:p>
        </w:tc>
        <w:tc>
          <w:tcPr>
            <w:tcW w:w="100" w:type="dxa"/>
            <w:vAlign w:val="bottom"/>
            <w:shd w:val="clear" w:color="auto" w:fill="CCFFCC"/>
          </w:tcPr>
          <w:p>
            <w:pPr>
              <w:spacing w:after="0"/>
              <w:rPr>
                <w:sz w:val="21"/>
                <w:szCs w:val="21"/>
                <w:color w:val="auto"/>
              </w:rPr>
            </w:pPr>
          </w:p>
        </w:tc>
      </w:tr>
      <w:tr>
        <w:trPr>
          <w:trHeight w:val="243"/>
        </w:trPr>
        <w:tc>
          <w:tcPr>
            <w:tcW w:w="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Fidelity Freedom 2035 Fund</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210,102</w:t>
            </w:r>
          </w:p>
        </w:tc>
        <w:tc>
          <w:tcPr>
            <w:tcW w:w="100" w:type="dxa"/>
            <w:vAlign w:val="bottom"/>
          </w:tcPr>
          <w:p>
            <w:pPr>
              <w:spacing w:after="0"/>
              <w:rPr>
                <w:sz w:val="21"/>
                <w:szCs w:val="21"/>
                <w:color w:val="auto"/>
              </w:rPr>
            </w:pPr>
          </w:p>
        </w:tc>
      </w:tr>
      <w:tr>
        <w:trPr>
          <w:trHeight w:val="243"/>
        </w:trPr>
        <w:tc>
          <w:tcPr>
            <w:tcW w:w="24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Fidelity Freedom 2040 Fund</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2,050,515</w:t>
            </w:r>
          </w:p>
        </w:tc>
        <w:tc>
          <w:tcPr>
            <w:tcW w:w="100" w:type="dxa"/>
            <w:vAlign w:val="bottom"/>
            <w:shd w:val="clear" w:color="auto" w:fill="CCFFCC"/>
          </w:tcPr>
          <w:p>
            <w:pPr>
              <w:spacing w:after="0"/>
              <w:rPr>
                <w:sz w:val="21"/>
                <w:szCs w:val="21"/>
                <w:color w:val="auto"/>
              </w:rPr>
            </w:pPr>
          </w:p>
        </w:tc>
      </w:tr>
      <w:tr>
        <w:trPr>
          <w:trHeight w:val="243"/>
        </w:trPr>
        <w:tc>
          <w:tcPr>
            <w:tcW w:w="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Fidelity Freedom 2045 Fund</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59,141</w:t>
            </w:r>
          </w:p>
        </w:tc>
        <w:tc>
          <w:tcPr>
            <w:tcW w:w="100" w:type="dxa"/>
            <w:vAlign w:val="bottom"/>
          </w:tcPr>
          <w:p>
            <w:pPr>
              <w:spacing w:after="0"/>
              <w:rPr>
                <w:sz w:val="21"/>
                <w:szCs w:val="21"/>
                <w:color w:val="auto"/>
              </w:rPr>
            </w:pPr>
          </w:p>
        </w:tc>
      </w:tr>
      <w:tr>
        <w:trPr>
          <w:trHeight w:val="243"/>
        </w:trPr>
        <w:tc>
          <w:tcPr>
            <w:tcW w:w="24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Fidelity Freedom 2050 Fund</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180,548</w:t>
            </w:r>
          </w:p>
        </w:tc>
        <w:tc>
          <w:tcPr>
            <w:tcW w:w="100" w:type="dxa"/>
            <w:vAlign w:val="bottom"/>
            <w:shd w:val="clear" w:color="auto" w:fill="CCFFCC"/>
          </w:tcPr>
          <w:p>
            <w:pPr>
              <w:spacing w:after="0"/>
              <w:rPr>
                <w:sz w:val="21"/>
                <w:szCs w:val="21"/>
                <w:color w:val="auto"/>
              </w:rPr>
            </w:pPr>
          </w:p>
        </w:tc>
      </w:tr>
      <w:tr>
        <w:trPr>
          <w:trHeight w:val="243"/>
        </w:trPr>
        <w:tc>
          <w:tcPr>
            <w:tcW w:w="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Fidelity Low Price Stock Fund</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6,374,267</w:t>
            </w:r>
          </w:p>
        </w:tc>
        <w:tc>
          <w:tcPr>
            <w:tcW w:w="100" w:type="dxa"/>
            <w:vAlign w:val="bottom"/>
          </w:tcPr>
          <w:p>
            <w:pPr>
              <w:spacing w:after="0"/>
              <w:rPr>
                <w:sz w:val="21"/>
                <w:szCs w:val="21"/>
                <w:color w:val="auto"/>
              </w:rPr>
            </w:pPr>
          </w:p>
        </w:tc>
      </w:tr>
      <w:tr>
        <w:trPr>
          <w:trHeight w:val="243"/>
        </w:trPr>
        <w:tc>
          <w:tcPr>
            <w:tcW w:w="24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Fidelity Managed Income Portfolio</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Common Collective Trust</w:t>
            </w: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25,182,677</w:t>
            </w:r>
          </w:p>
        </w:tc>
        <w:tc>
          <w:tcPr>
            <w:tcW w:w="100" w:type="dxa"/>
            <w:vAlign w:val="bottom"/>
            <w:shd w:val="clear" w:color="auto" w:fill="CCFFCC"/>
          </w:tcPr>
          <w:p>
            <w:pPr>
              <w:spacing w:after="0"/>
              <w:rPr>
                <w:sz w:val="21"/>
                <w:szCs w:val="21"/>
                <w:color w:val="auto"/>
              </w:rPr>
            </w:pPr>
          </w:p>
        </w:tc>
      </w:tr>
      <w:tr>
        <w:trPr>
          <w:trHeight w:val="243"/>
        </w:trPr>
        <w:tc>
          <w:tcPr>
            <w:tcW w:w="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Fidelity Puritan Fund</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23,140,365</w:t>
            </w:r>
          </w:p>
        </w:tc>
        <w:tc>
          <w:tcPr>
            <w:tcW w:w="100" w:type="dxa"/>
            <w:vAlign w:val="bottom"/>
          </w:tcPr>
          <w:p>
            <w:pPr>
              <w:spacing w:after="0"/>
              <w:rPr>
                <w:sz w:val="21"/>
                <w:szCs w:val="21"/>
                <w:color w:val="auto"/>
              </w:rPr>
            </w:pPr>
          </w:p>
        </w:tc>
      </w:tr>
      <w:tr>
        <w:trPr>
          <w:trHeight w:val="243"/>
        </w:trPr>
        <w:tc>
          <w:tcPr>
            <w:tcW w:w="2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Managers Special Equity Fund</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13,468,313</w:t>
            </w:r>
          </w:p>
        </w:tc>
        <w:tc>
          <w:tcPr>
            <w:tcW w:w="100" w:type="dxa"/>
            <w:vAlign w:val="bottom"/>
            <w:shd w:val="clear" w:color="auto" w:fill="CCFFCC"/>
          </w:tcPr>
          <w:p>
            <w:pPr>
              <w:spacing w:after="0"/>
              <w:rPr>
                <w:sz w:val="21"/>
                <w:szCs w:val="21"/>
                <w:color w:val="auto"/>
              </w:rPr>
            </w:pPr>
          </w:p>
        </w:tc>
      </w:tr>
      <w:tr>
        <w:trPr>
          <w:trHeight w:val="243"/>
        </w:trPr>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PIMCO Total Return Fund</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5,892,397</w:t>
            </w:r>
          </w:p>
        </w:tc>
        <w:tc>
          <w:tcPr>
            <w:tcW w:w="100" w:type="dxa"/>
            <w:vAlign w:val="bottom"/>
          </w:tcPr>
          <w:p>
            <w:pPr>
              <w:spacing w:after="0"/>
              <w:rPr>
                <w:sz w:val="21"/>
                <w:szCs w:val="21"/>
                <w:color w:val="auto"/>
              </w:rPr>
            </w:pPr>
          </w:p>
        </w:tc>
      </w:tr>
      <w:tr>
        <w:trPr>
          <w:trHeight w:val="243"/>
        </w:trPr>
        <w:tc>
          <w:tcPr>
            <w:tcW w:w="2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Spartan U.S. Equity Index Fund</w:t>
            </w:r>
          </w:p>
        </w:tc>
        <w:tc>
          <w:tcPr>
            <w:tcW w:w="220" w:type="dxa"/>
            <w:vAlign w:val="bottom"/>
            <w:shd w:val="clear" w:color="auto" w:fill="CCFFCC"/>
          </w:tcPr>
          <w:p>
            <w:pPr>
              <w:spacing w:after="0"/>
              <w:rPr>
                <w:sz w:val="21"/>
                <w:szCs w:val="21"/>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Registered Investment Company</w:t>
            </w:r>
          </w:p>
        </w:tc>
        <w:tc>
          <w:tcPr>
            <w:tcW w:w="220" w:type="dxa"/>
            <w:vAlign w:val="bottom"/>
            <w:shd w:val="clear" w:color="auto" w:fill="CCFFCC"/>
          </w:tcPr>
          <w:p>
            <w:pPr>
              <w:spacing w:after="0"/>
              <w:rPr>
                <w:sz w:val="21"/>
                <w:szCs w:val="21"/>
                <w:color w:val="auto"/>
              </w:rPr>
            </w:pPr>
          </w:p>
        </w:tc>
        <w:tc>
          <w:tcPr>
            <w:tcW w:w="800" w:type="dxa"/>
            <w:vAlign w:val="bottom"/>
            <w:shd w:val="clear" w:color="auto" w:fill="CCFFCC"/>
          </w:tcPr>
          <w:p>
            <w:pPr>
              <w:ind w:left="340"/>
              <w:spacing w:after="0"/>
              <w:rPr>
                <w:sz w:val="20"/>
                <w:szCs w:val="20"/>
                <w:color w:val="auto"/>
              </w:rPr>
            </w:pPr>
            <w:r>
              <w:rPr>
                <w:rFonts w:ascii="Arial" w:cs="Arial" w:eastAsia="Arial" w:hAnsi="Arial"/>
                <w:sz w:val="14"/>
                <w:szCs w:val="14"/>
                <w:color w:val="auto"/>
              </w:rPr>
              <w:t>N/A</w:t>
            </w: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19,832,975</w:t>
            </w:r>
          </w:p>
        </w:tc>
        <w:tc>
          <w:tcPr>
            <w:tcW w:w="100" w:type="dxa"/>
            <w:vAlign w:val="bottom"/>
            <w:shd w:val="clear" w:color="auto" w:fill="CCFFCC"/>
          </w:tcPr>
          <w:p>
            <w:pPr>
              <w:spacing w:after="0"/>
              <w:rPr>
                <w:sz w:val="21"/>
                <w:szCs w:val="21"/>
                <w:color w:val="auto"/>
              </w:rPr>
            </w:pPr>
          </w:p>
        </w:tc>
      </w:tr>
      <w:tr>
        <w:trPr>
          <w:trHeight w:val="243"/>
        </w:trPr>
        <w:tc>
          <w:tcPr>
            <w:tcW w:w="2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The Scotts Miracle-Gro Company Common Shares</w:t>
            </w:r>
          </w:p>
        </w:tc>
        <w:tc>
          <w:tcPr>
            <w:tcW w:w="22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Arial" w:cs="Arial" w:eastAsia="Arial" w:hAnsi="Arial"/>
                <w:sz w:val="14"/>
                <w:szCs w:val="14"/>
                <w:color w:val="auto"/>
              </w:rPr>
              <w:t>Employer Securities</w:t>
            </w:r>
          </w:p>
        </w:tc>
        <w:tc>
          <w:tcPr>
            <w:tcW w:w="22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16,449,323</w:t>
            </w:r>
          </w:p>
        </w:tc>
        <w:tc>
          <w:tcPr>
            <w:tcW w:w="100" w:type="dxa"/>
            <w:vAlign w:val="bottom"/>
          </w:tcPr>
          <w:p>
            <w:pPr>
              <w:spacing w:after="0"/>
              <w:rPr>
                <w:sz w:val="21"/>
                <w:szCs w:val="21"/>
                <w:color w:val="auto"/>
              </w:rPr>
            </w:pPr>
          </w:p>
        </w:tc>
      </w:tr>
      <w:tr>
        <w:trPr>
          <w:trHeight w:val="170"/>
        </w:trPr>
        <w:tc>
          <w:tcPr>
            <w:tcW w:w="24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Participant Loans</w:t>
            </w:r>
          </w:p>
        </w:tc>
        <w:tc>
          <w:tcPr>
            <w:tcW w:w="220" w:type="dxa"/>
            <w:vAlign w:val="bottom"/>
            <w:shd w:val="clear" w:color="auto" w:fill="CCFFCC"/>
          </w:tcPr>
          <w:p>
            <w:pPr>
              <w:spacing w:after="0"/>
              <w:rPr>
                <w:sz w:val="14"/>
                <w:szCs w:val="14"/>
                <w:color w:val="auto"/>
              </w:rPr>
            </w:pPr>
          </w:p>
        </w:tc>
        <w:tc>
          <w:tcPr>
            <w:tcW w:w="4020" w:type="dxa"/>
            <w:vAlign w:val="bottom"/>
            <w:shd w:val="clear" w:color="auto" w:fill="CCFFCC"/>
          </w:tcPr>
          <w:p>
            <w:pPr>
              <w:ind w:left="120"/>
              <w:spacing w:after="0"/>
              <w:rPr>
                <w:sz w:val="20"/>
                <w:szCs w:val="20"/>
                <w:color w:val="auto"/>
              </w:rPr>
            </w:pPr>
            <w:r>
              <w:rPr>
                <w:rFonts w:ascii="Arial" w:cs="Arial" w:eastAsia="Arial" w:hAnsi="Arial"/>
                <w:sz w:val="14"/>
                <w:szCs w:val="14"/>
                <w:color w:val="auto"/>
                <w:w w:val="96"/>
              </w:rPr>
              <w:t>Notes receivable (interest at rates ranging from 5.0% to 10% due</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181"/>
        </w:trPr>
        <w:tc>
          <w:tcPr>
            <w:tcW w:w="240" w:type="dxa"/>
            <w:vAlign w:val="bottom"/>
            <w:tcBorders>
              <w:bottom w:val="single" w:sz="8" w:color="CCFFCC"/>
            </w:tcBorders>
            <w:shd w:val="clear" w:color="auto" w:fill="CCFFCC"/>
          </w:tcPr>
          <w:p>
            <w:pPr>
              <w:spacing w:after="0"/>
              <w:rPr>
                <w:sz w:val="15"/>
                <w:szCs w:val="15"/>
                <w:color w:val="auto"/>
              </w:rPr>
            </w:pPr>
          </w:p>
        </w:tc>
        <w:tc>
          <w:tcPr>
            <w:tcW w:w="220" w:type="dxa"/>
            <w:vAlign w:val="bottom"/>
            <w:tcBorders>
              <w:bottom w:val="single" w:sz="8" w:color="CCFFCC"/>
            </w:tcBorders>
            <w:shd w:val="clear" w:color="auto" w:fill="CCFFCC"/>
          </w:tcPr>
          <w:p>
            <w:pPr>
              <w:spacing w:after="0"/>
              <w:rPr>
                <w:sz w:val="15"/>
                <w:szCs w:val="15"/>
                <w:color w:val="auto"/>
              </w:rPr>
            </w:pPr>
          </w:p>
        </w:tc>
        <w:tc>
          <w:tcPr>
            <w:tcW w:w="4020" w:type="dxa"/>
            <w:vAlign w:val="bottom"/>
            <w:tcBorders>
              <w:bottom w:val="single" w:sz="8" w:color="CCFFCC"/>
            </w:tcBorders>
            <w:shd w:val="clear" w:color="auto" w:fill="CCFFCC"/>
          </w:tcPr>
          <w:p>
            <w:pPr>
              <w:spacing w:after="0"/>
              <w:rPr>
                <w:sz w:val="15"/>
                <w:szCs w:val="15"/>
                <w:color w:val="auto"/>
              </w:rPr>
            </w:pPr>
          </w:p>
        </w:tc>
        <w:tc>
          <w:tcPr>
            <w:tcW w:w="220" w:type="dxa"/>
            <w:vAlign w:val="bottom"/>
            <w:tcBorders>
              <w:bottom w:val="single" w:sz="8" w:color="CCFFCC"/>
            </w:tcBorders>
            <w:shd w:val="clear" w:color="auto" w:fill="CCFFCC"/>
          </w:tcPr>
          <w:p>
            <w:pPr>
              <w:spacing w:after="0"/>
              <w:rPr>
                <w:sz w:val="15"/>
                <w:szCs w:val="15"/>
                <w:color w:val="auto"/>
              </w:rPr>
            </w:pPr>
          </w:p>
        </w:tc>
        <w:tc>
          <w:tcPr>
            <w:tcW w:w="4020" w:type="dxa"/>
            <w:vAlign w:val="bottom"/>
            <w:tcBorders>
              <w:bottom w:val="single" w:sz="8" w:color="CCFFCC"/>
            </w:tcBorders>
            <w:shd w:val="clear" w:color="auto" w:fill="CCFFCC"/>
          </w:tcPr>
          <w:p>
            <w:pPr>
              <w:ind w:left="120"/>
              <w:spacing w:after="0"/>
              <w:rPr>
                <w:sz w:val="20"/>
                <w:szCs w:val="20"/>
                <w:color w:val="auto"/>
              </w:rPr>
            </w:pPr>
            <w:r>
              <w:rPr>
                <w:rFonts w:ascii="Arial" w:cs="Arial" w:eastAsia="Arial" w:hAnsi="Arial"/>
                <w:sz w:val="14"/>
                <w:szCs w:val="14"/>
                <w:color w:val="auto"/>
              </w:rPr>
              <w:t>through June 11, 2012)</w:t>
            </w:r>
          </w:p>
        </w:tc>
        <w:tc>
          <w:tcPr>
            <w:tcW w:w="220" w:type="dxa"/>
            <w:vAlign w:val="bottom"/>
            <w:tcBorders>
              <w:bottom w:val="single" w:sz="8" w:color="CCFFCC"/>
            </w:tcBorders>
            <w:shd w:val="clear" w:color="auto" w:fill="CCFFCC"/>
          </w:tcPr>
          <w:p>
            <w:pPr>
              <w:spacing w:after="0"/>
              <w:rPr>
                <w:sz w:val="15"/>
                <w:szCs w:val="15"/>
                <w:color w:val="auto"/>
              </w:rPr>
            </w:pPr>
          </w:p>
        </w:tc>
        <w:tc>
          <w:tcPr>
            <w:tcW w:w="80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4"/>
                <w:szCs w:val="14"/>
                <w:color w:val="auto"/>
              </w:rPr>
              <w:t>N/A</w:t>
            </w:r>
          </w:p>
        </w:tc>
        <w:tc>
          <w:tcPr>
            <w:tcW w:w="220" w:type="dxa"/>
            <w:vAlign w:val="bottom"/>
            <w:tcBorders>
              <w:bottom w:val="single" w:sz="8" w:color="CCFFCC"/>
            </w:tcBorders>
            <w:shd w:val="clear" w:color="auto" w:fill="CCFFCC"/>
          </w:tcPr>
          <w:p>
            <w:pPr>
              <w:spacing w:after="0"/>
              <w:rPr>
                <w:sz w:val="15"/>
                <w:szCs w:val="15"/>
                <w:color w:val="auto"/>
              </w:rPr>
            </w:pPr>
          </w:p>
        </w:tc>
        <w:tc>
          <w:tcPr>
            <w:tcW w:w="260" w:type="dxa"/>
            <w:vAlign w:val="bottom"/>
            <w:tcBorders>
              <w:bottom w:val="single" w:sz="8" w:color="auto"/>
            </w:tcBorders>
            <w:shd w:val="clear" w:color="auto" w:fill="CCFFCC"/>
          </w:tcPr>
          <w:p>
            <w:pPr>
              <w:spacing w:after="0"/>
              <w:rPr>
                <w:sz w:val="15"/>
                <w:szCs w:val="15"/>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6,123,133</w:t>
            </w:r>
          </w:p>
        </w:tc>
        <w:tc>
          <w:tcPr>
            <w:tcW w:w="100" w:type="dxa"/>
            <w:vAlign w:val="bottom"/>
            <w:tcBorders>
              <w:bottom w:val="single" w:sz="8" w:color="CCFFCC"/>
            </w:tcBorders>
            <w:shd w:val="clear" w:color="auto" w:fill="CCFFCC"/>
          </w:tcPr>
          <w:p>
            <w:pPr>
              <w:spacing w:after="0"/>
              <w:rPr>
                <w:sz w:val="15"/>
                <w:szCs w:val="15"/>
                <w:color w:val="auto"/>
              </w:rPr>
            </w:pPr>
          </w:p>
        </w:tc>
      </w:tr>
      <w:tr>
        <w:trPr>
          <w:trHeight w:val="237"/>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233,970,187</w:t>
            </w:r>
          </w:p>
        </w:tc>
        <w:tc>
          <w:tcPr>
            <w:tcW w:w="100" w:type="dxa"/>
            <w:vAlign w:val="bottom"/>
          </w:tcPr>
          <w:p>
            <w:pPr>
              <w:spacing w:after="0"/>
              <w:rPr>
                <w:sz w:val="20"/>
                <w:szCs w:val="20"/>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80" w:hanging="493"/>
        <w:spacing w:after="0"/>
        <w:tabs>
          <w:tab w:leader="none" w:pos="5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Party-in-interest to the Plan.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7" w:name="page18"/>
    <w:bookmarkEnd w:id="17"/>
    <w:p>
      <w:pPr>
        <w:ind w:left="3280"/>
        <w:spacing w:after="0"/>
        <w:rPr>
          <w:sz w:val="20"/>
          <w:szCs w:val="20"/>
          <w:color w:val="auto"/>
        </w:rPr>
      </w:pPr>
      <w:r>
        <w:rPr>
          <w:rFonts w:ascii="Arial" w:cs="Arial" w:eastAsia="Arial" w:hAnsi="Arial"/>
          <w:sz w:val="18"/>
          <w:szCs w:val="18"/>
          <w:color w:val="auto"/>
        </w:rPr>
        <w:t>THE SCOTTS COMPANY LLC RETIREMENT SAVINGS PLAN</w:t>
      </w:r>
    </w:p>
    <w:p>
      <w:pPr>
        <w:spacing w:after="0" w:line="27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ANNUAL REPORT ON FORM 11-K</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FOR FISCAL YEAR ENDED DECEMBER 31, 2007</w:t>
      </w:r>
    </w:p>
    <w:p>
      <w:pPr>
        <w:spacing w:after="0" w:line="26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INDEX TO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240" w:type="dxa"/>
            <w:vAlign w:val="bottom"/>
          </w:tcPr>
          <w:p>
            <w:pPr>
              <w:spacing w:after="0"/>
              <w:rPr>
                <w:sz w:val="20"/>
                <w:szCs w:val="20"/>
                <w:color w:val="auto"/>
              </w:rPr>
            </w:pPr>
          </w:p>
        </w:tc>
        <w:tc>
          <w:tcPr>
            <w:tcW w:w="9700" w:type="dxa"/>
            <w:vAlign w:val="bottom"/>
            <w:tcBorders>
              <w:bottom w:val="single" w:sz="8" w:color="auto"/>
            </w:tcBorders>
          </w:tcPr>
          <w:p>
            <w:pPr>
              <w:spacing w:after="0"/>
              <w:rPr>
                <w:sz w:val="20"/>
                <w:szCs w:val="20"/>
                <w:color w:val="auto"/>
              </w:rPr>
            </w:pPr>
          </w:p>
        </w:tc>
      </w:tr>
      <w:tr>
        <w:trPr>
          <w:trHeight w:val="438"/>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Consent of Independent Registered Public</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Accounting Firm - Meaden &amp; Moore, Ltd.</w:t>
            </w:r>
          </w:p>
        </w:tc>
      </w:tr>
    </w:tbl>
    <w:p>
      <w:pPr>
        <w:spacing w:after="0" w:line="2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395" w:right="79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Exhibit 23.1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No. 033-47073) pertaining to The Scotts Miracle-Gro Company of our report dated June 4, 2008, with respect to the financial statements of The Scotts Company LLC Retirement Savings Plan included in this Annual Report (Form 11-K) for the years ended December 31, 2007 and 2006.</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Meaden &amp; Moore, Ltd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00"/>
      </w:cols>
      <w:pgMar w:left="24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R"/>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2"/>
      <w:numFmt w:val="bullet"/>
      <w:start w:val="1"/>
    </w:lvl>
  </w:abstractNum>
  <w:abstractNum w:abstractNumId="6">
    <w:nsid w:val="1190CDE7"/>
    <w:multiLevelType w:val="hybridMultilevel"/>
    <w:lvl w:ilvl="0">
      <w:lvlJc w:val="left"/>
      <w:lvlText w:val="3"/>
      <w:numFmt w:val="bullet"/>
      <w:start w:val="1"/>
    </w:lvl>
  </w:abstractNum>
  <w:abstractNum w:abstractNumId="7">
    <w:nsid w:val="66EF438D"/>
    <w:multiLevelType w:val="hybridMultilevel"/>
    <w:lvl w:ilvl="0">
      <w:lvlJc w:val="left"/>
      <w:lvlText w:val="4"/>
      <w:numFmt w:val="bullet"/>
      <w:start w:val="1"/>
    </w:lvl>
  </w:abstractNum>
  <w:abstractNum w:abstractNumId="8">
    <w:nsid w:val="140E0F76"/>
    <w:multiLevelType w:val="hybridMultilevel"/>
    <w:lvl w:ilvl="0">
      <w:lvlJc w:val="left"/>
      <w:lvlText w:val="4"/>
      <w:numFmt w:val="bullet"/>
      <w:start w:val="1"/>
    </w:lvl>
  </w:abstractNum>
  <w:abstractNum w:abstractNumId="9">
    <w:nsid w:val="3352255A"/>
    <w:multiLevelType w:val="hybridMultilevel"/>
    <w:lvl w:ilvl="0">
      <w:lvlJc w:val="left"/>
      <w:lvlText w:val="6"/>
      <w:numFmt w:val="bullet"/>
      <w:start w:val="1"/>
    </w:lvl>
  </w:abstractNum>
  <w:abstractNum w:abstractNumId="10">
    <w:nsid w:val="109CF92E"/>
    <w:multiLevelType w:val="hybridMultilevel"/>
    <w:lvl w:ilvl="0">
      <w:lvlJc w:val="left"/>
      <w:lvlText w:val="7"/>
      <w:numFmt w:val="bullet"/>
      <w:start w:val="1"/>
    </w:lvl>
  </w:abstractNum>
  <w:abstractNum w:abstractNumId="11">
    <w:nsid w:val="DED7263"/>
    <w:multiLevelType w:val="hybridMultilevel"/>
    <w:lvl w:ilvl="0">
      <w:lvlJc w:val="left"/>
      <w:lvlText w:val="7"/>
      <w:numFmt w:val="bullet"/>
      <w:start w:val="1"/>
    </w:lvl>
  </w:abstractNum>
  <w:abstractNum w:abstractNumId="12">
    <w:nsid w:val="7FDCC233"/>
    <w:multiLevelType w:val="hybridMultilevel"/>
    <w:lvl w:ilvl="0">
      <w:lvlJc w:val="left"/>
      <w:lvlText w:val="8"/>
      <w:numFmt w:val="bullet"/>
      <w:start w:val="1"/>
    </w:lvl>
  </w:abstractNum>
  <w:abstractNum w:abstractNumId="13">
    <w:nsid w:val="1BEFD79F"/>
    <w:multiLevelType w:val="hybridMultilevel"/>
    <w:lvl w:ilvl="0">
      <w:lvlJc w:val="left"/>
      <w:lvlText w:val="9"/>
      <w:numFmt w:val="bullet"/>
      <w:start w:val="1"/>
    </w:lvl>
  </w:abstractNum>
  <w:abstractNum w:abstractNumId="14">
    <w:nsid w:val="41A7C4C9"/>
    <w:multiLevelType w:val="hybridMultilevel"/>
    <w:lvl w:ilvl="0">
      <w:lvlJc w:val="left"/>
      <w:lvlText w:val="%1"/>
      <w:numFmt w:val="decimal"/>
      <w:start w:val="10"/>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2019-12-11T14:43:37Z</dcterms:created>
  <dcterms:modified xsi:type="dcterms:W3CDTF">2019-12-11T14:43:37Z</dcterms:modified>
</cp:coreProperties>
</file>