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1</w:t>
      </w:r>
    </w:p>
    <w:p>
      <w:pPr>
        <w:spacing w:after="0" w:line="7"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5"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WASHINGTON, D.C. 20549</w:t>
      </w:r>
    </w:p>
    <w:p>
      <w:pPr>
        <w:spacing w:after="0" w:line="195"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FORM 11-K</w:t>
      </w:r>
    </w:p>
    <w:p>
      <w:pPr>
        <w:spacing w:after="0" w:line="195"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(MARK ONE)</w:t>
      </w:r>
    </w:p>
    <w:p>
      <w:pPr>
        <w:spacing w:after="0" w:line="195"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[X] ANNUAL REPORT PURSUANT TO SECTION 15(d) OF THE</w:t>
      </w:r>
    </w:p>
    <w:p>
      <w:pPr>
        <w:spacing w:after="0" w:line="195"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6"/>
          <w:szCs w:val="16"/>
          <w:color w:val="auto"/>
        </w:rPr>
        <w:t>SECURITIES EXCHANGE ACT OF 1934</w:t>
      </w:r>
    </w:p>
    <w:p>
      <w:pPr>
        <w:spacing w:after="0" w:line="195"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6"/>
          <w:szCs w:val="16"/>
          <w:color w:val="auto"/>
        </w:rPr>
        <w:t>For the fiscal year ended December 31, 2000</w:t>
      </w:r>
    </w:p>
    <w:p>
      <w:pPr>
        <w:spacing w:after="0" w:line="195"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OR</w:t>
      </w:r>
    </w:p>
    <w:p>
      <w:pPr>
        <w:spacing w:after="0" w:line="195"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 ] TRANSITION REPORT PURSUANT TO SECTION 15(d) OF THE</w:t>
      </w:r>
    </w:p>
    <w:p>
      <w:pPr>
        <w:spacing w:after="0" w:line="195" w:lineRule="exact"/>
        <w:rPr>
          <w:sz w:val="24"/>
          <w:szCs w:val="24"/>
          <w:color w:val="auto"/>
        </w:rPr>
      </w:pPr>
    </w:p>
    <w:p>
      <w:pPr>
        <w:ind w:left="2040"/>
        <w:spacing w:after="0"/>
        <w:rPr>
          <w:sz w:val="20"/>
          <w:szCs w:val="20"/>
          <w:color w:val="auto"/>
        </w:rPr>
      </w:pPr>
      <w:r>
        <w:rPr>
          <w:rFonts w:ascii="Courier New" w:cs="Courier New" w:eastAsia="Courier New" w:hAnsi="Courier New"/>
          <w:sz w:val="16"/>
          <w:szCs w:val="16"/>
          <w:color w:val="auto"/>
        </w:rPr>
        <w:t>SECURITIES EXCHANGE ACT OF 1934</w:t>
      </w:r>
    </w:p>
    <w:p>
      <w:pPr>
        <w:sectPr>
          <w:pgSz w:w="11900" w:h="16838" w:orient="portrait"/>
          <w:cols w:equalWidth="0" w:num="1">
            <w:col w:w="9919"/>
          </w:cols>
          <w:pgMar w:left="540" w:top="242" w:right="1440" w:bottom="1440" w:gutter="0" w:footer="0" w:header="0"/>
        </w:sectPr>
      </w:pPr>
    </w:p>
    <w:p>
      <w:pPr>
        <w:spacing w:after="0" w:line="195" w:lineRule="exact"/>
        <w:rPr>
          <w:sz w:val="24"/>
          <w:szCs w:val="24"/>
          <w:color w:val="auto"/>
        </w:rPr>
      </w:pPr>
    </w:p>
    <w:p>
      <w:pPr>
        <w:jc w:val="center"/>
        <w:ind w:left="72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7" w:lineRule="exact"/>
        <w:rPr>
          <w:sz w:val="24"/>
          <w:szCs w:val="24"/>
          <w:color w:val="auto"/>
        </w:rPr>
      </w:pPr>
    </w:p>
    <w:p>
      <w:pPr>
        <w:sectPr>
          <w:pgSz w:w="11900" w:h="16838" w:orient="portrait"/>
          <w:cols w:equalWidth="0" w:num="2">
            <w:col w:w="4160" w:space="720"/>
            <w:col w:w="5039"/>
          </w:cols>
          <w:pgMar w:left="540" w:top="242" w:right="1440" w:bottom="1440" w:gutter="0" w:footer="0" w:header="0"/>
          <w:type w:val="continuous"/>
        </w:sect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sectPr>
          <w:pgSz w:w="11900" w:h="16838" w:orient="portrait"/>
          <w:cols w:equalWidth="0" w:num="2">
            <w:col w:w="4880" w:space="200"/>
            <w:col w:w="4839"/>
          </w:cols>
          <w:pgMar w:left="540" w:top="242" w:right="1440" w:bottom="1440" w:gutter="0" w:footer="0" w:header="0"/>
          <w:type w:val="continuous"/>
        </w:sectPr>
      </w:pPr>
    </w:p>
    <w:p>
      <w:pPr>
        <w:jc w:val="center"/>
        <w:ind w:right="2699"/>
        <w:spacing w:after="0"/>
        <w:rPr>
          <w:sz w:val="20"/>
          <w:szCs w:val="20"/>
          <w:color w:val="auto"/>
        </w:rPr>
      </w:pPr>
      <w:r>
        <w:rPr>
          <w:rFonts w:ascii="Courier New" w:cs="Courier New" w:eastAsia="Courier New" w:hAnsi="Courier New"/>
          <w:sz w:val="16"/>
          <w:szCs w:val="16"/>
          <w:color w:val="auto"/>
        </w:rPr>
        <w:t>COMMISSION FILE NUMBER 333-35942</w:t>
      </w:r>
    </w:p>
    <w:p>
      <w:pPr>
        <w:spacing w:after="0" w:line="195" w:lineRule="exact"/>
        <w:rPr>
          <w:sz w:val="24"/>
          <w:szCs w:val="24"/>
          <w:color w:val="auto"/>
        </w:rPr>
      </w:pPr>
    </w:p>
    <w:p>
      <w:pPr>
        <w:ind w:left="1060" w:right="3579" w:hanging="279"/>
        <w:spacing w:after="0" w:line="252" w:lineRule="auto"/>
        <w:tabs>
          <w:tab w:leader="none" w:pos="1040" w:val="left"/>
        </w:tabs>
        <w:rPr>
          <w:sz w:val="20"/>
          <w:szCs w:val="20"/>
          <w:color w:val="auto"/>
        </w:rPr>
      </w:pPr>
      <w:r>
        <w:rPr>
          <w:rFonts w:ascii="Courier New" w:cs="Courier New" w:eastAsia="Courier New" w:hAnsi="Courier New"/>
          <w:sz w:val="16"/>
          <w:szCs w:val="16"/>
          <w:color w:val="auto"/>
        </w:rPr>
        <w:t>A.</w:t>
        <w:tab/>
        <w:t>Full title of the plan and the address of the plan, if different from that of the issuer named below:</w:t>
      </w:r>
    </w:p>
    <w:p>
      <w:pPr>
        <w:spacing w:after="0" w:line="183"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THE SCOTTS COMPANY</w:t>
      </w:r>
    </w:p>
    <w:p>
      <w:pPr>
        <w:spacing w:after="0" w:line="7" w:lineRule="exact"/>
        <w:rPr>
          <w:sz w:val="24"/>
          <w:szCs w:val="24"/>
          <w:color w:val="auto"/>
        </w:rPr>
      </w:pPr>
    </w:p>
    <w:p>
      <w:pPr>
        <w:ind w:left="2140"/>
        <w:spacing w:after="0"/>
        <w:rPr>
          <w:sz w:val="20"/>
          <w:szCs w:val="20"/>
          <w:color w:val="auto"/>
        </w:rPr>
      </w:pPr>
      <w:r>
        <w:rPr>
          <w:rFonts w:ascii="Courier New" w:cs="Courier New" w:eastAsia="Courier New" w:hAnsi="Courier New"/>
          <w:sz w:val="16"/>
          <w:szCs w:val="16"/>
          <w:color w:val="auto"/>
        </w:rPr>
        <w:t>UNION RETIREMENT SAVINGS PLAN</w:t>
      </w:r>
    </w:p>
    <w:p>
      <w:pPr>
        <w:spacing w:after="0" w:line="195" w:lineRule="exact"/>
        <w:rPr>
          <w:sz w:val="24"/>
          <w:szCs w:val="24"/>
          <w:color w:val="auto"/>
        </w:rPr>
      </w:pPr>
    </w:p>
    <w:p>
      <w:pPr>
        <w:ind w:left="1060" w:right="3479" w:hanging="279"/>
        <w:spacing w:after="0" w:line="252" w:lineRule="auto"/>
        <w:tabs>
          <w:tab w:leader="none" w:pos="1040" w:val="left"/>
        </w:tabs>
        <w:rPr>
          <w:sz w:val="20"/>
          <w:szCs w:val="20"/>
          <w:color w:val="auto"/>
        </w:rPr>
      </w:pPr>
      <w:r>
        <w:rPr>
          <w:rFonts w:ascii="Courier New" w:cs="Courier New" w:eastAsia="Courier New" w:hAnsi="Courier New"/>
          <w:sz w:val="16"/>
          <w:szCs w:val="16"/>
          <w:color w:val="auto"/>
        </w:rPr>
        <w:t>B.</w:t>
        <w:tab/>
        <w:t>Name of issuer of the securities held pursuant to the plan and the address of its principal executive office:</w:t>
      </w:r>
    </w:p>
    <w:p>
      <w:pPr>
        <w:spacing w:after="0" w:line="183"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The Scotts Company</w:t>
      </w:r>
    </w:p>
    <w:p>
      <w:pPr>
        <w:spacing w:after="0" w:line="7"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41 South High Street</w:t>
      </w:r>
    </w:p>
    <w:p>
      <w:pPr>
        <w:spacing w:after="0" w:line="7"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Suite 3500</w:t>
      </w:r>
    </w:p>
    <w:p>
      <w:pPr>
        <w:spacing w:after="0" w:line="7"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Columbus, Ohio 43215</w:t>
      </w:r>
    </w:p>
    <w:p>
      <w:pPr>
        <w:sectPr>
          <w:pgSz w:w="11900" w:h="16838" w:orient="portrait"/>
          <w:cols w:equalWidth="0" w:num="1">
            <w:col w:w="9919"/>
          </w:cols>
          <w:pgMar w:left="540" w:top="242"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 UNION RETIREMENT SAVINGS PLAN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INDEX TO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376"/>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Report of</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Independent</w:t>
            </w:r>
          </w:p>
        </w:tc>
        <w:tc>
          <w:tcPr>
            <w:tcW w:w="4440" w:type="dxa"/>
            <w:vAlign w:val="bottom"/>
          </w:tcPr>
          <w:p>
            <w:pPr>
              <w:ind w:left="60"/>
              <w:spacing w:after="0"/>
              <w:rPr>
                <w:sz w:val="20"/>
                <w:szCs w:val="20"/>
                <w:color w:val="auto"/>
              </w:rPr>
            </w:pPr>
            <w:r>
              <w:rPr>
                <w:rFonts w:ascii="Courier New" w:cs="Courier New" w:eastAsia="Courier New" w:hAnsi="Courier New"/>
                <w:sz w:val="16"/>
                <w:szCs w:val="16"/>
                <w:color w:val="auto"/>
              </w:rPr>
              <w:t>Accountants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76"/>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Financial</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Statements:</w:t>
            </w:r>
          </w:p>
        </w:tc>
        <w:tc>
          <w:tcPr>
            <w:tcW w:w="4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6"/>
        </w:trPr>
        <w:tc>
          <w:tcPr>
            <w:tcW w:w="210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Statements of Net</w:t>
            </w:r>
          </w:p>
        </w:tc>
        <w:tc>
          <w:tcPr>
            <w:tcW w:w="4440" w:type="dxa"/>
            <w:vAlign w:val="bottom"/>
          </w:tcPr>
          <w:p>
            <w:pPr>
              <w:ind w:left="60"/>
              <w:spacing w:after="0"/>
              <w:rPr>
                <w:sz w:val="20"/>
                <w:szCs w:val="20"/>
                <w:color w:val="auto"/>
              </w:rPr>
            </w:pPr>
            <w:r>
              <w:rPr>
                <w:rFonts w:ascii="Courier New" w:cs="Courier New" w:eastAsia="Courier New" w:hAnsi="Courier New"/>
                <w:sz w:val="16"/>
                <w:szCs w:val="16"/>
                <w:color w:val="auto"/>
              </w:rPr>
              <w:t>Assets Available for Benefits as of</w:t>
            </w:r>
          </w:p>
        </w:tc>
        <w:tc>
          <w:tcPr>
            <w:tcW w:w="880" w:type="dxa"/>
            <w:vAlign w:val="bottom"/>
          </w:tcPr>
          <w:p>
            <w:pPr>
              <w:spacing w:after="0"/>
              <w:rPr>
                <w:sz w:val="24"/>
                <w:szCs w:val="24"/>
                <w:color w:val="auto"/>
              </w:rPr>
            </w:pPr>
          </w:p>
        </w:tc>
      </w:tr>
      <w:tr>
        <w:trPr>
          <w:trHeight w:val="188"/>
        </w:trPr>
        <w:tc>
          <w:tcPr>
            <w:tcW w:w="6540" w:type="dxa"/>
            <w:vAlign w:val="bottom"/>
            <w:gridSpan w:val="3"/>
          </w:tcPr>
          <w:p>
            <w:pPr>
              <w:ind w:left="580"/>
              <w:spacing w:after="0"/>
              <w:rPr>
                <w:sz w:val="20"/>
                <w:szCs w:val="20"/>
                <w:color w:val="auto"/>
              </w:rPr>
            </w:pPr>
            <w:r>
              <w:rPr>
                <w:rFonts w:ascii="Courier New" w:cs="Courier New" w:eastAsia="Courier New" w:hAnsi="Courier New"/>
                <w:sz w:val="16"/>
                <w:szCs w:val="16"/>
                <w:color w:val="auto"/>
              </w:rPr>
              <w:t>December 31, 2000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376"/>
        </w:trPr>
        <w:tc>
          <w:tcPr>
            <w:tcW w:w="6540" w:type="dxa"/>
            <w:vAlign w:val="bottom"/>
            <w:gridSpan w:val="3"/>
          </w:tcPr>
          <w:p>
            <w:pPr>
              <w:ind w:left="400"/>
              <w:spacing w:after="0"/>
              <w:rPr>
                <w:sz w:val="20"/>
                <w:szCs w:val="20"/>
                <w:color w:val="auto"/>
              </w:rPr>
            </w:pPr>
            <w:r>
              <w:rPr>
                <w:rFonts w:ascii="Courier New" w:cs="Courier New" w:eastAsia="Courier New" w:hAnsi="Courier New"/>
                <w:sz w:val="16"/>
                <w:szCs w:val="16"/>
                <w:color w:val="auto"/>
              </w:rPr>
              <w:t>Statements of Changes in Net Assets Available for Benefits</w:t>
            </w:r>
          </w:p>
        </w:tc>
        <w:tc>
          <w:tcPr>
            <w:tcW w:w="880" w:type="dxa"/>
            <w:vAlign w:val="bottom"/>
          </w:tcPr>
          <w:p>
            <w:pPr>
              <w:spacing w:after="0"/>
              <w:rPr>
                <w:sz w:val="24"/>
                <w:szCs w:val="24"/>
                <w:color w:val="auto"/>
              </w:rPr>
            </w:pP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for</w:t>
            </w:r>
          </w:p>
        </w:tc>
        <w:tc>
          <w:tcPr>
            <w:tcW w:w="56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the Years Ended December 31, 2000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376"/>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Notes</w:t>
            </w:r>
          </w:p>
        </w:tc>
        <w:tc>
          <w:tcPr>
            <w:tcW w:w="56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to Financial Statements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bl>
    <w:p>
      <w:pPr>
        <w:sectPr>
          <w:pgSz w:w="11900" w:h="16838" w:orient="portrait"/>
          <w:cols w:equalWidth="0" w:num="1">
            <w:col w:w="10219"/>
          </w:cols>
          <w:pgMar w:left="240" w:top="305"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Participants and Administrative Committee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Union Retirement Savings Plan</w:t>
      </w:r>
    </w:p>
    <w:p>
      <w:pPr>
        <w:spacing w:after="0" w:line="3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our opinion, the accompanying statement of net assets available for benefits and the related statement of changes in net assets available for benefits present fairly, in all material respects, the net assets available for benefits of The Scotts Company Union Retirement Savings Plan (the "Plan") as of December 31, 2000, and the changes in net assets available for benefits for the year then ended in conformity with accounting principles generally accepted in the United States of America. These financial statements are the responsibility of the Plan's management; our responsibility is to express an opinion on these financial statements based on our audit. We conducted our audit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PricewaterhouseCoopers LLP</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Columbus, Ohio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20, 2001</w:t>
      </w:r>
    </w:p>
    <w:p>
      <w:pPr>
        <w:sectPr>
          <w:pgSz w:w="11900" w:h="16838" w:orient="portrait"/>
          <w:cols w:equalWidth="0" w:num="1">
            <w:col w:w="10219"/>
          </w:cols>
          <w:pgMar w:left="240" w:top="305"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 UNION RETIREMENT SAVINGS PLAN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STATEMENTS OF NET ASSETS AVAILABLE FOR BENEFITS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DECEMBER 31,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jc w:val="right"/>
              <w:ind w:right="499"/>
              <w:spacing w:after="0"/>
              <w:rPr>
                <w:sz w:val="20"/>
                <w:szCs w:val="20"/>
                <w:color w:val="auto"/>
              </w:rPr>
            </w:pPr>
            <w:r>
              <w:rPr>
                <w:rFonts w:ascii="Courier New" w:cs="Courier New" w:eastAsia="Courier New" w:hAnsi="Courier New"/>
                <w:sz w:val="16"/>
                <w:szCs w:val="16"/>
                <w:color w:val="auto"/>
                <w:w w:val="93"/>
              </w:rPr>
              <w:t>2000</w:t>
            </w:r>
          </w:p>
        </w:tc>
      </w:tr>
      <w:tr>
        <w:trPr>
          <w:trHeight w:val="376"/>
        </w:trPr>
        <w:tc>
          <w:tcPr>
            <w:tcW w:w="2400" w:type="dxa"/>
            <w:vAlign w:val="bottom"/>
          </w:tcPr>
          <w:p>
            <w:pPr>
              <w:jc w:val="right"/>
              <w:spacing w:after="0"/>
              <w:rPr>
                <w:sz w:val="20"/>
                <w:szCs w:val="20"/>
                <w:color w:val="auto"/>
              </w:rPr>
            </w:pPr>
            <w:r>
              <w:rPr>
                <w:rFonts w:ascii="Courier New" w:cs="Courier New" w:eastAsia="Courier New" w:hAnsi="Courier New"/>
                <w:sz w:val="16"/>
                <w:szCs w:val="16"/>
                <w:color w:val="auto"/>
              </w:rPr>
              <w:t>Net assets available for</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benefits:</w:t>
            </w: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8"/>
        </w:trPr>
        <w:tc>
          <w:tcPr>
            <w:tcW w:w="2400" w:type="dxa"/>
            <w:vAlign w:val="bottom"/>
          </w:tcPr>
          <w:p>
            <w:pPr>
              <w:jc w:val="right"/>
              <w:spacing w:after="0"/>
              <w:rPr>
                <w:sz w:val="20"/>
                <w:szCs w:val="20"/>
                <w:color w:val="auto"/>
              </w:rPr>
            </w:pPr>
            <w:r>
              <w:rPr>
                <w:rFonts w:ascii="Courier New" w:cs="Courier New" w:eastAsia="Courier New" w:hAnsi="Courier New"/>
                <w:sz w:val="16"/>
                <w:szCs w:val="16"/>
                <w:color w:val="auto"/>
              </w:rPr>
              <w:t>Investment in master</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trust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80,491</w:t>
            </w:r>
          </w:p>
        </w:tc>
      </w:tr>
      <w:tr>
        <w:trPr>
          <w:trHeight w:val="188"/>
        </w:trPr>
        <w:tc>
          <w:tcPr>
            <w:tcW w:w="514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Employer contribution receivable</w:t>
            </w:r>
          </w:p>
        </w:tc>
        <w:tc>
          <w:tcPr>
            <w:tcW w:w="1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7,113</w:t>
            </w:r>
          </w:p>
        </w:tc>
      </w:tr>
      <w:tr>
        <w:trPr>
          <w:trHeight w:val="188"/>
        </w:trPr>
        <w:tc>
          <w:tcPr>
            <w:tcW w:w="514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Employee contribution receivable</w:t>
            </w:r>
          </w:p>
        </w:tc>
        <w:tc>
          <w:tcPr>
            <w:tcW w:w="1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4,135</w:t>
            </w:r>
          </w:p>
        </w:tc>
      </w:tr>
      <w:tr>
        <w:trPr>
          <w:trHeight w:val="188"/>
        </w:trPr>
        <w:tc>
          <w:tcPr>
            <w:tcW w:w="2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2400" w:type="dxa"/>
            <w:vAlign w:val="bottom"/>
          </w:tcPr>
          <w:p>
            <w:pPr>
              <w:jc w:val="right"/>
              <w:spacing w:after="0"/>
              <w:rPr>
                <w:sz w:val="20"/>
                <w:szCs w:val="20"/>
                <w:color w:val="auto"/>
              </w:rPr>
            </w:pPr>
            <w:r>
              <w:rPr>
                <w:rFonts w:ascii="Courier New" w:cs="Courier New" w:eastAsia="Courier New" w:hAnsi="Courier New"/>
                <w:sz w:val="16"/>
                <w:szCs w:val="16"/>
                <w:color w:val="auto"/>
              </w:rPr>
              <w:t>Total net assets</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available for benefits</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91,739</w:t>
            </w:r>
          </w:p>
        </w:tc>
      </w:tr>
      <w:tr>
        <w:trPr>
          <w:trHeight w:val="188"/>
        </w:trPr>
        <w:tc>
          <w:tcPr>
            <w:tcW w:w="2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- 2 -</w:t>
      </w:r>
    </w:p>
    <w:p>
      <w:pPr>
        <w:sectPr>
          <w:pgSz w:w="11900" w:h="16838" w:orient="portrait"/>
          <w:cols w:equalWidth="0" w:num="1">
            <w:col w:w="10219"/>
          </w:cols>
          <w:pgMar w:left="240" w:top="305"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 UNION RETIREMENT SAVINGS PLAN</w:t>
      </w:r>
    </w:p>
    <w:p>
      <w:pPr>
        <w:spacing w:after="0" w:line="195" w:lineRule="exact"/>
        <w:rPr>
          <w:sz w:val="20"/>
          <w:szCs w:val="20"/>
          <w:color w:val="auto"/>
        </w:rPr>
      </w:pPr>
    </w:p>
    <w:p>
      <w:pPr>
        <w:ind w:right="4559"/>
        <w:spacing w:after="0" w:line="248" w:lineRule="auto"/>
        <w:rPr>
          <w:sz w:val="20"/>
          <w:szCs w:val="20"/>
          <w:color w:val="auto"/>
        </w:rPr>
      </w:pPr>
      <w:r>
        <w:rPr>
          <w:rFonts w:ascii="Courier New" w:cs="Courier New" w:eastAsia="Courier New" w:hAnsi="Courier New"/>
          <w:sz w:val="16"/>
          <w:szCs w:val="16"/>
          <w:color w:val="auto"/>
        </w:rPr>
        <w:t>STATEMENTS OF CHANGES IN NET ASSETS AVAILABLE FOR BENEFITS FOR THE YEAR ENDED DECEMBER 31, 2000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720" w:type="dxa"/>
            <w:vAlign w:val="bottom"/>
          </w:tcPr>
          <w:p>
            <w:pPr>
              <w:spacing w:after="0"/>
              <w:rPr>
                <w:sz w:val="15"/>
                <w:szCs w:val="15"/>
                <w:color w:val="auto"/>
              </w:rPr>
            </w:pPr>
          </w:p>
        </w:tc>
      </w:tr>
      <w:tr>
        <w:trPr>
          <w:trHeight w:val="376"/>
        </w:trPr>
        <w:tc>
          <w:tcPr>
            <w:tcW w:w="5380" w:type="dxa"/>
            <w:vAlign w:val="bottom"/>
          </w:tcPr>
          <w:p>
            <w:pPr>
              <w:spacing w:after="0"/>
              <w:rPr>
                <w:sz w:val="20"/>
                <w:szCs w:val="20"/>
                <w:color w:val="auto"/>
              </w:rPr>
            </w:pPr>
            <w:r>
              <w:rPr>
                <w:rFonts w:ascii="Courier New" w:cs="Courier New" w:eastAsia="Courier New" w:hAnsi="Courier New"/>
                <w:sz w:val="16"/>
                <w:szCs w:val="16"/>
                <w:color w:val="auto"/>
              </w:rPr>
              <w:t>Increases:</w:t>
            </w: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8"/>
        </w:trPr>
        <w:tc>
          <w:tcPr>
            <w:tcW w:w="5380" w:type="dxa"/>
            <w:vAlign w:val="bottom"/>
          </w:tcPr>
          <w:p>
            <w:pPr>
              <w:ind w:left="400"/>
              <w:spacing w:after="0"/>
              <w:rPr>
                <w:sz w:val="20"/>
                <w:szCs w:val="20"/>
                <w:color w:val="auto"/>
              </w:rPr>
            </w:pPr>
            <w:r>
              <w:rPr>
                <w:rFonts w:ascii="Courier New" w:cs="Courier New" w:eastAsia="Courier New" w:hAnsi="Courier New"/>
                <w:sz w:val="16"/>
                <w:szCs w:val="16"/>
                <w:color w:val="auto"/>
              </w:rPr>
              <w:t>Employer contributions</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39,193</w:t>
            </w:r>
          </w:p>
        </w:tc>
      </w:tr>
      <w:tr>
        <w:trPr>
          <w:trHeight w:val="188"/>
        </w:trPr>
        <w:tc>
          <w:tcPr>
            <w:tcW w:w="5380" w:type="dxa"/>
            <w:vAlign w:val="bottom"/>
          </w:tcPr>
          <w:p>
            <w:pPr>
              <w:ind w:left="400"/>
              <w:spacing w:after="0"/>
              <w:rPr>
                <w:sz w:val="20"/>
                <w:szCs w:val="20"/>
                <w:color w:val="auto"/>
              </w:rPr>
            </w:pPr>
            <w:r>
              <w:rPr>
                <w:rFonts w:ascii="Courier New" w:cs="Courier New" w:eastAsia="Courier New" w:hAnsi="Courier New"/>
                <w:sz w:val="16"/>
                <w:szCs w:val="16"/>
                <w:color w:val="auto"/>
              </w:rPr>
              <w:t>Participant contributions</w:t>
            </w:r>
          </w:p>
        </w:tc>
        <w:tc>
          <w:tcPr>
            <w:tcW w:w="1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60,794</w:t>
            </w:r>
          </w:p>
        </w:tc>
      </w:tr>
      <w:tr>
        <w:trPr>
          <w:trHeight w:val="188"/>
        </w:trPr>
        <w:tc>
          <w:tcPr>
            <w:tcW w:w="5380" w:type="dxa"/>
            <w:vAlign w:val="bottom"/>
          </w:tcPr>
          <w:p>
            <w:pPr>
              <w:spacing w:after="0"/>
              <w:rPr>
                <w:sz w:val="16"/>
                <w:szCs w:val="16"/>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380" w:type="dxa"/>
            <w:vAlign w:val="bottom"/>
          </w:tcPr>
          <w:p>
            <w:pPr>
              <w:ind w:left="580"/>
              <w:spacing w:after="0"/>
              <w:rPr>
                <w:sz w:val="20"/>
                <w:szCs w:val="20"/>
                <w:color w:val="auto"/>
              </w:rPr>
            </w:pPr>
            <w:r>
              <w:rPr>
                <w:rFonts w:ascii="Courier New" w:cs="Courier New" w:eastAsia="Courier New" w:hAnsi="Courier New"/>
                <w:sz w:val="16"/>
                <w:szCs w:val="16"/>
                <w:color w:val="auto"/>
              </w:rPr>
              <w:t>Total increases</w:t>
            </w:r>
          </w:p>
        </w:tc>
        <w:tc>
          <w:tcPr>
            <w:tcW w:w="1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99,987</w:t>
            </w:r>
          </w:p>
        </w:tc>
      </w:tr>
      <w:tr>
        <w:trPr>
          <w:trHeight w:val="188"/>
        </w:trPr>
        <w:tc>
          <w:tcPr>
            <w:tcW w:w="5380" w:type="dxa"/>
            <w:vAlign w:val="bottom"/>
          </w:tcPr>
          <w:p>
            <w:pPr>
              <w:spacing w:after="0"/>
              <w:rPr>
                <w:sz w:val="16"/>
                <w:szCs w:val="16"/>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380" w:type="dxa"/>
            <w:vAlign w:val="bottom"/>
          </w:tcPr>
          <w:p>
            <w:pPr>
              <w:spacing w:after="0"/>
              <w:rPr>
                <w:sz w:val="20"/>
                <w:szCs w:val="20"/>
                <w:color w:val="auto"/>
              </w:rPr>
            </w:pPr>
            <w:r>
              <w:rPr>
                <w:rFonts w:ascii="Courier New" w:cs="Courier New" w:eastAsia="Courier New" w:hAnsi="Courier New"/>
                <w:sz w:val="16"/>
                <w:szCs w:val="16"/>
                <w:color w:val="auto"/>
              </w:rPr>
              <w:t>Decreases:</w:t>
            </w: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8"/>
        </w:trPr>
        <w:tc>
          <w:tcPr>
            <w:tcW w:w="5380" w:type="dxa"/>
            <w:vAlign w:val="bottom"/>
          </w:tcPr>
          <w:p>
            <w:pPr>
              <w:ind w:left="400"/>
              <w:spacing w:after="0"/>
              <w:rPr>
                <w:sz w:val="20"/>
                <w:szCs w:val="20"/>
                <w:color w:val="auto"/>
              </w:rPr>
            </w:pPr>
            <w:r>
              <w:rPr>
                <w:rFonts w:ascii="Courier New" w:cs="Courier New" w:eastAsia="Courier New" w:hAnsi="Courier New"/>
                <w:sz w:val="16"/>
                <w:szCs w:val="16"/>
                <w:color w:val="auto"/>
              </w:rPr>
              <w:t>Net loss from master trust</w:t>
            </w:r>
          </w:p>
        </w:tc>
        <w:tc>
          <w:tcPr>
            <w:tcW w:w="1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2,739</w:t>
            </w:r>
          </w:p>
        </w:tc>
      </w:tr>
      <w:tr>
        <w:trPr>
          <w:trHeight w:val="188"/>
        </w:trPr>
        <w:tc>
          <w:tcPr>
            <w:tcW w:w="5380" w:type="dxa"/>
            <w:vAlign w:val="bottom"/>
          </w:tcPr>
          <w:p>
            <w:pPr>
              <w:ind w:left="400"/>
              <w:spacing w:after="0"/>
              <w:rPr>
                <w:sz w:val="20"/>
                <w:szCs w:val="20"/>
                <w:color w:val="auto"/>
              </w:rPr>
            </w:pPr>
            <w:r>
              <w:rPr>
                <w:rFonts w:ascii="Courier New" w:cs="Courier New" w:eastAsia="Courier New" w:hAnsi="Courier New"/>
                <w:sz w:val="16"/>
                <w:szCs w:val="16"/>
                <w:color w:val="auto"/>
              </w:rPr>
              <w:t>Benefits paid to participants</w:t>
            </w:r>
          </w:p>
        </w:tc>
        <w:tc>
          <w:tcPr>
            <w:tcW w:w="1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5,509</w:t>
            </w:r>
          </w:p>
        </w:tc>
      </w:tr>
      <w:tr>
        <w:trPr>
          <w:trHeight w:val="188"/>
        </w:trPr>
        <w:tc>
          <w:tcPr>
            <w:tcW w:w="5380" w:type="dxa"/>
            <w:vAlign w:val="bottom"/>
          </w:tcPr>
          <w:p>
            <w:pPr>
              <w:spacing w:after="0"/>
              <w:rPr>
                <w:sz w:val="16"/>
                <w:szCs w:val="16"/>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380" w:type="dxa"/>
            <w:vAlign w:val="bottom"/>
          </w:tcPr>
          <w:p>
            <w:pPr>
              <w:ind w:left="580"/>
              <w:spacing w:after="0"/>
              <w:rPr>
                <w:sz w:val="20"/>
                <w:szCs w:val="20"/>
                <w:color w:val="auto"/>
              </w:rPr>
            </w:pPr>
            <w:r>
              <w:rPr>
                <w:rFonts w:ascii="Courier New" w:cs="Courier New" w:eastAsia="Courier New" w:hAnsi="Courier New"/>
                <w:sz w:val="16"/>
                <w:szCs w:val="16"/>
                <w:color w:val="auto"/>
              </w:rPr>
              <w:t>Total decreases</w:t>
            </w:r>
          </w:p>
        </w:tc>
        <w:tc>
          <w:tcPr>
            <w:tcW w:w="1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8,248</w:t>
            </w:r>
          </w:p>
        </w:tc>
      </w:tr>
      <w:tr>
        <w:trPr>
          <w:trHeight w:val="188"/>
        </w:trPr>
        <w:tc>
          <w:tcPr>
            <w:tcW w:w="5380" w:type="dxa"/>
            <w:vAlign w:val="bottom"/>
          </w:tcPr>
          <w:p>
            <w:pPr>
              <w:spacing w:after="0"/>
              <w:rPr>
                <w:sz w:val="16"/>
                <w:szCs w:val="16"/>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380" w:type="dxa"/>
            <w:vAlign w:val="bottom"/>
          </w:tcPr>
          <w:p>
            <w:pPr>
              <w:spacing w:after="0"/>
              <w:rPr>
                <w:sz w:val="20"/>
                <w:szCs w:val="20"/>
                <w:color w:val="auto"/>
              </w:rPr>
            </w:pPr>
            <w:r>
              <w:rPr>
                <w:rFonts w:ascii="Courier New" w:cs="Courier New" w:eastAsia="Courier New" w:hAnsi="Courier New"/>
                <w:sz w:val="16"/>
                <w:szCs w:val="16"/>
                <w:color w:val="auto"/>
              </w:rPr>
              <w:t>Net increase in net assets available for benefits</w:t>
            </w:r>
          </w:p>
        </w:tc>
        <w:tc>
          <w:tcPr>
            <w:tcW w:w="1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91,739</w:t>
            </w:r>
          </w:p>
        </w:tc>
      </w:tr>
      <w:tr>
        <w:trPr>
          <w:trHeight w:val="376"/>
        </w:trPr>
        <w:tc>
          <w:tcPr>
            <w:tcW w:w="5380" w:type="dxa"/>
            <w:vAlign w:val="bottom"/>
          </w:tcPr>
          <w:p>
            <w:pPr>
              <w:spacing w:after="0"/>
              <w:rPr>
                <w:sz w:val="20"/>
                <w:szCs w:val="20"/>
                <w:color w:val="auto"/>
              </w:rPr>
            </w:pPr>
            <w:r>
              <w:rPr>
                <w:rFonts w:ascii="Courier New" w:cs="Courier New" w:eastAsia="Courier New" w:hAnsi="Courier New"/>
                <w:sz w:val="16"/>
                <w:szCs w:val="16"/>
                <w:color w:val="auto"/>
              </w:rPr>
              <w:t>Net assets available for benefits, beginning of year</w:t>
            </w:r>
          </w:p>
        </w:tc>
        <w:tc>
          <w:tcPr>
            <w:tcW w:w="1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380" w:type="dxa"/>
            <w:vAlign w:val="bottom"/>
          </w:tcPr>
          <w:p>
            <w:pPr>
              <w:spacing w:after="0"/>
              <w:rPr>
                <w:sz w:val="16"/>
                <w:szCs w:val="16"/>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380" w:type="dxa"/>
            <w:vAlign w:val="bottom"/>
          </w:tcPr>
          <w:p>
            <w:pPr>
              <w:spacing w:after="0"/>
              <w:rPr>
                <w:sz w:val="20"/>
                <w:szCs w:val="20"/>
                <w:color w:val="auto"/>
              </w:rPr>
            </w:pPr>
            <w:r>
              <w:rPr>
                <w:rFonts w:ascii="Courier New" w:cs="Courier New" w:eastAsia="Courier New" w:hAnsi="Courier New"/>
                <w:sz w:val="16"/>
                <w:szCs w:val="16"/>
                <w:color w:val="auto"/>
              </w:rPr>
              <w:t>Net assets available for benefits, end of year</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91,739</w:t>
            </w:r>
          </w:p>
        </w:tc>
      </w:tr>
      <w:tr>
        <w:trPr>
          <w:trHeight w:val="188"/>
        </w:trPr>
        <w:tc>
          <w:tcPr>
            <w:tcW w:w="5380" w:type="dxa"/>
            <w:vAlign w:val="bottom"/>
          </w:tcPr>
          <w:p>
            <w:pPr>
              <w:spacing w:after="0"/>
              <w:rPr>
                <w:sz w:val="16"/>
                <w:szCs w:val="16"/>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- 3 -</w:t>
      </w:r>
    </w:p>
    <w:p>
      <w:pPr>
        <w:sectPr>
          <w:pgSz w:w="11900" w:h="16838" w:orient="portrait"/>
          <w:cols w:equalWidth="0" w:num="1">
            <w:col w:w="10219"/>
          </w:cols>
          <w:pgMar w:left="240" w:top="305"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 UNION RETIREMENT UNION SAVINGS PLAN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880" w:hanging="880"/>
        <w:spacing w:after="0"/>
        <w:tabs>
          <w:tab w:leader="none" w:pos="8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DESCRIPTION</w:t>
      </w:r>
    </w:p>
    <w:p>
      <w:pPr>
        <w:spacing w:after="0" w:line="194" w:lineRule="exact"/>
        <w:rPr>
          <w:rFonts w:ascii="Courier New" w:cs="Courier New" w:eastAsia="Courier New" w:hAnsi="Courier New"/>
          <w:sz w:val="16"/>
          <w:szCs w:val="16"/>
          <w:color w:val="auto"/>
        </w:rPr>
      </w:pPr>
    </w:p>
    <w:p>
      <w:pPr>
        <w:jc w:val="both"/>
        <w:ind w:left="880" w:right="24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January 1, 2000, The Scotts Company Union Retirement Savings Plan (the Plan), a contributory defined contribution benefit plan, was established by the Plan's sponsor, The Scotts Company (the Company).</w:t>
      </w:r>
    </w:p>
    <w:p>
      <w:pPr>
        <w:spacing w:after="0" w:line="1" w:lineRule="exact"/>
        <w:rPr>
          <w:rFonts w:ascii="Courier New" w:cs="Courier New" w:eastAsia="Courier New" w:hAnsi="Courier New"/>
          <w:sz w:val="16"/>
          <w:szCs w:val="16"/>
          <w:color w:val="auto"/>
        </w:rPr>
      </w:pPr>
    </w:p>
    <w:p>
      <w:pPr>
        <w:ind w:left="880"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is a contributory defined contribution benefit plan sponsored by The Scotts Company. The following brief description of the Plan provides only general information. Participants should refer to the Plan document for a more complete description of Plan provisions, such as eligibility, vesting, allocation and funding.</w:t>
      </w:r>
    </w:p>
    <w:p>
      <w:pPr>
        <w:spacing w:after="0" w:line="187"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6" w:lineRule="exact"/>
        <w:rPr>
          <w:rFonts w:ascii="Courier New" w:cs="Courier New" w:eastAsia="Courier New" w:hAnsi="Courier New"/>
          <w:sz w:val="16"/>
          <w:szCs w:val="16"/>
          <w:color w:val="auto"/>
        </w:rPr>
      </w:pPr>
    </w:p>
    <w:p>
      <w:pPr>
        <w:ind w:left="8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regular domestic Union employees of the Company are eligible to participate in the Plan on the first day of the month immediately following or coincident with their date of employment. Certain temporary domestic Union employees are eligible to participate on the January 1 or July 1 subsequent to completing one year of eligibility service and attaining age 21.</w:t>
      </w:r>
    </w:p>
    <w:p>
      <w:pPr>
        <w:spacing w:after="0" w:line="187"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CONTRIBUTIONS</w:t>
      </w:r>
    </w:p>
    <w:p>
      <w:pPr>
        <w:spacing w:after="0" w:line="6" w:lineRule="exact"/>
        <w:rPr>
          <w:rFonts w:ascii="Courier New" w:cs="Courier New" w:eastAsia="Courier New" w:hAnsi="Courier New"/>
          <w:sz w:val="16"/>
          <w:szCs w:val="16"/>
          <w:color w:val="auto"/>
        </w:rPr>
      </w:pPr>
    </w:p>
    <w:p>
      <w:pPr>
        <w:ind w:left="880" w:right="27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provides for participants to make pre-tax or after-tax contributions up to 15% of eligible wages, not to exceed the annual Internal Revenue Service (IRS) maximum deferral amount.</w:t>
      </w:r>
    </w:p>
    <w:p>
      <w:pPr>
        <w:spacing w:after="0" w:line="185"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EMPLOYER CONTRIBUTIONS</w:t>
      </w:r>
    </w:p>
    <w:p>
      <w:pPr>
        <w:spacing w:after="0" w:line="6" w:lineRule="exact"/>
        <w:rPr>
          <w:rFonts w:ascii="Courier New" w:cs="Courier New" w:eastAsia="Courier New" w:hAnsi="Courier New"/>
          <w:sz w:val="16"/>
          <w:szCs w:val="16"/>
          <w:color w:val="auto"/>
        </w:rPr>
      </w:pPr>
    </w:p>
    <w:p>
      <w:pPr>
        <w:ind w:left="8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provides a base retirement contribution for all eligible employees. Generally, eligible employees receive an allocation equal to 2% of monthly compensation. The Company also matches participant contributions $0.50 on the dollar for the first 2% of participant pre-tax contributions.</w:t>
      </w:r>
    </w:p>
    <w:p>
      <w:pPr>
        <w:spacing w:after="0" w:line="187"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VESTING</w:t>
      </w:r>
    </w:p>
    <w:p>
      <w:pPr>
        <w:spacing w:after="0" w:line="6" w:lineRule="exact"/>
        <w:rPr>
          <w:rFonts w:ascii="Courier New" w:cs="Courier New" w:eastAsia="Courier New" w:hAnsi="Courier New"/>
          <w:sz w:val="16"/>
          <w:szCs w:val="16"/>
          <w:color w:val="auto"/>
        </w:rPr>
      </w:pPr>
    </w:p>
    <w:p>
      <w:pPr>
        <w:ind w:left="8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are immediately vested in their contributions plus actual earnings thereon. Matching contributions made by the Company vest immediately. However, base contributions made by the Company vest after three years of service, or upon attainment of age 65 prior to terminating employment.</w:t>
      </w:r>
    </w:p>
    <w:p>
      <w:pPr>
        <w:spacing w:after="0" w:line="187"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FORFEITURES</w:t>
      </w:r>
    </w:p>
    <w:p>
      <w:pPr>
        <w:spacing w:after="0" w:line="6" w:lineRule="exact"/>
        <w:rPr>
          <w:rFonts w:ascii="Courier New" w:cs="Courier New" w:eastAsia="Courier New" w:hAnsi="Courier New"/>
          <w:sz w:val="16"/>
          <w:szCs w:val="16"/>
          <w:color w:val="auto"/>
        </w:rPr>
      </w:pPr>
    </w:p>
    <w:p>
      <w:pPr>
        <w:ind w:left="880" w:right="23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nonvested portions of participant account balances are forfeitable and used to reduce employer contributions to the Plan. Plan forfeitures totaled $427 for the year ended December 31, 2000.</w:t>
      </w:r>
    </w:p>
    <w:p>
      <w:pPr>
        <w:spacing w:after="0" w:line="185"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6" w:lineRule="exact"/>
        <w:rPr>
          <w:rFonts w:ascii="Courier New" w:cs="Courier New" w:eastAsia="Courier New" w:hAnsi="Courier New"/>
          <w:sz w:val="16"/>
          <w:szCs w:val="16"/>
          <w:color w:val="auto"/>
        </w:rPr>
      </w:pPr>
    </w:p>
    <w:p>
      <w:pPr>
        <w:ind w:left="880" w:right="23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All investments are participant-directed. Participants can change their investment options on a daily basis. The following investment options are available to participants:</w:t>
      </w:r>
    </w:p>
    <w:p>
      <w:pPr>
        <w:spacing w:after="0" w:line="185" w:lineRule="exact"/>
        <w:rPr>
          <w:rFonts w:ascii="Courier New" w:cs="Courier New" w:eastAsia="Courier New" w:hAnsi="Courier New"/>
          <w:sz w:val="16"/>
          <w:szCs w:val="16"/>
          <w:color w:val="auto"/>
        </w:rPr>
      </w:pPr>
    </w:p>
    <w:p>
      <w:pPr>
        <w:ind w:left="1760" w:right="2499" w:hanging="880"/>
        <w:spacing w:after="0" w:line="250" w:lineRule="auto"/>
        <w:tabs>
          <w:tab w:leader="none" w:pos="176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PURITAN FUND--assets are invested in high-yielding U.S. and foreign securities, common and preferred stocks, and bonds of any maturity.</w:t>
      </w:r>
    </w:p>
    <w:p>
      <w:pPr>
        <w:spacing w:after="0" w:line="185" w:lineRule="exact"/>
        <w:rPr>
          <w:rFonts w:ascii="Courier New" w:cs="Courier New" w:eastAsia="Courier New" w:hAnsi="Courier New"/>
          <w:sz w:val="16"/>
          <w:szCs w:val="16"/>
          <w:color w:val="auto"/>
        </w:rPr>
      </w:pPr>
    </w:p>
    <w:p>
      <w:pPr>
        <w:ind w:left="1760" w:right="2399" w:hanging="880"/>
        <w:spacing w:after="0" w:line="252" w:lineRule="auto"/>
        <w:tabs>
          <w:tab w:leader="none" w:pos="176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CONTRAFUND--assets are primarily invested in U.S. and foreign common stocks that are believed to be undervalued.</w:t>
      </w:r>
    </w:p>
    <w:p>
      <w:pPr>
        <w:spacing w:after="0" w:line="183"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BLUE CHIP FUND--assets are primarily invested in common stock of established and/or rapidly growing companies. Approximately 65% of this fund's total assets invest in common stock of blue chip companies.</w:t>
      </w:r>
    </w:p>
    <w:p>
      <w:pPr>
        <w:spacing w:after="0" w:line="187" w:lineRule="exact"/>
        <w:rPr>
          <w:rFonts w:ascii="Courier New" w:cs="Courier New" w:eastAsia="Courier New" w:hAnsi="Courier New"/>
          <w:sz w:val="16"/>
          <w:szCs w:val="16"/>
          <w:color w:val="auto"/>
        </w:rPr>
      </w:pPr>
    </w:p>
    <w:p>
      <w:pPr>
        <w:ind w:left="1760" w:right="2799" w:hanging="880"/>
        <w:spacing w:after="0" w:line="252" w:lineRule="auto"/>
        <w:tabs>
          <w:tab w:leader="none" w:pos="176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WORLDWIDE FUND--assets are invested in stocks and other securities of companies located around the world.</w:t>
      </w:r>
    </w:p>
    <w:p>
      <w:pPr>
        <w:spacing w:after="0" w:line="371" w:lineRule="exact"/>
        <w:rPr>
          <w:rFonts w:ascii="Courier New" w:cs="Courier New" w:eastAsia="Courier New" w:hAnsi="Courier New"/>
          <w:sz w:val="16"/>
          <w:szCs w:val="16"/>
          <w:color w:val="auto"/>
        </w:rPr>
      </w:pPr>
    </w:p>
    <w:p>
      <w:pPr>
        <w:ind w:left="3820" w:hanging="204"/>
        <w:spacing w:after="0"/>
        <w:tabs>
          <w:tab w:leader="none" w:pos="3820" w:val="left"/>
        </w:tabs>
        <w:numPr>
          <w:ilvl w:val="2"/>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4 -</w:t>
      </w:r>
    </w:p>
    <w:p>
      <w:pPr>
        <w:sectPr>
          <w:pgSz w:w="11900" w:h="16838" w:orient="portrait"/>
          <w:cols w:equalWidth="0" w:num="1">
            <w:col w:w="10219"/>
          </w:cols>
          <w:pgMar w:left="240" w:top="305"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 UNION RETIREMENT SAVINGS PLAN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2000</w:t>
      </w:r>
    </w:p>
    <w:p>
      <w:pPr>
        <w:spacing w:after="0" w:line="7" w:lineRule="exact"/>
        <w:rPr>
          <w:sz w:val="20"/>
          <w:szCs w:val="20"/>
          <w:color w:val="auto"/>
        </w:rPr>
      </w:pPr>
    </w:p>
    <w:p>
      <w:pPr>
        <w:ind w:left="200" w:hanging="200"/>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2" w:lineRule="exact"/>
        <w:rPr>
          <w:rFonts w:ascii="Courier New" w:cs="Courier New" w:eastAsia="Courier New" w:hAnsi="Courier New"/>
          <w:sz w:val="16"/>
          <w:szCs w:val="16"/>
          <w:color w:val="auto"/>
        </w:rPr>
      </w:pPr>
    </w:p>
    <w:p>
      <w:pPr>
        <w:ind w:left="1760" w:right="2399" w:hanging="880"/>
        <w:spacing w:after="0" w:line="250" w:lineRule="auto"/>
        <w:tabs>
          <w:tab w:leader="none" w:pos="176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FREEDOM INCOME FUND--assets are primarily invested in bond and money market funds. A smaller percentage of assets are invested in equity mutual funds.</w:t>
      </w:r>
    </w:p>
    <w:p>
      <w:pPr>
        <w:spacing w:after="0" w:line="185" w:lineRule="exact"/>
        <w:rPr>
          <w:rFonts w:ascii="Courier New" w:cs="Courier New" w:eastAsia="Courier New" w:hAnsi="Courier New"/>
          <w:sz w:val="16"/>
          <w:szCs w:val="16"/>
          <w:color w:val="auto"/>
        </w:rPr>
      </w:pPr>
    </w:p>
    <w:p>
      <w:pPr>
        <w:ind w:left="1760" w:right="2499" w:hanging="880"/>
        <w:spacing w:after="0" w:line="249" w:lineRule="auto"/>
        <w:tabs>
          <w:tab w:leader="none" w:pos="176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FREEDOM 2000 FUND--assets are invested in a combination of equity, fixed income and money market mutual funds. Assets are allocated among these funds according to an asset allocation strategy which becomes more conservative over time.</w:t>
      </w:r>
    </w:p>
    <w:p>
      <w:pPr>
        <w:spacing w:after="0" w:line="187" w:lineRule="exact"/>
        <w:rPr>
          <w:rFonts w:ascii="Courier New" w:cs="Courier New" w:eastAsia="Courier New" w:hAnsi="Courier New"/>
          <w:sz w:val="16"/>
          <w:szCs w:val="16"/>
          <w:color w:val="auto"/>
        </w:rPr>
      </w:pPr>
    </w:p>
    <w:p>
      <w:pPr>
        <w:ind w:left="1760" w:right="2699" w:hanging="880"/>
        <w:spacing w:after="0" w:line="249" w:lineRule="auto"/>
        <w:tabs>
          <w:tab w:leader="none" w:pos="176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FREEDOM 2010 FUND--assets are invested in a combination of equity, fixed income and money market mutual funds of Fidelity Investments. The asset mix becomes more conservative as year 2010 approaches.</w:t>
      </w:r>
    </w:p>
    <w:p>
      <w:pPr>
        <w:spacing w:after="0" w:line="187" w:lineRule="exact"/>
        <w:rPr>
          <w:rFonts w:ascii="Courier New" w:cs="Courier New" w:eastAsia="Courier New" w:hAnsi="Courier New"/>
          <w:sz w:val="16"/>
          <w:szCs w:val="16"/>
          <w:color w:val="auto"/>
        </w:rPr>
      </w:pPr>
    </w:p>
    <w:p>
      <w:pPr>
        <w:ind w:left="1760" w:right="2699" w:hanging="880"/>
        <w:spacing w:after="0" w:line="249" w:lineRule="auto"/>
        <w:tabs>
          <w:tab w:leader="none" w:pos="176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FREEDOM 2020 FUND--assets are invested in a combination of equity, fixed income and money market mutual funds of Fidelity Investments. The asset mix becomes more conservative as year 2020 approaches.</w:t>
      </w:r>
    </w:p>
    <w:p>
      <w:pPr>
        <w:spacing w:after="0" w:line="187" w:lineRule="exact"/>
        <w:rPr>
          <w:rFonts w:ascii="Courier New" w:cs="Courier New" w:eastAsia="Courier New" w:hAnsi="Courier New"/>
          <w:sz w:val="16"/>
          <w:szCs w:val="16"/>
          <w:color w:val="auto"/>
        </w:rPr>
      </w:pPr>
    </w:p>
    <w:p>
      <w:pPr>
        <w:ind w:left="1760" w:right="2699" w:hanging="880"/>
        <w:spacing w:after="0" w:line="249" w:lineRule="auto"/>
        <w:tabs>
          <w:tab w:leader="none" w:pos="176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FREEDOM 2030 FUND--assets are invested in a combination of equity, fixed income and money market mutual funds. The asset mix becomes more conservative as year 2030 approaches.</w:t>
      </w:r>
    </w:p>
    <w:p>
      <w:pPr>
        <w:spacing w:after="0" w:line="187"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MANAGED INCOME PORTFOLIO--assets are invested in investment contracts of major insurance companies and other approved financial institutions, and in other fixed income securities. A small percentage of assets are invested in money market funds to provide daily liquidity.</w:t>
      </w:r>
    </w:p>
    <w:p>
      <w:pPr>
        <w:spacing w:after="0" w:line="187" w:lineRule="exact"/>
        <w:rPr>
          <w:rFonts w:ascii="Courier New" w:cs="Courier New" w:eastAsia="Courier New" w:hAnsi="Courier New"/>
          <w:sz w:val="16"/>
          <w:szCs w:val="16"/>
          <w:color w:val="auto"/>
        </w:rPr>
      </w:pPr>
    </w:p>
    <w:p>
      <w:pPr>
        <w:ind w:left="1760" w:right="2499" w:hanging="880"/>
        <w:spacing w:after="0" w:line="250" w:lineRule="auto"/>
        <w:tabs>
          <w:tab w:leader="none" w:pos="176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SPARTAN U.S. EQUITY INDEX FUND--assets are invested in stocks and in approximately the same proportions as the Standard &amp; Poor's 500 Stock Index.</w:t>
      </w:r>
    </w:p>
    <w:p>
      <w:pPr>
        <w:spacing w:after="0" w:line="185" w:lineRule="exact"/>
        <w:rPr>
          <w:rFonts w:ascii="Courier New" w:cs="Courier New" w:eastAsia="Courier New" w:hAnsi="Courier New"/>
          <w:sz w:val="16"/>
          <w:szCs w:val="16"/>
          <w:color w:val="auto"/>
        </w:rPr>
      </w:pPr>
    </w:p>
    <w:p>
      <w:pPr>
        <w:ind w:left="1760" w:right="2599" w:hanging="880"/>
        <w:spacing w:after="0" w:line="250" w:lineRule="auto"/>
        <w:tabs>
          <w:tab w:leader="none" w:pos="176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BARON ASSET FUND--assets are invested in stocks with prices perceived as low relative to the related companies' profits, assets, and other value measures.</w:t>
      </w:r>
    </w:p>
    <w:p>
      <w:pPr>
        <w:spacing w:after="0" w:line="185" w:lineRule="exact"/>
        <w:rPr>
          <w:rFonts w:ascii="Courier New" w:cs="Courier New" w:eastAsia="Courier New" w:hAnsi="Courier New"/>
          <w:sz w:val="16"/>
          <w:szCs w:val="16"/>
          <w:color w:val="auto"/>
        </w:rPr>
      </w:pPr>
    </w:p>
    <w:p>
      <w:pPr>
        <w:ind w:left="1760" w:right="2499" w:hanging="880"/>
        <w:spacing w:after="0" w:line="249" w:lineRule="auto"/>
        <w:tabs>
          <w:tab w:leader="none" w:pos="176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PIMCO TOTAL RETURN FUND--assets are invested in various types of bonds, including U.S. government, corporate, mortgage, and foreign bonds with an average portfolio duration of three to six years (approximately equal to an average maturity of five to twelve years).</w:t>
      </w:r>
    </w:p>
    <w:p>
      <w:pPr>
        <w:spacing w:after="0" w:line="187" w:lineRule="exact"/>
        <w:rPr>
          <w:rFonts w:ascii="Courier New" w:cs="Courier New" w:eastAsia="Courier New" w:hAnsi="Courier New"/>
          <w:sz w:val="16"/>
          <w:szCs w:val="16"/>
          <w:color w:val="auto"/>
        </w:rPr>
      </w:pPr>
    </w:p>
    <w:p>
      <w:pPr>
        <w:ind w:left="1760" w:right="2879" w:hanging="880"/>
        <w:spacing w:after="0" w:line="252" w:lineRule="auto"/>
        <w:tabs>
          <w:tab w:leader="none" w:pos="176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SCOTTS COMPANY SHARES--assets consist entirely of The Scotts Company common shares and cash equivalents.</w:t>
      </w:r>
    </w:p>
    <w:p>
      <w:pPr>
        <w:spacing w:after="0" w:line="183"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BENEFIT PAYMENTS</w:t>
      </w:r>
    </w:p>
    <w:p>
      <w:pPr>
        <w:spacing w:after="0" w:line="7"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Participants are eligible to receive benefit payments upon termination, retirement, death or disability equal to the vested balance of the participant's account as of the business day the trustee processes the distribution. The Plan also provides for hardship and in-service withdrawals for active employees under certain circumstances.</w:t>
      </w:r>
    </w:p>
    <w:p>
      <w:pPr>
        <w:spacing w:after="0" w:line="18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PARTICIPANT LOANS</w:t>
      </w:r>
    </w:p>
    <w:p>
      <w:pPr>
        <w:spacing w:after="0" w:line="7" w:lineRule="exact"/>
        <w:rPr>
          <w:sz w:val="20"/>
          <w:szCs w:val="20"/>
          <w:color w:val="auto"/>
        </w:rPr>
      </w:pPr>
    </w:p>
    <w:p>
      <w:pPr>
        <w:ind w:left="880" w:right="2879"/>
        <w:spacing w:after="0" w:line="252" w:lineRule="auto"/>
        <w:rPr>
          <w:sz w:val="20"/>
          <w:szCs w:val="20"/>
          <w:color w:val="auto"/>
        </w:rPr>
      </w:pPr>
      <w:r>
        <w:rPr>
          <w:rFonts w:ascii="Courier New" w:cs="Courier New" w:eastAsia="Courier New" w:hAnsi="Courier New"/>
          <w:sz w:val="16"/>
          <w:szCs w:val="16"/>
          <w:color w:val="auto"/>
        </w:rPr>
        <w:t>Loans are available to participants from their individual accounts subject to the terms of the Plan.</w:t>
      </w:r>
    </w:p>
    <w:p>
      <w:pPr>
        <w:spacing w:after="0" w:line="37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- 5 -</w:t>
      </w:r>
    </w:p>
    <w:p>
      <w:pPr>
        <w:sectPr>
          <w:pgSz w:w="11900" w:h="16838" w:orient="portrait"/>
          <w:cols w:equalWidth="0" w:num="1">
            <w:col w:w="10219"/>
          </w:cols>
          <w:pgMar w:left="240" w:top="305"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8</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 UNION RETIREMENT SAVINGS PLAN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3" w:lineRule="exact"/>
        <w:rPr>
          <w:sz w:val="20"/>
          <w:szCs w:val="20"/>
          <w:color w:val="auto"/>
        </w:rPr>
      </w:pPr>
    </w:p>
    <w:p>
      <w:pPr>
        <w:ind w:left="880" w:hanging="880"/>
        <w:spacing w:after="0"/>
        <w:tabs>
          <w:tab w:leader="none" w:pos="8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94"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ACCOUNTING</w:t>
      </w:r>
    </w:p>
    <w:p>
      <w:pPr>
        <w:spacing w:after="0" w:line="6" w:lineRule="exact"/>
        <w:rPr>
          <w:rFonts w:ascii="Courier New" w:cs="Courier New" w:eastAsia="Courier New" w:hAnsi="Courier New"/>
          <w:sz w:val="16"/>
          <w:szCs w:val="16"/>
          <w:color w:val="auto"/>
        </w:rPr>
      </w:pPr>
    </w:p>
    <w:p>
      <w:pPr>
        <w:ind w:left="880" w:right="24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statements of the Plan have been prepared on the accrual basis of accounting in accordance with generally accepted accounting principles.</w:t>
      </w:r>
    </w:p>
    <w:p>
      <w:pPr>
        <w:spacing w:after="0" w:line="185"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6" w:lineRule="exact"/>
        <w:rPr>
          <w:rFonts w:ascii="Courier New" w:cs="Courier New" w:eastAsia="Courier New" w:hAnsi="Courier New"/>
          <w:sz w:val="16"/>
          <w:szCs w:val="16"/>
          <w:color w:val="auto"/>
        </w:rPr>
      </w:pPr>
    </w:p>
    <w:p>
      <w:pPr>
        <w:ind w:left="880" w:right="23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Excluding participant loans, investments are stated at quoted market prices. Participants' loans are valued at cost, which approximates fair value.</w:t>
      </w:r>
    </w:p>
    <w:p>
      <w:pPr>
        <w:spacing w:after="0" w:line="185"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ADMINISTRATIVE EXPENSES</w:t>
      </w:r>
    </w:p>
    <w:p>
      <w:pPr>
        <w:spacing w:after="0" w:line="6" w:lineRule="exact"/>
        <w:rPr>
          <w:rFonts w:ascii="Courier New" w:cs="Courier New" w:eastAsia="Courier New" w:hAnsi="Courier New"/>
          <w:sz w:val="16"/>
          <w:szCs w:val="16"/>
          <w:color w:val="auto"/>
        </w:rPr>
      </w:pPr>
    </w:p>
    <w:p>
      <w:pPr>
        <w:ind w:left="880" w:right="24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pays for all administrative fees except those that are participant specific, such as loan establishment and maintenance fees.</w:t>
      </w:r>
    </w:p>
    <w:p>
      <w:pPr>
        <w:spacing w:after="0" w:line="183"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OF BENEFITS</w:t>
      </w:r>
    </w:p>
    <w:p>
      <w:pPr>
        <w:spacing w:after="0" w:line="6"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Benefits are recorded when paid.</w:t>
      </w:r>
    </w:p>
    <w:p>
      <w:pPr>
        <w:spacing w:after="0" w:line="194"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USE OF ESTIMATES</w:t>
      </w:r>
    </w:p>
    <w:p>
      <w:pPr>
        <w:spacing w:after="0" w:line="6" w:lineRule="exact"/>
        <w:rPr>
          <w:rFonts w:ascii="Courier New" w:cs="Courier New" w:eastAsia="Courier New" w:hAnsi="Courier New"/>
          <w:sz w:val="16"/>
          <w:szCs w:val="16"/>
          <w:color w:val="auto"/>
        </w:rPr>
      </w:pPr>
    </w:p>
    <w:p>
      <w:pPr>
        <w:ind w:left="880"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of the Plan's financial statements in conformity with generally accepted accounting principles requires the Plan to make estimates and assumptions that affect the reported amounts of net assets available for benefits at the date of the financial statements, changes in net assets available for benefits during the reporting period and, when applicable, disclosures of contingent assets and liabilities at the date of the financial statements. Actual results could differ from those estimates.</w:t>
      </w:r>
    </w:p>
    <w:p>
      <w:pPr>
        <w:spacing w:after="0" w:line="187"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RISKS AND UNCERTAINTIES</w:t>
      </w:r>
    </w:p>
    <w:p>
      <w:pPr>
        <w:spacing w:after="0" w:line="6" w:lineRule="exact"/>
        <w:rPr>
          <w:rFonts w:ascii="Courier New" w:cs="Courier New" w:eastAsia="Courier New" w:hAnsi="Courier New"/>
          <w:sz w:val="16"/>
          <w:szCs w:val="16"/>
          <w:color w:val="auto"/>
        </w:rPr>
      </w:pPr>
    </w:p>
    <w:p>
      <w:pPr>
        <w:ind w:left="8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provides for various investment options, which are subject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 account balances and the amounts reported in the statement of net assets available for benefits.</w:t>
      </w:r>
    </w:p>
    <w:p>
      <w:pPr>
        <w:spacing w:after="0" w:line="187"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TRUST</w:t>
      </w:r>
    </w:p>
    <w:p>
      <w:pPr>
        <w:spacing w:after="0" w:line="194" w:lineRule="exact"/>
        <w:rPr>
          <w:rFonts w:ascii="Courier New" w:cs="Courier New" w:eastAsia="Courier New" w:hAnsi="Courier New"/>
          <w:sz w:val="16"/>
          <w:szCs w:val="16"/>
          <w:color w:val="auto"/>
        </w:rPr>
      </w:pPr>
    </w:p>
    <w:p>
      <w:pPr>
        <w:ind w:left="880"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January 1, 2000, a master trust was established to invest certain assets of the Plan and certain assets of the Company's other defined contribution plan, The Scotts Company Retirement Savings Plan. Each plan's accounting is maintained separately; the respective plan's value is a percentage of the master trust. Plan activities, such as contributions and benefit payments, are recorded in the individual plan's accounting records.</w:t>
      </w:r>
    </w:p>
    <w:p>
      <w:pPr>
        <w:spacing w:after="0" w:line="375" w:lineRule="exact"/>
        <w:rPr>
          <w:rFonts w:ascii="Courier New" w:cs="Courier New" w:eastAsia="Courier New" w:hAnsi="Courier New"/>
          <w:sz w:val="16"/>
          <w:szCs w:val="16"/>
          <w:color w:val="auto"/>
        </w:rPr>
      </w:pPr>
    </w:p>
    <w:p>
      <w:pPr>
        <w:ind w:left="3820" w:hanging="204"/>
        <w:spacing w:after="0"/>
        <w:tabs>
          <w:tab w:leader="none" w:pos="382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6 -</w:t>
      </w:r>
    </w:p>
    <w:p>
      <w:pPr>
        <w:sectPr>
          <w:pgSz w:w="11900" w:h="16838" w:orient="portrait"/>
          <w:cols w:equalWidth="0" w:num="1">
            <w:col w:w="10219"/>
          </w:cols>
          <w:pgMar w:left="240" w:top="305"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4440" w:type="dxa"/>
            <w:vAlign w:val="bottom"/>
          </w:tcPr>
          <w:p>
            <w:pPr>
              <w:ind w:left="300"/>
              <w:spacing w:after="0"/>
              <w:rPr>
                <w:sz w:val="20"/>
                <w:szCs w:val="20"/>
                <w:color w:val="auto"/>
              </w:rPr>
            </w:pPr>
            <w:r>
              <w:rPr>
                <w:rFonts w:ascii="Courier New" w:cs="Courier New" w:eastAsia="Courier New" w:hAnsi="Courier New"/>
                <w:sz w:val="16"/>
                <w:szCs w:val="16"/>
                <w:color w:val="auto"/>
              </w:rPr>
              <w:t>9</w:t>
            </w:r>
          </w:p>
        </w:tc>
        <w:tc>
          <w:tcPr>
            <w:tcW w:w="19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564"/>
        </w:trPr>
        <w:tc>
          <w:tcPr>
            <w:tcW w:w="6360" w:type="dxa"/>
            <w:vAlign w:val="bottom"/>
            <w:gridSpan w:val="2"/>
          </w:tcPr>
          <w:p>
            <w:pPr>
              <w:spacing w:after="0"/>
              <w:rPr>
                <w:sz w:val="20"/>
                <w:szCs w:val="20"/>
                <w:color w:val="auto"/>
              </w:rPr>
            </w:pPr>
            <w:r>
              <w:rPr>
                <w:rFonts w:ascii="Courier New" w:cs="Courier New" w:eastAsia="Courier New" w:hAnsi="Courier New"/>
                <w:sz w:val="16"/>
                <w:szCs w:val="16"/>
                <w:color w:val="auto"/>
              </w:rPr>
              <w:t>THE SCOTTS COMPANY UNION RETIREMENT SAVINGS PLAN</w:t>
            </w:r>
          </w:p>
        </w:tc>
        <w:tc>
          <w:tcPr>
            <w:tcW w:w="1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6"/>
        </w:trPr>
        <w:tc>
          <w:tcPr>
            <w:tcW w:w="4440" w:type="dxa"/>
            <w:vAlign w:val="bottom"/>
          </w:tcPr>
          <w:p>
            <w:pPr>
              <w:spacing w:after="0"/>
              <w:rPr>
                <w:sz w:val="20"/>
                <w:szCs w:val="20"/>
                <w:color w:val="auto"/>
              </w:rPr>
            </w:pPr>
            <w:r>
              <w:rPr>
                <w:rFonts w:ascii="Courier New" w:cs="Courier New" w:eastAsia="Courier New" w:hAnsi="Courier New"/>
                <w:sz w:val="16"/>
                <w:szCs w:val="16"/>
                <w:color w:val="auto"/>
              </w:rPr>
              <w:t>NOTES TO FINANCIAL STATEMENTS</w:t>
            </w:r>
          </w:p>
        </w:tc>
        <w:tc>
          <w:tcPr>
            <w:tcW w:w="1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8"/>
        </w:trPr>
        <w:tc>
          <w:tcPr>
            <w:tcW w:w="4440" w:type="dxa"/>
            <w:vAlign w:val="bottom"/>
          </w:tcPr>
          <w:p>
            <w:pPr>
              <w:spacing w:after="0"/>
              <w:rPr>
                <w:sz w:val="20"/>
                <w:szCs w:val="20"/>
                <w:color w:val="auto"/>
              </w:rPr>
            </w:pPr>
            <w:r>
              <w:rPr>
                <w:rFonts w:ascii="Courier New" w:cs="Courier New" w:eastAsia="Courier New" w:hAnsi="Courier New"/>
                <w:sz w:val="16"/>
                <w:szCs w:val="16"/>
                <w:color w:val="auto"/>
              </w:rPr>
              <w:t>DECEMBER 31, 2000</w:t>
            </w:r>
          </w:p>
        </w:tc>
        <w:tc>
          <w:tcPr>
            <w:tcW w:w="19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8260" w:type="dxa"/>
            <w:vAlign w:val="bottom"/>
            <w:gridSpan w:val="3"/>
          </w:tcPr>
          <w:p>
            <w:pPr>
              <w:jc w:val="right"/>
              <w:ind w:right="159"/>
              <w:spacing w:after="0"/>
              <w:rPr>
                <w:sz w:val="20"/>
                <w:szCs w:val="20"/>
                <w:color w:val="auto"/>
              </w:rPr>
            </w:pPr>
            <w:r>
              <w:rPr>
                <w:rFonts w:ascii="Courier New" w:cs="Courier New" w:eastAsia="Courier New" w:hAnsi="Courier New"/>
                <w:sz w:val="16"/>
                <w:szCs w:val="16"/>
                <w:color w:val="auto"/>
              </w:rPr>
              <w:t>- --------------------------------------------------------------------------------</w:t>
            </w:r>
          </w:p>
        </w:tc>
        <w:tc>
          <w:tcPr>
            <w:tcW w:w="2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564"/>
        </w:trPr>
        <w:tc>
          <w:tcPr>
            <w:tcW w:w="8260" w:type="dxa"/>
            <w:vAlign w:val="bottom"/>
            <w:gridSpan w:val="3"/>
          </w:tcPr>
          <w:p>
            <w:pPr>
              <w:ind w:left="880"/>
              <w:spacing w:after="0"/>
              <w:rPr>
                <w:sz w:val="20"/>
                <w:szCs w:val="20"/>
                <w:color w:val="auto"/>
              </w:rPr>
            </w:pPr>
            <w:r>
              <w:rPr>
                <w:rFonts w:ascii="Courier New" w:cs="Courier New" w:eastAsia="Courier New" w:hAnsi="Courier New"/>
                <w:sz w:val="16"/>
                <w:szCs w:val="16"/>
                <w:color w:val="auto"/>
              </w:rPr>
              <w:t>Net earnings of the master trust are allocated between the plans based</w:t>
            </w:r>
          </w:p>
        </w:tc>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8"/>
        </w:trPr>
        <w:tc>
          <w:tcPr>
            <w:tcW w:w="8260" w:type="dxa"/>
            <w:vAlign w:val="bottom"/>
            <w:gridSpan w:val="3"/>
          </w:tcPr>
          <w:p>
            <w:pPr>
              <w:ind w:left="880"/>
              <w:spacing w:after="0"/>
              <w:rPr>
                <w:sz w:val="20"/>
                <w:szCs w:val="20"/>
                <w:color w:val="auto"/>
              </w:rPr>
            </w:pPr>
            <w:r>
              <w:rPr>
                <w:rFonts w:ascii="Courier New" w:cs="Courier New" w:eastAsia="Courier New" w:hAnsi="Courier New"/>
                <w:sz w:val="16"/>
                <w:szCs w:val="16"/>
                <w:color w:val="auto"/>
              </w:rPr>
              <w:t>on a weighted average of assets related to each plan. Total net</w:t>
            </w:r>
          </w:p>
        </w:tc>
        <w:tc>
          <w:tcPr>
            <w:tcW w:w="2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8260" w:type="dxa"/>
            <w:vAlign w:val="bottom"/>
            <w:gridSpan w:val="3"/>
          </w:tcPr>
          <w:p>
            <w:pPr>
              <w:ind w:left="880"/>
              <w:spacing w:after="0"/>
              <w:rPr>
                <w:sz w:val="20"/>
                <w:szCs w:val="20"/>
                <w:color w:val="auto"/>
              </w:rPr>
            </w:pPr>
            <w:r>
              <w:rPr>
                <w:rFonts w:ascii="Courier New" w:cs="Courier New" w:eastAsia="Courier New" w:hAnsi="Courier New"/>
                <w:sz w:val="16"/>
                <w:szCs w:val="16"/>
                <w:color w:val="auto"/>
              </w:rPr>
              <w:t>earnings for the master trust for the year ended December 31, 2000 are</w:t>
            </w:r>
          </w:p>
        </w:tc>
        <w:tc>
          <w:tcPr>
            <w:tcW w:w="2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4440" w:type="dxa"/>
            <w:vAlign w:val="bottom"/>
          </w:tcPr>
          <w:p>
            <w:pPr>
              <w:ind w:left="880"/>
              <w:spacing w:after="0"/>
              <w:rPr>
                <w:sz w:val="20"/>
                <w:szCs w:val="20"/>
                <w:color w:val="auto"/>
              </w:rPr>
            </w:pPr>
            <w:r>
              <w:rPr>
                <w:rFonts w:ascii="Courier New" w:cs="Courier New" w:eastAsia="Courier New" w:hAnsi="Courier New"/>
                <w:sz w:val="16"/>
                <w:szCs w:val="16"/>
                <w:color w:val="auto"/>
              </w:rPr>
              <w:t>as follows:</w:t>
            </w:r>
          </w:p>
        </w:tc>
        <w:tc>
          <w:tcPr>
            <w:tcW w:w="19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752"/>
        </w:trPr>
        <w:tc>
          <w:tcPr>
            <w:tcW w:w="4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0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NET</w:t>
            </w:r>
          </w:p>
        </w:tc>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8"/>
        </w:trPr>
        <w:tc>
          <w:tcPr>
            <w:tcW w:w="4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9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APPRECIATION</w:t>
            </w:r>
          </w:p>
        </w:tc>
        <w:tc>
          <w:tcPr>
            <w:tcW w:w="2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4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(DEPRECIATION)</w:t>
            </w:r>
          </w:p>
        </w:tc>
        <w:tc>
          <w:tcPr>
            <w:tcW w:w="2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4440" w:type="dxa"/>
            <w:vAlign w:val="bottom"/>
          </w:tcPr>
          <w:p>
            <w:pPr>
              <w:spacing w:after="0"/>
              <w:rPr>
                <w:sz w:val="16"/>
                <w:szCs w:val="16"/>
                <w:color w:val="auto"/>
              </w:rPr>
            </w:pPr>
          </w:p>
        </w:tc>
        <w:tc>
          <w:tcPr>
            <w:tcW w:w="1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INTEREST AND</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IN FAIR VALUE</w:t>
            </w:r>
          </w:p>
        </w:tc>
        <w:tc>
          <w:tcPr>
            <w:tcW w:w="21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ADMINISTRATION</w:t>
            </w:r>
          </w:p>
        </w:tc>
        <w:tc>
          <w:tcPr>
            <w:tcW w:w="1160" w:type="dxa"/>
            <w:vAlign w:val="bottom"/>
          </w:tcPr>
          <w:p>
            <w:pPr>
              <w:spacing w:after="0"/>
              <w:rPr>
                <w:sz w:val="16"/>
                <w:szCs w:val="16"/>
                <w:color w:val="auto"/>
              </w:rPr>
            </w:pPr>
          </w:p>
        </w:tc>
      </w:tr>
      <w:tr>
        <w:trPr>
          <w:trHeight w:val="188"/>
        </w:trPr>
        <w:tc>
          <w:tcPr>
            <w:tcW w:w="4440" w:type="dxa"/>
            <w:vAlign w:val="bottom"/>
          </w:tcPr>
          <w:p>
            <w:pPr>
              <w:spacing w:after="0"/>
              <w:rPr>
                <w:sz w:val="16"/>
                <w:szCs w:val="16"/>
                <w:color w:val="auto"/>
              </w:rPr>
            </w:pPr>
          </w:p>
        </w:tc>
        <w:tc>
          <w:tcPr>
            <w:tcW w:w="19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DIVIDENDS</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OF SECURITIES</w:t>
            </w:r>
          </w:p>
        </w:tc>
        <w:tc>
          <w:tcPr>
            <w:tcW w:w="2100" w:type="dxa"/>
            <w:vAlign w:val="bottom"/>
          </w:tcPr>
          <w:p>
            <w:pPr>
              <w:ind w:left="540"/>
              <w:spacing w:after="0"/>
              <w:rPr>
                <w:sz w:val="20"/>
                <w:szCs w:val="20"/>
                <w:color w:val="auto"/>
              </w:rPr>
            </w:pPr>
            <w:r>
              <w:rPr>
                <w:rFonts w:ascii="Courier New" w:cs="Courier New" w:eastAsia="Courier New" w:hAnsi="Courier New"/>
                <w:sz w:val="16"/>
                <w:szCs w:val="16"/>
                <w:color w:val="auto"/>
              </w:rPr>
              <w:t>EXPENSES</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TOTAL</w:t>
            </w:r>
          </w:p>
        </w:tc>
      </w:tr>
      <w:tr>
        <w:trPr>
          <w:trHeight w:val="188"/>
        </w:trPr>
        <w:tc>
          <w:tcPr>
            <w:tcW w:w="4440" w:type="dxa"/>
            <w:vAlign w:val="bottom"/>
          </w:tcPr>
          <w:p>
            <w:pPr>
              <w:spacing w:after="0"/>
              <w:rPr>
                <w:sz w:val="16"/>
                <w:szCs w:val="16"/>
                <w:color w:val="auto"/>
              </w:rPr>
            </w:pPr>
          </w:p>
        </w:tc>
        <w:tc>
          <w:tcPr>
            <w:tcW w:w="1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440" w:type="dxa"/>
            <w:vAlign w:val="bottom"/>
          </w:tcPr>
          <w:p>
            <w:pPr>
              <w:ind w:left="880"/>
              <w:spacing w:after="0"/>
              <w:rPr>
                <w:sz w:val="20"/>
                <w:szCs w:val="20"/>
                <w:color w:val="auto"/>
              </w:rPr>
            </w:pPr>
            <w:r>
              <w:rPr>
                <w:rFonts w:ascii="Courier New" w:cs="Courier New" w:eastAsia="Courier New" w:hAnsi="Courier New"/>
                <w:sz w:val="16"/>
                <w:szCs w:val="16"/>
                <w:color w:val="auto"/>
              </w:rPr>
              <w:t>Mutual funds</w:t>
            </w:r>
          </w:p>
        </w:tc>
        <w:tc>
          <w:tcPr>
            <w:tcW w:w="19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$ 7,548,026</w:t>
            </w:r>
          </w:p>
        </w:tc>
        <w:tc>
          <w:tcPr>
            <w:tcW w:w="19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(12,332,300)</w:t>
            </w:r>
          </w:p>
        </w:tc>
        <w:tc>
          <w:tcPr>
            <w:tcW w:w="21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(14,347)</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w w:val="98"/>
              </w:rPr>
              <w:t>$(4,798,621)</w:t>
            </w:r>
          </w:p>
        </w:tc>
      </w:tr>
      <w:tr>
        <w:trPr>
          <w:trHeight w:val="188"/>
        </w:trPr>
        <w:tc>
          <w:tcPr>
            <w:tcW w:w="4440" w:type="dxa"/>
            <w:vAlign w:val="bottom"/>
          </w:tcPr>
          <w:p>
            <w:pPr>
              <w:ind w:left="880"/>
              <w:spacing w:after="0"/>
              <w:rPr>
                <w:sz w:val="20"/>
                <w:szCs w:val="20"/>
                <w:color w:val="auto"/>
              </w:rPr>
            </w:pPr>
            <w:r>
              <w:rPr>
                <w:rFonts w:ascii="Courier New" w:cs="Courier New" w:eastAsia="Courier New" w:hAnsi="Courier New"/>
                <w:sz w:val="16"/>
                <w:szCs w:val="16"/>
                <w:color w:val="auto"/>
              </w:rPr>
              <w:t>Common trust fund</w:t>
            </w:r>
          </w:p>
        </w:tc>
        <w:tc>
          <w:tcPr>
            <w:tcW w:w="19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698,257</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(2,681)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695,576</w:t>
            </w:r>
          </w:p>
        </w:tc>
      </w:tr>
      <w:tr>
        <w:trPr>
          <w:trHeight w:val="188"/>
        </w:trPr>
        <w:tc>
          <w:tcPr>
            <w:tcW w:w="4440" w:type="dxa"/>
            <w:vAlign w:val="bottom"/>
          </w:tcPr>
          <w:p>
            <w:pPr>
              <w:ind w:left="880"/>
              <w:spacing w:after="0"/>
              <w:rPr>
                <w:sz w:val="20"/>
                <w:szCs w:val="20"/>
                <w:color w:val="auto"/>
              </w:rPr>
            </w:pPr>
            <w:r>
              <w:rPr>
                <w:rFonts w:ascii="Courier New" w:cs="Courier New" w:eastAsia="Courier New" w:hAnsi="Courier New"/>
                <w:sz w:val="16"/>
                <w:szCs w:val="16"/>
                <w:color w:val="auto"/>
              </w:rPr>
              <w:t>The Scotts Company Common Shares</w:t>
            </w:r>
          </w:p>
        </w:tc>
        <w:tc>
          <w:tcPr>
            <w:tcW w:w="19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31,542</w:t>
            </w:r>
          </w:p>
        </w:tc>
        <w:tc>
          <w:tcPr>
            <w:tcW w:w="19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(179,130)</w:t>
            </w:r>
          </w:p>
        </w:tc>
        <w:tc>
          <w:tcPr>
            <w:tcW w:w="21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(1,451)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(149,039)</w:t>
            </w:r>
          </w:p>
        </w:tc>
      </w:tr>
      <w:tr>
        <w:trPr>
          <w:trHeight w:val="188"/>
        </w:trPr>
        <w:tc>
          <w:tcPr>
            <w:tcW w:w="4440" w:type="dxa"/>
            <w:vAlign w:val="bottom"/>
          </w:tcPr>
          <w:p>
            <w:pPr>
              <w:ind w:left="880"/>
              <w:spacing w:after="0"/>
              <w:rPr>
                <w:sz w:val="20"/>
                <w:szCs w:val="20"/>
                <w:color w:val="auto"/>
              </w:rPr>
            </w:pPr>
            <w:r>
              <w:rPr>
                <w:rFonts w:ascii="Courier New" w:cs="Courier New" w:eastAsia="Courier New" w:hAnsi="Courier New"/>
                <w:sz w:val="16"/>
                <w:szCs w:val="16"/>
                <w:color w:val="auto"/>
              </w:rPr>
              <w:t>Loans to participants</w:t>
            </w:r>
          </w:p>
        </w:tc>
        <w:tc>
          <w:tcPr>
            <w:tcW w:w="19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212,344</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212,344</w:t>
            </w:r>
          </w:p>
        </w:tc>
      </w:tr>
      <w:tr>
        <w:trPr>
          <w:trHeight w:val="188"/>
        </w:trPr>
        <w:tc>
          <w:tcPr>
            <w:tcW w:w="4440" w:type="dxa"/>
            <w:vAlign w:val="bottom"/>
          </w:tcPr>
          <w:p>
            <w:pPr>
              <w:spacing w:after="0"/>
              <w:rPr>
                <w:sz w:val="16"/>
                <w:szCs w:val="16"/>
                <w:color w:val="auto"/>
              </w:rPr>
            </w:pPr>
          </w:p>
        </w:tc>
        <w:tc>
          <w:tcPr>
            <w:tcW w:w="1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440" w:type="dxa"/>
            <w:vAlign w:val="bottom"/>
          </w:tcPr>
          <w:p>
            <w:pPr>
              <w:ind w:left="1280"/>
              <w:spacing w:after="0"/>
              <w:rPr>
                <w:sz w:val="20"/>
                <w:szCs w:val="20"/>
                <w:color w:val="auto"/>
              </w:rPr>
            </w:pPr>
            <w:r>
              <w:rPr>
                <w:rFonts w:ascii="Courier New" w:cs="Courier New" w:eastAsia="Courier New" w:hAnsi="Courier New"/>
                <w:sz w:val="16"/>
                <w:szCs w:val="16"/>
                <w:color w:val="auto"/>
              </w:rPr>
              <w:t>Total</w:t>
            </w:r>
          </w:p>
        </w:tc>
        <w:tc>
          <w:tcPr>
            <w:tcW w:w="19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$8,490,169</w:t>
            </w:r>
          </w:p>
        </w:tc>
        <w:tc>
          <w:tcPr>
            <w:tcW w:w="19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(12,511,430)</w:t>
            </w:r>
          </w:p>
        </w:tc>
        <w:tc>
          <w:tcPr>
            <w:tcW w:w="21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(18,479)</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w w:val="98"/>
              </w:rPr>
              <w:t>$(4,039,740)</w:t>
            </w:r>
          </w:p>
        </w:tc>
      </w:tr>
      <w:tr>
        <w:trPr>
          <w:trHeight w:val="188"/>
        </w:trPr>
        <w:tc>
          <w:tcPr>
            <w:tcW w:w="4440" w:type="dxa"/>
            <w:vAlign w:val="bottom"/>
          </w:tcPr>
          <w:p>
            <w:pPr>
              <w:spacing w:after="0"/>
              <w:rPr>
                <w:sz w:val="16"/>
                <w:szCs w:val="16"/>
                <w:color w:val="auto"/>
              </w:rPr>
            </w:pPr>
          </w:p>
        </w:tc>
        <w:tc>
          <w:tcPr>
            <w:tcW w:w="1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52"/>
        </w:trPr>
        <w:tc>
          <w:tcPr>
            <w:tcW w:w="8260" w:type="dxa"/>
            <w:vAlign w:val="bottom"/>
            <w:gridSpan w:val="3"/>
          </w:tcPr>
          <w:p>
            <w:pPr>
              <w:ind w:left="880"/>
              <w:spacing w:after="0"/>
              <w:rPr>
                <w:sz w:val="20"/>
                <w:szCs w:val="20"/>
                <w:color w:val="auto"/>
              </w:rPr>
            </w:pPr>
            <w:r>
              <w:rPr>
                <w:rFonts w:ascii="Courier New" w:cs="Courier New" w:eastAsia="Courier New" w:hAnsi="Courier New"/>
                <w:sz w:val="16"/>
                <w:szCs w:val="16"/>
                <w:color w:val="auto"/>
              </w:rPr>
              <w:t>Total assets held in the master trust at December 31, 2000 were as</w:t>
            </w:r>
          </w:p>
        </w:tc>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8"/>
        </w:trPr>
        <w:tc>
          <w:tcPr>
            <w:tcW w:w="4440" w:type="dxa"/>
            <w:vAlign w:val="bottom"/>
          </w:tcPr>
          <w:p>
            <w:pPr>
              <w:ind w:left="880"/>
              <w:spacing w:after="0"/>
              <w:rPr>
                <w:sz w:val="20"/>
                <w:szCs w:val="20"/>
                <w:color w:val="auto"/>
              </w:rPr>
            </w:pPr>
            <w:r>
              <w:rPr>
                <w:rFonts w:ascii="Courier New" w:cs="Courier New" w:eastAsia="Courier New" w:hAnsi="Courier New"/>
                <w:sz w:val="16"/>
                <w:szCs w:val="16"/>
                <w:color w:val="auto"/>
              </w:rPr>
              <w:t>follows:</w:t>
            </w:r>
          </w:p>
        </w:tc>
        <w:tc>
          <w:tcPr>
            <w:tcW w:w="19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752"/>
        </w:trPr>
        <w:tc>
          <w:tcPr>
            <w:tcW w:w="4440" w:type="dxa"/>
            <w:vAlign w:val="bottom"/>
          </w:tcPr>
          <w:p>
            <w:pPr>
              <w:ind w:left="880"/>
              <w:spacing w:after="0"/>
              <w:rPr>
                <w:sz w:val="20"/>
                <w:szCs w:val="20"/>
                <w:color w:val="auto"/>
              </w:rPr>
            </w:pPr>
            <w:r>
              <w:rPr>
                <w:rFonts w:ascii="Courier New" w:cs="Courier New" w:eastAsia="Courier New" w:hAnsi="Courier New"/>
                <w:sz w:val="16"/>
                <w:szCs w:val="16"/>
                <w:color w:val="auto"/>
              </w:rPr>
              <w:t>Cash and cash equivalents</w:t>
            </w:r>
          </w:p>
        </w:tc>
        <w:tc>
          <w:tcPr>
            <w:tcW w:w="1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$ 439,536</w:t>
            </w:r>
          </w:p>
        </w:tc>
        <w:tc>
          <w:tcPr>
            <w:tcW w:w="1160" w:type="dxa"/>
            <w:vAlign w:val="bottom"/>
          </w:tcPr>
          <w:p>
            <w:pPr>
              <w:spacing w:after="0"/>
              <w:rPr>
                <w:sz w:val="24"/>
                <w:szCs w:val="24"/>
                <w:color w:val="auto"/>
              </w:rPr>
            </w:pPr>
          </w:p>
        </w:tc>
      </w:tr>
      <w:tr>
        <w:trPr>
          <w:trHeight w:val="376"/>
        </w:trPr>
        <w:tc>
          <w:tcPr>
            <w:tcW w:w="4440" w:type="dxa"/>
            <w:vAlign w:val="bottom"/>
          </w:tcPr>
          <w:p>
            <w:pPr>
              <w:ind w:left="880"/>
              <w:spacing w:after="0"/>
              <w:rPr>
                <w:sz w:val="20"/>
                <w:szCs w:val="20"/>
                <w:color w:val="auto"/>
              </w:rPr>
            </w:pPr>
            <w:r>
              <w:rPr>
                <w:rFonts w:ascii="Courier New" w:cs="Courier New" w:eastAsia="Courier New" w:hAnsi="Courier New"/>
                <w:sz w:val="16"/>
                <w:szCs w:val="16"/>
                <w:color w:val="auto"/>
              </w:rPr>
              <w:t>Investments</w:t>
            </w:r>
          </w:p>
        </w:tc>
        <w:tc>
          <w:tcPr>
            <w:tcW w:w="1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8"/>
        </w:trPr>
        <w:tc>
          <w:tcPr>
            <w:tcW w:w="4440" w:type="dxa"/>
            <w:vAlign w:val="bottom"/>
          </w:tcPr>
          <w:p>
            <w:pPr>
              <w:ind w:left="1280"/>
              <w:spacing w:after="0"/>
              <w:rPr>
                <w:sz w:val="20"/>
                <w:szCs w:val="20"/>
                <w:color w:val="auto"/>
              </w:rPr>
            </w:pPr>
            <w:r>
              <w:rPr>
                <w:rFonts w:ascii="Courier New" w:cs="Courier New" w:eastAsia="Courier New" w:hAnsi="Courier New"/>
                <w:sz w:val="16"/>
                <w:szCs w:val="16"/>
                <w:color w:val="auto"/>
              </w:rPr>
              <w:t>Mutual funds, at fair value</w:t>
            </w:r>
          </w:p>
        </w:tc>
        <w:tc>
          <w:tcPr>
            <w:tcW w:w="19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119,120,168</w:t>
            </w:r>
          </w:p>
        </w:tc>
        <w:tc>
          <w:tcPr>
            <w:tcW w:w="1160" w:type="dxa"/>
            <w:vAlign w:val="bottom"/>
          </w:tcPr>
          <w:p>
            <w:pPr>
              <w:spacing w:after="0"/>
              <w:rPr>
                <w:sz w:val="16"/>
                <w:szCs w:val="16"/>
                <w:color w:val="auto"/>
              </w:rPr>
            </w:pPr>
          </w:p>
        </w:tc>
      </w:tr>
      <w:tr>
        <w:trPr>
          <w:trHeight w:val="188"/>
        </w:trPr>
        <w:tc>
          <w:tcPr>
            <w:tcW w:w="4440" w:type="dxa"/>
            <w:vAlign w:val="bottom"/>
          </w:tcPr>
          <w:p>
            <w:pPr>
              <w:ind w:left="1280"/>
              <w:spacing w:after="0"/>
              <w:rPr>
                <w:sz w:val="20"/>
                <w:szCs w:val="20"/>
                <w:color w:val="auto"/>
              </w:rPr>
            </w:pPr>
            <w:r>
              <w:rPr>
                <w:rFonts w:ascii="Courier New" w:cs="Courier New" w:eastAsia="Courier New" w:hAnsi="Courier New"/>
                <w:sz w:val="16"/>
                <w:szCs w:val="16"/>
                <w:color w:val="auto"/>
              </w:rPr>
              <w:t>Common trust fund, at fair value</w:t>
            </w:r>
          </w:p>
        </w:tc>
        <w:tc>
          <w:tcPr>
            <w:tcW w:w="19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12,901,238</w:t>
            </w:r>
          </w:p>
        </w:tc>
        <w:tc>
          <w:tcPr>
            <w:tcW w:w="1160" w:type="dxa"/>
            <w:vAlign w:val="bottom"/>
          </w:tcPr>
          <w:p>
            <w:pPr>
              <w:spacing w:after="0"/>
              <w:rPr>
                <w:sz w:val="16"/>
                <w:szCs w:val="16"/>
                <w:color w:val="auto"/>
              </w:rPr>
            </w:pPr>
          </w:p>
        </w:tc>
      </w:tr>
      <w:tr>
        <w:trPr>
          <w:trHeight w:val="188"/>
        </w:trPr>
        <w:tc>
          <w:tcPr>
            <w:tcW w:w="6360" w:type="dxa"/>
            <w:vAlign w:val="bottom"/>
            <w:gridSpan w:val="2"/>
          </w:tcPr>
          <w:p>
            <w:pPr>
              <w:ind w:left="1280"/>
              <w:spacing w:after="0"/>
              <w:rPr>
                <w:sz w:val="20"/>
                <w:szCs w:val="20"/>
                <w:color w:val="auto"/>
              </w:rPr>
            </w:pPr>
            <w:r>
              <w:rPr>
                <w:rFonts w:ascii="Courier New" w:cs="Courier New" w:eastAsia="Courier New" w:hAnsi="Courier New"/>
                <w:sz w:val="16"/>
                <w:szCs w:val="16"/>
                <w:color w:val="auto"/>
              </w:rPr>
              <w:t>The Scotts Company Common Shares, at fair value</w:t>
            </w:r>
          </w:p>
        </w:tc>
        <w:tc>
          <w:tcPr>
            <w:tcW w:w="1900" w:type="dxa"/>
            <w:vAlign w:val="bottom"/>
          </w:tcPr>
          <w:p>
            <w:pPr>
              <w:spacing w:after="0"/>
              <w:rPr>
                <w:sz w:val="16"/>
                <w:szCs w:val="16"/>
                <w:color w:val="auto"/>
              </w:rPr>
            </w:pPr>
          </w:p>
        </w:tc>
        <w:tc>
          <w:tcPr>
            <w:tcW w:w="2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8,538,029</w:t>
            </w:r>
          </w:p>
        </w:tc>
        <w:tc>
          <w:tcPr>
            <w:tcW w:w="1160" w:type="dxa"/>
            <w:vAlign w:val="bottom"/>
          </w:tcPr>
          <w:p>
            <w:pPr>
              <w:spacing w:after="0"/>
              <w:rPr>
                <w:sz w:val="16"/>
                <w:szCs w:val="16"/>
                <w:color w:val="auto"/>
              </w:rPr>
            </w:pPr>
          </w:p>
        </w:tc>
      </w:tr>
      <w:tr>
        <w:trPr>
          <w:trHeight w:val="188"/>
        </w:trPr>
        <w:tc>
          <w:tcPr>
            <w:tcW w:w="4440" w:type="dxa"/>
            <w:vAlign w:val="bottom"/>
          </w:tcPr>
          <w:p>
            <w:pPr>
              <w:ind w:left="1280"/>
              <w:spacing w:after="0"/>
              <w:rPr>
                <w:sz w:val="20"/>
                <w:szCs w:val="20"/>
                <w:color w:val="auto"/>
              </w:rPr>
            </w:pPr>
            <w:r>
              <w:rPr>
                <w:rFonts w:ascii="Courier New" w:cs="Courier New" w:eastAsia="Courier New" w:hAnsi="Courier New"/>
                <w:sz w:val="16"/>
                <w:szCs w:val="16"/>
                <w:color w:val="auto"/>
              </w:rPr>
              <w:t>Loans to participants, at cost</w:t>
            </w:r>
          </w:p>
        </w:tc>
        <w:tc>
          <w:tcPr>
            <w:tcW w:w="19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2,938,128</w:t>
            </w:r>
          </w:p>
        </w:tc>
        <w:tc>
          <w:tcPr>
            <w:tcW w:w="1160" w:type="dxa"/>
            <w:vAlign w:val="bottom"/>
          </w:tcPr>
          <w:p>
            <w:pPr>
              <w:spacing w:after="0"/>
              <w:rPr>
                <w:sz w:val="16"/>
                <w:szCs w:val="16"/>
                <w:color w:val="auto"/>
              </w:rPr>
            </w:pPr>
          </w:p>
        </w:tc>
      </w:tr>
      <w:tr>
        <w:trPr>
          <w:trHeight w:val="188"/>
        </w:trPr>
        <w:tc>
          <w:tcPr>
            <w:tcW w:w="4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0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r>
      <w:tr>
        <w:trPr>
          <w:trHeight w:val="376"/>
        </w:trPr>
        <w:tc>
          <w:tcPr>
            <w:tcW w:w="4440" w:type="dxa"/>
            <w:vAlign w:val="bottom"/>
          </w:tcPr>
          <w:p>
            <w:pPr>
              <w:ind w:left="1460"/>
              <w:spacing w:after="0"/>
              <w:rPr>
                <w:sz w:val="20"/>
                <w:szCs w:val="20"/>
                <w:color w:val="auto"/>
              </w:rPr>
            </w:pPr>
            <w:r>
              <w:rPr>
                <w:rFonts w:ascii="Courier New" w:cs="Courier New" w:eastAsia="Courier New" w:hAnsi="Courier New"/>
                <w:sz w:val="16"/>
                <w:szCs w:val="16"/>
                <w:color w:val="auto"/>
              </w:rPr>
              <w:t>Total investments</w:t>
            </w:r>
          </w:p>
        </w:tc>
        <w:tc>
          <w:tcPr>
            <w:tcW w:w="1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143,497,563</w:t>
            </w:r>
          </w:p>
        </w:tc>
        <w:tc>
          <w:tcPr>
            <w:tcW w:w="1160" w:type="dxa"/>
            <w:vAlign w:val="bottom"/>
          </w:tcPr>
          <w:p>
            <w:pPr>
              <w:spacing w:after="0"/>
              <w:rPr>
                <w:sz w:val="24"/>
                <w:szCs w:val="24"/>
                <w:color w:val="auto"/>
              </w:rPr>
            </w:pPr>
          </w:p>
        </w:tc>
      </w:tr>
      <w:tr>
        <w:trPr>
          <w:trHeight w:val="188"/>
        </w:trPr>
        <w:tc>
          <w:tcPr>
            <w:tcW w:w="4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0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r>
      <w:tr>
        <w:trPr>
          <w:trHeight w:val="376"/>
        </w:trPr>
        <w:tc>
          <w:tcPr>
            <w:tcW w:w="4440" w:type="dxa"/>
            <w:vAlign w:val="bottom"/>
          </w:tcPr>
          <w:p>
            <w:pPr>
              <w:ind w:left="880"/>
              <w:spacing w:after="0"/>
              <w:rPr>
                <w:sz w:val="20"/>
                <w:szCs w:val="20"/>
                <w:color w:val="auto"/>
              </w:rPr>
            </w:pPr>
            <w:r>
              <w:rPr>
                <w:rFonts w:ascii="Courier New" w:cs="Courier New" w:eastAsia="Courier New" w:hAnsi="Courier New"/>
                <w:sz w:val="16"/>
                <w:szCs w:val="16"/>
                <w:color w:val="auto"/>
              </w:rPr>
              <w:t>Receivable from broker</w:t>
            </w:r>
          </w:p>
        </w:tc>
        <w:tc>
          <w:tcPr>
            <w:tcW w:w="1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226,447</w:t>
            </w:r>
          </w:p>
        </w:tc>
        <w:tc>
          <w:tcPr>
            <w:tcW w:w="1160" w:type="dxa"/>
            <w:vAlign w:val="bottom"/>
          </w:tcPr>
          <w:p>
            <w:pPr>
              <w:spacing w:after="0"/>
              <w:rPr>
                <w:sz w:val="24"/>
                <w:szCs w:val="24"/>
                <w:color w:val="auto"/>
              </w:rPr>
            </w:pPr>
          </w:p>
        </w:tc>
      </w:tr>
      <w:tr>
        <w:trPr>
          <w:trHeight w:val="376"/>
        </w:trPr>
        <w:tc>
          <w:tcPr>
            <w:tcW w:w="4440" w:type="dxa"/>
            <w:vAlign w:val="bottom"/>
          </w:tcPr>
          <w:p>
            <w:pPr>
              <w:ind w:left="1460"/>
              <w:spacing w:after="0"/>
              <w:rPr>
                <w:sz w:val="20"/>
                <w:szCs w:val="20"/>
                <w:color w:val="auto"/>
              </w:rPr>
            </w:pPr>
            <w:r>
              <w:rPr>
                <w:rFonts w:ascii="Courier New" w:cs="Courier New" w:eastAsia="Courier New" w:hAnsi="Courier New"/>
                <w:sz w:val="16"/>
                <w:szCs w:val="16"/>
                <w:color w:val="auto"/>
              </w:rPr>
              <w:t>Total master trust net assets</w:t>
            </w:r>
          </w:p>
        </w:tc>
        <w:tc>
          <w:tcPr>
            <w:tcW w:w="1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144,163,546</w:t>
            </w:r>
          </w:p>
        </w:tc>
        <w:tc>
          <w:tcPr>
            <w:tcW w:w="1160" w:type="dxa"/>
            <w:vAlign w:val="bottom"/>
          </w:tcPr>
          <w:p>
            <w:pPr>
              <w:spacing w:after="0"/>
              <w:rPr>
                <w:sz w:val="24"/>
                <w:szCs w:val="24"/>
                <w:color w:val="auto"/>
              </w:rPr>
            </w:pPr>
          </w:p>
        </w:tc>
      </w:tr>
      <w:tr>
        <w:trPr>
          <w:trHeight w:val="188"/>
        </w:trPr>
        <w:tc>
          <w:tcPr>
            <w:tcW w:w="4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0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r>
      <w:tr>
        <w:trPr>
          <w:trHeight w:val="376"/>
        </w:trPr>
        <w:tc>
          <w:tcPr>
            <w:tcW w:w="636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The Scotts Company Union Retirement Savings Plan</w:t>
            </w:r>
          </w:p>
        </w:tc>
        <w:tc>
          <w:tcPr>
            <w:tcW w:w="1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8"/>
        </w:trPr>
        <w:tc>
          <w:tcPr>
            <w:tcW w:w="6360" w:type="dxa"/>
            <w:vAlign w:val="bottom"/>
            <w:gridSpan w:val="2"/>
          </w:tcPr>
          <w:p>
            <w:pPr>
              <w:ind w:left="1280"/>
              <w:spacing w:after="0"/>
              <w:rPr>
                <w:sz w:val="20"/>
                <w:szCs w:val="20"/>
                <w:color w:val="auto"/>
              </w:rPr>
            </w:pPr>
            <w:r>
              <w:rPr>
                <w:rFonts w:ascii="Courier New" w:cs="Courier New" w:eastAsia="Courier New" w:hAnsi="Courier New"/>
                <w:sz w:val="16"/>
                <w:szCs w:val="16"/>
                <w:color w:val="auto"/>
              </w:rPr>
              <w:t>interest in master trust net assets</w:t>
            </w:r>
          </w:p>
        </w:tc>
        <w:tc>
          <w:tcPr>
            <w:tcW w:w="1900" w:type="dxa"/>
            <w:vAlign w:val="bottom"/>
          </w:tcPr>
          <w:p>
            <w:pPr>
              <w:spacing w:after="0"/>
              <w:rPr>
                <w:sz w:val="16"/>
                <w:szCs w:val="16"/>
                <w:color w:val="auto"/>
              </w:rPr>
            </w:pPr>
          </w:p>
        </w:tc>
        <w:tc>
          <w:tcPr>
            <w:tcW w:w="2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0.058%</w:t>
            </w:r>
          </w:p>
        </w:tc>
        <w:tc>
          <w:tcPr>
            <w:tcW w:w="1160" w:type="dxa"/>
            <w:vAlign w:val="bottom"/>
          </w:tcPr>
          <w:p>
            <w:pPr>
              <w:spacing w:after="0"/>
              <w:rPr>
                <w:sz w:val="16"/>
                <w:szCs w:val="16"/>
                <w:color w:val="auto"/>
              </w:rPr>
            </w:pPr>
          </w:p>
        </w:tc>
      </w:tr>
      <w:tr>
        <w:trPr>
          <w:trHeight w:val="188"/>
        </w:trPr>
        <w:tc>
          <w:tcPr>
            <w:tcW w:w="4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0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r>
    </w:tbl>
    <w:p>
      <w:pPr>
        <w:spacing w:after="0" w:line="200" w:lineRule="exact"/>
        <w:rPr>
          <w:sz w:val="20"/>
          <w:szCs w:val="20"/>
          <w:color w:val="auto"/>
        </w:rPr>
      </w:pPr>
    </w:p>
    <w:p>
      <w:pPr>
        <w:spacing w:after="0" w:line="36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Accounting policies discussed in Note 1 also apply to the master trust.</w:t>
      </w:r>
    </w:p>
    <w:p>
      <w:pPr>
        <w:spacing w:after="0" w:line="195" w:lineRule="exact"/>
        <w:rPr>
          <w:sz w:val="20"/>
          <w:szCs w:val="20"/>
          <w:color w:val="auto"/>
        </w:rPr>
      </w:pPr>
    </w:p>
    <w:p>
      <w:pPr>
        <w:jc w:val="both"/>
        <w:ind w:left="880" w:right="4000"/>
        <w:spacing w:after="0" w:line="250" w:lineRule="auto"/>
        <w:rPr>
          <w:sz w:val="20"/>
          <w:szCs w:val="20"/>
          <w:color w:val="auto"/>
        </w:rPr>
      </w:pPr>
      <w:r>
        <w:rPr>
          <w:rFonts w:ascii="Courier New" w:cs="Courier New" w:eastAsia="Courier New" w:hAnsi="Courier New"/>
          <w:sz w:val="16"/>
          <w:szCs w:val="16"/>
          <w:color w:val="auto"/>
        </w:rPr>
        <w:t>Cash equivalents include short-term, highly liquid investments with original term to maturity of 90 days or less. Cost approximates fair value.</w:t>
      </w:r>
    </w:p>
    <w:p>
      <w:pPr>
        <w:spacing w:after="0" w:line="37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- 7 -</w:t>
      </w:r>
    </w:p>
    <w:p>
      <w:pPr>
        <w:sectPr>
          <w:pgSz w:w="11900" w:h="16838" w:orient="portrait"/>
          <w:cols w:equalWidth="0" w:num="1">
            <w:col w:w="11520"/>
          </w:cols>
          <w:pgMar w:left="240" w:top="305" w:right="139"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10</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 UNION RETIREMENT SAVINGS PLAN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3" w:lineRule="exact"/>
        <w:rPr>
          <w:sz w:val="20"/>
          <w:szCs w:val="20"/>
          <w:color w:val="auto"/>
        </w:rPr>
      </w:pPr>
    </w:p>
    <w:p>
      <w:pPr>
        <w:ind w:left="880" w:right="2399"/>
        <w:spacing w:after="0" w:line="252" w:lineRule="auto"/>
        <w:rPr>
          <w:sz w:val="20"/>
          <w:szCs w:val="20"/>
          <w:color w:val="auto"/>
        </w:rPr>
      </w:pPr>
      <w:r>
        <w:rPr>
          <w:rFonts w:ascii="Courier New" w:cs="Courier New" w:eastAsia="Courier New" w:hAnsi="Courier New"/>
          <w:sz w:val="16"/>
          <w:szCs w:val="16"/>
          <w:color w:val="auto"/>
        </w:rPr>
        <w:t>At December 31, 2000, the master trust had investments in the Company's common shares, as follows:</w:t>
      </w:r>
    </w:p>
    <w:p>
      <w:pPr>
        <w:spacing w:after="0" w:line="183" w:lineRule="exact"/>
        <w:rPr>
          <w:sz w:val="20"/>
          <w:szCs w:val="20"/>
          <w:color w:val="auto"/>
        </w:rPr>
      </w:pPr>
    </w:p>
    <w:p>
      <w:pPr>
        <w:ind w:left="5660"/>
        <w:spacing w:after="0"/>
        <w:rPr>
          <w:sz w:val="20"/>
          <w:szCs w:val="20"/>
          <w:color w:val="auto"/>
        </w:rPr>
      </w:pPr>
      <w:r>
        <w:rPr>
          <w:rFonts w:ascii="Courier New" w:cs="Courier New" w:eastAsia="Courier New" w:hAnsi="Courier New"/>
          <w:sz w:val="16"/>
          <w:szCs w:val="16"/>
          <w:color w:val="auto"/>
        </w:rPr>
        <w:t>2000</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6260"/>
        <w:spacing w:after="0"/>
        <w:rPr>
          <w:sz w:val="20"/>
          <w:szCs w:val="20"/>
          <w:color w:val="auto"/>
        </w:rPr>
      </w:pPr>
      <w:r>
        <w:rPr>
          <w:rFonts w:ascii="Courier New" w:cs="Courier New" w:eastAsia="Courier New" w:hAnsi="Courier New"/>
          <w:sz w:val="16"/>
          <w:szCs w:val="16"/>
          <w:color w:val="auto"/>
        </w:rPr>
        <w:t>FAIR MARKET</w:t>
      </w:r>
    </w:p>
    <w:p>
      <w:pPr>
        <w:spacing w:after="0" w:line="7" w:lineRule="exact"/>
        <w:rPr>
          <w:sz w:val="20"/>
          <w:szCs w:val="20"/>
          <w:color w:val="auto"/>
        </w:rPr>
      </w:pPr>
    </w:p>
    <w:p>
      <w:pPr>
        <w:ind w:left="4700"/>
        <w:spacing w:after="0"/>
        <w:tabs>
          <w:tab w:leader="none" w:pos="652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VALUE</w:t>
      </w:r>
    </w:p>
    <w:p>
      <w:pPr>
        <w:spacing w:after="0" w:line="7" w:lineRule="exact"/>
        <w:rPr>
          <w:sz w:val="20"/>
          <w:szCs w:val="20"/>
          <w:color w:val="auto"/>
        </w:rPr>
      </w:pPr>
    </w:p>
    <w:p>
      <w:pPr>
        <w:ind w:left="4400"/>
        <w:spacing w:after="0"/>
        <w:tabs>
          <w:tab w:leader="none" w:pos="59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305" w:right="1440" w:bottom="1440" w:gutter="0" w:footer="0" w:header="0"/>
        </w:sectPr>
      </w:pP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The Scotts Company Common Shares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231,148</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$ 8,538,029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000" w:space="400"/>
            <w:col w:w="1260" w:space="300"/>
            <w:col w:w="4259"/>
          </w:cols>
          <w:pgMar w:left="240" w:top="305" w:right="1440" w:bottom="1440" w:gutter="0" w:footer="0" w:header="0"/>
          <w:type w:val="continuous"/>
        </w:sectPr>
      </w:pPr>
    </w:p>
    <w:p>
      <w:pPr>
        <w:spacing w:after="0" w:line="183" w:lineRule="exact"/>
        <w:rPr>
          <w:sz w:val="20"/>
          <w:szCs w:val="20"/>
          <w:color w:val="auto"/>
        </w:rPr>
      </w:pPr>
    </w:p>
    <w:p>
      <w:pPr>
        <w:ind w:left="880" w:right="2599"/>
        <w:spacing w:after="0" w:line="252" w:lineRule="auto"/>
        <w:rPr>
          <w:sz w:val="20"/>
          <w:szCs w:val="20"/>
          <w:color w:val="auto"/>
        </w:rPr>
      </w:pPr>
      <w:r>
        <w:rPr>
          <w:rFonts w:ascii="Courier New" w:cs="Courier New" w:eastAsia="Courier New" w:hAnsi="Courier New"/>
          <w:sz w:val="16"/>
          <w:szCs w:val="16"/>
          <w:color w:val="auto"/>
        </w:rPr>
        <w:t>The Company's common shares are valued at quoted market prices, which were $36.94 per share at December 31, 2000.</w:t>
      </w:r>
    </w:p>
    <w:p>
      <w:pPr>
        <w:spacing w:after="0" w:line="183" w:lineRule="exact"/>
        <w:rPr>
          <w:sz w:val="20"/>
          <w:szCs w:val="20"/>
          <w:color w:val="auto"/>
        </w:rPr>
      </w:pPr>
    </w:p>
    <w:p>
      <w:pPr>
        <w:ind w:left="880" w:hanging="880"/>
        <w:spacing w:after="0"/>
        <w:tabs>
          <w:tab w:leader="none" w:pos="8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STATUS</w:t>
      </w:r>
    </w:p>
    <w:p>
      <w:pPr>
        <w:spacing w:after="0" w:line="194" w:lineRule="exact"/>
        <w:rPr>
          <w:rFonts w:ascii="Courier New" w:cs="Courier New" w:eastAsia="Courier New" w:hAnsi="Courier New"/>
          <w:sz w:val="16"/>
          <w:szCs w:val="16"/>
          <w:color w:val="auto"/>
        </w:rPr>
      </w:pPr>
    </w:p>
    <w:p>
      <w:pPr>
        <w:ind w:left="8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has not yet obtained a determination letter from the Internal Revenue Service stating that the Plan is in compliance with the applicable requirements of the Internal Revenue Code. However, the plan administrator and the Plan's legal counsel believe that the Plan is currently designed and being operated in compliance with the applicable requirements of the Internal Revenue Code, and is therefore not subject to income taxes.</w:t>
      </w:r>
    </w:p>
    <w:p>
      <w:pPr>
        <w:spacing w:after="0" w:line="187"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TERMINATION</w:t>
      </w:r>
    </w:p>
    <w:p>
      <w:pPr>
        <w:spacing w:after="0" w:line="194" w:lineRule="exact"/>
        <w:rPr>
          <w:rFonts w:ascii="Courier New" w:cs="Courier New" w:eastAsia="Courier New" w:hAnsi="Courier New"/>
          <w:sz w:val="16"/>
          <w:szCs w:val="16"/>
          <w:color w:val="auto"/>
        </w:rPr>
      </w:pPr>
    </w:p>
    <w:p>
      <w:pPr>
        <w:ind w:left="8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Although it has not expressed any intent to do so, the Company has the right under the Plan to terminate the Plan or its contributions subject to the provisions of the Employee Retirement Income Security Act of 1974, and the Company's collective bargaining agreement with the Union. In the event the Plan is terminated, participants will become fully vested in their accounts.</w:t>
      </w:r>
    </w:p>
    <w:p>
      <w:pPr>
        <w:spacing w:after="0" w:line="187"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RECONCILIATION TO FORM 5500</w:t>
      </w:r>
    </w:p>
    <w:p>
      <w:pPr>
        <w:spacing w:after="0" w:line="194" w:lineRule="exact"/>
        <w:rPr>
          <w:rFonts w:ascii="Courier New" w:cs="Courier New" w:eastAsia="Courier New" w:hAnsi="Courier New"/>
          <w:sz w:val="16"/>
          <w:szCs w:val="16"/>
          <w:color w:val="auto"/>
        </w:rPr>
      </w:pPr>
    </w:p>
    <w:p>
      <w:pPr>
        <w:ind w:left="880" w:right="24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is a reconciliation of net assets available for benefits per the financial statements to the Form 5500:</w:t>
      </w:r>
    </w:p>
    <w:p>
      <w:pPr>
        <w:spacing w:after="0" w:line="183" w:lineRule="exact"/>
        <w:rPr>
          <w:sz w:val="20"/>
          <w:szCs w:val="20"/>
          <w:color w:val="auto"/>
        </w:rPr>
      </w:pPr>
    </w:p>
    <w:p>
      <w:pPr>
        <w:ind w:left="6360"/>
        <w:spacing w:after="0"/>
        <w:rPr>
          <w:sz w:val="20"/>
          <w:szCs w:val="20"/>
          <w:color w:val="auto"/>
        </w:rPr>
      </w:pPr>
      <w:r>
        <w:rPr>
          <w:rFonts w:ascii="Courier New" w:cs="Courier New" w:eastAsia="Courier New" w:hAnsi="Courier New"/>
          <w:sz w:val="16"/>
          <w:szCs w:val="16"/>
          <w:color w:val="auto"/>
        </w:rPr>
        <w:t>YEAR ENDED</w:t>
      </w:r>
    </w:p>
    <w:p>
      <w:pPr>
        <w:spacing w:after="0" w:line="7" w:lineRule="exact"/>
        <w:rPr>
          <w:sz w:val="20"/>
          <w:szCs w:val="20"/>
          <w:color w:val="auto"/>
        </w:rPr>
      </w:pPr>
    </w:p>
    <w:p>
      <w:pPr>
        <w:ind w:left="6260"/>
        <w:spacing w:after="0"/>
        <w:rPr>
          <w:sz w:val="20"/>
          <w:szCs w:val="20"/>
          <w:color w:val="auto"/>
        </w:rPr>
      </w:pPr>
      <w:r>
        <w:rPr>
          <w:rFonts w:ascii="Courier New" w:cs="Courier New" w:eastAsia="Courier New" w:hAnsi="Courier New"/>
          <w:sz w:val="16"/>
          <w:szCs w:val="16"/>
          <w:color w:val="auto"/>
        </w:rPr>
        <w:t>DECEMBER 31,</w:t>
      </w:r>
    </w:p>
    <w:p>
      <w:pPr>
        <w:spacing w:after="0" w:line="7"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2000</w:t>
      </w:r>
    </w:p>
    <w:p>
      <w:pPr>
        <w:spacing w:after="0" w:line="7"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Net assets available for benefits per</w:t>
      </w:r>
    </w:p>
    <w:p>
      <w:pPr>
        <w:sectPr>
          <w:pgSz w:w="11900" w:h="16838" w:orient="portrait"/>
          <w:cols w:equalWidth="0" w:num="1">
            <w:col w:w="10219"/>
          </w:cols>
          <w:pgMar w:left="240" w:top="305" w:right="1440" w:bottom="1440" w:gutter="0" w:footer="0" w:header="0"/>
          <w:type w:val="continuous"/>
        </w:sectPr>
      </w:pPr>
    </w:p>
    <w:p>
      <w:pPr>
        <w:spacing w:after="0" w:line="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the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91,739</w:t>
      </w:r>
    </w:p>
    <w:p>
      <w:pPr>
        <w:spacing w:after="0" w:line="7" w:lineRule="exact"/>
        <w:rPr>
          <w:sz w:val="20"/>
          <w:szCs w:val="20"/>
          <w:color w:val="auto"/>
        </w:rPr>
      </w:pPr>
    </w:p>
    <w:p>
      <w:pPr>
        <w:sectPr>
          <w:pgSz w:w="11900" w:h="16838" w:orient="portrait"/>
          <w:cols w:equalWidth="0" w:num="3">
            <w:col w:w="5540" w:space="720"/>
            <w:col w:w="100" w:space="280"/>
            <w:col w:w="3579"/>
          </w:cols>
          <w:pgMar w:left="240" w:top="305" w:right="1440" w:bottom="144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Amounts allocated to withdrawing</w:t>
      </w:r>
    </w:p>
    <w:p>
      <w:pPr>
        <w:sectPr>
          <w:pgSz w:w="11900" w:h="16838" w:orient="portrait"/>
          <w:cols w:equalWidth="0" w:num="1">
            <w:col w:w="10219"/>
          </w:cols>
          <w:pgMar w:left="240" w:top="305" w:right="1440" w:bottom="1440" w:gutter="0" w:footer="0" w:header="0"/>
          <w:type w:val="continuous"/>
        </w:sectPr>
      </w:pPr>
    </w:p>
    <w:p>
      <w:pPr>
        <w:spacing w:after="0" w:line="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participants</w:t>
      </w:r>
    </w:p>
    <w:p>
      <w:pPr>
        <w:spacing w:after="0" w:line="20" w:lineRule="exact"/>
        <w:rPr>
          <w:sz w:val="20"/>
          <w:szCs w:val="20"/>
          <w:color w:val="auto"/>
        </w:rPr>
      </w:pPr>
      <w:r>
        <w:rPr>
          <w:sz w:val="20"/>
          <w:szCs w:val="20"/>
          <w:color w:val="auto"/>
        </w:rPr>
        <w:br w:type="column"/>
      </w:r>
    </w:p>
    <w:p>
      <w:pPr>
        <w:jc w:val="right"/>
        <w:ind w:right="2879"/>
        <w:spacing w:after="0"/>
        <w:rPr>
          <w:sz w:val="20"/>
          <w:szCs w:val="20"/>
          <w:color w:val="auto"/>
        </w:rPr>
      </w:pPr>
      <w:r>
        <w:rPr>
          <w:rFonts w:ascii="Courier New" w:cs="Courier New" w:eastAsia="Courier New" w:hAnsi="Courier New"/>
          <w:sz w:val="16"/>
          <w:szCs w:val="16"/>
          <w:color w:val="auto"/>
        </w:rPr>
        <w:t>(29)</w:t>
      </w:r>
    </w:p>
    <w:p>
      <w:pPr>
        <w:spacing w:after="0" w:line="7" w:lineRule="exact"/>
        <w:rPr>
          <w:sz w:val="20"/>
          <w:szCs w:val="20"/>
          <w:color w:val="auto"/>
        </w:rPr>
      </w:pPr>
    </w:p>
    <w:p>
      <w:pPr>
        <w:jc w:val="right"/>
        <w:ind w:right="2879"/>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2">
            <w:col w:w="4860" w:space="720"/>
            <w:col w:w="4639"/>
          </w:cols>
          <w:pgMar w:left="240" w:top="305" w:right="1440" w:bottom="1440" w:gutter="0" w:footer="0" w:header="0"/>
          <w:type w:val="continuous"/>
        </w:sectPr>
      </w:pPr>
    </w:p>
    <w:p>
      <w:pPr>
        <w:ind w:left="1660" w:right="360" w:hanging="379"/>
        <w:spacing w:after="0" w:line="252" w:lineRule="auto"/>
        <w:tabs>
          <w:tab w:leader="none" w:pos="1640" w:val="left"/>
        </w:tabs>
        <w:rPr>
          <w:sz w:val="20"/>
          <w:szCs w:val="20"/>
          <w:color w:val="auto"/>
        </w:rPr>
      </w:pPr>
      <w:r>
        <w:rPr>
          <w:rFonts w:ascii="Courier New" w:cs="Courier New" w:eastAsia="Courier New" w:hAnsi="Courier New"/>
          <w:sz w:val="16"/>
          <w:szCs w:val="16"/>
          <w:color w:val="auto"/>
        </w:rPr>
        <w:t>Net</w:t>
        <w:tab/>
        <w:t>assets available for benefits per Form 5500</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680"/>
        <w:spacing w:after="0"/>
        <w:tabs>
          <w:tab w:leader="none" w:pos="1040" w:val="left"/>
        </w:tabs>
        <w:rPr>
          <w:sz w:val="20"/>
          <w:szCs w:val="20"/>
          <w:color w:val="auto"/>
        </w:rPr>
      </w:pPr>
      <w:r>
        <w:rPr>
          <w:rFonts w:ascii="Courier New" w:cs="Courier New" w:eastAsia="Courier New" w:hAnsi="Courier New"/>
          <w:sz w:val="16"/>
          <w:szCs w:val="16"/>
          <w:color w:val="auto"/>
        </w:rPr>
        <w:t>$</w:t>
        <w:tab/>
        <w:t>91,710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860" w:space="720"/>
            <w:col w:w="4639"/>
          </w:cols>
          <w:pgMar w:left="240" w:top="305" w:right="1440" w:bottom="1440" w:gutter="0" w:footer="0" w:header="0"/>
          <w:type w:val="continuous"/>
        </w:sectPr>
      </w:pPr>
    </w:p>
    <w:p>
      <w:pPr>
        <w:spacing w:after="0" w:line="37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0219"/>
          </w:cols>
          <w:pgMar w:left="240" w:top="305" w:right="1440" w:bottom="1440"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11</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 UNION RETIREMENT SAVINGS PLAN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3" w:lineRule="exact"/>
        <w:rPr>
          <w:sz w:val="20"/>
          <w:szCs w:val="20"/>
          <w:color w:val="auto"/>
        </w:rPr>
      </w:pPr>
    </w:p>
    <w:p>
      <w:pPr>
        <w:ind w:left="880" w:right="2499"/>
        <w:spacing w:after="0" w:line="252" w:lineRule="auto"/>
        <w:rPr>
          <w:sz w:val="20"/>
          <w:szCs w:val="20"/>
          <w:color w:val="auto"/>
        </w:rPr>
      </w:pPr>
      <w:r>
        <w:rPr>
          <w:rFonts w:ascii="Courier New" w:cs="Courier New" w:eastAsia="Courier New" w:hAnsi="Courier New"/>
          <w:sz w:val="16"/>
          <w:szCs w:val="16"/>
          <w:color w:val="auto"/>
        </w:rPr>
        <w:t>The following is a reconciliation of benefits paid to participants per the financial statements to the Form 5500:</w:t>
      </w:r>
    </w:p>
    <w:p>
      <w:pPr>
        <w:spacing w:after="0" w:line="183" w:lineRule="exact"/>
        <w:rPr>
          <w:sz w:val="20"/>
          <w:szCs w:val="20"/>
          <w:color w:val="auto"/>
        </w:rPr>
      </w:pPr>
    </w:p>
    <w:p>
      <w:pPr>
        <w:ind w:left="6060"/>
        <w:spacing w:after="0"/>
        <w:rPr>
          <w:sz w:val="20"/>
          <w:szCs w:val="20"/>
          <w:color w:val="auto"/>
        </w:rPr>
      </w:pPr>
      <w:r>
        <w:rPr>
          <w:rFonts w:ascii="Courier New" w:cs="Courier New" w:eastAsia="Courier New" w:hAnsi="Courier New"/>
          <w:sz w:val="16"/>
          <w:szCs w:val="16"/>
          <w:color w:val="auto"/>
        </w:rPr>
        <w:t>YEAR ENDED</w:t>
      </w:r>
    </w:p>
    <w:p>
      <w:pPr>
        <w:spacing w:after="0" w:line="7" w:lineRule="exact"/>
        <w:rPr>
          <w:sz w:val="20"/>
          <w:szCs w:val="20"/>
          <w:color w:val="auto"/>
        </w:rPr>
      </w:pPr>
    </w:p>
    <w:p>
      <w:pPr>
        <w:ind w:left="6060"/>
        <w:spacing w:after="0"/>
        <w:rPr>
          <w:sz w:val="20"/>
          <w:szCs w:val="20"/>
          <w:color w:val="auto"/>
        </w:rPr>
      </w:pPr>
      <w:r>
        <w:rPr>
          <w:rFonts w:ascii="Courier New" w:cs="Courier New" w:eastAsia="Courier New" w:hAnsi="Courier New"/>
          <w:sz w:val="16"/>
          <w:szCs w:val="16"/>
          <w:color w:val="auto"/>
        </w:rPr>
        <w:t>DECEMBER 31,</w:t>
      </w:r>
    </w:p>
    <w:p>
      <w:pPr>
        <w:spacing w:after="0" w:line="7" w:lineRule="exact"/>
        <w:rPr>
          <w:sz w:val="20"/>
          <w:szCs w:val="20"/>
          <w:color w:val="auto"/>
        </w:rPr>
      </w:pPr>
    </w:p>
    <w:p>
      <w:pPr>
        <w:ind w:left="6460"/>
        <w:spacing w:after="0"/>
        <w:rPr>
          <w:sz w:val="20"/>
          <w:szCs w:val="20"/>
          <w:color w:val="auto"/>
        </w:rPr>
      </w:pPr>
      <w:r>
        <w:rPr>
          <w:rFonts w:ascii="Courier New" w:cs="Courier New" w:eastAsia="Courier New" w:hAnsi="Courier New"/>
          <w:sz w:val="16"/>
          <w:szCs w:val="16"/>
          <w:color w:val="auto"/>
        </w:rPr>
        <w:t>2000</w:t>
      </w:r>
    </w:p>
    <w:p>
      <w:pPr>
        <w:spacing w:after="0" w:line="7"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Benefits paid to participants per</w:t>
      </w:r>
    </w:p>
    <w:p>
      <w:pPr>
        <w:sectPr>
          <w:pgSz w:w="11900" w:h="16838" w:orient="portrait"/>
          <w:cols w:equalWidth="0" w:num="1">
            <w:col w:w="10219"/>
          </w:cols>
          <w:pgMar w:left="240" w:top="305" w:right="1440" w:bottom="1440" w:gutter="0" w:footer="0" w:header="0"/>
        </w:sectPr>
      </w:pP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the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5,509</w:t>
      </w:r>
    </w:p>
    <w:p>
      <w:pPr>
        <w:spacing w:after="0" w:line="7" w:lineRule="exact"/>
        <w:rPr>
          <w:sz w:val="20"/>
          <w:szCs w:val="20"/>
          <w:color w:val="auto"/>
        </w:rPr>
      </w:pPr>
    </w:p>
    <w:p>
      <w:pPr>
        <w:sectPr>
          <w:pgSz w:w="11900" w:h="16838" w:orient="portrait"/>
          <w:cols w:equalWidth="0" w:num="3">
            <w:col w:w="5440" w:space="720"/>
            <w:col w:w="100" w:space="380"/>
            <w:col w:w="3579"/>
          </w:cols>
          <w:pgMar w:left="240" w:top="305" w:right="1440" w:bottom="1440" w:gutter="0" w:footer="0" w:header="0"/>
          <w:type w:val="continuous"/>
        </w:sectPr>
      </w:pPr>
    </w:p>
    <w:p>
      <w:pPr>
        <w:ind w:left="1180"/>
        <w:spacing w:after="0"/>
        <w:rPr>
          <w:sz w:val="20"/>
          <w:szCs w:val="20"/>
          <w:color w:val="auto"/>
        </w:rPr>
      </w:pPr>
      <w:r>
        <w:rPr>
          <w:rFonts w:ascii="Courier New" w:cs="Courier New" w:eastAsia="Courier New" w:hAnsi="Courier New"/>
          <w:sz w:val="16"/>
          <w:szCs w:val="16"/>
          <w:color w:val="auto"/>
        </w:rPr>
        <w:t>Amounts allocated to withdrawing</w:t>
      </w:r>
    </w:p>
    <w:p>
      <w:pPr>
        <w:sectPr>
          <w:pgSz w:w="11900" w:h="16838" w:orient="portrait"/>
          <w:cols w:equalWidth="0" w:num="1">
            <w:col w:w="10219"/>
          </w:cols>
          <w:pgMar w:left="240" w:top="305" w:right="1440" w:bottom="1440" w:gutter="0" w:footer="0" w:header="0"/>
          <w:type w:val="continuous"/>
        </w:sectPr>
      </w:pP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participants in the current year</w:t>
      </w:r>
    </w:p>
    <w:p>
      <w:pPr>
        <w:spacing w:after="0" w:line="20" w:lineRule="exact"/>
        <w:rPr>
          <w:sz w:val="20"/>
          <w:szCs w:val="20"/>
          <w:color w:val="auto"/>
        </w:rPr>
      </w:pPr>
      <w:r>
        <w:rPr>
          <w:sz w:val="20"/>
          <w:szCs w:val="20"/>
          <w:color w:val="auto"/>
        </w:rPr>
        <w:br w:type="column"/>
      </w:r>
    </w:p>
    <w:p>
      <w:pPr>
        <w:ind w:left="1560"/>
        <w:spacing w:after="0"/>
        <w:rPr>
          <w:sz w:val="20"/>
          <w:szCs w:val="20"/>
          <w:color w:val="auto"/>
        </w:rPr>
      </w:pPr>
      <w:r>
        <w:rPr>
          <w:rFonts w:ascii="Courier New" w:cs="Courier New" w:eastAsia="Courier New" w:hAnsi="Courier New"/>
          <w:sz w:val="16"/>
          <w:szCs w:val="16"/>
          <w:color w:val="auto"/>
        </w:rPr>
        <w:t>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2">
            <w:col w:w="4700" w:space="680"/>
            <w:col w:w="4839"/>
          </w:cols>
          <w:pgMar w:left="240" w:top="305" w:right="1440" w:bottom="1440" w:gutter="0" w:footer="0" w:header="0"/>
          <w:type w:val="continuous"/>
        </w:sectPr>
      </w:pPr>
    </w:p>
    <w:p>
      <w:pPr>
        <w:ind w:left="1560" w:right="260" w:hanging="390"/>
        <w:spacing w:after="0" w:line="252" w:lineRule="auto"/>
        <w:rPr>
          <w:sz w:val="20"/>
          <w:szCs w:val="20"/>
          <w:color w:val="auto"/>
        </w:rPr>
      </w:pPr>
      <w:r>
        <w:rPr>
          <w:rFonts w:ascii="Courier New" w:cs="Courier New" w:eastAsia="Courier New" w:hAnsi="Courier New"/>
          <w:sz w:val="16"/>
          <w:szCs w:val="16"/>
          <w:color w:val="auto"/>
        </w:rPr>
        <w:t>Benefits paid to participants per the Form 5500</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780"/>
        <w:spacing w:after="0"/>
        <w:tabs>
          <w:tab w:leader="none" w:pos="12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5,538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660" w:space="720"/>
            <w:col w:w="4839"/>
          </w:cols>
          <w:pgMar w:left="240" w:top="305" w:right="1440" w:bottom="1440" w:gutter="0" w:footer="0" w:header="0"/>
          <w:type w:val="continuous"/>
        </w:sectPr>
      </w:pP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10219"/>
          </w:cols>
          <w:pgMar w:left="240" w:top="305" w:right="1440" w:bottom="1440" w:gutter="0" w:footer="0" w:header="0"/>
          <w:type w:val="continuous"/>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12</w:t>
      </w:r>
    </w:p>
    <w:p>
      <w:pPr>
        <w:spacing w:after="0" w:line="19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SIGNATURES</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right="2699" w:firstLine="782"/>
        <w:spacing w:after="0" w:line="249" w:lineRule="auto"/>
        <w:rPr>
          <w:sz w:val="20"/>
          <w:szCs w:val="20"/>
          <w:color w:val="auto"/>
        </w:rPr>
      </w:pPr>
      <w:r>
        <w:rPr>
          <w:rFonts w:ascii="Courier New" w:cs="Courier New" w:eastAsia="Courier New" w:hAnsi="Courier New"/>
          <w:sz w:val="16"/>
          <w:szCs w:val="16"/>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88"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THE SCOTTS COMPANY UNION</w:t>
      </w:r>
    </w:p>
    <w:p>
      <w:pPr>
        <w:spacing w:after="0" w:line="7"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RETIREMENT SAVINGS PLAN</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28,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Hadia Lafavre</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2">
            <w:col w:w="3880" w:space="720"/>
            <w:col w:w="5619"/>
          </w:cols>
          <w:pgMar w:left="240" w:top="305" w:right="1440" w:bottom="1440" w:gutter="0" w:footer="0" w:header="0"/>
          <w:type w:val="continuous"/>
        </w:sectPr>
      </w:pPr>
    </w:p>
    <w:p>
      <w:pPr>
        <w:ind w:left="4600"/>
        <w:spacing w:after="0"/>
        <w:rPr>
          <w:sz w:val="20"/>
          <w:szCs w:val="20"/>
          <w:color w:val="auto"/>
        </w:rPr>
      </w:pPr>
      <w:r>
        <w:rPr>
          <w:rFonts w:ascii="Courier New" w:cs="Courier New" w:eastAsia="Courier New" w:hAnsi="Courier New"/>
          <w:sz w:val="16"/>
          <w:szCs w:val="16"/>
          <w:color w:val="auto"/>
        </w:rPr>
        <w:t>Printed Name: Hadia Lefavre</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Title: Executive Vice President,</w:t>
      </w:r>
    </w:p>
    <w:p>
      <w:pPr>
        <w:spacing w:after="0" w:line="7"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Human Resources Worldwide</w:t>
      </w:r>
    </w:p>
    <w:p>
      <w:pPr>
        <w:spacing w:after="0" w:line="7"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05" w:right="1440" w:bottom="1440" w:gutter="0" w:footer="0" w:header="0"/>
          <w:type w:val="continuous"/>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13</w:t>
      </w:r>
    </w:p>
    <w:p>
      <w:pPr>
        <w:spacing w:after="0" w:line="19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THE SCOTTS COMPANY UNION RETIREMENT SAVINGS PLAN</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ANNUAL REPORT ON FORM 11-K</w:t>
      </w:r>
    </w:p>
    <w:p>
      <w:pPr>
        <w:spacing w:after="0" w:line="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FOR FISCAL YEAR ENDED DECEMBER 31, 2000</w:t>
      </w:r>
    </w:p>
    <w:p>
      <w:pPr>
        <w:spacing w:after="0" w:line="200" w:lineRule="exact"/>
        <w:rPr>
          <w:sz w:val="20"/>
          <w:szCs w:val="20"/>
          <w:color w:val="auto"/>
        </w:rPr>
      </w:pPr>
    </w:p>
    <w:p>
      <w:pPr>
        <w:spacing w:after="0" w:line="371"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INDEX TO EXHIBITS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05" w:right="1440" w:bottom="1440" w:gutter="0" w:footer="0" w:header="0"/>
        </w:sectPr>
      </w:pPr>
    </w:p>
    <w:p>
      <w:pPr>
        <w:spacing w:after="0" w:line="195" w:lineRule="exact"/>
        <w:rPr>
          <w:sz w:val="20"/>
          <w:szCs w:val="20"/>
          <w:color w:val="auto"/>
        </w:rPr>
      </w:pPr>
    </w:p>
    <w:p>
      <w:pPr>
        <w:ind w:right="340"/>
        <w:spacing w:after="0" w:line="252"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4" w:lineRule="exact"/>
        <w:rPr>
          <w:sz w:val="20"/>
          <w:szCs w:val="20"/>
          <w:color w:val="auto"/>
        </w:rPr>
      </w:pPr>
    </w:p>
    <w:p>
      <w:pPr>
        <w:sectPr>
          <w:pgSz w:w="11900" w:h="16838" w:orient="portrait"/>
          <w:cols w:equalWidth="0" w:num="2">
            <w:col w:w="1620" w:space="720"/>
            <w:col w:w="7879"/>
          </w:cols>
          <w:pgMar w:left="240" w:top="305" w:right="1440" w:bottom="1440" w:gutter="0" w:footer="0" w:header="0"/>
          <w:type w:val="continuous"/>
        </w:sectPr>
      </w:pPr>
    </w:p>
    <w:p>
      <w:pPr>
        <w:ind w:left="400"/>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Consent of Independent Public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Accountants</w:t>
      </w:r>
    </w:p>
    <w:p>
      <w:pPr>
        <w:sectPr>
          <w:pgSz w:w="11900" w:h="16838" w:orient="portrait"/>
          <w:cols w:equalWidth="0" w:num="2">
            <w:col w:w="1620" w:space="720"/>
            <w:col w:w="7879"/>
          </w:cols>
          <w:pgMar w:left="240" w:top="305" w:right="1440" w:bottom="1440" w:gutter="0" w:footer="0" w:header="0"/>
          <w:type w:val="continuous"/>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w:t>
      </w:r>
    </w:p>
    <w:p>
      <w:pPr>
        <w:spacing w:after="0" w:line="7"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Exhibit 23</w:t>
      </w:r>
    </w:p>
    <w:p>
      <w:pPr>
        <w:spacing w:after="0" w:line="200" w:lineRule="exact"/>
        <w:rPr>
          <w:sz w:val="20"/>
          <w:szCs w:val="20"/>
          <w:color w:val="auto"/>
        </w:rPr>
      </w:pPr>
    </w:p>
    <w:p>
      <w:pPr>
        <w:spacing w:after="0" w:line="371"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We hereby consent to the incorporation by reference in the Registration Statement on Form S-8 (File No. 333-35942) of The Scotts Company of our report dated April 20, 2001 relating to the financial statements of The Scotts Company Union Retirement Savings Plan, which appears in this Form 11-K.</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PricewaterhouseCoopers LLP</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Columbus, Ohio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28, 2001</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1."/>
      <w:numFmt w:val="decimal"/>
      <w:start w:val="2"/>
    </w:lvl>
    <w:lvl w:ilvl="1">
      <w:lvlJc w:val="left"/>
      <w:lvlText w:val="-"/>
      <w:numFmt w:val="bullet"/>
      <w:start w:val="1"/>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2019-12-12T11:08:45Z</dcterms:created>
  <dcterms:modified xsi:type="dcterms:W3CDTF">2019-12-12T11:08:45Z</dcterms:modified>
</cp:coreProperties>
</file>