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594995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560705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2"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87"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w:t>
      </w:r>
    </w:p>
    <w:p>
      <w:pPr>
        <w:spacing w:after="0" w:line="108"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25"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February 20, 2026</w:t>
      </w:r>
    </w:p>
    <w:p>
      <w:pPr>
        <w:spacing w:after="0" w:line="32"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The Scotts Miracle-Gro Company</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w:t>
      </w:r>
    </w:p>
    <w:p>
      <w:pPr>
        <w:spacing w:after="0" w:line="27" w:lineRule="exact"/>
        <w:rPr>
          <w:sz w:val="24"/>
          <w:szCs w:val="24"/>
          <w:color w:val="auto"/>
        </w:rPr>
      </w:pPr>
    </w:p>
    <w:tbl>
      <w:tblPr>
        <w:tblLayout w:type="fixed"/>
        <w:tblInd w:w="680" w:type="dxa"/>
        <w:tblCellMar>
          <w:top w:w="0" w:type="dxa"/>
          <w:left w:w="0" w:type="dxa"/>
          <w:bottom w:w="0" w:type="dxa"/>
          <w:right w:w="0" w:type="dxa"/>
        </w:tblCellMar>
      </w:tblPr>
      <w:tr>
        <w:trPr>
          <w:trHeight w:val="234"/>
        </w:trPr>
        <w:tc>
          <w:tcPr>
            <w:tcW w:w="330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Ohio</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001-11593</w:t>
            </w:r>
          </w:p>
        </w:tc>
        <w:tc>
          <w:tcPr>
            <w:tcW w:w="1420" w:type="dxa"/>
            <w:vAlign w:val="bottom"/>
          </w:tcPr>
          <w:p>
            <w:pPr>
              <w:spacing w:after="0"/>
              <w:rPr>
                <w:sz w:val="20"/>
                <w:szCs w:val="20"/>
                <w:color w:val="auto"/>
              </w:rPr>
            </w:pPr>
          </w:p>
        </w:tc>
        <w:tc>
          <w:tcPr>
            <w:tcW w:w="2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31-1414921</w:t>
            </w:r>
          </w:p>
        </w:tc>
      </w:tr>
      <w:tr>
        <w:trPr>
          <w:trHeight w:val="229"/>
        </w:trPr>
        <w:tc>
          <w:tcPr>
            <w:tcW w:w="33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3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(Commission</w:t>
            </w:r>
          </w:p>
        </w:tc>
        <w:tc>
          <w:tcPr>
            <w:tcW w:w="234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3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33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File Number)</w:t>
            </w:r>
          </w:p>
        </w:tc>
        <w:tc>
          <w:tcPr>
            <w:tcW w:w="234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87"/>
        </w:trPr>
        <w:tc>
          <w:tcPr>
            <w:tcW w:w="330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8"/>
              </w:rPr>
              <w:t>14111 Scottslawn Road</w:t>
            </w:r>
          </w:p>
        </w:tc>
        <w:tc>
          <w:tcPr>
            <w:tcW w:w="19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Marysville</w:t>
            </w:r>
          </w:p>
        </w:tc>
        <w:tc>
          <w:tcPr>
            <w:tcW w:w="1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Ohio</w:t>
            </w:r>
          </w:p>
        </w:tc>
        <w:tc>
          <w:tcPr>
            <w:tcW w:w="23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43041</w:t>
            </w:r>
          </w:p>
        </w:tc>
      </w:tr>
      <w:tr>
        <w:trPr>
          <w:trHeight w:val="234"/>
        </w:trPr>
        <w:tc>
          <w:tcPr>
            <w:tcW w:w="330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9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34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3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(937) 644-0011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w:t>
      </w:r>
    </w:p>
    <w:p>
      <w:pPr>
        <w:spacing w:after="0" w:line="244"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0" w:lineRule="exact"/>
        <w:rPr>
          <w:rFonts w:ascii="MS PGothic" w:cs="MS PGothic" w:eastAsia="MS PGothic" w:hAnsi="MS PGothic"/>
          <w:sz w:val="22"/>
          <w:szCs w:val="22"/>
          <w:color w:val="auto"/>
        </w:rPr>
      </w:pPr>
    </w:p>
    <w:p>
      <w:pPr>
        <w:ind w:left="420" w:hanging="412"/>
        <w:spacing w:after="0" w:line="237" w:lineRule="auto"/>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4" w:lineRule="exact"/>
        <w:rPr>
          <w:rFonts w:ascii="MS PGothic" w:cs="MS PGothic" w:eastAsia="MS PGothic" w:hAnsi="MS PGothic"/>
          <w:sz w:val="22"/>
          <w:szCs w:val="22"/>
          <w:color w:val="auto"/>
        </w:rPr>
      </w:pPr>
    </w:p>
    <w:p>
      <w:pPr>
        <w:ind w:left="420" w:hanging="412"/>
        <w:spacing w:after="0" w:line="237" w:lineRule="auto"/>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4" w:lineRule="exact"/>
        <w:rPr>
          <w:rFonts w:ascii="MS PGothic" w:cs="MS PGothic" w:eastAsia="MS PGothic" w:hAnsi="MS PGothic"/>
          <w:sz w:val="22"/>
          <w:szCs w:val="22"/>
          <w:color w:val="auto"/>
        </w:rPr>
      </w:pPr>
    </w:p>
    <w:p>
      <w:pPr>
        <w:ind w:left="420" w:hanging="412"/>
        <w:spacing w:after="0" w:line="237" w:lineRule="auto"/>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1006" w:right="339" w:bottom="1440" w:gutter="0" w:footer="0" w:header="0"/>
        </w:sectPr>
      </w:pPr>
    </w:p>
    <w:p>
      <w:pPr>
        <w:spacing w:after="0" w:line="50"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7"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Common Shares, $0.01 stated value</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7"/>
          <w:szCs w:val="17"/>
          <w:color w:val="auto"/>
        </w:rPr>
        <w:t>Trading Symbol(s)</w:t>
      </w:r>
    </w:p>
    <w:p>
      <w:pPr>
        <w:spacing w:after="0" w:line="39"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SMG</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Name of each exchange on which registered</w:t>
      </w:r>
    </w:p>
    <w:p>
      <w:pPr>
        <w:spacing w:after="0" w:line="39"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NYSE</w:t>
      </w:r>
    </w:p>
    <w:p>
      <w:pPr>
        <w:spacing w:after="0" w:line="200" w:lineRule="exact"/>
        <w:rPr>
          <w:sz w:val="24"/>
          <w:szCs w:val="24"/>
          <w:color w:val="auto"/>
        </w:rPr>
      </w:pPr>
    </w:p>
    <w:p>
      <w:pPr>
        <w:sectPr>
          <w:pgSz w:w="11900" w:h="16838" w:orient="portrait"/>
          <w:cols w:equalWidth="0" w:num="3">
            <w:col w:w="3920" w:space="720"/>
            <w:col w:w="2120" w:space="720"/>
            <w:col w:w="3760"/>
          </w:cols>
          <w:pgMar w:left="320" w:top="1006" w:right="339" w:bottom="1440" w:gutter="0" w:footer="0" w:header="0"/>
          <w:type w:val="continuous"/>
        </w:sectPr>
      </w:pPr>
    </w:p>
    <w:p>
      <w:pPr>
        <w:spacing w:after="0" w:line="250" w:lineRule="exact"/>
        <w:rPr>
          <w:sz w:val="24"/>
          <w:szCs w:val="24"/>
          <w:color w:val="auto"/>
        </w:rPr>
      </w:pPr>
    </w:p>
    <w:p>
      <w:pPr>
        <w:ind w:right="5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698500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34290</wp:posOffset>
            </wp:positionV>
            <wp:extent cx="67036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0369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0</wp:posOffset>
            </wp:positionV>
            <wp:extent cx="67036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03695" cy="8890"/>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2.02. Results of Operations and Financial Condition.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first quarter of fiscal 2026, the Company determined that the Hawthorne business met the criteria to be classified as held for sale. The Company determined this represents a strategic shift, and therefore, the Company classified its results of operations to reflect the Hawthorne business as a discontinued operation for all periods presented in its Quarterly Report on Form 10-Q for the period ended December 27, 2025, which was filed on February 4, 2026.</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furnishing the information within this Current Report on Form 8-K to provide additional historical financial results reflecting the Hawthorne business as a discontinued operation. Attached hereto as Exhibit 99.1 are the following unaudited condensed consolidated selected financial data of the Company:</w:t>
      </w:r>
    </w:p>
    <w:p>
      <w:pPr>
        <w:spacing w:after="0" w:line="203"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Revised reported GAAP quarterly and annual results for fiscal 2024 and 2025;</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Revised adjusted non-GAAP financial measures for the quarterly and annual periods comprising fiscal 2024 and 2025;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Revised Segment results for the quarterly and annual periods comprising fiscal 2024 and 2025.</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Current Report on Form 8-K should be read in conjunction with the Company’s Annual Report on Form 10-K for the fiscal years ended September 30, 2025 and 2024, the Company’s Quarterly Reports on Form 10-Q for the fiscal quarters ended June 28, 2025, March 29, 2025, December 28, 2024, June 29, 2024, March 30, 2024 and December 30, 2023, and other Company filings with the Securities and Exchange Commission.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9.01. Financial Statements and Exhibits.</w:t>
      </w:r>
    </w:p>
    <w:p>
      <w:pPr>
        <w:spacing w:after="0" w:line="175" w:lineRule="exact"/>
        <w:rPr>
          <w:sz w:val="20"/>
          <w:szCs w:val="20"/>
          <w:color w:val="auto"/>
        </w:rPr>
      </w:pPr>
    </w:p>
    <w:p>
      <w:pPr>
        <w:ind w:right="7800" w:firstLine="8"/>
        <w:spacing w:after="0" w:line="438" w:lineRule="auto"/>
        <w:tabs>
          <w:tab w:leader="none" w:pos="2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Financial statements of businesses acquired: </w:t>
      </w:r>
      <w:r>
        <w:rPr>
          <w:rFonts w:ascii="Times New Roman" w:cs="Times New Roman" w:eastAsia="Times New Roman" w:hAnsi="Times New Roman"/>
          <w:sz w:val="18"/>
          <w:szCs w:val="18"/>
          <w:color w:val="auto"/>
        </w:rPr>
        <w:t>Not applicable.</w:t>
      </w: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forma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71" w:lineRule="exact"/>
        <w:rPr>
          <w:sz w:val="20"/>
          <w:szCs w:val="20"/>
          <w:color w:val="auto"/>
        </w:rPr>
      </w:pPr>
    </w:p>
    <w:p>
      <w:pPr>
        <w:ind w:right="8960" w:firstLine="8"/>
        <w:spacing w:after="0" w:line="438" w:lineRule="auto"/>
        <w:tabs>
          <w:tab w:leader="none" w:pos="2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Shell company transactions: </w:t>
      </w:r>
      <w:r>
        <w:rPr>
          <w:rFonts w:ascii="Times New Roman" w:cs="Times New Roman" w:eastAsia="Times New Roman" w:hAnsi="Times New Roman"/>
          <w:sz w:val="18"/>
          <w:szCs w:val="18"/>
          <w:color w:val="auto"/>
        </w:rPr>
        <w:t>Not applicable.</w:t>
      </w: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6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380" w:type="dxa"/>
            <w:vAlign w:val="bottom"/>
          </w:tcPr>
          <w:p>
            <w:pPr>
              <w:spacing w:after="0"/>
              <w:rPr>
                <w:sz w:val="21"/>
                <w:szCs w:val="21"/>
                <w:color w:val="auto"/>
              </w:rPr>
            </w:pPr>
          </w:p>
        </w:tc>
        <w:tc>
          <w:tcPr>
            <w:tcW w:w="9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Unaudited Condensed, Consolidated Selected Financial Data</w:t>
            </w:r>
          </w:p>
        </w:tc>
      </w:tr>
      <w:tr>
        <w:trPr>
          <w:trHeight w:val="284"/>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80" w:type="dxa"/>
            <w:vAlign w:val="bottom"/>
          </w:tcPr>
          <w:p>
            <w:pPr>
              <w:spacing w:after="0"/>
              <w:rPr>
                <w:sz w:val="24"/>
                <w:szCs w:val="24"/>
                <w:color w:val="auto"/>
              </w:rPr>
            </w:pPr>
          </w:p>
        </w:tc>
        <w:tc>
          <w:tcPr>
            <w:tcW w:w="9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384"/>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THE SCOTTS MIRACLE-GRO COMPANY</w:t>
      </w:r>
    </w:p>
    <w:p>
      <w:pPr>
        <w:spacing w:after="0" w:line="279" w:lineRule="exact"/>
        <w:rPr>
          <w:sz w:val="20"/>
          <w:szCs w:val="20"/>
          <w:color w:val="auto"/>
        </w:rPr>
      </w:pPr>
    </w:p>
    <w:p>
      <w:pPr>
        <w:ind w:left="20"/>
        <w:spacing w:after="0"/>
        <w:tabs>
          <w:tab w:leader="none" w:pos="2660" w:val="left"/>
          <w:tab w:leader="none" w:pos="3160" w:val="left"/>
        </w:tabs>
        <w:rPr>
          <w:sz w:val="20"/>
          <w:szCs w:val="20"/>
          <w:color w:val="auto"/>
        </w:rPr>
      </w:pPr>
      <w:r>
        <w:rPr>
          <w:rFonts w:ascii="Times New Roman" w:cs="Times New Roman" w:eastAsia="Times New Roman" w:hAnsi="Times New Roman"/>
          <w:sz w:val="18"/>
          <w:szCs w:val="18"/>
          <w:color w:val="auto"/>
        </w:rPr>
        <w:t>Dated: February 20,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J. SCHEIWER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51435</wp:posOffset>
            </wp:positionV>
            <wp:extent cx="5117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17465" cy="8255"/>
                    </a:xfrm>
                    <a:prstGeom prst="rect">
                      <a:avLst/>
                    </a:prstGeom>
                    <a:noFill/>
                  </pic:spPr>
                </pic:pic>
              </a:graphicData>
            </a:graphic>
          </wp:anchor>
        </w:drawing>
      </w:r>
    </w:p>
    <w:p>
      <w:pPr>
        <w:spacing w:after="0" w:line="70"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Printed Name: Mark J. Scheiwer</w:t>
      </w:r>
    </w:p>
    <w:p>
      <w:pPr>
        <w:spacing w:after="0" w:line="2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Title: Executive Vice President, Chief Financial Officer &amp;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927735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 w:name="page4"/>
    <w:bookmarkEnd w:id="3"/>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56"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Current Report on Form 8-K</w:t>
      </w:r>
    </w:p>
    <w:p>
      <w:pPr>
        <w:spacing w:after="0" w:line="27"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Dated February 20, 2026</w:t>
      </w:r>
    </w:p>
    <w:p>
      <w:pPr>
        <w:spacing w:after="0" w:line="9"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The Scotts Miracle-Gro Company</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760" w:type="dxa"/>
            <w:vAlign w:val="bottom"/>
          </w:tcPr>
          <w:p>
            <w:pPr>
              <w:spacing w:after="0"/>
              <w:rPr>
                <w:sz w:val="17"/>
                <w:szCs w:val="17"/>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210"/>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Unaudited Condensed, Consolidated Selected Financial Data</w:t>
            </w:r>
          </w:p>
        </w:tc>
      </w:tr>
    </w:tbl>
    <w:p>
      <w:pPr>
        <w:sectPr>
          <w:pgSz w:w="11900" w:h="16838" w:orient="portrait"/>
          <w:cols w:equalWidth="0" w:num="1">
            <w:col w:w="10099"/>
          </w:cols>
          <w:pgMar w:left="360" w:top="887"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THE SCOTTS MIRACLE-GRO COMPANY</w:t>
      </w:r>
    </w:p>
    <w:p>
      <w:pPr>
        <w:spacing w:after="0" w:line="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INDEX TO UNAUDITED, CONDENSED CONSOLIDATED SELECTED FINANCIAL DATA</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32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auto"/>
              </w:rPr>
              <w:t>Revised Results of Operations and Reconciliation of Non-GAAP Disclosure Items for the:</w:t>
            </w:r>
          </w:p>
        </w:tc>
        <w:tc>
          <w:tcPr>
            <w:tcW w:w="1900" w:type="dxa"/>
            <w:vAlign w:val="bottom"/>
            <w:tcBorders>
              <w:bottom w:val="single" w:sz="8" w:color="auto"/>
            </w:tcBorders>
            <w:gridSpan w:val="4"/>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5"/>
        </w:trPr>
        <w:tc>
          <w:tcPr>
            <w:tcW w:w="9320" w:type="dxa"/>
            <w:vAlign w:val="bottom"/>
            <w:gridSpan w:val="9"/>
            <w:vMerge w:val="continue"/>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20" w:type="dxa"/>
            <w:vAlign w:val="bottom"/>
          </w:tcPr>
          <w:p>
            <w:pPr>
              <w:spacing w:after="0"/>
              <w:rPr>
                <w:sz w:val="16"/>
                <w:szCs w:val="16"/>
                <w:color w:val="auto"/>
              </w:rPr>
            </w:pPr>
          </w:p>
        </w:tc>
        <w:tc>
          <w:tcPr>
            <w:tcW w:w="274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0000FF"/>
                <w:w w:val="96"/>
              </w:rPr>
              <w:t>Fiscal Year Ended September 30, 2025</w:t>
            </w:r>
          </w:p>
        </w:tc>
        <w:tc>
          <w:tcPr>
            <w:tcW w:w="5860" w:type="dxa"/>
            <w:vAlign w:val="bottom"/>
            <w:gridSpan w:val="4"/>
          </w:tcPr>
          <w:p>
            <w:pPr>
              <w:spacing w:after="0"/>
              <w:rPr>
                <w:sz w:val="16"/>
                <w:szCs w:val="16"/>
                <w:color w:val="auto"/>
              </w:rPr>
            </w:pPr>
          </w:p>
        </w:tc>
        <w:tc>
          <w:tcPr>
            <w:tcW w:w="1900" w:type="dxa"/>
            <w:vAlign w:val="bottom"/>
            <w:gridSpan w:val="4"/>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0"/>
        </w:trPr>
        <w:tc>
          <w:tcPr>
            <w:tcW w:w="720" w:type="dxa"/>
            <w:vAlign w:val="bottom"/>
            <w:tcBorders>
              <w:right w:val="single" w:sz="8" w:color="0000FF"/>
            </w:tcBorders>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0" w:type="dxa"/>
            <w:vAlign w:val="bottom"/>
          </w:tcPr>
          <w:p>
            <w:pPr>
              <w:spacing w:after="0"/>
              <w:rPr>
                <w:sz w:val="18"/>
                <w:szCs w:val="18"/>
                <w:color w:val="auto"/>
              </w:rPr>
            </w:pPr>
          </w:p>
        </w:tc>
        <w:tc>
          <w:tcPr>
            <w:tcW w:w="86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Three Months Ended September 30, 2025</w:t>
            </w:r>
          </w:p>
        </w:tc>
        <w:tc>
          <w:tcPr>
            <w:tcW w:w="1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720" w:type="dxa"/>
            <w:vAlign w:val="bottom"/>
            <w:tcBorders>
              <w:right w:val="single" w:sz="8" w:color="0000FF"/>
            </w:tcBorders>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0" w:type="dxa"/>
            <w:vAlign w:val="bottom"/>
          </w:tcPr>
          <w:p>
            <w:pPr>
              <w:spacing w:after="0"/>
              <w:rPr>
                <w:sz w:val="18"/>
                <w:szCs w:val="18"/>
                <w:color w:val="auto"/>
              </w:rPr>
            </w:pPr>
          </w:p>
        </w:tc>
        <w:tc>
          <w:tcPr>
            <w:tcW w:w="29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Three Months Ended June 28, 2025</w:t>
            </w:r>
          </w:p>
        </w:tc>
        <w:tc>
          <w:tcPr>
            <w:tcW w:w="5680" w:type="dxa"/>
            <w:vAlign w:val="bottom"/>
            <w:gridSpan w:val="3"/>
          </w:tcPr>
          <w:p>
            <w:pPr>
              <w:spacing w:after="0"/>
              <w:rPr>
                <w:sz w:val="18"/>
                <w:szCs w:val="18"/>
                <w:color w:val="auto"/>
              </w:rPr>
            </w:pPr>
          </w:p>
        </w:tc>
        <w:tc>
          <w:tcPr>
            <w:tcW w:w="1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720" w:type="dxa"/>
            <w:vAlign w:val="bottom"/>
            <w:tcBorders>
              <w:right w:val="single" w:sz="8" w:color="0000FF"/>
            </w:tcBorders>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 w:type="dxa"/>
            <w:vAlign w:val="bottom"/>
          </w:tcPr>
          <w:p>
            <w:pPr>
              <w:spacing w:after="0"/>
              <w:rPr>
                <w:sz w:val="18"/>
                <w:szCs w:val="18"/>
                <w:color w:val="auto"/>
              </w:rPr>
            </w:pPr>
          </w:p>
        </w:tc>
        <w:tc>
          <w:tcPr>
            <w:tcW w:w="86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Three Months Ended March 29, 2025</w:t>
            </w:r>
          </w:p>
        </w:tc>
        <w:tc>
          <w:tcPr>
            <w:tcW w:w="1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720" w:type="dxa"/>
            <w:vAlign w:val="bottom"/>
            <w:tcBorders>
              <w:right w:val="single" w:sz="8" w:color="0000FF"/>
            </w:tcBorders>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 w:type="dxa"/>
            <w:vAlign w:val="bottom"/>
          </w:tcPr>
          <w:p>
            <w:pPr>
              <w:spacing w:after="0"/>
              <w:rPr>
                <w:sz w:val="18"/>
                <w:szCs w:val="18"/>
                <w:color w:val="auto"/>
              </w:rPr>
            </w:pPr>
          </w:p>
        </w:tc>
        <w:tc>
          <w:tcPr>
            <w:tcW w:w="29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6"/>
              </w:rPr>
              <w:t>Three Months Ended December 28, 2024</w:t>
            </w:r>
          </w:p>
        </w:tc>
        <w:tc>
          <w:tcPr>
            <w:tcW w:w="5680" w:type="dxa"/>
            <w:vAlign w:val="bottom"/>
            <w:gridSpan w:val="3"/>
          </w:tcPr>
          <w:p>
            <w:pPr>
              <w:spacing w:after="0"/>
              <w:rPr>
                <w:sz w:val="18"/>
                <w:szCs w:val="18"/>
                <w:color w:val="auto"/>
              </w:rPr>
            </w:pPr>
          </w:p>
        </w:tc>
        <w:tc>
          <w:tcPr>
            <w:tcW w:w="1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720" w:type="dxa"/>
            <w:vAlign w:val="bottom"/>
            <w:tcBorders>
              <w:right w:val="single" w:sz="8" w:color="0000FF"/>
            </w:tcBorders>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0" w:type="dxa"/>
            <w:vAlign w:val="bottom"/>
          </w:tcPr>
          <w:p>
            <w:pPr>
              <w:spacing w:after="0"/>
              <w:rPr>
                <w:sz w:val="18"/>
                <w:szCs w:val="18"/>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6"/>
              </w:rPr>
              <w:t>Fiscal Year Ended September 30, 2024</w:t>
            </w:r>
          </w:p>
        </w:tc>
        <w:tc>
          <w:tcPr>
            <w:tcW w:w="180" w:type="dxa"/>
            <w:vAlign w:val="bottom"/>
          </w:tcPr>
          <w:p>
            <w:pPr>
              <w:spacing w:after="0"/>
              <w:rPr>
                <w:sz w:val="18"/>
                <w:szCs w:val="18"/>
                <w:color w:val="auto"/>
              </w:rPr>
            </w:pPr>
          </w:p>
        </w:tc>
        <w:tc>
          <w:tcPr>
            <w:tcW w:w="5680" w:type="dxa"/>
            <w:vAlign w:val="bottom"/>
            <w:gridSpan w:val="3"/>
          </w:tcPr>
          <w:p>
            <w:pPr>
              <w:spacing w:after="0"/>
              <w:rPr>
                <w:sz w:val="18"/>
                <w:szCs w:val="18"/>
                <w:color w:val="auto"/>
              </w:rPr>
            </w:pPr>
          </w:p>
        </w:tc>
        <w:tc>
          <w:tcPr>
            <w:tcW w:w="1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720" w:type="dxa"/>
            <w:vAlign w:val="bottom"/>
            <w:tcBorders>
              <w:right w:val="single" w:sz="8" w:color="0000FF"/>
            </w:tcBorders>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0" w:type="dxa"/>
            <w:vAlign w:val="bottom"/>
          </w:tcPr>
          <w:p>
            <w:pPr>
              <w:spacing w:after="0"/>
              <w:rPr>
                <w:sz w:val="18"/>
                <w:szCs w:val="18"/>
                <w:color w:val="auto"/>
              </w:rPr>
            </w:pPr>
          </w:p>
        </w:tc>
        <w:tc>
          <w:tcPr>
            <w:tcW w:w="86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Three Months Ended September 30, 2024</w:t>
            </w:r>
          </w:p>
        </w:tc>
        <w:tc>
          <w:tcPr>
            <w:tcW w:w="1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720" w:type="dxa"/>
            <w:vAlign w:val="bottom"/>
            <w:tcBorders>
              <w:right w:val="single" w:sz="8" w:color="0000FF"/>
            </w:tcBorders>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74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0" w:type="dxa"/>
            <w:vAlign w:val="bottom"/>
          </w:tcPr>
          <w:p>
            <w:pPr>
              <w:spacing w:after="0"/>
              <w:rPr>
                <w:sz w:val="18"/>
                <w:szCs w:val="18"/>
                <w:color w:val="auto"/>
              </w:rPr>
            </w:pPr>
          </w:p>
        </w:tc>
        <w:tc>
          <w:tcPr>
            <w:tcW w:w="29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Three Months Ended June 29, 2024</w:t>
            </w:r>
          </w:p>
        </w:tc>
        <w:tc>
          <w:tcPr>
            <w:tcW w:w="5680" w:type="dxa"/>
            <w:vAlign w:val="bottom"/>
            <w:gridSpan w:val="3"/>
          </w:tcPr>
          <w:p>
            <w:pPr>
              <w:spacing w:after="0"/>
              <w:rPr>
                <w:sz w:val="18"/>
                <w:szCs w:val="18"/>
                <w:color w:val="auto"/>
              </w:rPr>
            </w:pPr>
          </w:p>
        </w:tc>
        <w:tc>
          <w:tcPr>
            <w:tcW w:w="1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720" w:type="dxa"/>
            <w:vAlign w:val="bottom"/>
            <w:tcBorders>
              <w:right w:val="single" w:sz="8" w:color="0000FF"/>
            </w:tcBorders>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0" w:type="dxa"/>
            <w:vAlign w:val="bottom"/>
          </w:tcPr>
          <w:p>
            <w:pPr>
              <w:spacing w:after="0"/>
              <w:rPr>
                <w:sz w:val="18"/>
                <w:szCs w:val="18"/>
                <w:color w:val="auto"/>
              </w:rPr>
            </w:pPr>
          </w:p>
        </w:tc>
        <w:tc>
          <w:tcPr>
            <w:tcW w:w="86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Three Months Ended March 30, 2024</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Borders>
              <w:right w:val="single" w:sz="8" w:color="0000FF"/>
            </w:tcBorders>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 w:type="dxa"/>
            <w:vAlign w:val="bottom"/>
          </w:tcPr>
          <w:p>
            <w:pPr>
              <w:spacing w:after="0"/>
              <w:rPr>
                <w:sz w:val="18"/>
                <w:szCs w:val="18"/>
                <w:color w:val="auto"/>
              </w:rPr>
            </w:pPr>
          </w:p>
        </w:tc>
        <w:tc>
          <w:tcPr>
            <w:tcW w:w="29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6"/>
              </w:rPr>
              <w:t>Three Months Ended December 30, 2023</w:t>
            </w:r>
          </w:p>
        </w:tc>
        <w:tc>
          <w:tcPr>
            <w:tcW w:w="5680" w:type="dxa"/>
            <w:vAlign w:val="bottom"/>
            <w:gridSpan w:val="3"/>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11</w:t>
            </w:r>
          </w:p>
        </w:tc>
        <w:tc>
          <w:tcPr>
            <w:tcW w:w="0" w:type="dxa"/>
            <w:vAlign w:val="bottom"/>
          </w:tcPr>
          <w:p>
            <w:pPr>
              <w:spacing w:after="0"/>
              <w:rPr>
                <w:sz w:val="1"/>
                <w:szCs w:val="1"/>
                <w:color w:val="auto"/>
              </w:rPr>
            </w:pPr>
          </w:p>
        </w:tc>
      </w:tr>
      <w:tr>
        <w:trPr>
          <w:trHeight w:val="20"/>
        </w:trPr>
        <w:tc>
          <w:tcPr>
            <w:tcW w:w="720" w:type="dxa"/>
            <w:vAlign w:val="bottom"/>
            <w:tcBorders>
              <w:right w:val="single" w:sz="8" w:color="0000FF"/>
            </w:tcBorders>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3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Summary of Revised Non-GAAP Disclosure Items</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Revised Segments Results</w:t>
            </w:r>
          </w:p>
        </w:tc>
        <w:tc>
          <w:tcPr>
            <w:tcW w:w="5640" w:type="dxa"/>
            <w:vAlign w:val="bottom"/>
            <w:gridSpan w:val="2"/>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280" w:type="dxa"/>
            <w:vAlign w:val="bottom"/>
            <w:gridSpan w:val="6"/>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Revised Reconciliation of Non-GAAP Adjusted EBITDA</w:t>
            </w:r>
          </w:p>
        </w:tc>
        <w:tc>
          <w:tcPr>
            <w:tcW w:w="5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Footnotes</w:t>
            </w:r>
          </w:p>
        </w:tc>
        <w:tc>
          <w:tcPr>
            <w:tcW w:w="8600" w:type="dxa"/>
            <w:vAlign w:val="bottom"/>
            <w:gridSpan w:val="8"/>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20"/>
          </w:cols>
          <w:pgMar w:left="340" w:top="117"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THE SCOTTS MIRACLE-GRO COMPANY</w:t>
      </w:r>
    </w:p>
    <w:p>
      <w:pPr>
        <w:spacing w:after="0" w:line="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Revised Results of Operations and Reconciliation of Non-GAAP Disclosure Items (5)</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4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7"/>
          </w:tcPr>
          <w:p>
            <w:pPr>
              <w:ind w:left="280"/>
              <w:spacing w:after="0"/>
              <w:rPr>
                <w:sz w:val="20"/>
                <w:szCs w:val="20"/>
                <w:color w:val="auto"/>
              </w:rPr>
            </w:pPr>
            <w:r>
              <w:rPr>
                <w:rFonts w:ascii="Times New Roman" w:cs="Times New Roman" w:eastAsia="Times New Roman" w:hAnsi="Times New Roman"/>
                <w:sz w:val="16"/>
                <w:szCs w:val="16"/>
                <w:color w:val="auto"/>
              </w:rPr>
              <w:t>Twelve Months Ended September 30, 2025</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6"/>
                <w:szCs w:val="16"/>
                <w:color w:val="auto"/>
              </w:rPr>
              <w:t>Previously</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6"/>
                <w:szCs w:val="16"/>
                <w:color w:val="auto"/>
              </w:rPr>
              <w:t>Revised</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460"/>
              <w:spacing w:after="0" w:line="158" w:lineRule="exact"/>
              <w:rPr>
                <w:sz w:val="20"/>
                <w:szCs w:val="20"/>
                <w:color w:val="auto"/>
              </w:rPr>
            </w:pPr>
            <w:r>
              <w:rPr>
                <w:rFonts w:ascii="Times New Roman" w:cs="Times New Roman" w:eastAsia="Times New Roman" w:hAnsi="Times New Roman"/>
                <w:sz w:val="16"/>
                <w:szCs w:val="16"/>
                <w:color w:val="auto"/>
              </w:rPr>
              <w:t>Impairment,</w:t>
            </w:r>
          </w:p>
        </w:tc>
        <w:tc>
          <w:tcPr>
            <w:tcW w:w="180" w:type="dxa"/>
            <w:vAlign w:val="bottom"/>
          </w:tcPr>
          <w:p>
            <w:pPr>
              <w:spacing w:after="0"/>
              <w:rPr>
                <w:sz w:val="13"/>
                <w:szCs w:val="13"/>
                <w:color w:val="auto"/>
              </w:rPr>
            </w:pPr>
          </w:p>
        </w:tc>
        <w:tc>
          <w:tcPr>
            <w:tcW w:w="1020" w:type="dxa"/>
            <w:vAlign w:val="bottom"/>
          </w:tcPr>
          <w:p>
            <w:pPr>
              <w:jc w:val="right"/>
              <w:ind w:right="239"/>
              <w:spacing w:after="0" w:line="158" w:lineRule="exact"/>
              <w:rPr>
                <w:sz w:val="20"/>
                <w:szCs w:val="20"/>
                <w:color w:val="auto"/>
              </w:rPr>
            </w:pPr>
            <w:r>
              <w:rPr>
                <w:rFonts w:ascii="Times New Roman" w:cs="Times New Roman" w:eastAsia="Times New Roman" w:hAnsi="Times New Roman"/>
                <w:sz w:val="16"/>
                <w:szCs w:val="16"/>
                <w:color w:val="auto"/>
              </w:rPr>
              <w:t>Adjusted</w:t>
            </w:r>
          </w:p>
        </w:tc>
        <w:tc>
          <w:tcPr>
            <w:tcW w:w="0" w:type="dxa"/>
            <w:vAlign w:val="bottom"/>
          </w:tcPr>
          <w:p>
            <w:pPr>
              <w:spacing w:after="0"/>
              <w:rPr>
                <w:sz w:val="1"/>
                <w:szCs w:val="1"/>
                <w:color w:val="auto"/>
              </w:rPr>
            </w:pPr>
          </w:p>
        </w:tc>
      </w:tr>
      <w:tr>
        <w:trPr>
          <w:trHeight w:val="162"/>
        </w:trPr>
        <w:tc>
          <w:tcPr>
            <w:tcW w:w="4460" w:type="dxa"/>
            <w:vAlign w:val="bottom"/>
          </w:tcPr>
          <w:p>
            <w:pPr>
              <w:spacing w:after="0"/>
              <w:rPr>
                <w:sz w:val="14"/>
                <w:szCs w:val="14"/>
                <w:color w:val="auto"/>
              </w:rPr>
            </w:pPr>
          </w:p>
        </w:tc>
        <w:tc>
          <w:tcPr>
            <w:tcW w:w="1100" w:type="dxa"/>
            <w:vAlign w:val="bottom"/>
            <w:gridSpan w:val="3"/>
            <w:vMerge w:val="restart"/>
          </w:tcPr>
          <w:p>
            <w:pPr>
              <w:jc w:val="right"/>
              <w:ind w:right="279"/>
              <w:spacing w:after="0"/>
              <w:rPr>
                <w:sz w:val="20"/>
                <w:szCs w:val="20"/>
                <w:color w:val="auto"/>
              </w:rPr>
            </w:pPr>
            <w:r>
              <w:rPr>
                <w:rFonts w:ascii="Times New Roman" w:cs="Times New Roman" w:eastAsia="Times New Roman" w:hAnsi="Times New Roman"/>
                <w:sz w:val="16"/>
                <w:szCs w:val="16"/>
                <w:color w:val="auto"/>
              </w:rPr>
              <w:t>Footnotes</w:t>
            </w:r>
          </w:p>
        </w:tc>
        <w:tc>
          <w:tcPr>
            <w:tcW w:w="106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color w:val="auto"/>
                <w:w w:val="98"/>
              </w:rPr>
              <w:t>Reported</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color w:val="auto"/>
              </w:rPr>
              <w:t>Reported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460"/>
              <w:spacing w:after="0" w:line="162" w:lineRule="exact"/>
              <w:rPr>
                <w:sz w:val="20"/>
                <w:szCs w:val="20"/>
                <w:color w:val="auto"/>
              </w:rPr>
            </w:pPr>
            <w:r>
              <w:rPr>
                <w:rFonts w:ascii="Times New Roman" w:cs="Times New Roman" w:eastAsia="Times New Roman" w:hAnsi="Times New Roman"/>
                <w:sz w:val="16"/>
                <w:szCs w:val="16"/>
                <w:color w:val="auto"/>
              </w:rPr>
              <w:t>Restructuring</w:t>
            </w:r>
          </w:p>
        </w:tc>
        <w:tc>
          <w:tcPr>
            <w:tcW w:w="180" w:type="dxa"/>
            <w:vAlign w:val="bottom"/>
          </w:tcPr>
          <w:p>
            <w:pPr>
              <w:spacing w:after="0"/>
              <w:rPr>
                <w:sz w:val="14"/>
                <w:szCs w:val="14"/>
                <w:color w:val="auto"/>
              </w:rPr>
            </w:pPr>
          </w:p>
        </w:tc>
        <w:tc>
          <w:tcPr>
            <w:tcW w:w="1020" w:type="dxa"/>
            <w:vAlign w:val="bottom"/>
          </w:tcPr>
          <w:p>
            <w:pPr>
              <w:jc w:val="right"/>
              <w:ind w:right="319"/>
              <w:spacing w:after="0" w:line="162" w:lineRule="exact"/>
              <w:rPr>
                <w:sz w:val="20"/>
                <w:szCs w:val="20"/>
                <w:color w:val="auto"/>
              </w:rPr>
            </w:pPr>
            <w:r>
              <w:rPr>
                <w:rFonts w:ascii="Times New Roman" w:cs="Times New Roman" w:eastAsia="Times New Roman" w:hAnsi="Times New Roman"/>
                <w:sz w:val="16"/>
                <w:szCs w:val="16"/>
                <w:color w:val="auto"/>
              </w:rPr>
              <w:t>(Non-</w:t>
            </w:r>
          </w:p>
        </w:tc>
        <w:tc>
          <w:tcPr>
            <w:tcW w:w="0" w:type="dxa"/>
            <w:vAlign w:val="bottom"/>
          </w:tcPr>
          <w:p>
            <w:pPr>
              <w:spacing w:after="0"/>
              <w:rPr>
                <w:sz w:val="1"/>
                <w:szCs w:val="1"/>
                <w:color w:val="auto"/>
              </w:rPr>
            </w:pPr>
          </w:p>
        </w:tc>
      </w:tr>
      <w:tr>
        <w:trPr>
          <w:trHeight w:val="213"/>
        </w:trPr>
        <w:tc>
          <w:tcPr>
            <w:tcW w:w="446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106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(GAAP) (1)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(GAAP) (2)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color w:val="auto"/>
              </w:rPr>
              <w:t>and Other</w:t>
            </w:r>
          </w:p>
        </w:tc>
        <w:tc>
          <w:tcPr>
            <w:tcW w:w="180" w:type="dxa"/>
            <w:vAlign w:val="bottom"/>
          </w:tcPr>
          <w:p>
            <w:pPr>
              <w:spacing w:after="0"/>
              <w:rPr>
                <w:sz w:val="18"/>
                <w:szCs w:val="18"/>
                <w:color w:val="auto"/>
              </w:rPr>
            </w:pPr>
          </w:p>
        </w:tc>
        <w:tc>
          <w:tcPr>
            <w:tcW w:w="10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GAAP)</w:t>
            </w:r>
          </w:p>
        </w:tc>
        <w:tc>
          <w:tcPr>
            <w:tcW w:w="0" w:type="dxa"/>
            <w:vAlign w:val="bottom"/>
          </w:tcPr>
          <w:p>
            <w:pPr>
              <w:spacing w:after="0"/>
              <w:rPr>
                <w:sz w:val="1"/>
                <w:szCs w:val="1"/>
                <w:color w:val="auto"/>
              </w:rPr>
            </w:pPr>
          </w:p>
        </w:tc>
      </w:tr>
      <w:tr>
        <w:trPr>
          <w:trHeight w:val="212"/>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3,413.1</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3,255.8</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2,348.6</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2,226.1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sales—impairment, restructuring and other</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20.3</w:t>
            </w:r>
          </w:p>
        </w:tc>
        <w:tc>
          <w:tcPr>
            <w:tcW w:w="3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10.1</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1,044.2</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1,019.6</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3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1,029.7</w:t>
            </w:r>
          </w:p>
        </w:tc>
        <w:tc>
          <w:tcPr>
            <w:tcW w:w="0" w:type="dxa"/>
            <w:vAlign w:val="bottom"/>
          </w:tcPr>
          <w:p>
            <w:pPr>
              <w:spacing w:after="0"/>
              <w:rPr>
                <w:sz w:val="1"/>
                <w:szCs w:val="1"/>
                <w:color w:val="auto"/>
              </w:rPr>
            </w:pPr>
          </w:p>
        </w:tc>
      </w:tr>
      <w:tr>
        <w:trPr>
          <w:trHeight w:val="21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of sales</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30.6 %</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31.3 %</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31.6 %</w:t>
            </w:r>
          </w:p>
        </w:tc>
        <w:tc>
          <w:tcPr>
            <w:tcW w:w="0" w:type="dxa"/>
            <w:vAlign w:val="bottom"/>
          </w:tcPr>
          <w:p>
            <w:pPr>
              <w:spacing w:after="0"/>
              <w:rPr>
                <w:sz w:val="1"/>
                <w:szCs w:val="1"/>
                <w:color w:val="auto"/>
              </w:rPr>
            </w:pPr>
          </w:p>
        </w:tc>
      </w:tr>
      <w:tr>
        <w:trPr>
          <w:trHeight w:val="213"/>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603.4</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563.8</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Impairment, restructuring and other</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63.4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 net</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18.8</w:t>
            </w:r>
          </w:p>
        </w:tc>
        <w:tc>
          <w:tcPr>
            <w:tcW w:w="3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18.6</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358.6</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402.0</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447.3</w:t>
            </w:r>
          </w:p>
        </w:tc>
        <w:tc>
          <w:tcPr>
            <w:tcW w:w="0" w:type="dxa"/>
            <w:vAlign w:val="bottom"/>
          </w:tcPr>
          <w:p>
            <w:pPr>
              <w:spacing w:after="0"/>
              <w:rPr>
                <w:sz w:val="1"/>
                <w:szCs w:val="1"/>
                <w:color w:val="auto"/>
              </w:rPr>
            </w:pPr>
          </w:p>
        </w:tc>
      </w:tr>
      <w:tr>
        <w:trPr>
          <w:trHeight w:val="21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of sales</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10.5 %</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12.3 %</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13.7 %</w:t>
            </w:r>
          </w:p>
        </w:tc>
        <w:tc>
          <w:tcPr>
            <w:tcW w:w="0" w:type="dxa"/>
            <w:vAlign w:val="bottom"/>
          </w:tcPr>
          <w:p>
            <w:pPr>
              <w:spacing w:after="0"/>
              <w:rPr>
                <w:sz w:val="1"/>
                <w:szCs w:val="1"/>
                <w:color w:val="auto"/>
              </w:rPr>
            </w:pPr>
          </w:p>
        </w:tc>
      </w:tr>
      <w:tr>
        <w:trPr>
          <w:trHeight w:val="213"/>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 (income) loss of unconsolidated affiliates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128.8</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129.0</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non-operating expense, net</w:t>
            </w: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5.3</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5.3</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continuing operations before income taxes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221.7</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264.9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314.1</w:t>
            </w:r>
          </w:p>
        </w:tc>
        <w:tc>
          <w:tcPr>
            <w:tcW w:w="0" w:type="dxa"/>
            <w:vAlign w:val="bottom"/>
          </w:tcPr>
          <w:p>
            <w:pPr>
              <w:spacing w:after="0"/>
              <w:rPr>
                <w:sz w:val="1"/>
                <w:szCs w:val="1"/>
                <w:color w:val="auto"/>
              </w:rPr>
            </w:pPr>
          </w:p>
        </w:tc>
      </w:tr>
      <w:tr>
        <w:trPr>
          <w:trHeight w:val="213"/>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 (benefit) from continuing operations</w:t>
            </w: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76.5</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82.8</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3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91.1</w:t>
            </w:r>
          </w:p>
        </w:tc>
        <w:tc>
          <w:tcPr>
            <w:tcW w:w="0" w:type="dxa"/>
            <w:vAlign w:val="bottom"/>
          </w:tcPr>
          <w:p>
            <w:pPr>
              <w:spacing w:after="0"/>
              <w:rPr>
                <w:sz w:val="1"/>
                <w:szCs w:val="1"/>
                <w:color w:val="auto"/>
              </w:rPr>
            </w:pPr>
          </w:p>
        </w:tc>
      </w:tr>
      <w:tr>
        <w:trPr>
          <w:trHeight w:val="212"/>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from continuing operations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145.2</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182.1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223.0</w:t>
            </w:r>
          </w:p>
        </w:tc>
        <w:tc>
          <w:tcPr>
            <w:tcW w:w="0" w:type="dxa"/>
            <w:vAlign w:val="bottom"/>
          </w:tcPr>
          <w:p>
            <w:pPr>
              <w:spacing w:after="0"/>
              <w:rPr>
                <w:sz w:val="1"/>
                <w:szCs w:val="1"/>
                <w:color w:val="auto"/>
              </w:rPr>
            </w:pPr>
          </w:p>
        </w:tc>
      </w:tr>
      <w:tr>
        <w:trPr>
          <w:trHeight w:val="213"/>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(loss) from discontinued operations, net of tax</w:t>
            </w: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(36.9)</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145.2</w:t>
            </w:r>
          </w:p>
        </w:tc>
        <w:tc>
          <w:tcPr>
            <w:tcW w:w="3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145.2</w:t>
            </w:r>
          </w:p>
        </w:tc>
        <w:tc>
          <w:tcPr>
            <w:tcW w:w="3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(loss) per common share: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Continuing operations</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2.52</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Discontinued operations</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(0.64)</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 net income (loss) per common share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2.52</w:t>
            </w:r>
          </w:p>
        </w:tc>
        <w:tc>
          <w:tcPr>
            <w:tcW w:w="3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2.52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net income (loss) per common share:</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Continuing operations</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2.47</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3.10</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3.80</w:t>
            </w:r>
          </w:p>
        </w:tc>
        <w:tc>
          <w:tcPr>
            <w:tcW w:w="0" w:type="dxa"/>
            <w:vAlign w:val="bottom"/>
          </w:tcPr>
          <w:p>
            <w:pPr>
              <w:spacing w:after="0"/>
              <w:rPr>
                <w:sz w:val="1"/>
                <w:szCs w:val="1"/>
                <w:color w:val="auto"/>
              </w:rPr>
            </w:pPr>
          </w:p>
        </w:tc>
      </w:tr>
      <w:tr>
        <w:trPr>
          <w:trHeight w:val="213"/>
        </w:trPr>
        <w:tc>
          <w:tcPr>
            <w:tcW w:w="4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Discontinued operations</w:t>
            </w: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(0.63)</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 net income (loss) per common share</w:t>
            </w: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2.47</w:t>
            </w:r>
          </w:p>
        </w:tc>
        <w:tc>
          <w:tcPr>
            <w:tcW w:w="3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2.47</w:t>
            </w: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4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shares used in basic net income (loss) per share</w:t>
            </w: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57.6</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57.6</w:t>
            </w: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calculation</w:t>
            </w: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Times New Roman" w:cs="Times New Roman" w:eastAsia="Times New Roman" w:hAnsi="Times New Roman"/>
                <w:sz w:val="16"/>
                <w:szCs w:val="16"/>
                <w:color w:val="auto"/>
              </w:rPr>
              <w:t>Common shares and potential common shares used in diluted net</w:t>
            </w: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460" w:type="dxa"/>
            <w:vAlign w:val="bottom"/>
            <w:vMerge w:val="continue"/>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 (5)</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58.7</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58.7</w:t>
            </w: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58.7</w:t>
            </w:r>
          </w:p>
        </w:tc>
        <w:tc>
          <w:tcPr>
            <w:tcW w:w="0" w:type="dxa"/>
            <w:vAlign w:val="bottom"/>
          </w:tcPr>
          <w:p>
            <w:pPr>
              <w:spacing w:after="0"/>
              <w:rPr>
                <w:sz w:val="1"/>
                <w:szCs w:val="1"/>
                <w:color w:val="auto"/>
              </w:rPr>
            </w:pPr>
          </w:p>
        </w:tc>
      </w:tr>
      <w:tr>
        <w:trPr>
          <w:trHeight w:val="189"/>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per share calculation</w:t>
            </w: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See accompanying footnotes.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sum of the components may not equal due to rounding.</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20" w:top="111" w:right="35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THE SCOTTS MIRACLE-GRO COMPANY</w:t>
      </w:r>
    </w:p>
    <w:p>
      <w:pPr>
        <w:spacing w:after="0" w:line="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Revised Results of Operations and Reconciliation of Non-GAAP Disclosure Items (5)</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4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7"/>
          </w:tcPr>
          <w:p>
            <w:pPr>
              <w:ind w:left="340"/>
              <w:spacing w:after="0"/>
              <w:rPr>
                <w:sz w:val="20"/>
                <w:szCs w:val="20"/>
                <w:color w:val="auto"/>
              </w:rPr>
            </w:pPr>
            <w:r>
              <w:rPr>
                <w:rFonts w:ascii="Times New Roman" w:cs="Times New Roman" w:eastAsia="Times New Roman" w:hAnsi="Times New Roman"/>
                <w:sz w:val="16"/>
                <w:szCs w:val="16"/>
                <w:color w:val="auto"/>
              </w:rPr>
              <w:t>Three Months Ended September 30, 2025</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6"/>
                <w:szCs w:val="16"/>
                <w:color w:val="auto"/>
                <w:w w:val="99"/>
              </w:rPr>
              <w:t>Previously</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color w:val="auto"/>
              </w:rPr>
              <w:t>Revised</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440"/>
              <w:spacing w:after="0" w:line="158" w:lineRule="exact"/>
              <w:rPr>
                <w:sz w:val="20"/>
                <w:szCs w:val="20"/>
                <w:color w:val="auto"/>
              </w:rPr>
            </w:pPr>
            <w:r>
              <w:rPr>
                <w:rFonts w:ascii="Times New Roman" w:cs="Times New Roman" w:eastAsia="Times New Roman" w:hAnsi="Times New Roman"/>
                <w:sz w:val="16"/>
                <w:szCs w:val="16"/>
                <w:color w:val="auto"/>
              </w:rPr>
              <w:t>Impairment,</w:t>
            </w:r>
          </w:p>
        </w:tc>
        <w:tc>
          <w:tcPr>
            <w:tcW w:w="200" w:type="dxa"/>
            <w:vAlign w:val="bottom"/>
          </w:tcPr>
          <w:p>
            <w:pPr>
              <w:spacing w:after="0"/>
              <w:rPr>
                <w:sz w:val="13"/>
                <w:szCs w:val="13"/>
                <w:color w:val="auto"/>
              </w:rPr>
            </w:pPr>
          </w:p>
        </w:tc>
        <w:tc>
          <w:tcPr>
            <w:tcW w:w="1000" w:type="dxa"/>
            <w:vAlign w:val="bottom"/>
          </w:tcPr>
          <w:p>
            <w:pPr>
              <w:jc w:val="right"/>
              <w:ind w:right="239"/>
              <w:spacing w:after="0" w:line="158" w:lineRule="exact"/>
              <w:rPr>
                <w:sz w:val="20"/>
                <w:szCs w:val="20"/>
                <w:color w:val="auto"/>
              </w:rPr>
            </w:pPr>
            <w:r>
              <w:rPr>
                <w:rFonts w:ascii="Times New Roman" w:cs="Times New Roman" w:eastAsia="Times New Roman" w:hAnsi="Times New Roman"/>
                <w:sz w:val="16"/>
                <w:szCs w:val="16"/>
                <w:color w:val="auto"/>
              </w:rPr>
              <w:t>Adjusted</w:t>
            </w:r>
          </w:p>
        </w:tc>
        <w:tc>
          <w:tcPr>
            <w:tcW w:w="0" w:type="dxa"/>
            <w:vAlign w:val="bottom"/>
          </w:tcPr>
          <w:p>
            <w:pPr>
              <w:spacing w:after="0"/>
              <w:rPr>
                <w:sz w:val="1"/>
                <w:szCs w:val="1"/>
                <w:color w:val="auto"/>
              </w:rPr>
            </w:pPr>
          </w:p>
        </w:tc>
      </w:tr>
      <w:tr>
        <w:trPr>
          <w:trHeight w:val="162"/>
        </w:trPr>
        <w:tc>
          <w:tcPr>
            <w:tcW w:w="4480" w:type="dxa"/>
            <w:vAlign w:val="bottom"/>
          </w:tcPr>
          <w:p>
            <w:pPr>
              <w:spacing w:after="0"/>
              <w:rPr>
                <w:sz w:val="14"/>
                <w:szCs w:val="14"/>
                <w:color w:val="auto"/>
              </w:rPr>
            </w:pPr>
          </w:p>
        </w:tc>
        <w:tc>
          <w:tcPr>
            <w:tcW w:w="1100" w:type="dxa"/>
            <w:vAlign w:val="bottom"/>
            <w:gridSpan w:val="3"/>
            <w:vMerge w:val="restart"/>
          </w:tcPr>
          <w:p>
            <w:pPr>
              <w:jc w:val="right"/>
              <w:ind w:right="279"/>
              <w:spacing w:after="0"/>
              <w:rPr>
                <w:sz w:val="20"/>
                <w:szCs w:val="20"/>
                <w:color w:val="auto"/>
              </w:rPr>
            </w:pPr>
            <w:r>
              <w:rPr>
                <w:rFonts w:ascii="Times New Roman" w:cs="Times New Roman" w:eastAsia="Times New Roman" w:hAnsi="Times New Roman"/>
                <w:sz w:val="16"/>
                <w:szCs w:val="16"/>
                <w:color w:val="auto"/>
              </w:rPr>
              <w:t>Footnotes</w:t>
            </w:r>
          </w:p>
        </w:tc>
        <w:tc>
          <w:tcPr>
            <w:tcW w:w="104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color w:val="auto"/>
              </w:rPr>
              <w:t>Reported</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color w:val="auto"/>
              </w:rPr>
              <w:t>Reported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440"/>
              <w:spacing w:after="0" w:line="162" w:lineRule="exact"/>
              <w:rPr>
                <w:sz w:val="20"/>
                <w:szCs w:val="20"/>
                <w:color w:val="auto"/>
              </w:rPr>
            </w:pPr>
            <w:r>
              <w:rPr>
                <w:rFonts w:ascii="Times New Roman" w:cs="Times New Roman" w:eastAsia="Times New Roman" w:hAnsi="Times New Roman"/>
                <w:sz w:val="16"/>
                <w:szCs w:val="16"/>
                <w:color w:val="auto"/>
              </w:rPr>
              <w:t>Restructuring</w:t>
            </w:r>
          </w:p>
        </w:tc>
        <w:tc>
          <w:tcPr>
            <w:tcW w:w="200" w:type="dxa"/>
            <w:vAlign w:val="bottom"/>
          </w:tcPr>
          <w:p>
            <w:pPr>
              <w:spacing w:after="0"/>
              <w:rPr>
                <w:sz w:val="14"/>
                <w:szCs w:val="14"/>
                <w:color w:val="auto"/>
              </w:rPr>
            </w:pPr>
          </w:p>
        </w:tc>
        <w:tc>
          <w:tcPr>
            <w:tcW w:w="1000" w:type="dxa"/>
            <w:vAlign w:val="bottom"/>
          </w:tcPr>
          <w:p>
            <w:pPr>
              <w:jc w:val="right"/>
              <w:ind w:right="319"/>
              <w:spacing w:after="0" w:line="162" w:lineRule="exact"/>
              <w:rPr>
                <w:sz w:val="20"/>
                <w:szCs w:val="20"/>
                <w:color w:val="auto"/>
              </w:rPr>
            </w:pPr>
            <w:r>
              <w:rPr>
                <w:rFonts w:ascii="Times New Roman" w:cs="Times New Roman" w:eastAsia="Times New Roman" w:hAnsi="Times New Roman"/>
                <w:sz w:val="16"/>
                <w:szCs w:val="16"/>
                <w:color w:val="auto"/>
              </w:rPr>
              <w:t>(Non-</w:t>
            </w:r>
          </w:p>
        </w:tc>
        <w:tc>
          <w:tcPr>
            <w:tcW w:w="0" w:type="dxa"/>
            <w:vAlign w:val="bottom"/>
          </w:tcPr>
          <w:p>
            <w:pPr>
              <w:spacing w:after="0"/>
              <w:rPr>
                <w:sz w:val="1"/>
                <w:szCs w:val="1"/>
                <w:color w:val="auto"/>
              </w:rPr>
            </w:pPr>
          </w:p>
        </w:tc>
      </w:tr>
      <w:tr>
        <w:trPr>
          <w:trHeight w:val="213"/>
        </w:trPr>
        <w:tc>
          <w:tcPr>
            <w:tcW w:w="448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10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(GAAP) (1)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(GAAP) (2)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color w:val="auto"/>
              </w:rPr>
              <w:t>and Other</w:t>
            </w:r>
          </w:p>
        </w:tc>
        <w:tc>
          <w:tcPr>
            <w:tcW w:w="200" w:type="dxa"/>
            <w:vAlign w:val="bottom"/>
          </w:tcPr>
          <w:p>
            <w:pPr>
              <w:spacing w:after="0"/>
              <w:rPr>
                <w:sz w:val="18"/>
                <w:szCs w:val="18"/>
                <w:color w:val="auto"/>
              </w:rPr>
            </w:pPr>
          </w:p>
        </w:tc>
        <w:tc>
          <w:tcPr>
            <w:tcW w:w="10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GAAP)</w:t>
            </w:r>
          </w:p>
        </w:tc>
        <w:tc>
          <w:tcPr>
            <w:tcW w:w="0" w:type="dxa"/>
            <w:vAlign w:val="bottom"/>
          </w:tcPr>
          <w:p>
            <w:pPr>
              <w:spacing w:after="0"/>
              <w:rPr>
                <w:sz w:val="1"/>
                <w:szCs w:val="1"/>
                <w:color w:val="auto"/>
              </w:rPr>
            </w:pPr>
          </w:p>
        </w:tc>
      </w:tr>
      <w:tr>
        <w:trPr>
          <w:trHeight w:val="212"/>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387.4</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340.1</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359.7</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322.3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sales—impairment, restructuring and other</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w:t>
            </w:r>
          </w:p>
        </w:tc>
        <w:tc>
          <w:tcPr>
            <w:tcW w:w="3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23.5</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16.3</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34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17.7</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of sales</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0" w:type="dxa"/>
            <w:vAlign w:val="bottom"/>
          </w:tcPr>
          <w:p>
            <w:pPr>
              <w:spacing w:after="0"/>
              <w:rPr>
                <w:sz w:val="1"/>
                <w:szCs w:val="1"/>
                <w:color w:val="auto"/>
              </w:rPr>
            </w:pPr>
          </w:p>
        </w:tc>
      </w:tr>
      <w:tr>
        <w:trPr>
          <w:trHeight w:val="21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136.9</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127.7</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Impairment, restructuring and other</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33.8</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 net</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w:t>
            </w:r>
          </w:p>
        </w:tc>
        <w:tc>
          <w:tcPr>
            <w:tcW w:w="3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(150.1)</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(123.8)</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(113.0)</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of sales</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0" w:type="dxa"/>
            <w:vAlign w:val="bottom"/>
          </w:tcPr>
          <w:p>
            <w:pPr>
              <w:spacing w:after="0"/>
              <w:rPr>
                <w:sz w:val="1"/>
                <w:szCs w:val="1"/>
                <w:color w:val="auto"/>
              </w:rPr>
            </w:pPr>
          </w:p>
        </w:tc>
      </w:tr>
      <w:tr>
        <w:trPr>
          <w:trHeight w:val="21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 (income) loss of unconsolidated affiliates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12.3</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26.8</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26.8</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non-operating expense, net</w:t>
            </w: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continuing operations before income taxes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(190.6)</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(164.2)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(149.6)</w:t>
            </w:r>
          </w:p>
        </w:tc>
        <w:tc>
          <w:tcPr>
            <w:tcW w:w="0" w:type="dxa"/>
            <w:vAlign w:val="bottom"/>
          </w:tcPr>
          <w:p>
            <w:pPr>
              <w:spacing w:after="0"/>
              <w:rPr>
                <w:sz w:val="1"/>
                <w:szCs w:val="1"/>
                <w:color w:val="auto"/>
              </w:rPr>
            </w:pPr>
          </w:p>
        </w:tc>
      </w:tr>
      <w:tr>
        <w:trPr>
          <w:trHeight w:val="213"/>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 (benefit) from continuing operations</w:t>
            </w: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(38.8)</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(36.9)</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3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79"/>
              <w:spacing w:after="0"/>
              <w:rPr>
                <w:sz w:val="20"/>
                <w:szCs w:val="20"/>
                <w:color w:val="auto"/>
              </w:rPr>
            </w:pPr>
            <w:r>
              <w:rPr>
                <w:rFonts w:ascii="Times New Roman" w:cs="Times New Roman" w:eastAsia="Times New Roman" w:hAnsi="Times New Roman"/>
                <w:sz w:val="16"/>
                <w:szCs w:val="16"/>
                <w:color w:val="auto"/>
              </w:rPr>
              <w:t>(35.7)</w:t>
            </w:r>
          </w:p>
        </w:tc>
        <w:tc>
          <w:tcPr>
            <w:tcW w:w="0" w:type="dxa"/>
            <w:vAlign w:val="bottom"/>
          </w:tcPr>
          <w:p>
            <w:pPr>
              <w:spacing w:after="0"/>
              <w:rPr>
                <w:sz w:val="1"/>
                <w:szCs w:val="1"/>
                <w:color w:val="auto"/>
              </w:rPr>
            </w:pPr>
          </w:p>
        </w:tc>
      </w:tr>
      <w:tr>
        <w:trPr>
          <w:trHeight w:val="212"/>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from continuing operations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(151.8)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(127.3)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(113.9)</w:t>
            </w:r>
          </w:p>
        </w:tc>
        <w:tc>
          <w:tcPr>
            <w:tcW w:w="0" w:type="dxa"/>
            <w:vAlign w:val="bottom"/>
          </w:tcPr>
          <w:p>
            <w:pPr>
              <w:spacing w:after="0"/>
              <w:rPr>
                <w:sz w:val="1"/>
                <w:szCs w:val="1"/>
                <w:color w:val="auto"/>
              </w:rPr>
            </w:pPr>
          </w:p>
        </w:tc>
      </w:tr>
      <w:tr>
        <w:trPr>
          <w:trHeight w:val="213"/>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(loss) from discontinued operations, net of tax</w:t>
            </w: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(24.5)</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8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(151.8)</w:t>
            </w:r>
          </w:p>
        </w:tc>
        <w:tc>
          <w:tcPr>
            <w:tcW w:w="3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(151.8)</w:t>
            </w:r>
          </w:p>
        </w:tc>
        <w:tc>
          <w:tcPr>
            <w:tcW w:w="3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(loss) per common share: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Continuing operations</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(2.63)</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(2.21)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Discontinued operations</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(0.42)</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 net income (loss) per common share</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(2.63)</w:t>
            </w:r>
          </w:p>
        </w:tc>
        <w:tc>
          <w:tcPr>
            <w:tcW w:w="3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(2.63)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net income (loss) per common share:</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Continuing operations</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(2.63)</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(2.21)</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(1.97)</w:t>
            </w:r>
          </w:p>
        </w:tc>
        <w:tc>
          <w:tcPr>
            <w:tcW w:w="0" w:type="dxa"/>
            <w:vAlign w:val="bottom"/>
          </w:tcPr>
          <w:p>
            <w:pPr>
              <w:spacing w:after="0"/>
              <w:rPr>
                <w:sz w:val="1"/>
                <w:szCs w:val="1"/>
                <w:color w:val="auto"/>
              </w:rPr>
            </w:pPr>
          </w:p>
        </w:tc>
      </w:tr>
      <w:tr>
        <w:trPr>
          <w:trHeight w:val="213"/>
        </w:trPr>
        <w:tc>
          <w:tcPr>
            <w:tcW w:w="4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Discontinued operations</w:t>
            </w: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(0.42)</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 net income (loss) per common share</w:t>
            </w: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(2.63)</w:t>
            </w:r>
          </w:p>
        </w:tc>
        <w:tc>
          <w:tcPr>
            <w:tcW w:w="3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(2.63)</w:t>
            </w: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4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shares used in basic net income (loss) per share</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57.7</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57.7</w:t>
            </w: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calculation</w:t>
            </w:r>
          </w:p>
        </w:tc>
        <w:tc>
          <w:tcPr>
            <w:tcW w:w="8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Times New Roman" w:cs="Times New Roman" w:eastAsia="Times New Roman" w:hAnsi="Times New Roman"/>
                <w:sz w:val="16"/>
                <w:szCs w:val="16"/>
                <w:color w:val="auto"/>
              </w:rPr>
              <w:t>Common shares and potential common shares used in diluted net</w:t>
            </w: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480" w:type="dxa"/>
            <w:vAlign w:val="bottom"/>
            <w:vMerge w:val="continue"/>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 (5)</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57.7</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57.7</w:t>
            </w: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57.7</w:t>
            </w:r>
          </w:p>
        </w:tc>
        <w:tc>
          <w:tcPr>
            <w:tcW w:w="0" w:type="dxa"/>
            <w:vAlign w:val="bottom"/>
          </w:tcPr>
          <w:p>
            <w:pPr>
              <w:spacing w:after="0"/>
              <w:rPr>
                <w:sz w:val="1"/>
                <w:szCs w:val="1"/>
                <w:color w:val="auto"/>
              </w:rPr>
            </w:pPr>
          </w:p>
        </w:tc>
      </w:tr>
      <w:tr>
        <w:trPr>
          <w:trHeight w:val="189"/>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per share calculation</w:t>
            </w: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See accompanying footnotes.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sum of the components may not equal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111" w:right="35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THE SCOTTS MIRACLE-GRO COMPANY</w:t>
      </w:r>
    </w:p>
    <w:p>
      <w:pPr>
        <w:spacing w:after="0" w:line="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Revised Results of Operations and Reconciliation of Non-GAAP Disclosure Items (5)</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4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6"/>
                <w:szCs w:val="16"/>
                <w:color w:val="auto"/>
              </w:rPr>
              <w:t>Three Months Ended June 28, 2025</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center"/>
              <w:ind w:right="500"/>
              <w:spacing w:after="0" w:line="158" w:lineRule="exact"/>
              <w:rPr>
                <w:sz w:val="20"/>
                <w:szCs w:val="20"/>
                <w:color w:val="auto"/>
              </w:rPr>
            </w:pPr>
            <w:r>
              <w:rPr>
                <w:rFonts w:ascii="Times New Roman" w:cs="Times New Roman" w:eastAsia="Times New Roman" w:hAnsi="Times New Roman"/>
                <w:sz w:val="16"/>
                <w:szCs w:val="16"/>
                <w:color w:val="auto"/>
                <w:w w:val="99"/>
              </w:rPr>
              <w:t>Previously</w:t>
            </w:r>
          </w:p>
        </w:tc>
        <w:tc>
          <w:tcPr>
            <w:tcW w:w="160" w:type="dxa"/>
            <w:vAlign w:val="bottom"/>
          </w:tcPr>
          <w:p>
            <w:pPr>
              <w:spacing w:after="0"/>
              <w:rPr>
                <w:sz w:val="13"/>
                <w:szCs w:val="13"/>
                <w:color w:val="auto"/>
              </w:rPr>
            </w:pPr>
          </w:p>
        </w:tc>
        <w:tc>
          <w:tcPr>
            <w:tcW w:w="106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color w:val="auto"/>
              </w:rPr>
              <w:t>Revised</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440"/>
              <w:spacing w:after="0" w:line="158" w:lineRule="exact"/>
              <w:rPr>
                <w:sz w:val="20"/>
                <w:szCs w:val="20"/>
                <w:color w:val="auto"/>
              </w:rPr>
            </w:pPr>
            <w:r>
              <w:rPr>
                <w:rFonts w:ascii="Times New Roman" w:cs="Times New Roman" w:eastAsia="Times New Roman" w:hAnsi="Times New Roman"/>
                <w:sz w:val="16"/>
                <w:szCs w:val="16"/>
                <w:color w:val="auto"/>
              </w:rPr>
              <w:t>Impairment,</w:t>
            </w:r>
          </w:p>
        </w:tc>
        <w:tc>
          <w:tcPr>
            <w:tcW w:w="200" w:type="dxa"/>
            <w:vAlign w:val="bottom"/>
          </w:tcPr>
          <w:p>
            <w:pPr>
              <w:spacing w:after="0"/>
              <w:rPr>
                <w:sz w:val="13"/>
                <w:szCs w:val="13"/>
                <w:color w:val="auto"/>
              </w:rPr>
            </w:pPr>
          </w:p>
        </w:tc>
        <w:tc>
          <w:tcPr>
            <w:tcW w:w="1000" w:type="dxa"/>
            <w:vAlign w:val="bottom"/>
          </w:tcPr>
          <w:p>
            <w:pPr>
              <w:jc w:val="right"/>
              <w:ind w:right="239"/>
              <w:spacing w:after="0" w:line="158" w:lineRule="exact"/>
              <w:rPr>
                <w:sz w:val="20"/>
                <w:szCs w:val="20"/>
                <w:color w:val="auto"/>
              </w:rPr>
            </w:pPr>
            <w:r>
              <w:rPr>
                <w:rFonts w:ascii="Times New Roman" w:cs="Times New Roman" w:eastAsia="Times New Roman" w:hAnsi="Times New Roman"/>
                <w:sz w:val="16"/>
                <w:szCs w:val="16"/>
                <w:color w:val="auto"/>
              </w:rPr>
              <w:t>Adjusted</w:t>
            </w:r>
          </w:p>
        </w:tc>
        <w:tc>
          <w:tcPr>
            <w:tcW w:w="0" w:type="dxa"/>
            <w:vAlign w:val="bottom"/>
          </w:tcPr>
          <w:p>
            <w:pPr>
              <w:spacing w:after="0"/>
              <w:rPr>
                <w:sz w:val="1"/>
                <w:szCs w:val="1"/>
                <w:color w:val="auto"/>
              </w:rPr>
            </w:pPr>
          </w:p>
        </w:tc>
      </w:tr>
      <w:tr>
        <w:trPr>
          <w:trHeight w:val="162"/>
        </w:trPr>
        <w:tc>
          <w:tcPr>
            <w:tcW w:w="4480" w:type="dxa"/>
            <w:vAlign w:val="bottom"/>
          </w:tcPr>
          <w:p>
            <w:pPr>
              <w:spacing w:after="0"/>
              <w:rPr>
                <w:sz w:val="14"/>
                <w:szCs w:val="14"/>
                <w:color w:val="auto"/>
              </w:rPr>
            </w:pPr>
          </w:p>
        </w:tc>
        <w:tc>
          <w:tcPr>
            <w:tcW w:w="1100" w:type="dxa"/>
            <w:vAlign w:val="bottom"/>
            <w:gridSpan w:val="3"/>
            <w:vMerge w:val="restart"/>
          </w:tcPr>
          <w:p>
            <w:pPr>
              <w:jc w:val="right"/>
              <w:ind w:right="279"/>
              <w:spacing w:after="0"/>
              <w:rPr>
                <w:sz w:val="20"/>
                <w:szCs w:val="20"/>
                <w:color w:val="auto"/>
              </w:rPr>
            </w:pPr>
            <w:r>
              <w:rPr>
                <w:rFonts w:ascii="Times New Roman" w:cs="Times New Roman" w:eastAsia="Times New Roman" w:hAnsi="Times New Roman"/>
                <w:sz w:val="16"/>
                <w:szCs w:val="16"/>
                <w:color w:val="auto"/>
              </w:rPr>
              <w:t>Footnotes</w:t>
            </w:r>
          </w:p>
        </w:tc>
        <w:tc>
          <w:tcPr>
            <w:tcW w:w="1380" w:type="dxa"/>
            <w:vAlign w:val="bottom"/>
            <w:gridSpan w:val="2"/>
          </w:tcPr>
          <w:p>
            <w:pPr>
              <w:jc w:val="center"/>
              <w:ind w:right="500"/>
              <w:spacing w:after="0" w:line="162" w:lineRule="exact"/>
              <w:rPr>
                <w:sz w:val="20"/>
                <w:szCs w:val="20"/>
                <w:color w:val="auto"/>
              </w:rPr>
            </w:pPr>
            <w:r>
              <w:rPr>
                <w:rFonts w:ascii="Times New Roman" w:cs="Times New Roman" w:eastAsia="Times New Roman" w:hAnsi="Times New Roman"/>
                <w:sz w:val="16"/>
                <w:szCs w:val="16"/>
                <w:color w:val="auto"/>
              </w:rPr>
              <w:t>Reported</w:t>
            </w:r>
          </w:p>
        </w:tc>
        <w:tc>
          <w:tcPr>
            <w:tcW w:w="160" w:type="dxa"/>
            <w:vAlign w:val="bottom"/>
          </w:tcPr>
          <w:p>
            <w:pPr>
              <w:spacing w:after="0"/>
              <w:rPr>
                <w:sz w:val="14"/>
                <w:szCs w:val="14"/>
                <w:color w:val="auto"/>
              </w:rPr>
            </w:pPr>
          </w:p>
        </w:tc>
        <w:tc>
          <w:tcPr>
            <w:tcW w:w="106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color w:val="auto"/>
              </w:rPr>
              <w:t>Reported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440"/>
              <w:spacing w:after="0" w:line="162" w:lineRule="exact"/>
              <w:rPr>
                <w:sz w:val="20"/>
                <w:szCs w:val="20"/>
                <w:color w:val="auto"/>
              </w:rPr>
            </w:pPr>
            <w:r>
              <w:rPr>
                <w:rFonts w:ascii="Times New Roman" w:cs="Times New Roman" w:eastAsia="Times New Roman" w:hAnsi="Times New Roman"/>
                <w:sz w:val="16"/>
                <w:szCs w:val="16"/>
                <w:color w:val="auto"/>
              </w:rPr>
              <w:t>Restructuring</w:t>
            </w:r>
          </w:p>
        </w:tc>
        <w:tc>
          <w:tcPr>
            <w:tcW w:w="200" w:type="dxa"/>
            <w:vAlign w:val="bottom"/>
          </w:tcPr>
          <w:p>
            <w:pPr>
              <w:spacing w:after="0"/>
              <w:rPr>
                <w:sz w:val="14"/>
                <w:szCs w:val="14"/>
                <w:color w:val="auto"/>
              </w:rPr>
            </w:pPr>
          </w:p>
        </w:tc>
        <w:tc>
          <w:tcPr>
            <w:tcW w:w="1000" w:type="dxa"/>
            <w:vAlign w:val="bottom"/>
          </w:tcPr>
          <w:p>
            <w:pPr>
              <w:jc w:val="right"/>
              <w:ind w:right="319"/>
              <w:spacing w:after="0" w:line="162" w:lineRule="exact"/>
              <w:rPr>
                <w:sz w:val="20"/>
                <w:szCs w:val="20"/>
                <w:color w:val="auto"/>
              </w:rPr>
            </w:pPr>
            <w:r>
              <w:rPr>
                <w:rFonts w:ascii="Times New Roman" w:cs="Times New Roman" w:eastAsia="Times New Roman" w:hAnsi="Times New Roman"/>
                <w:sz w:val="16"/>
                <w:szCs w:val="16"/>
                <w:color w:val="auto"/>
              </w:rPr>
              <w:t>(Non-</w:t>
            </w:r>
          </w:p>
        </w:tc>
        <w:tc>
          <w:tcPr>
            <w:tcW w:w="0" w:type="dxa"/>
            <w:vAlign w:val="bottom"/>
          </w:tcPr>
          <w:p>
            <w:pPr>
              <w:spacing w:after="0"/>
              <w:rPr>
                <w:sz w:val="1"/>
                <w:szCs w:val="1"/>
                <w:color w:val="auto"/>
              </w:rPr>
            </w:pPr>
          </w:p>
        </w:tc>
      </w:tr>
      <w:tr>
        <w:trPr>
          <w:trHeight w:val="213"/>
        </w:trPr>
        <w:tc>
          <w:tcPr>
            <w:tcW w:w="448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138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color w:val="auto"/>
              </w:rPr>
              <w:t>(GAAP) (1)</w:t>
            </w:r>
          </w:p>
        </w:tc>
        <w:tc>
          <w:tcPr>
            <w:tcW w:w="160" w:type="dxa"/>
            <w:vAlign w:val="bottom"/>
          </w:tcPr>
          <w:p>
            <w:pPr>
              <w:spacing w:after="0"/>
              <w:rPr>
                <w:sz w:val="18"/>
                <w:szCs w:val="18"/>
                <w:color w:val="auto"/>
              </w:rPr>
            </w:pPr>
          </w:p>
        </w:tc>
        <w:tc>
          <w:tcPr>
            <w:tcW w:w="106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(GAAP) (2)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color w:val="auto"/>
              </w:rPr>
              <w:t>and Other</w:t>
            </w:r>
          </w:p>
        </w:tc>
        <w:tc>
          <w:tcPr>
            <w:tcW w:w="200" w:type="dxa"/>
            <w:vAlign w:val="bottom"/>
          </w:tcPr>
          <w:p>
            <w:pPr>
              <w:spacing w:after="0"/>
              <w:rPr>
                <w:sz w:val="18"/>
                <w:szCs w:val="18"/>
                <w:color w:val="auto"/>
              </w:rPr>
            </w:pPr>
          </w:p>
        </w:tc>
        <w:tc>
          <w:tcPr>
            <w:tcW w:w="10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GAAP)</w:t>
            </w:r>
          </w:p>
        </w:tc>
        <w:tc>
          <w:tcPr>
            <w:tcW w:w="0" w:type="dxa"/>
            <w:vAlign w:val="bottom"/>
          </w:tcPr>
          <w:p>
            <w:pPr>
              <w:spacing w:after="0"/>
              <w:rPr>
                <w:sz w:val="1"/>
                <w:szCs w:val="1"/>
                <w:color w:val="auto"/>
              </w:rPr>
            </w:pPr>
          </w:p>
        </w:tc>
      </w:tr>
      <w:tr>
        <w:trPr>
          <w:trHeight w:val="212"/>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1,188.0</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1,159.3</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806.3</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784.6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sales—impairment, restructuring and other</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w:t>
            </w:r>
          </w:p>
        </w:tc>
        <w:tc>
          <w:tcPr>
            <w:tcW w:w="3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378.0</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372.7</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34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374.6</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of sales</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31.8 %</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32.1 %</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32.3 %</w:t>
            </w:r>
          </w:p>
        </w:tc>
        <w:tc>
          <w:tcPr>
            <w:tcW w:w="0" w:type="dxa"/>
            <w:vAlign w:val="bottom"/>
          </w:tcPr>
          <w:p>
            <w:pPr>
              <w:spacing w:after="0"/>
              <w:rPr>
                <w:sz w:val="1"/>
                <w:szCs w:val="1"/>
                <w:color w:val="auto"/>
              </w:rPr>
            </w:pPr>
          </w:p>
        </w:tc>
      </w:tr>
      <w:tr>
        <w:trPr>
          <w:trHeight w:val="21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153.4</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144.8</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Impairment, restructuring and other</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 net</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7.2</w:t>
            </w:r>
          </w:p>
        </w:tc>
        <w:tc>
          <w:tcPr>
            <w:tcW w:w="3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7.1</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215.0</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221.8</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222.7</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of sales</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18.1 %</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19.1 %</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19.2 %</w:t>
            </w:r>
          </w:p>
        </w:tc>
        <w:tc>
          <w:tcPr>
            <w:tcW w:w="0" w:type="dxa"/>
            <w:vAlign w:val="bottom"/>
          </w:tcPr>
          <w:p>
            <w:pPr>
              <w:spacing w:after="0"/>
              <w:rPr>
                <w:sz w:val="1"/>
                <w:szCs w:val="1"/>
                <w:color w:val="auto"/>
              </w:rPr>
            </w:pPr>
          </w:p>
        </w:tc>
      </w:tr>
      <w:tr>
        <w:trPr>
          <w:trHeight w:val="21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 (income) loss of unconsolidated affiliates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(25.3)</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(25.3)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(25.3)</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31.8</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31.8</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non-operating expense, net</w:t>
            </w: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1.2</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continuing operations before income taxes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207.3</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214.0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214.9</w:t>
            </w:r>
          </w:p>
        </w:tc>
        <w:tc>
          <w:tcPr>
            <w:tcW w:w="0" w:type="dxa"/>
            <w:vAlign w:val="bottom"/>
          </w:tcPr>
          <w:p>
            <w:pPr>
              <w:spacing w:after="0"/>
              <w:rPr>
                <w:sz w:val="1"/>
                <w:szCs w:val="1"/>
                <w:color w:val="auto"/>
              </w:rPr>
            </w:pPr>
          </w:p>
        </w:tc>
      </w:tr>
      <w:tr>
        <w:trPr>
          <w:trHeight w:val="213"/>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 (benefit) from continuing operations</w:t>
            </w: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58.2</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59.3</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3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61.5</w:t>
            </w:r>
          </w:p>
        </w:tc>
        <w:tc>
          <w:tcPr>
            <w:tcW w:w="0" w:type="dxa"/>
            <w:vAlign w:val="bottom"/>
          </w:tcPr>
          <w:p>
            <w:pPr>
              <w:spacing w:after="0"/>
              <w:rPr>
                <w:sz w:val="1"/>
                <w:szCs w:val="1"/>
                <w:color w:val="auto"/>
              </w:rPr>
            </w:pPr>
          </w:p>
        </w:tc>
      </w:tr>
      <w:tr>
        <w:trPr>
          <w:trHeight w:val="212"/>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from continuing operations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149.1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154.7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153.4</w:t>
            </w:r>
          </w:p>
        </w:tc>
        <w:tc>
          <w:tcPr>
            <w:tcW w:w="0" w:type="dxa"/>
            <w:vAlign w:val="bottom"/>
          </w:tcPr>
          <w:p>
            <w:pPr>
              <w:spacing w:after="0"/>
              <w:rPr>
                <w:sz w:val="1"/>
                <w:szCs w:val="1"/>
                <w:color w:val="auto"/>
              </w:rPr>
            </w:pPr>
          </w:p>
        </w:tc>
      </w:tr>
      <w:tr>
        <w:trPr>
          <w:trHeight w:val="21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from discontinued operations, net of tax</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8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149.1</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149.1</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(loss) per common share: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Continuing operations</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2.58</w:t>
            </w:r>
          </w:p>
        </w:tc>
        <w:tc>
          <w:tcPr>
            <w:tcW w:w="3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Discontinued operations</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(0.10)</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 net income (loss) per common share</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2.58</w:t>
            </w:r>
          </w:p>
        </w:tc>
        <w:tc>
          <w:tcPr>
            <w:tcW w:w="3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2.58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net income (loss) per common share:</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Continuing operations</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2.54</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2.64</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2.62</w:t>
            </w:r>
          </w:p>
        </w:tc>
        <w:tc>
          <w:tcPr>
            <w:tcW w:w="0" w:type="dxa"/>
            <w:vAlign w:val="bottom"/>
          </w:tcPr>
          <w:p>
            <w:pPr>
              <w:spacing w:after="0"/>
              <w:rPr>
                <w:sz w:val="1"/>
                <w:szCs w:val="1"/>
                <w:color w:val="auto"/>
              </w:rPr>
            </w:pPr>
          </w:p>
        </w:tc>
      </w:tr>
      <w:tr>
        <w:trPr>
          <w:trHeight w:val="213"/>
        </w:trPr>
        <w:tc>
          <w:tcPr>
            <w:tcW w:w="4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Discontinued operations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(0.10)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 net income (loss) per common share</w:t>
            </w:r>
          </w:p>
        </w:tc>
        <w:tc>
          <w:tcPr>
            <w:tcW w:w="8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2.54</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2.54</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4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shares used in basic net income (loss) per share</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57.7</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57.7</w:t>
            </w: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calculation</w:t>
            </w:r>
          </w:p>
        </w:tc>
        <w:tc>
          <w:tcPr>
            <w:tcW w:w="8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Times New Roman" w:cs="Times New Roman" w:eastAsia="Times New Roman" w:hAnsi="Times New Roman"/>
                <w:sz w:val="16"/>
                <w:szCs w:val="16"/>
                <w:color w:val="auto"/>
              </w:rPr>
              <w:t>Common shares and potential common shares used in diluted net</w:t>
            </w: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480" w:type="dxa"/>
            <w:vAlign w:val="bottom"/>
            <w:vMerge w:val="continue"/>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 (5)</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58.6</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58.6</w:t>
            </w: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58.6</w:t>
            </w:r>
          </w:p>
        </w:tc>
        <w:tc>
          <w:tcPr>
            <w:tcW w:w="0" w:type="dxa"/>
            <w:vAlign w:val="bottom"/>
          </w:tcPr>
          <w:p>
            <w:pPr>
              <w:spacing w:after="0"/>
              <w:rPr>
                <w:sz w:val="1"/>
                <w:szCs w:val="1"/>
                <w:color w:val="auto"/>
              </w:rPr>
            </w:pPr>
          </w:p>
        </w:tc>
      </w:tr>
      <w:tr>
        <w:trPr>
          <w:trHeight w:val="189"/>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per share calculation</w:t>
            </w: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See accompanying footnotes.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sum of the components may not equal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320" w:top="111" w:right="35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THE SCOTTS MIRACLE-GRO COMPANY</w:t>
      </w:r>
    </w:p>
    <w:p>
      <w:pPr>
        <w:spacing w:after="0" w:line="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Revised Results of Operations and Reconciliation of Non-GAAP Disclosure Items (5)</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4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color w:val="auto"/>
              </w:rPr>
              <w:t>Three Months Ended March 29, 2025</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center"/>
              <w:ind w:right="500"/>
              <w:spacing w:after="0" w:line="158" w:lineRule="exact"/>
              <w:rPr>
                <w:sz w:val="20"/>
                <w:szCs w:val="20"/>
                <w:color w:val="auto"/>
              </w:rPr>
            </w:pPr>
            <w:r>
              <w:rPr>
                <w:rFonts w:ascii="Times New Roman" w:cs="Times New Roman" w:eastAsia="Times New Roman" w:hAnsi="Times New Roman"/>
                <w:sz w:val="16"/>
                <w:szCs w:val="16"/>
                <w:color w:val="auto"/>
                <w:w w:val="99"/>
              </w:rPr>
              <w:t>Previously</w:t>
            </w:r>
          </w:p>
        </w:tc>
        <w:tc>
          <w:tcPr>
            <w:tcW w:w="120" w:type="dxa"/>
            <w:vAlign w:val="bottom"/>
          </w:tcPr>
          <w:p>
            <w:pPr>
              <w:spacing w:after="0"/>
              <w:rPr>
                <w:sz w:val="13"/>
                <w:szCs w:val="13"/>
                <w:color w:val="auto"/>
              </w:rPr>
            </w:pPr>
          </w:p>
        </w:tc>
        <w:tc>
          <w:tcPr>
            <w:tcW w:w="1100" w:type="dxa"/>
            <w:vAlign w:val="bottom"/>
          </w:tcPr>
          <w:p>
            <w:pPr>
              <w:jc w:val="center"/>
              <w:ind w:right="19"/>
              <w:spacing w:after="0" w:line="158" w:lineRule="exact"/>
              <w:rPr>
                <w:sz w:val="20"/>
                <w:szCs w:val="20"/>
                <w:color w:val="auto"/>
              </w:rPr>
            </w:pPr>
            <w:r>
              <w:rPr>
                <w:rFonts w:ascii="Times New Roman" w:cs="Times New Roman" w:eastAsia="Times New Roman" w:hAnsi="Times New Roman"/>
                <w:sz w:val="16"/>
                <w:szCs w:val="16"/>
                <w:color w:val="auto"/>
              </w:rPr>
              <w:t>Revised</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440"/>
              <w:spacing w:after="0" w:line="158" w:lineRule="exact"/>
              <w:rPr>
                <w:sz w:val="20"/>
                <w:szCs w:val="20"/>
                <w:color w:val="auto"/>
              </w:rPr>
            </w:pPr>
            <w:r>
              <w:rPr>
                <w:rFonts w:ascii="Times New Roman" w:cs="Times New Roman" w:eastAsia="Times New Roman" w:hAnsi="Times New Roman"/>
                <w:sz w:val="16"/>
                <w:szCs w:val="16"/>
                <w:color w:val="auto"/>
              </w:rPr>
              <w:t>Impairment,</w:t>
            </w:r>
          </w:p>
        </w:tc>
        <w:tc>
          <w:tcPr>
            <w:tcW w:w="200" w:type="dxa"/>
            <w:vAlign w:val="bottom"/>
          </w:tcPr>
          <w:p>
            <w:pPr>
              <w:spacing w:after="0"/>
              <w:rPr>
                <w:sz w:val="13"/>
                <w:szCs w:val="13"/>
                <w:color w:val="auto"/>
              </w:rPr>
            </w:pPr>
          </w:p>
        </w:tc>
        <w:tc>
          <w:tcPr>
            <w:tcW w:w="1000" w:type="dxa"/>
            <w:vAlign w:val="bottom"/>
          </w:tcPr>
          <w:p>
            <w:pPr>
              <w:jc w:val="right"/>
              <w:ind w:right="239"/>
              <w:spacing w:after="0" w:line="158" w:lineRule="exact"/>
              <w:rPr>
                <w:sz w:val="20"/>
                <w:szCs w:val="20"/>
                <w:color w:val="auto"/>
              </w:rPr>
            </w:pPr>
            <w:r>
              <w:rPr>
                <w:rFonts w:ascii="Times New Roman" w:cs="Times New Roman" w:eastAsia="Times New Roman" w:hAnsi="Times New Roman"/>
                <w:sz w:val="16"/>
                <w:szCs w:val="16"/>
                <w:color w:val="auto"/>
              </w:rPr>
              <w:t>Adjusted</w:t>
            </w:r>
          </w:p>
        </w:tc>
        <w:tc>
          <w:tcPr>
            <w:tcW w:w="0" w:type="dxa"/>
            <w:vAlign w:val="bottom"/>
          </w:tcPr>
          <w:p>
            <w:pPr>
              <w:spacing w:after="0"/>
              <w:rPr>
                <w:sz w:val="1"/>
                <w:szCs w:val="1"/>
                <w:color w:val="auto"/>
              </w:rPr>
            </w:pPr>
          </w:p>
        </w:tc>
      </w:tr>
      <w:tr>
        <w:trPr>
          <w:trHeight w:val="162"/>
        </w:trPr>
        <w:tc>
          <w:tcPr>
            <w:tcW w:w="4480" w:type="dxa"/>
            <w:vAlign w:val="bottom"/>
          </w:tcPr>
          <w:p>
            <w:pPr>
              <w:spacing w:after="0"/>
              <w:rPr>
                <w:sz w:val="14"/>
                <w:szCs w:val="14"/>
                <w:color w:val="auto"/>
              </w:rPr>
            </w:pPr>
          </w:p>
        </w:tc>
        <w:tc>
          <w:tcPr>
            <w:tcW w:w="1100" w:type="dxa"/>
            <w:vAlign w:val="bottom"/>
            <w:gridSpan w:val="3"/>
            <w:vMerge w:val="restart"/>
          </w:tcPr>
          <w:p>
            <w:pPr>
              <w:jc w:val="right"/>
              <w:ind w:right="279"/>
              <w:spacing w:after="0"/>
              <w:rPr>
                <w:sz w:val="20"/>
                <w:szCs w:val="20"/>
                <w:color w:val="auto"/>
              </w:rPr>
            </w:pPr>
            <w:r>
              <w:rPr>
                <w:rFonts w:ascii="Times New Roman" w:cs="Times New Roman" w:eastAsia="Times New Roman" w:hAnsi="Times New Roman"/>
                <w:sz w:val="16"/>
                <w:szCs w:val="16"/>
                <w:color w:val="auto"/>
              </w:rPr>
              <w:t>Footnotes</w:t>
            </w:r>
          </w:p>
        </w:tc>
        <w:tc>
          <w:tcPr>
            <w:tcW w:w="1380" w:type="dxa"/>
            <w:vAlign w:val="bottom"/>
            <w:gridSpan w:val="2"/>
          </w:tcPr>
          <w:p>
            <w:pPr>
              <w:jc w:val="center"/>
              <w:ind w:right="500"/>
              <w:spacing w:after="0" w:line="162" w:lineRule="exact"/>
              <w:rPr>
                <w:sz w:val="20"/>
                <w:szCs w:val="20"/>
                <w:color w:val="auto"/>
              </w:rPr>
            </w:pPr>
            <w:r>
              <w:rPr>
                <w:rFonts w:ascii="Times New Roman" w:cs="Times New Roman" w:eastAsia="Times New Roman" w:hAnsi="Times New Roman"/>
                <w:sz w:val="16"/>
                <w:szCs w:val="16"/>
                <w:color w:val="auto"/>
              </w:rPr>
              <w:t>Reported</w:t>
            </w:r>
          </w:p>
        </w:tc>
        <w:tc>
          <w:tcPr>
            <w:tcW w:w="120" w:type="dxa"/>
            <w:vAlign w:val="bottom"/>
          </w:tcPr>
          <w:p>
            <w:pPr>
              <w:spacing w:after="0"/>
              <w:rPr>
                <w:sz w:val="14"/>
                <w:szCs w:val="14"/>
                <w:color w:val="auto"/>
              </w:rPr>
            </w:pPr>
          </w:p>
        </w:tc>
        <w:tc>
          <w:tcPr>
            <w:tcW w:w="110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color w:val="auto"/>
              </w:rPr>
              <w:t>Reported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440"/>
              <w:spacing w:after="0" w:line="162" w:lineRule="exact"/>
              <w:rPr>
                <w:sz w:val="20"/>
                <w:szCs w:val="20"/>
                <w:color w:val="auto"/>
              </w:rPr>
            </w:pPr>
            <w:r>
              <w:rPr>
                <w:rFonts w:ascii="Times New Roman" w:cs="Times New Roman" w:eastAsia="Times New Roman" w:hAnsi="Times New Roman"/>
                <w:sz w:val="16"/>
                <w:szCs w:val="16"/>
                <w:color w:val="auto"/>
              </w:rPr>
              <w:t>Restructuring</w:t>
            </w:r>
          </w:p>
        </w:tc>
        <w:tc>
          <w:tcPr>
            <w:tcW w:w="200" w:type="dxa"/>
            <w:vAlign w:val="bottom"/>
          </w:tcPr>
          <w:p>
            <w:pPr>
              <w:spacing w:after="0"/>
              <w:rPr>
                <w:sz w:val="14"/>
                <w:szCs w:val="14"/>
                <w:color w:val="auto"/>
              </w:rPr>
            </w:pPr>
          </w:p>
        </w:tc>
        <w:tc>
          <w:tcPr>
            <w:tcW w:w="1000" w:type="dxa"/>
            <w:vAlign w:val="bottom"/>
          </w:tcPr>
          <w:p>
            <w:pPr>
              <w:jc w:val="right"/>
              <w:ind w:right="319"/>
              <w:spacing w:after="0" w:line="162" w:lineRule="exact"/>
              <w:rPr>
                <w:sz w:val="20"/>
                <w:szCs w:val="20"/>
                <w:color w:val="auto"/>
              </w:rPr>
            </w:pPr>
            <w:r>
              <w:rPr>
                <w:rFonts w:ascii="Times New Roman" w:cs="Times New Roman" w:eastAsia="Times New Roman" w:hAnsi="Times New Roman"/>
                <w:sz w:val="16"/>
                <w:szCs w:val="16"/>
                <w:color w:val="auto"/>
              </w:rPr>
              <w:t>(Non-</w:t>
            </w:r>
          </w:p>
        </w:tc>
        <w:tc>
          <w:tcPr>
            <w:tcW w:w="0" w:type="dxa"/>
            <w:vAlign w:val="bottom"/>
          </w:tcPr>
          <w:p>
            <w:pPr>
              <w:spacing w:after="0"/>
              <w:rPr>
                <w:sz w:val="1"/>
                <w:szCs w:val="1"/>
                <w:color w:val="auto"/>
              </w:rPr>
            </w:pPr>
          </w:p>
        </w:tc>
      </w:tr>
      <w:tr>
        <w:trPr>
          <w:trHeight w:val="213"/>
        </w:trPr>
        <w:tc>
          <w:tcPr>
            <w:tcW w:w="448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138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color w:val="auto"/>
              </w:rPr>
              <w:t>(GAAP) (1)</w:t>
            </w:r>
          </w:p>
        </w:tc>
        <w:tc>
          <w:tcPr>
            <w:tcW w:w="120" w:type="dxa"/>
            <w:vAlign w:val="bottom"/>
          </w:tcPr>
          <w:p>
            <w:pPr>
              <w:spacing w:after="0"/>
              <w:rPr>
                <w:sz w:val="18"/>
                <w:szCs w:val="18"/>
                <w:color w:val="auto"/>
              </w:rPr>
            </w:pPr>
          </w:p>
        </w:tc>
        <w:tc>
          <w:tcPr>
            <w:tcW w:w="11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(GAAP) (2)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color w:val="auto"/>
              </w:rPr>
              <w:t>and Other</w:t>
            </w:r>
          </w:p>
        </w:tc>
        <w:tc>
          <w:tcPr>
            <w:tcW w:w="200" w:type="dxa"/>
            <w:vAlign w:val="bottom"/>
          </w:tcPr>
          <w:p>
            <w:pPr>
              <w:spacing w:after="0"/>
              <w:rPr>
                <w:sz w:val="18"/>
                <w:szCs w:val="18"/>
                <w:color w:val="auto"/>
              </w:rPr>
            </w:pPr>
          </w:p>
        </w:tc>
        <w:tc>
          <w:tcPr>
            <w:tcW w:w="10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GAAP)</w:t>
            </w:r>
          </w:p>
        </w:tc>
        <w:tc>
          <w:tcPr>
            <w:tcW w:w="0" w:type="dxa"/>
            <w:vAlign w:val="bottom"/>
          </w:tcPr>
          <w:p>
            <w:pPr>
              <w:spacing w:after="0"/>
              <w:rPr>
                <w:sz w:val="1"/>
                <w:szCs w:val="1"/>
                <w:color w:val="auto"/>
              </w:rPr>
            </w:pPr>
          </w:p>
        </w:tc>
      </w:tr>
      <w:tr>
        <w:trPr>
          <w:trHeight w:val="212"/>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1,421.0</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1,389.7</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865.8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842.3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sales—impairment, restructuring and other</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7.3</w:t>
            </w:r>
          </w:p>
        </w:tc>
        <w:tc>
          <w:tcPr>
            <w:tcW w:w="3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5.3</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547.9</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542.1</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34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547.4</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of sales</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38.6 %</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39.0 %</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39.4 %</w:t>
            </w:r>
          </w:p>
        </w:tc>
        <w:tc>
          <w:tcPr>
            <w:tcW w:w="0" w:type="dxa"/>
            <w:vAlign w:val="bottom"/>
          </w:tcPr>
          <w:p>
            <w:pPr>
              <w:spacing w:after="0"/>
              <w:rPr>
                <w:sz w:val="1"/>
                <w:szCs w:val="1"/>
                <w:color w:val="auto"/>
              </w:rPr>
            </w:pPr>
          </w:p>
        </w:tc>
      </w:tr>
      <w:tr>
        <w:trPr>
          <w:trHeight w:val="21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188.3</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177.8</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Impairment, restructuring and other</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 net</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w:t>
            </w:r>
          </w:p>
        </w:tc>
        <w:tc>
          <w:tcPr>
            <w:tcW w:w="3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344.7</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349.7</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365.4</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of sales</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24.3 %</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25.2 %</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26.3 %</w:t>
            </w:r>
          </w:p>
        </w:tc>
        <w:tc>
          <w:tcPr>
            <w:tcW w:w="0" w:type="dxa"/>
            <w:vAlign w:val="bottom"/>
          </w:tcPr>
          <w:p>
            <w:pPr>
              <w:spacing w:after="0"/>
              <w:rPr>
                <w:sz w:val="1"/>
                <w:szCs w:val="1"/>
                <w:color w:val="auto"/>
              </w:rPr>
            </w:pPr>
          </w:p>
        </w:tc>
      </w:tr>
      <w:tr>
        <w:trPr>
          <w:trHeight w:val="21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 (income) loss of unconsolidated affiliates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36.6</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36.6</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non-operating expense, net</w:t>
            </w: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1.2</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continuing operations before income taxes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300.9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306.0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321.6</w:t>
            </w:r>
          </w:p>
        </w:tc>
        <w:tc>
          <w:tcPr>
            <w:tcW w:w="0" w:type="dxa"/>
            <w:vAlign w:val="bottom"/>
          </w:tcPr>
          <w:p>
            <w:pPr>
              <w:spacing w:after="0"/>
              <w:rPr>
                <w:sz w:val="1"/>
                <w:szCs w:val="1"/>
                <w:color w:val="auto"/>
              </w:rPr>
            </w:pPr>
          </w:p>
        </w:tc>
      </w:tr>
      <w:tr>
        <w:trPr>
          <w:trHeight w:val="213"/>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 (benefit) from continuing operations</w:t>
            </w: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83.4</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85.3</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3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88.0</w:t>
            </w:r>
          </w:p>
        </w:tc>
        <w:tc>
          <w:tcPr>
            <w:tcW w:w="0" w:type="dxa"/>
            <w:vAlign w:val="bottom"/>
          </w:tcPr>
          <w:p>
            <w:pPr>
              <w:spacing w:after="0"/>
              <w:rPr>
                <w:sz w:val="1"/>
                <w:szCs w:val="1"/>
                <w:color w:val="auto"/>
              </w:rPr>
            </w:pPr>
          </w:p>
        </w:tc>
      </w:tr>
      <w:tr>
        <w:trPr>
          <w:trHeight w:val="212"/>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from continuing operations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217.5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220.7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233.7</w:t>
            </w:r>
          </w:p>
        </w:tc>
        <w:tc>
          <w:tcPr>
            <w:tcW w:w="0" w:type="dxa"/>
            <w:vAlign w:val="bottom"/>
          </w:tcPr>
          <w:p>
            <w:pPr>
              <w:spacing w:after="0"/>
              <w:rPr>
                <w:sz w:val="1"/>
                <w:szCs w:val="1"/>
                <w:color w:val="auto"/>
              </w:rPr>
            </w:pPr>
          </w:p>
        </w:tc>
      </w:tr>
      <w:tr>
        <w:trPr>
          <w:trHeight w:val="21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from discontinued operations, net of tax</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8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217.5</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217.5</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(loss) per common share: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Continuing operations</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3.78</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3.83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Discontinued operations</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(0.05)</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 net income (loss) per common share</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3.78</w:t>
            </w:r>
          </w:p>
        </w:tc>
        <w:tc>
          <w:tcPr>
            <w:tcW w:w="3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3.78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net income (loss) per common share:</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Continuing operations</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3.72</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3.78</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4.00</w:t>
            </w:r>
          </w:p>
        </w:tc>
        <w:tc>
          <w:tcPr>
            <w:tcW w:w="0" w:type="dxa"/>
            <w:vAlign w:val="bottom"/>
          </w:tcPr>
          <w:p>
            <w:pPr>
              <w:spacing w:after="0"/>
              <w:rPr>
                <w:sz w:val="1"/>
                <w:szCs w:val="1"/>
                <w:color w:val="auto"/>
              </w:rPr>
            </w:pPr>
          </w:p>
        </w:tc>
      </w:tr>
      <w:tr>
        <w:trPr>
          <w:trHeight w:val="213"/>
        </w:trPr>
        <w:tc>
          <w:tcPr>
            <w:tcW w:w="4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Discontinued operations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(0.06)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 net income (loss) per common share</w:t>
            </w:r>
          </w:p>
        </w:tc>
        <w:tc>
          <w:tcPr>
            <w:tcW w:w="8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3.72</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3.72</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4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shares used in basic net income (loss) per share</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57.6</w:t>
            </w: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57.6</w:t>
            </w: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calculation</w:t>
            </w:r>
          </w:p>
        </w:tc>
        <w:tc>
          <w:tcPr>
            <w:tcW w:w="8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Times New Roman" w:cs="Times New Roman" w:eastAsia="Times New Roman" w:hAnsi="Times New Roman"/>
                <w:sz w:val="16"/>
                <w:szCs w:val="16"/>
                <w:color w:val="auto"/>
              </w:rPr>
              <w:t>Common shares and potential common shares used in diluted net</w:t>
            </w: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480" w:type="dxa"/>
            <w:vAlign w:val="bottom"/>
            <w:vMerge w:val="continue"/>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 (5)</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58.4</w:t>
            </w: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58.4</w:t>
            </w: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58.4</w:t>
            </w:r>
          </w:p>
        </w:tc>
        <w:tc>
          <w:tcPr>
            <w:tcW w:w="0" w:type="dxa"/>
            <w:vAlign w:val="bottom"/>
          </w:tcPr>
          <w:p>
            <w:pPr>
              <w:spacing w:after="0"/>
              <w:rPr>
                <w:sz w:val="1"/>
                <w:szCs w:val="1"/>
                <w:color w:val="auto"/>
              </w:rPr>
            </w:pPr>
          </w:p>
        </w:tc>
      </w:tr>
      <w:tr>
        <w:trPr>
          <w:trHeight w:val="189"/>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per share calculation</w:t>
            </w: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See accompanying footnotes.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sum of the components may not equal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20"/>
          </w:cols>
          <w:pgMar w:left="320" w:top="111" w:right="35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THE SCOTTS MIRACLE-GRO COMPANY</w:t>
      </w:r>
    </w:p>
    <w:p>
      <w:pPr>
        <w:spacing w:after="0" w:line="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Revised Results of Operations and Reconciliation of Non-GAAP Disclosure Items (5)</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4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7"/>
          </w:tcPr>
          <w:p>
            <w:pPr>
              <w:ind w:left="340"/>
              <w:spacing w:after="0"/>
              <w:rPr>
                <w:sz w:val="20"/>
                <w:szCs w:val="20"/>
                <w:color w:val="auto"/>
              </w:rPr>
            </w:pPr>
            <w:r>
              <w:rPr>
                <w:rFonts w:ascii="Times New Roman" w:cs="Times New Roman" w:eastAsia="Times New Roman" w:hAnsi="Times New Roman"/>
                <w:sz w:val="16"/>
                <w:szCs w:val="16"/>
                <w:color w:val="auto"/>
              </w:rPr>
              <w:t>Three Months Ended December 28, 2024</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6"/>
                <w:szCs w:val="16"/>
                <w:color w:val="auto"/>
              </w:rPr>
              <w:t>Previously</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6"/>
                <w:szCs w:val="16"/>
                <w:color w:val="auto"/>
              </w:rPr>
              <w:t>Revised</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center"/>
              <w:ind w:right="460"/>
              <w:spacing w:after="0" w:line="158" w:lineRule="exact"/>
              <w:rPr>
                <w:sz w:val="20"/>
                <w:szCs w:val="20"/>
                <w:color w:val="auto"/>
              </w:rPr>
            </w:pPr>
            <w:r>
              <w:rPr>
                <w:rFonts w:ascii="Times New Roman" w:cs="Times New Roman" w:eastAsia="Times New Roman" w:hAnsi="Times New Roman"/>
                <w:sz w:val="16"/>
                <w:szCs w:val="16"/>
                <w:color w:val="auto"/>
              </w:rPr>
              <w:t>Impairment,</w:t>
            </w:r>
          </w:p>
        </w:tc>
        <w:tc>
          <w:tcPr>
            <w:tcW w:w="200" w:type="dxa"/>
            <w:vAlign w:val="bottom"/>
          </w:tcPr>
          <w:p>
            <w:pPr>
              <w:spacing w:after="0"/>
              <w:rPr>
                <w:sz w:val="13"/>
                <w:szCs w:val="13"/>
                <w:color w:val="auto"/>
              </w:rPr>
            </w:pPr>
          </w:p>
        </w:tc>
        <w:tc>
          <w:tcPr>
            <w:tcW w:w="1020" w:type="dxa"/>
            <w:vAlign w:val="bottom"/>
          </w:tcPr>
          <w:p>
            <w:pPr>
              <w:jc w:val="right"/>
              <w:ind w:right="259"/>
              <w:spacing w:after="0" w:line="158" w:lineRule="exact"/>
              <w:rPr>
                <w:sz w:val="20"/>
                <w:szCs w:val="20"/>
                <w:color w:val="auto"/>
              </w:rPr>
            </w:pPr>
            <w:r>
              <w:rPr>
                <w:rFonts w:ascii="Times New Roman" w:cs="Times New Roman" w:eastAsia="Times New Roman" w:hAnsi="Times New Roman"/>
                <w:sz w:val="16"/>
                <w:szCs w:val="16"/>
                <w:color w:val="auto"/>
              </w:rPr>
              <w:t>Adjusted</w:t>
            </w:r>
          </w:p>
        </w:tc>
        <w:tc>
          <w:tcPr>
            <w:tcW w:w="0" w:type="dxa"/>
            <w:vAlign w:val="bottom"/>
          </w:tcPr>
          <w:p>
            <w:pPr>
              <w:spacing w:after="0"/>
              <w:rPr>
                <w:sz w:val="1"/>
                <w:szCs w:val="1"/>
                <w:color w:val="auto"/>
              </w:rPr>
            </w:pPr>
          </w:p>
        </w:tc>
      </w:tr>
      <w:tr>
        <w:trPr>
          <w:trHeight w:val="162"/>
        </w:trPr>
        <w:tc>
          <w:tcPr>
            <w:tcW w:w="4460" w:type="dxa"/>
            <w:vAlign w:val="bottom"/>
          </w:tcPr>
          <w:p>
            <w:pPr>
              <w:spacing w:after="0"/>
              <w:rPr>
                <w:sz w:val="14"/>
                <w:szCs w:val="14"/>
                <w:color w:val="auto"/>
              </w:rPr>
            </w:pPr>
          </w:p>
        </w:tc>
        <w:tc>
          <w:tcPr>
            <w:tcW w:w="1100" w:type="dxa"/>
            <w:vAlign w:val="bottom"/>
            <w:gridSpan w:val="3"/>
            <w:vMerge w:val="restart"/>
          </w:tcPr>
          <w:p>
            <w:pPr>
              <w:jc w:val="right"/>
              <w:ind w:right="299"/>
              <w:spacing w:after="0"/>
              <w:rPr>
                <w:sz w:val="20"/>
                <w:szCs w:val="20"/>
                <w:color w:val="auto"/>
              </w:rPr>
            </w:pPr>
            <w:r>
              <w:rPr>
                <w:rFonts w:ascii="Times New Roman" w:cs="Times New Roman" w:eastAsia="Times New Roman" w:hAnsi="Times New Roman"/>
                <w:sz w:val="16"/>
                <w:szCs w:val="16"/>
                <w:color w:val="auto"/>
              </w:rPr>
              <w:t>Footnotes</w:t>
            </w:r>
          </w:p>
        </w:tc>
        <w:tc>
          <w:tcPr>
            <w:tcW w:w="106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color w:val="auto"/>
                <w:w w:val="98"/>
              </w:rPr>
              <w:t>Reported</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color w:val="auto"/>
              </w:rPr>
              <w:t>Reported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460"/>
              <w:spacing w:after="0" w:line="162" w:lineRule="exact"/>
              <w:rPr>
                <w:sz w:val="20"/>
                <w:szCs w:val="20"/>
                <w:color w:val="auto"/>
              </w:rPr>
            </w:pPr>
            <w:r>
              <w:rPr>
                <w:rFonts w:ascii="Times New Roman" w:cs="Times New Roman" w:eastAsia="Times New Roman" w:hAnsi="Times New Roman"/>
                <w:sz w:val="16"/>
                <w:szCs w:val="16"/>
                <w:color w:val="auto"/>
              </w:rPr>
              <w:t>Restructuring</w:t>
            </w:r>
          </w:p>
        </w:tc>
        <w:tc>
          <w:tcPr>
            <w:tcW w:w="200" w:type="dxa"/>
            <w:vAlign w:val="bottom"/>
          </w:tcPr>
          <w:p>
            <w:pPr>
              <w:spacing w:after="0"/>
              <w:rPr>
                <w:sz w:val="14"/>
                <w:szCs w:val="14"/>
                <w:color w:val="auto"/>
              </w:rPr>
            </w:pPr>
          </w:p>
        </w:tc>
        <w:tc>
          <w:tcPr>
            <w:tcW w:w="1020" w:type="dxa"/>
            <w:vAlign w:val="bottom"/>
          </w:tcPr>
          <w:p>
            <w:pPr>
              <w:jc w:val="right"/>
              <w:ind w:right="339"/>
              <w:spacing w:after="0" w:line="162" w:lineRule="exact"/>
              <w:rPr>
                <w:sz w:val="20"/>
                <w:szCs w:val="20"/>
                <w:color w:val="auto"/>
              </w:rPr>
            </w:pPr>
            <w:r>
              <w:rPr>
                <w:rFonts w:ascii="Times New Roman" w:cs="Times New Roman" w:eastAsia="Times New Roman" w:hAnsi="Times New Roman"/>
                <w:sz w:val="16"/>
                <w:szCs w:val="16"/>
                <w:color w:val="auto"/>
              </w:rPr>
              <w:t>(Non-</w:t>
            </w:r>
          </w:p>
        </w:tc>
        <w:tc>
          <w:tcPr>
            <w:tcW w:w="0" w:type="dxa"/>
            <w:vAlign w:val="bottom"/>
          </w:tcPr>
          <w:p>
            <w:pPr>
              <w:spacing w:after="0"/>
              <w:rPr>
                <w:sz w:val="1"/>
                <w:szCs w:val="1"/>
                <w:color w:val="auto"/>
              </w:rPr>
            </w:pPr>
          </w:p>
        </w:tc>
      </w:tr>
      <w:tr>
        <w:trPr>
          <w:trHeight w:val="213"/>
        </w:trPr>
        <w:tc>
          <w:tcPr>
            <w:tcW w:w="446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106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(GAAP) (1)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(GAAP) (2)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color w:val="auto"/>
              </w:rPr>
              <w:t>and Other</w:t>
            </w:r>
          </w:p>
        </w:tc>
        <w:tc>
          <w:tcPr>
            <w:tcW w:w="200" w:type="dxa"/>
            <w:vAlign w:val="bottom"/>
          </w:tcPr>
          <w:p>
            <w:pPr>
              <w:spacing w:after="0"/>
              <w:rPr>
                <w:sz w:val="18"/>
                <w:szCs w:val="18"/>
                <w:color w:val="auto"/>
              </w:rPr>
            </w:pPr>
          </w:p>
        </w:tc>
        <w:tc>
          <w:tcPr>
            <w:tcW w:w="10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GAAP)</w:t>
            </w:r>
          </w:p>
        </w:tc>
        <w:tc>
          <w:tcPr>
            <w:tcW w:w="0" w:type="dxa"/>
            <w:vAlign w:val="bottom"/>
          </w:tcPr>
          <w:p>
            <w:pPr>
              <w:spacing w:after="0"/>
              <w:rPr>
                <w:sz w:val="1"/>
                <w:szCs w:val="1"/>
                <w:color w:val="auto"/>
              </w:rPr>
            </w:pPr>
          </w:p>
        </w:tc>
      </w:tr>
      <w:tr>
        <w:trPr>
          <w:trHeight w:val="212"/>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416.8</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366.6</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316.9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276.7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sales—impairment, restructuring and other</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5.1</w:t>
            </w:r>
          </w:p>
        </w:tc>
        <w:tc>
          <w:tcPr>
            <w:tcW w:w="3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94.8</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88.5</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34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89.9</w:t>
            </w:r>
          </w:p>
        </w:tc>
        <w:tc>
          <w:tcPr>
            <w:tcW w:w="0" w:type="dxa"/>
            <w:vAlign w:val="bottom"/>
          </w:tcPr>
          <w:p>
            <w:pPr>
              <w:spacing w:after="0"/>
              <w:rPr>
                <w:sz w:val="1"/>
                <w:szCs w:val="1"/>
                <w:color w:val="auto"/>
              </w:rPr>
            </w:pPr>
          </w:p>
        </w:tc>
      </w:tr>
      <w:tr>
        <w:trPr>
          <w:trHeight w:val="21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of sales</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22.7 %</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24.1 %</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24.5 %</w:t>
            </w:r>
          </w:p>
        </w:tc>
        <w:tc>
          <w:tcPr>
            <w:tcW w:w="0" w:type="dxa"/>
            <w:vAlign w:val="bottom"/>
          </w:tcPr>
          <w:p>
            <w:pPr>
              <w:spacing w:after="0"/>
              <w:rPr>
                <w:sz w:val="1"/>
                <w:szCs w:val="1"/>
                <w:color w:val="auto"/>
              </w:rPr>
            </w:pPr>
          </w:p>
        </w:tc>
      </w:tr>
      <w:tr>
        <w:trPr>
          <w:trHeight w:val="213"/>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124.8</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113.5</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Impairment, restructuring and other</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 net</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w:t>
            </w:r>
          </w:p>
        </w:tc>
        <w:tc>
          <w:tcPr>
            <w:tcW w:w="3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(51.0)</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(45.8)</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(27.8)</w:t>
            </w:r>
          </w:p>
        </w:tc>
        <w:tc>
          <w:tcPr>
            <w:tcW w:w="0" w:type="dxa"/>
            <w:vAlign w:val="bottom"/>
          </w:tcPr>
          <w:p>
            <w:pPr>
              <w:spacing w:after="0"/>
              <w:rPr>
                <w:sz w:val="1"/>
                <w:szCs w:val="1"/>
                <w:color w:val="auto"/>
              </w:rPr>
            </w:pPr>
          </w:p>
        </w:tc>
      </w:tr>
      <w:tr>
        <w:trPr>
          <w:trHeight w:val="21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of sales</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w w:val="99"/>
              </w:rPr>
              <w:t>(12.2)%</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13"/>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 (income) loss of unconsolidated affiliates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1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33.7</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33.9</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non-operating expense, net</w:t>
            </w:r>
          </w:p>
        </w:tc>
        <w:tc>
          <w:tcPr>
            <w:tcW w:w="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continuing operations before income taxes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(95.9)</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(90.9)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(72.9)</w:t>
            </w:r>
          </w:p>
        </w:tc>
        <w:tc>
          <w:tcPr>
            <w:tcW w:w="0" w:type="dxa"/>
            <w:vAlign w:val="bottom"/>
          </w:tcPr>
          <w:p>
            <w:pPr>
              <w:spacing w:after="0"/>
              <w:rPr>
                <w:sz w:val="1"/>
                <w:szCs w:val="1"/>
                <w:color w:val="auto"/>
              </w:rPr>
            </w:pPr>
          </w:p>
        </w:tc>
      </w:tr>
      <w:tr>
        <w:trPr>
          <w:trHeight w:val="213"/>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 (benefit) from continuing operations</w:t>
            </w:r>
          </w:p>
        </w:tc>
        <w:tc>
          <w:tcPr>
            <w:tcW w:w="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6"/>
                <w:szCs w:val="16"/>
                <w:color w:val="auto"/>
              </w:rPr>
              <w:t>(26.4)</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(24.8)</w:t>
            </w: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3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ind w:right="79"/>
              <w:spacing w:after="0"/>
              <w:rPr>
                <w:sz w:val="20"/>
                <w:szCs w:val="20"/>
                <w:color w:val="auto"/>
              </w:rPr>
            </w:pPr>
            <w:r>
              <w:rPr>
                <w:rFonts w:ascii="Times New Roman" w:cs="Times New Roman" w:eastAsia="Times New Roman" w:hAnsi="Times New Roman"/>
                <w:sz w:val="16"/>
                <w:szCs w:val="16"/>
                <w:color w:val="auto"/>
              </w:rPr>
              <w:t>(22.7)</w:t>
            </w:r>
          </w:p>
        </w:tc>
        <w:tc>
          <w:tcPr>
            <w:tcW w:w="0" w:type="dxa"/>
            <w:vAlign w:val="bottom"/>
          </w:tcPr>
          <w:p>
            <w:pPr>
              <w:spacing w:after="0"/>
              <w:rPr>
                <w:sz w:val="1"/>
                <w:szCs w:val="1"/>
                <w:color w:val="auto"/>
              </w:rPr>
            </w:pPr>
          </w:p>
        </w:tc>
      </w:tr>
      <w:tr>
        <w:trPr>
          <w:trHeight w:val="212"/>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from continuing operations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(69.5)</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(66.1)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(50.2)</w:t>
            </w:r>
          </w:p>
        </w:tc>
        <w:tc>
          <w:tcPr>
            <w:tcW w:w="0" w:type="dxa"/>
            <w:vAlign w:val="bottom"/>
          </w:tcPr>
          <w:p>
            <w:pPr>
              <w:spacing w:after="0"/>
              <w:rPr>
                <w:sz w:val="1"/>
                <w:szCs w:val="1"/>
                <w:color w:val="auto"/>
              </w:rPr>
            </w:pPr>
          </w:p>
        </w:tc>
      </w:tr>
      <w:tr>
        <w:trPr>
          <w:trHeight w:val="213"/>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(loss) from discontinued operations, net of tax</w:t>
            </w:r>
          </w:p>
        </w:tc>
        <w:tc>
          <w:tcPr>
            <w:tcW w:w="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(3.4)</w:t>
            </w: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(69.5)</w:t>
            </w:r>
          </w:p>
        </w:tc>
        <w:tc>
          <w:tcPr>
            <w:tcW w:w="3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(69.5)</w:t>
            </w: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(loss) per common share: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Continuing operations</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(1.21)</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Discontinued operations</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(0.06)</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 net income (loss) per common share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6"/>
                <w:szCs w:val="16"/>
                <w:color w:val="auto"/>
              </w:rPr>
              <w:t>(1.21)</w:t>
            </w:r>
          </w:p>
        </w:tc>
        <w:tc>
          <w:tcPr>
            <w:tcW w:w="3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(1.21)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net income (loss) per common share:</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Continuing operations</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(1.21)</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(1.15)</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(0.88)</w:t>
            </w:r>
          </w:p>
        </w:tc>
        <w:tc>
          <w:tcPr>
            <w:tcW w:w="0" w:type="dxa"/>
            <w:vAlign w:val="bottom"/>
          </w:tcPr>
          <w:p>
            <w:pPr>
              <w:spacing w:after="0"/>
              <w:rPr>
                <w:sz w:val="1"/>
                <w:szCs w:val="1"/>
                <w:color w:val="auto"/>
              </w:rPr>
            </w:pPr>
          </w:p>
        </w:tc>
      </w:tr>
      <w:tr>
        <w:trPr>
          <w:trHeight w:val="213"/>
        </w:trPr>
        <w:tc>
          <w:tcPr>
            <w:tcW w:w="4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Discontinued operations</w:t>
            </w:r>
          </w:p>
        </w:tc>
        <w:tc>
          <w:tcPr>
            <w:tcW w:w="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(0.06)</w:t>
            </w: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 net income (loss) per common share</w:t>
            </w: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(1.21)</w:t>
            </w:r>
          </w:p>
        </w:tc>
        <w:tc>
          <w:tcPr>
            <w:tcW w:w="3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(1.21)</w:t>
            </w:r>
          </w:p>
        </w:tc>
        <w:tc>
          <w:tcPr>
            <w:tcW w:w="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4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shares used in basic net income (loss) per share</w:t>
            </w: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57.3</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57.3</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calculation</w:t>
            </w: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Times New Roman" w:cs="Times New Roman" w:eastAsia="Times New Roman" w:hAnsi="Times New Roman"/>
                <w:sz w:val="16"/>
                <w:szCs w:val="16"/>
                <w:color w:val="auto"/>
              </w:rPr>
              <w:t>Common shares and potential common shares used in diluted net</w:t>
            </w: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460" w:type="dxa"/>
            <w:vAlign w:val="bottom"/>
            <w:vMerge w:val="continue"/>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 (5)</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57.3</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57.3</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57.3</w:t>
            </w:r>
          </w:p>
        </w:tc>
        <w:tc>
          <w:tcPr>
            <w:tcW w:w="0" w:type="dxa"/>
            <w:vAlign w:val="bottom"/>
          </w:tcPr>
          <w:p>
            <w:pPr>
              <w:spacing w:after="0"/>
              <w:rPr>
                <w:sz w:val="1"/>
                <w:szCs w:val="1"/>
                <w:color w:val="auto"/>
              </w:rPr>
            </w:pPr>
          </w:p>
        </w:tc>
      </w:tr>
      <w:tr>
        <w:trPr>
          <w:trHeight w:val="189"/>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per share calculation</w:t>
            </w: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See accompanying footnotes.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sum of the components may not equal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320" w:top="111" w:right="35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THE SCOTTS MIRACLE-GRO COMPANY</w:t>
      </w:r>
    </w:p>
    <w:p>
      <w:pPr>
        <w:spacing w:after="0" w:line="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Revised Results of Operations and Reconciliation of Non-GAAP Disclosure Items (5)</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4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7"/>
          </w:tcPr>
          <w:p>
            <w:pPr>
              <w:ind w:left="280"/>
              <w:spacing w:after="0"/>
              <w:rPr>
                <w:sz w:val="20"/>
                <w:szCs w:val="20"/>
                <w:color w:val="auto"/>
              </w:rPr>
            </w:pPr>
            <w:r>
              <w:rPr>
                <w:rFonts w:ascii="Times New Roman" w:cs="Times New Roman" w:eastAsia="Times New Roman" w:hAnsi="Times New Roman"/>
                <w:sz w:val="16"/>
                <w:szCs w:val="16"/>
                <w:color w:val="auto"/>
              </w:rPr>
              <w:t>Twelve Months Ended September 30, 2024</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6"/>
                <w:szCs w:val="16"/>
                <w:color w:val="auto"/>
                <w:w w:val="99"/>
              </w:rPr>
              <w:t>Previously</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color w:val="auto"/>
              </w:rPr>
              <w:t>Revised</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440"/>
              <w:spacing w:after="0" w:line="158" w:lineRule="exact"/>
              <w:rPr>
                <w:sz w:val="20"/>
                <w:szCs w:val="20"/>
                <w:color w:val="auto"/>
              </w:rPr>
            </w:pPr>
            <w:r>
              <w:rPr>
                <w:rFonts w:ascii="Times New Roman" w:cs="Times New Roman" w:eastAsia="Times New Roman" w:hAnsi="Times New Roman"/>
                <w:sz w:val="16"/>
                <w:szCs w:val="16"/>
                <w:color w:val="auto"/>
              </w:rPr>
              <w:t>Impairment,</w:t>
            </w:r>
          </w:p>
        </w:tc>
        <w:tc>
          <w:tcPr>
            <w:tcW w:w="200" w:type="dxa"/>
            <w:vAlign w:val="bottom"/>
          </w:tcPr>
          <w:p>
            <w:pPr>
              <w:spacing w:after="0"/>
              <w:rPr>
                <w:sz w:val="13"/>
                <w:szCs w:val="13"/>
                <w:color w:val="auto"/>
              </w:rPr>
            </w:pPr>
          </w:p>
        </w:tc>
        <w:tc>
          <w:tcPr>
            <w:tcW w:w="1000" w:type="dxa"/>
            <w:vAlign w:val="bottom"/>
          </w:tcPr>
          <w:p>
            <w:pPr>
              <w:jc w:val="right"/>
              <w:ind w:right="239"/>
              <w:spacing w:after="0" w:line="158" w:lineRule="exact"/>
              <w:rPr>
                <w:sz w:val="20"/>
                <w:szCs w:val="20"/>
                <w:color w:val="auto"/>
              </w:rPr>
            </w:pPr>
            <w:r>
              <w:rPr>
                <w:rFonts w:ascii="Times New Roman" w:cs="Times New Roman" w:eastAsia="Times New Roman" w:hAnsi="Times New Roman"/>
                <w:sz w:val="16"/>
                <w:szCs w:val="16"/>
                <w:color w:val="auto"/>
              </w:rPr>
              <w:t>Adjusted</w:t>
            </w:r>
          </w:p>
        </w:tc>
        <w:tc>
          <w:tcPr>
            <w:tcW w:w="0" w:type="dxa"/>
            <w:vAlign w:val="bottom"/>
          </w:tcPr>
          <w:p>
            <w:pPr>
              <w:spacing w:after="0"/>
              <w:rPr>
                <w:sz w:val="1"/>
                <w:szCs w:val="1"/>
                <w:color w:val="auto"/>
              </w:rPr>
            </w:pPr>
          </w:p>
        </w:tc>
      </w:tr>
      <w:tr>
        <w:trPr>
          <w:trHeight w:val="162"/>
        </w:trPr>
        <w:tc>
          <w:tcPr>
            <w:tcW w:w="4480" w:type="dxa"/>
            <w:vAlign w:val="bottom"/>
          </w:tcPr>
          <w:p>
            <w:pPr>
              <w:spacing w:after="0"/>
              <w:rPr>
                <w:sz w:val="14"/>
                <w:szCs w:val="14"/>
                <w:color w:val="auto"/>
              </w:rPr>
            </w:pPr>
          </w:p>
        </w:tc>
        <w:tc>
          <w:tcPr>
            <w:tcW w:w="1100" w:type="dxa"/>
            <w:vAlign w:val="bottom"/>
            <w:gridSpan w:val="3"/>
            <w:vMerge w:val="restart"/>
          </w:tcPr>
          <w:p>
            <w:pPr>
              <w:jc w:val="right"/>
              <w:ind w:right="279"/>
              <w:spacing w:after="0"/>
              <w:rPr>
                <w:sz w:val="20"/>
                <w:szCs w:val="20"/>
                <w:color w:val="auto"/>
              </w:rPr>
            </w:pPr>
            <w:r>
              <w:rPr>
                <w:rFonts w:ascii="Times New Roman" w:cs="Times New Roman" w:eastAsia="Times New Roman" w:hAnsi="Times New Roman"/>
                <w:sz w:val="16"/>
                <w:szCs w:val="16"/>
                <w:color w:val="auto"/>
              </w:rPr>
              <w:t>Footnotes</w:t>
            </w:r>
          </w:p>
        </w:tc>
        <w:tc>
          <w:tcPr>
            <w:tcW w:w="104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color w:val="auto"/>
              </w:rPr>
              <w:t>Reported</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color w:val="auto"/>
              </w:rPr>
              <w:t>Reported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440"/>
              <w:spacing w:after="0" w:line="162" w:lineRule="exact"/>
              <w:rPr>
                <w:sz w:val="20"/>
                <w:szCs w:val="20"/>
                <w:color w:val="auto"/>
              </w:rPr>
            </w:pPr>
            <w:r>
              <w:rPr>
                <w:rFonts w:ascii="Times New Roman" w:cs="Times New Roman" w:eastAsia="Times New Roman" w:hAnsi="Times New Roman"/>
                <w:sz w:val="16"/>
                <w:szCs w:val="16"/>
                <w:color w:val="auto"/>
              </w:rPr>
              <w:t>Restructuring</w:t>
            </w:r>
          </w:p>
        </w:tc>
        <w:tc>
          <w:tcPr>
            <w:tcW w:w="200" w:type="dxa"/>
            <w:vAlign w:val="bottom"/>
          </w:tcPr>
          <w:p>
            <w:pPr>
              <w:spacing w:after="0"/>
              <w:rPr>
                <w:sz w:val="14"/>
                <w:szCs w:val="14"/>
                <w:color w:val="auto"/>
              </w:rPr>
            </w:pPr>
          </w:p>
        </w:tc>
        <w:tc>
          <w:tcPr>
            <w:tcW w:w="1000" w:type="dxa"/>
            <w:vAlign w:val="bottom"/>
          </w:tcPr>
          <w:p>
            <w:pPr>
              <w:jc w:val="right"/>
              <w:ind w:right="319"/>
              <w:spacing w:after="0" w:line="162" w:lineRule="exact"/>
              <w:rPr>
                <w:sz w:val="20"/>
                <w:szCs w:val="20"/>
                <w:color w:val="auto"/>
              </w:rPr>
            </w:pPr>
            <w:r>
              <w:rPr>
                <w:rFonts w:ascii="Times New Roman" w:cs="Times New Roman" w:eastAsia="Times New Roman" w:hAnsi="Times New Roman"/>
                <w:sz w:val="16"/>
                <w:szCs w:val="16"/>
                <w:color w:val="auto"/>
              </w:rPr>
              <w:t>(Non-</w:t>
            </w:r>
          </w:p>
        </w:tc>
        <w:tc>
          <w:tcPr>
            <w:tcW w:w="0" w:type="dxa"/>
            <w:vAlign w:val="bottom"/>
          </w:tcPr>
          <w:p>
            <w:pPr>
              <w:spacing w:after="0"/>
              <w:rPr>
                <w:sz w:val="1"/>
                <w:szCs w:val="1"/>
                <w:color w:val="auto"/>
              </w:rPr>
            </w:pPr>
          </w:p>
        </w:tc>
      </w:tr>
      <w:tr>
        <w:trPr>
          <w:trHeight w:val="213"/>
        </w:trPr>
        <w:tc>
          <w:tcPr>
            <w:tcW w:w="448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10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(GAAP) (1)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(GAAP) (2)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color w:val="auto"/>
              </w:rPr>
              <w:t>and Other</w:t>
            </w:r>
          </w:p>
        </w:tc>
        <w:tc>
          <w:tcPr>
            <w:tcW w:w="200" w:type="dxa"/>
            <w:vAlign w:val="bottom"/>
          </w:tcPr>
          <w:p>
            <w:pPr>
              <w:spacing w:after="0"/>
              <w:rPr>
                <w:sz w:val="18"/>
                <w:szCs w:val="18"/>
                <w:color w:val="auto"/>
              </w:rPr>
            </w:pPr>
          </w:p>
        </w:tc>
        <w:tc>
          <w:tcPr>
            <w:tcW w:w="10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GAAP)</w:t>
            </w:r>
          </w:p>
        </w:tc>
        <w:tc>
          <w:tcPr>
            <w:tcW w:w="0" w:type="dxa"/>
            <w:vAlign w:val="bottom"/>
          </w:tcPr>
          <w:p>
            <w:pPr>
              <w:spacing w:after="0"/>
              <w:rPr>
                <w:sz w:val="1"/>
                <w:szCs w:val="1"/>
                <w:color w:val="auto"/>
              </w:rPr>
            </w:pPr>
          </w:p>
        </w:tc>
      </w:tr>
      <w:tr>
        <w:trPr>
          <w:trHeight w:val="212"/>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3,552.7</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3,268.4</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2,618.7</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2,367.9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sales—impairment, restructuring and other</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83.5</w:t>
            </w:r>
          </w:p>
        </w:tc>
        <w:tc>
          <w:tcPr>
            <w:tcW w:w="3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11.7</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850.5</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888.8</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34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900.5</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of sales</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23.9 %</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27.2 %</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27.6 %</w:t>
            </w:r>
          </w:p>
        </w:tc>
        <w:tc>
          <w:tcPr>
            <w:tcW w:w="0" w:type="dxa"/>
            <w:vAlign w:val="bottom"/>
          </w:tcPr>
          <w:p>
            <w:pPr>
              <w:spacing w:after="0"/>
              <w:rPr>
                <w:sz w:val="1"/>
                <w:szCs w:val="1"/>
                <w:color w:val="auto"/>
              </w:rPr>
            </w:pPr>
          </w:p>
        </w:tc>
      </w:tr>
      <w:tr>
        <w:trPr>
          <w:trHeight w:val="21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559.0</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507.6</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Impairment, restructuring and other</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62.8</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70.7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 net</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19.9</w:t>
            </w:r>
          </w:p>
        </w:tc>
        <w:tc>
          <w:tcPr>
            <w:tcW w:w="3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20.8</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208.8</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289.7</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372.1</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of sales</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5.9 %</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8.9 %</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11.4 %</w:t>
            </w:r>
          </w:p>
        </w:tc>
        <w:tc>
          <w:tcPr>
            <w:tcW w:w="0" w:type="dxa"/>
            <w:vAlign w:val="bottom"/>
          </w:tcPr>
          <w:p>
            <w:pPr>
              <w:spacing w:after="0"/>
              <w:rPr>
                <w:sz w:val="1"/>
                <w:szCs w:val="1"/>
                <w:color w:val="auto"/>
              </w:rPr>
            </w:pPr>
          </w:p>
        </w:tc>
      </w:tr>
      <w:tr>
        <w:trPr>
          <w:trHeight w:val="21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 (income) loss of unconsolidated affiliates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68.1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68.1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158.8</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157.6</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non-operating expense, net</w:t>
            </w: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5.5</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5.6</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continuing operations before income taxes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(23.6)</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58.4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202.6</w:t>
            </w:r>
          </w:p>
        </w:tc>
        <w:tc>
          <w:tcPr>
            <w:tcW w:w="0" w:type="dxa"/>
            <w:vAlign w:val="bottom"/>
          </w:tcPr>
          <w:p>
            <w:pPr>
              <w:spacing w:after="0"/>
              <w:rPr>
                <w:sz w:val="1"/>
                <w:szCs w:val="1"/>
                <w:color w:val="auto"/>
              </w:rPr>
            </w:pPr>
          </w:p>
        </w:tc>
      </w:tr>
      <w:tr>
        <w:trPr>
          <w:trHeight w:val="213"/>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 (benefit) from continuing operations</w:t>
            </w: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11.3</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31.1</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3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57.7</w:t>
            </w:r>
          </w:p>
        </w:tc>
        <w:tc>
          <w:tcPr>
            <w:tcW w:w="0" w:type="dxa"/>
            <w:vAlign w:val="bottom"/>
          </w:tcPr>
          <w:p>
            <w:pPr>
              <w:spacing w:after="0"/>
              <w:rPr>
                <w:sz w:val="1"/>
                <w:szCs w:val="1"/>
                <w:color w:val="auto"/>
              </w:rPr>
            </w:pPr>
          </w:p>
        </w:tc>
      </w:tr>
      <w:tr>
        <w:trPr>
          <w:trHeight w:val="212"/>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from continuing operations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(34.9)</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144.9</w:t>
            </w:r>
          </w:p>
        </w:tc>
        <w:tc>
          <w:tcPr>
            <w:tcW w:w="0" w:type="dxa"/>
            <w:vAlign w:val="bottom"/>
          </w:tcPr>
          <w:p>
            <w:pPr>
              <w:spacing w:after="0"/>
              <w:rPr>
                <w:sz w:val="1"/>
                <w:szCs w:val="1"/>
                <w:color w:val="auto"/>
              </w:rPr>
            </w:pPr>
          </w:p>
        </w:tc>
      </w:tr>
      <w:tr>
        <w:trPr>
          <w:trHeight w:val="213"/>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(loss) from discontinued operations, net of tax</w:t>
            </w: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(62.2)</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8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(34.9)</w:t>
            </w:r>
          </w:p>
        </w:tc>
        <w:tc>
          <w:tcPr>
            <w:tcW w:w="3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(34.9)</w:t>
            </w:r>
          </w:p>
        </w:tc>
        <w:tc>
          <w:tcPr>
            <w:tcW w:w="3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(loss) per common share: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Continuing operations</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(0.61)</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0.48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Discontinued operations</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(1.09)</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 net income (loss) per common share</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(0.61)</w:t>
            </w:r>
          </w:p>
        </w:tc>
        <w:tc>
          <w:tcPr>
            <w:tcW w:w="3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(0.61)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net income (loss) per common share:</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Continuing operations</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(0.61)</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0.47</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2.51</w:t>
            </w:r>
          </w:p>
        </w:tc>
        <w:tc>
          <w:tcPr>
            <w:tcW w:w="0" w:type="dxa"/>
            <w:vAlign w:val="bottom"/>
          </w:tcPr>
          <w:p>
            <w:pPr>
              <w:spacing w:after="0"/>
              <w:rPr>
                <w:sz w:val="1"/>
                <w:szCs w:val="1"/>
                <w:color w:val="auto"/>
              </w:rPr>
            </w:pPr>
          </w:p>
        </w:tc>
      </w:tr>
      <w:tr>
        <w:trPr>
          <w:trHeight w:val="213"/>
        </w:trPr>
        <w:tc>
          <w:tcPr>
            <w:tcW w:w="4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Discontinued operations</w:t>
            </w: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(1.07)</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 net income (loss) per common share</w:t>
            </w: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(0.61)</w:t>
            </w:r>
          </w:p>
        </w:tc>
        <w:tc>
          <w:tcPr>
            <w:tcW w:w="3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(0.60)</w:t>
            </w: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4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shares used in basic net income (loss) per share</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56.8</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56.8</w:t>
            </w: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calculation</w:t>
            </w:r>
          </w:p>
        </w:tc>
        <w:tc>
          <w:tcPr>
            <w:tcW w:w="8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Times New Roman" w:cs="Times New Roman" w:eastAsia="Times New Roman" w:hAnsi="Times New Roman"/>
                <w:sz w:val="16"/>
                <w:szCs w:val="16"/>
                <w:color w:val="auto"/>
              </w:rPr>
              <w:t>Common shares and potential common shares used in diluted net</w:t>
            </w: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480" w:type="dxa"/>
            <w:vAlign w:val="bottom"/>
            <w:vMerge w:val="continue"/>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 (5)</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56.8</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57.7</w:t>
            </w: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57.7</w:t>
            </w:r>
          </w:p>
        </w:tc>
        <w:tc>
          <w:tcPr>
            <w:tcW w:w="0" w:type="dxa"/>
            <w:vAlign w:val="bottom"/>
          </w:tcPr>
          <w:p>
            <w:pPr>
              <w:spacing w:after="0"/>
              <w:rPr>
                <w:sz w:val="1"/>
                <w:szCs w:val="1"/>
                <w:color w:val="auto"/>
              </w:rPr>
            </w:pPr>
          </w:p>
        </w:tc>
      </w:tr>
      <w:tr>
        <w:trPr>
          <w:trHeight w:val="189"/>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per share calculation</w:t>
            </w: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See accompanying footnotes.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sum of the components may not equal due to rounding.</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20"/>
          </w:cols>
          <w:pgMar w:left="320" w:top="111" w:right="35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THE SCOTTS MIRACLE-GRO COMPANY</w:t>
      </w:r>
    </w:p>
    <w:p>
      <w:pPr>
        <w:spacing w:after="0" w:line="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Revised Results of Operations and Reconciliation of Non-GAAP Disclosure Items (5)</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4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7"/>
          </w:tcPr>
          <w:p>
            <w:pPr>
              <w:ind w:left="340"/>
              <w:spacing w:after="0"/>
              <w:rPr>
                <w:sz w:val="20"/>
                <w:szCs w:val="20"/>
                <w:color w:val="auto"/>
              </w:rPr>
            </w:pPr>
            <w:r>
              <w:rPr>
                <w:rFonts w:ascii="Times New Roman" w:cs="Times New Roman" w:eastAsia="Times New Roman" w:hAnsi="Times New Roman"/>
                <w:sz w:val="16"/>
                <w:szCs w:val="16"/>
                <w:color w:val="auto"/>
              </w:rPr>
              <w:t>Three Months Ended September 30, 2024</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6"/>
                <w:szCs w:val="16"/>
                <w:color w:val="auto"/>
                <w:w w:val="99"/>
              </w:rPr>
              <w:t>Previously</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color w:val="auto"/>
              </w:rPr>
              <w:t>Revised</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440"/>
              <w:spacing w:after="0" w:line="158" w:lineRule="exact"/>
              <w:rPr>
                <w:sz w:val="20"/>
                <w:szCs w:val="20"/>
                <w:color w:val="auto"/>
              </w:rPr>
            </w:pPr>
            <w:r>
              <w:rPr>
                <w:rFonts w:ascii="Times New Roman" w:cs="Times New Roman" w:eastAsia="Times New Roman" w:hAnsi="Times New Roman"/>
                <w:sz w:val="16"/>
                <w:szCs w:val="16"/>
                <w:color w:val="auto"/>
              </w:rPr>
              <w:t>Impairment,</w:t>
            </w:r>
          </w:p>
        </w:tc>
        <w:tc>
          <w:tcPr>
            <w:tcW w:w="200" w:type="dxa"/>
            <w:vAlign w:val="bottom"/>
          </w:tcPr>
          <w:p>
            <w:pPr>
              <w:spacing w:after="0"/>
              <w:rPr>
                <w:sz w:val="13"/>
                <w:szCs w:val="13"/>
                <w:color w:val="auto"/>
              </w:rPr>
            </w:pPr>
          </w:p>
        </w:tc>
        <w:tc>
          <w:tcPr>
            <w:tcW w:w="1000" w:type="dxa"/>
            <w:vAlign w:val="bottom"/>
          </w:tcPr>
          <w:p>
            <w:pPr>
              <w:jc w:val="right"/>
              <w:ind w:right="239"/>
              <w:spacing w:after="0" w:line="158" w:lineRule="exact"/>
              <w:rPr>
                <w:sz w:val="20"/>
                <w:szCs w:val="20"/>
                <w:color w:val="auto"/>
              </w:rPr>
            </w:pPr>
            <w:r>
              <w:rPr>
                <w:rFonts w:ascii="Times New Roman" w:cs="Times New Roman" w:eastAsia="Times New Roman" w:hAnsi="Times New Roman"/>
                <w:sz w:val="16"/>
                <w:szCs w:val="16"/>
                <w:color w:val="auto"/>
              </w:rPr>
              <w:t>Adjusted</w:t>
            </w:r>
          </w:p>
        </w:tc>
        <w:tc>
          <w:tcPr>
            <w:tcW w:w="0" w:type="dxa"/>
            <w:vAlign w:val="bottom"/>
          </w:tcPr>
          <w:p>
            <w:pPr>
              <w:spacing w:after="0"/>
              <w:rPr>
                <w:sz w:val="1"/>
                <w:szCs w:val="1"/>
                <w:color w:val="auto"/>
              </w:rPr>
            </w:pPr>
          </w:p>
        </w:tc>
      </w:tr>
      <w:tr>
        <w:trPr>
          <w:trHeight w:val="162"/>
        </w:trPr>
        <w:tc>
          <w:tcPr>
            <w:tcW w:w="4480" w:type="dxa"/>
            <w:vAlign w:val="bottom"/>
          </w:tcPr>
          <w:p>
            <w:pPr>
              <w:spacing w:after="0"/>
              <w:rPr>
                <w:sz w:val="14"/>
                <w:szCs w:val="14"/>
                <w:color w:val="auto"/>
              </w:rPr>
            </w:pPr>
          </w:p>
        </w:tc>
        <w:tc>
          <w:tcPr>
            <w:tcW w:w="1100" w:type="dxa"/>
            <w:vAlign w:val="bottom"/>
            <w:gridSpan w:val="3"/>
            <w:vMerge w:val="restart"/>
          </w:tcPr>
          <w:p>
            <w:pPr>
              <w:jc w:val="right"/>
              <w:ind w:right="279"/>
              <w:spacing w:after="0"/>
              <w:rPr>
                <w:sz w:val="20"/>
                <w:szCs w:val="20"/>
                <w:color w:val="auto"/>
              </w:rPr>
            </w:pPr>
            <w:r>
              <w:rPr>
                <w:rFonts w:ascii="Times New Roman" w:cs="Times New Roman" w:eastAsia="Times New Roman" w:hAnsi="Times New Roman"/>
                <w:sz w:val="16"/>
                <w:szCs w:val="16"/>
                <w:color w:val="auto"/>
              </w:rPr>
              <w:t>Footnotes</w:t>
            </w:r>
          </w:p>
        </w:tc>
        <w:tc>
          <w:tcPr>
            <w:tcW w:w="104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color w:val="auto"/>
              </w:rPr>
              <w:t>Reported</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color w:val="auto"/>
              </w:rPr>
              <w:t>Reported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440"/>
              <w:spacing w:after="0" w:line="162" w:lineRule="exact"/>
              <w:rPr>
                <w:sz w:val="20"/>
                <w:szCs w:val="20"/>
                <w:color w:val="auto"/>
              </w:rPr>
            </w:pPr>
            <w:r>
              <w:rPr>
                <w:rFonts w:ascii="Times New Roman" w:cs="Times New Roman" w:eastAsia="Times New Roman" w:hAnsi="Times New Roman"/>
                <w:sz w:val="16"/>
                <w:szCs w:val="16"/>
                <w:color w:val="auto"/>
              </w:rPr>
              <w:t>Restructuring</w:t>
            </w:r>
          </w:p>
        </w:tc>
        <w:tc>
          <w:tcPr>
            <w:tcW w:w="200" w:type="dxa"/>
            <w:vAlign w:val="bottom"/>
          </w:tcPr>
          <w:p>
            <w:pPr>
              <w:spacing w:after="0"/>
              <w:rPr>
                <w:sz w:val="14"/>
                <w:szCs w:val="14"/>
                <w:color w:val="auto"/>
              </w:rPr>
            </w:pPr>
          </w:p>
        </w:tc>
        <w:tc>
          <w:tcPr>
            <w:tcW w:w="1000" w:type="dxa"/>
            <w:vAlign w:val="bottom"/>
          </w:tcPr>
          <w:p>
            <w:pPr>
              <w:jc w:val="right"/>
              <w:ind w:right="319"/>
              <w:spacing w:after="0" w:line="162" w:lineRule="exact"/>
              <w:rPr>
                <w:sz w:val="20"/>
                <w:szCs w:val="20"/>
                <w:color w:val="auto"/>
              </w:rPr>
            </w:pPr>
            <w:r>
              <w:rPr>
                <w:rFonts w:ascii="Times New Roman" w:cs="Times New Roman" w:eastAsia="Times New Roman" w:hAnsi="Times New Roman"/>
                <w:sz w:val="16"/>
                <w:szCs w:val="16"/>
                <w:color w:val="auto"/>
              </w:rPr>
              <w:t>(Non-</w:t>
            </w:r>
          </w:p>
        </w:tc>
        <w:tc>
          <w:tcPr>
            <w:tcW w:w="0" w:type="dxa"/>
            <w:vAlign w:val="bottom"/>
          </w:tcPr>
          <w:p>
            <w:pPr>
              <w:spacing w:after="0"/>
              <w:rPr>
                <w:sz w:val="1"/>
                <w:szCs w:val="1"/>
                <w:color w:val="auto"/>
              </w:rPr>
            </w:pPr>
          </w:p>
        </w:tc>
      </w:tr>
      <w:tr>
        <w:trPr>
          <w:trHeight w:val="213"/>
        </w:trPr>
        <w:tc>
          <w:tcPr>
            <w:tcW w:w="448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10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(GAAP) (1)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(GAAP) (2)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color w:val="auto"/>
              </w:rPr>
              <w:t>and Other</w:t>
            </w:r>
          </w:p>
        </w:tc>
        <w:tc>
          <w:tcPr>
            <w:tcW w:w="200" w:type="dxa"/>
            <w:vAlign w:val="bottom"/>
          </w:tcPr>
          <w:p>
            <w:pPr>
              <w:spacing w:after="0"/>
              <w:rPr>
                <w:sz w:val="18"/>
                <w:szCs w:val="18"/>
                <w:color w:val="auto"/>
              </w:rPr>
            </w:pPr>
          </w:p>
        </w:tc>
        <w:tc>
          <w:tcPr>
            <w:tcW w:w="10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GAAP)</w:t>
            </w:r>
          </w:p>
        </w:tc>
        <w:tc>
          <w:tcPr>
            <w:tcW w:w="0" w:type="dxa"/>
            <w:vAlign w:val="bottom"/>
          </w:tcPr>
          <w:p>
            <w:pPr>
              <w:spacing w:after="0"/>
              <w:rPr>
                <w:sz w:val="1"/>
                <w:szCs w:val="1"/>
                <w:color w:val="auto"/>
              </w:rPr>
            </w:pPr>
          </w:p>
        </w:tc>
      </w:tr>
      <w:tr>
        <w:trPr>
          <w:trHeight w:val="212"/>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414.7</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336.0</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427.5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357.5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sales—impairment, restructuring and other</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16.8</w:t>
            </w:r>
          </w:p>
        </w:tc>
        <w:tc>
          <w:tcPr>
            <w:tcW w:w="3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7.9</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(29.6)</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(29.4)</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34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(21.5)</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of sales</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1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117.6</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102.6</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Impairment, restructuring and other</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68.7</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68.7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 net</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c>
          <w:tcPr>
            <w:tcW w:w="3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0.6</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(216.0)</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(201.3)</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(124.7)</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of sales</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0" w:type="dxa"/>
            <w:vAlign w:val="bottom"/>
          </w:tcPr>
          <w:p>
            <w:pPr>
              <w:spacing w:after="0"/>
              <w:rPr>
                <w:sz w:val="1"/>
                <w:szCs w:val="1"/>
                <w:color w:val="auto"/>
              </w:rPr>
            </w:pPr>
          </w:p>
        </w:tc>
      </w:tr>
      <w:tr>
        <w:trPr>
          <w:trHeight w:val="21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 (income) loss of unconsolidated affiliates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61.6</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61.6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33.1</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32.0</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non-operating expense, net</w:t>
            </w: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continuing operations before income taxes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(312.1)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(296.3)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(168.3)</w:t>
            </w:r>
          </w:p>
        </w:tc>
        <w:tc>
          <w:tcPr>
            <w:tcW w:w="0" w:type="dxa"/>
            <w:vAlign w:val="bottom"/>
          </w:tcPr>
          <w:p>
            <w:pPr>
              <w:spacing w:after="0"/>
              <w:rPr>
                <w:sz w:val="1"/>
                <w:szCs w:val="1"/>
                <w:color w:val="auto"/>
              </w:rPr>
            </w:pPr>
          </w:p>
        </w:tc>
      </w:tr>
      <w:tr>
        <w:trPr>
          <w:trHeight w:val="213"/>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 (benefit) from continuing operations</w:t>
            </w: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(68.1)</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(66.9)</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3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79"/>
              <w:spacing w:after="0"/>
              <w:rPr>
                <w:sz w:val="20"/>
                <w:szCs w:val="20"/>
                <w:color w:val="auto"/>
              </w:rPr>
            </w:pPr>
            <w:r>
              <w:rPr>
                <w:rFonts w:ascii="Times New Roman" w:cs="Times New Roman" w:eastAsia="Times New Roman" w:hAnsi="Times New Roman"/>
                <w:sz w:val="16"/>
                <w:szCs w:val="16"/>
                <w:color w:val="auto"/>
              </w:rPr>
              <w:t>(41.5)</w:t>
            </w:r>
          </w:p>
        </w:tc>
        <w:tc>
          <w:tcPr>
            <w:tcW w:w="0" w:type="dxa"/>
            <w:vAlign w:val="bottom"/>
          </w:tcPr>
          <w:p>
            <w:pPr>
              <w:spacing w:after="0"/>
              <w:rPr>
                <w:sz w:val="1"/>
                <w:szCs w:val="1"/>
                <w:color w:val="auto"/>
              </w:rPr>
            </w:pPr>
          </w:p>
        </w:tc>
      </w:tr>
      <w:tr>
        <w:trPr>
          <w:trHeight w:val="212"/>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from continuing operations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(244.0)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(229.4)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(126.8)</w:t>
            </w:r>
          </w:p>
        </w:tc>
        <w:tc>
          <w:tcPr>
            <w:tcW w:w="0" w:type="dxa"/>
            <w:vAlign w:val="bottom"/>
          </w:tcPr>
          <w:p>
            <w:pPr>
              <w:spacing w:after="0"/>
              <w:rPr>
                <w:sz w:val="1"/>
                <w:szCs w:val="1"/>
                <w:color w:val="auto"/>
              </w:rPr>
            </w:pPr>
          </w:p>
        </w:tc>
      </w:tr>
      <w:tr>
        <w:trPr>
          <w:trHeight w:val="213"/>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(loss) from discontinued operations, net of tax</w:t>
            </w: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(14.6)</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8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(244.0)</w:t>
            </w:r>
          </w:p>
        </w:tc>
        <w:tc>
          <w:tcPr>
            <w:tcW w:w="3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(244.0)</w:t>
            </w:r>
          </w:p>
        </w:tc>
        <w:tc>
          <w:tcPr>
            <w:tcW w:w="3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(loss) per common share: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Continuing operations</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(4.29)</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(4.03)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Discontinued operations</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(0.26)</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 net income (loss) per common share</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(4.29)</w:t>
            </w:r>
          </w:p>
        </w:tc>
        <w:tc>
          <w:tcPr>
            <w:tcW w:w="3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(4.29)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net income (loss) per common share:</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Continuing operations</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(4.29)</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(4.03)</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(2.23)</w:t>
            </w:r>
          </w:p>
        </w:tc>
        <w:tc>
          <w:tcPr>
            <w:tcW w:w="0" w:type="dxa"/>
            <w:vAlign w:val="bottom"/>
          </w:tcPr>
          <w:p>
            <w:pPr>
              <w:spacing w:after="0"/>
              <w:rPr>
                <w:sz w:val="1"/>
                <w:szCs w:val="1"/>
                <w:color w:val="auto"/>
              </w:rPr>
            </w:pPr>
          </w:p>
        </w:tc>
      </w:tr>
      <w:tr>
        <w:trPr>
          <w:trHeight w:val="213"/>
        </w:trPr>
        <w:tc>
          <w:tcPr>
            <w:tcW w:w="4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Discontinued operations</w:t>
            </w: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(0.26)</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 net income (loss) per common share</w:t>
            </w: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(4.29)</w:t>
            </w:r>
          </w:p>
        </w:tc>
        <w:tc>
          <w:tcPr>
            <w:tcW w:w="3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(4.29)</w:t>
            </w: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4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shares used in basic net income (loss) per share</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56.9</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56.9</w:t>
            </w: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calculation</w:t>
            </w:r>
          </w:p>
        </w:tc>
        <w:tc>
          <w:tcPr>
            <w:tcW w:w="8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Times New Roman" w:cs="Times New Roman" w:eastAsia="Times New Roman" w:hAnsi="Times New Roman"/>
                <w:sz w:val="16"/>
                <w:szCs w:val="16"/>
                <w:color w:val="auto"/>
              </w:rPr>
              <w:t>Common shares and potential common shares used in diluted net</w:t>
            </w: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480" w:type="dxa"/>
            <w:vAlign w:val="bottom"/>
            <w:vMerge w:val="continue"/>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 (5)</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56.9</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56.9</w:t>
            </w: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56.9</w:t>
            </w:r>
          </w:p>
        </w:tc>
        <w:tc>
          <w:tcPr>
            <w:tcW w:w="0" w:type="dxa"/>
            <w:vAlign w:val="bottom"/>
          </w:tcPr>
          <w:p>
            <w:pPr>
              <w:spacing w:after="0"/>
              <w:rPr>
                <w:sz w:val="1"/>
                <w:szCs w:val="1"/>
                <w:color w:val="auto"/>
              </w:rPr>
            </w:pPr>
          </w:p>
        </w:tc>
      </w:tr>
      <w:tr>
        <w:trPr>
          <w:trHeight w:val="189"/>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per share calculation</w:t>
            </w: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See accompanying footnotes.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sum of the components may not equal due to rounding.</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20"/>
          </w:cols>
          <w:pgMar w:left="320" w:top="111" w:right="35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THE SCOTTS MIRACLE-GRO COMPANY</w:t>
      </w:r>
    </w:p>
    <w:p>
      <w:pPr>
        <w:spacing w:after="0" w:line="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Revised Results of Operations and Reconciliation of Non-GAAP Disclosure Items (5)</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4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6"/>
                <w:szCs w:val="16"/>
                <w:color w:val="auto"/>
              </w:rPr>
              <w:t>Three Months Ended June 29, 2024</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center"/>
              <w:ind w:right="500"/>
              <w:spacing w:after="0" w:line="158" w:lineRule="exact"/>
              <w:rPr>
                <w:sz w:val="20"/>
                <w:szCs w:val="20"/>
                <w:color w:val="auto"/>
              </w:rPr>
            </w:pPr>
            <w:r>
              <w:rPr>
                <w:rFonts w:ascii="Times New Roman" w:cs="Times New Roman" w:eastAsia="Times New Roman" w:hAnsi="Times New Roman"/>
                <w:sz w:val="16"/>
                <w:szCs w:val="16"/>
                <w:color w:val="auto"/>
                <w:w w:val="99"/>
              </w:rPr>
              <w:t>Previously</w:t>
            </w:r>
          </w:p>
        </w:tc>
        <w:tc>
          <w:tcPr>
            <w:tcW w:w="160" w:type="dxa"/>
            <w:vAlign w:val="bottom"/>
          </w:tcPr>
          <w:p>
            <w:pPr>
              <w:spacing w:after="0"/>
              <w:rPr>
                <w:sz w:val="13"/>
                <w:szCs w:val="13"/>
                <w:color w:val="auto"/>
              </w:rPr>
            </w:pPr>
          </w:p>
        </w:tc>
        <w:tc>
          <w:tcPr>
            <w:tcW w:w="106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color w:val="auto"/>
              </w:rPr>
              <w:t>Revised</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440"/>
              <w:spacing w:after="0" w:line="158" w:lineRule="exact"/>
              <w:rPr>
                <w:sz w:val="20"/>
                <w:szCs w:val="20"/>
                <w:color w:val="auto"/>
              </w:rPr>
            </w:pPr>
            <w:r>
              <w:rPr>
                <w:rFonts w:ascii="Times New Roman" w:cs="Times New Roman" w:eastAsia="Times New Roman" w:hAnsi="Times New Roman"/>
                <w:sz w:val="16"/>
                <w:szCs w:val="16"/>
                <w:color w:val="auto"/>
              </w:rPr>
              <w:t>Impairment,</w:t>
            </w:r>
          </w:p>
        </w:tc>
        <w:tc>
          <w:tcPr>
            <w:tcW w:w="200" w:type="dxa"/>
            <w:vAlign w:val="bottom"/>
          </w:tcPr>
          <w:p>
            <w:pPr>
              <w:spacing w:after="0"/>
              <w:rPr>
                <w:sz w:val="13"/>
                <w:szCs w:val="13"/>
                <w:color w:val="auto"/>
              </w:rPr>
            </w:pPr>
          </w:p>
        </w:tc>
        <w:tc>
          <w:tcPr>
            <w:tcW w:w="1000" w:type="dxa"/>
            <w:vAlign w:val="bottom"/>
          </w:tcPr>
          <w:p>
            <w:pPr>
              <w:jc w:val="right"/>
              <w:ind w:right="239"/>
              <w:spacing w:after="0" w:line="158" w:lineRule="exact"/>
              <w:rPr>
                <w:sz w:val="20"/>
                <w:szCs w:val="20"/>
                <w:color w:val="auto"/>
              </w:rPr>
            </w:pPr>
            <w:r>
              <w:rPr>
                <w:rFonts w:ascii="Times New Roman" w:cs="Times New Roman" w:eastAsia="Times New Roman" w:hAnsi="Times New Roman"/>
                <w:sz w:val="16"/>
                <w:szCs w:val="16"/>
                <w:color w:val="auto"/>
              </w:rPr>
              <w:t>Adjusted</w:t>
            </w:r>
          </w:p>
        </w:tc>
        <w:tc>
          <w:tcPr>
            <w:tcW w:w="0" w:type="dxa"/>
            <w:vAlign w:val="bottom"/>
          </w:tcPr>
          <w:p>
            <w:pPr>
              <w:spacing w:after="0"/>
              <w:rPr>
                <w:sz w:val="1"/>
                <w:szCs w:val="1"/>
                <w:color w:val="auto"/>
              </w:rPr>
            </w:pPr>
          </w:p>
        </w:tc>
      </w:tr>
      <w:tr>
        <w:trPr>
          <w:trHeight w:val="162"/>
        </w:trPr>
        <w:tc>
          <w:tcPr>
            <w:tcW w:w="4480" w:type="dxa"/>
            <w:vAlign w:val="bottom"/>
          </w:tcPr>
          <w:p>
            <w:pPr>
              <w:spacing w:after="0"/>
              <w:rPr>
                <w:sz w:val="14"/>
                <w:szCs w:val="14"/>
                <w:color w:val="auto"/>
              </w:rPr>
            </w:pPr>
          </w:p>
        </w:tc>
        <w:tc>
          <w:tcPr>
            <w:tcW w:w="1100" w:type="dxa"/>
            <w:vAlign w:val="bottom"/>
            <w:gridSpan w:val="3"/>
            <w:vMerge w:val="restart"/>
          </w:tcPr>
          <w:p>
            <w:pPr>
              <w:jc w:val="right"/>
              <w:ind w:right="279"/>
              <w:spacing w:after="0"/>
              <w:rPr>
                <w:sz w:val="20"/>
                <w:szCs w:val="20"/>
                <w:color w:val="auto"/>
              </w:rPr>
            </w:pPr>
            <w:r>
              <w:rPr>
                <w:rFonts w:ascii="Times New Roman" w:cs="Times New Roman" w:eastAsia="Times New Roman" w:hAnsi="Times New Roman"/>
                <w:sz w:val="16"/>
                <w:szCs w:val="16"/>
                <w:color w:val="auto"/>
              </w:rPr>
              <w:t>Footnotes</w:t>
            </w:r>
          </w:p>
        </w:tc>
        <w:tc>
          <w:tcPr>
            <w:tcW w:w="1380" w:type="dxa"/>
            <w:vAlign w:val="bottom"/>
            <w:gridSpan w:val="2"/>
          </w:tcPr>
          <w:p>
            <w:pPr>
              <w:jc w:val="center"/>
              <w:ind w:right="500"/>
              <w:spacing w:after="0" w:line="162" w:lineRule="exact"/>
              <w:rPr>
                <w:sz w:val="20"/>
                <w:szCs w:val="20"/>
                <w:color w:val="auto"/>
              </w:rPr>
            </w:pPr>
            <w:r>
              <w:rPr>
                <w:rFonts w:ascii="Times New Roman" w:cs="Times New Roman" w:eastAsia="Times New Roman" w:hAnsi="Times New Roman"/>
                <w:sz w:val="16"/>
                <w:szCs w:val="16"/>
                <w:color w:val="auto"/>
              </w:rPr>
              <w:t>Reported</w:t>
            </w:r>
          </w:p>
        </w:tc>
        <w:tc>
          <w:tcPr>
            <w:tcW w:w="160" w:type="dxa"/>
            <w:vAlign w:val="bottom"/>
          </w:tcPr>
          <w:p>
            <w:pPr>
              <w:spacing w:after="0"/>
              <w:rPr>
                <w:sz w:val="14"/>
                <w:szCs w:val="14"/>
                <w:color w:val="auto"/>
              </w:rPr>
            </w:pPr>
          </w:p>
        </w:tc>
        <w:tc>
          <w:tcPr>
            <w:tcW w:w="106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color w:val="auto"/>
              </w:rPr>
              <w:t>Reported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440"/>
              <w:spacing w:after="0" w:line="162" w:lineRule="exact"/>
              <w:rPr>
                <w:sz w:val="20"/>
                <w:szCs w:val="20"/>
                <w:color w:val="auto"/>
              </w:rPr>
            </w:pPr>
            <w:r>
              <w:rPr>
                <w:rFonts w:ascii="Times New Roman" w:cs="Times New Roman" w:eastAsia="Times New Roman" w:hAnsi="Times New Roman"/>
                <w:sz w:val="16"/>
                <w:szCs w:val="16"/>
                <w:color w:val="auto"/>
              </w:rPr>
              <w:t>Restructuring</w:t>
            </w:r>
          </w:p>
        </w:tc>
        <w:tc>
          <w:tcPr>
            <w:tcW w:w="200" w:type="dxa"/>
            <w:vAlign w:val="bottom"/>
          </w:tcPr>
          <w:p>
            <w:pPr>
              <w:spacing w:after="0"/>
              <w:rPr>
                <w:sz w:val="14"/>
                <w:szCs w:val="14"/>
                <w:color w:val="auto"/>
              </w:rPr>
            </w:pPr>
          </w:p>
        </w:tc>
        <w:tc>
          <w:tcPr>
            <w:tcW w:w="1000" w:type="dxa"/>
            <w:vAlign w:val="bottom"/>
          </w:tcPr>
          <w:p>
            <w:pPr>
              <w:jc w:val="right"/>
              <w:ind w:right="319"/>
              <w:spacing w:after="0" w:line="162" w:lineRule="exact"/>
              <w:rPr>
                <w:sz w:val="20"/>
                <w:szCs w:val="20"/>
                <w:color w:val="auto"/>
              </w:rPr>
            </w:pPr>
            <w:r>
              <w:rPr>
                <w:rFonts w:ascii="Times New Roman" w:cs="Times New Roman" w:eastAsia="Times New Roman" w:hAnsi="Times New Roman"/>
                <w:sz w:val="16"/>
                <w:szCs w:val="16"/>
                <w:color w:val="auto"/>
              </w:rPr>
              <w:t>(Non-</w:t>
            </w:r>
          </w:p>
        </w:tc>
        <w:tc>
          <w:tcPr>
            <w:tcW w:w="0" w:type="dxa"/>
            <w:vAlign w:val="bottom"/>
          </w:tcPr>
          <w:p>
            <w:pPr>
              <w:spacing w:after="0"/>
              <w:rPr>
                <w:sz w:val="1"/>
                <w:szCs w:val="1"/>
                <w:color w:val="auto"/>
              </w:rPr>
            </w:pPr>
          </w:p>
        </w:tc>
      </w:tr>
      <w:tr>
        <w:trPr>
          <w:trHeight w:val="213"/>
        </w:trPr>
        <w:tc>
          <w:tcPr>
            <w:tcW w:w="448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138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color w:val="auto"/>
              </w:rPr>
              <w:t>(GAAP) (1)</w:t>
            </w:r>
          </w:p>
        </w:tc>
        <w:tc>
          <w:tcPr>
            <w:tcW w:w="160" w:type="dxa"/>
            <w:vAlign w:val="bottom"/>
          </w:tcPr>
          <w:p>
            <w:pPr>
              <w:spacing w:after="0"/>
              <w:rPr>
                <w:sz w:val="18"/>
                <w:szCs w:val="18"/>
                <w:color w:val="auto"/>
              </w:rPr>
            </w:pPr>
          </w:p>
        </w:tc>
        <w:tc>
          <w:tcPr>
            <w:tcW w:w="106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(GAAP) (2)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color w:val="auto"/>
              </w:rPr>
              <w:t>and Other</w:t>
            </w:r>
          </w:p>
        </w:tc>
        <w:tc>
          <w:tcPr>
            <w:tcW w:w="200" w:type="dxa"/>
            <w:vAlign w:val="bottom"/>
          </w:tcPr>
          <w:p>
            <w:pPr>
              <w:spacing w:after="0"/>
              <w:rPr>
                <w:sz w:val="18"/>
                <w:szCs w:val="18"/>
                <w:color w:val="auto"/>
              </w:rPr>
            </w:pPr>
          </w:p>
        </w:tc>
        <w:tc>
          <w:tcPr>
            <w:tcW w:w="10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GAAP)</w:t>
            </w:r>
          </w:p>
        </w:tc>
        <w:tc>
          <w:tcPr>
            <w:tcW w:w="0" w:type="dxa"/>
            <w:vAlign w:val="bottom"/>
          </w:tcPr>
          <w:p>
            <w:pPr>
              <w:spacing w:after="0"/>
              <w:rPr>
                <w:sz w:val="1"/>
                <w:szCs w:val="1"/>
                <w:color w:val="auto"/>
              </w:rPr>
            </w:pPr>
          </w:p>
        </w:tc>
      </w:tr>
      <w:tr>
        <w:trPr>
          <w:trHeight w:val="212"/>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1,202.2</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1,136.2</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850.6</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799.0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sales—impairment, restructuring and other</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(2.5)</w:t>
            </w:r>
          </w:p>
        </w:tc>
        <w:tc>
          <w:tcPr>
            <w:tcW w:w="3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354.1</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334.9</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34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337.2</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of sales</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29.5 %</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29.5 %</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29.7 %</w:t>
            </w:r>
          </w:p>
        </w:tc>
        <w:tc>
          <w:tcPr>
            <w:tcW w:w="0" w:type="dxa"/>
            <w:vAlign w:val="bottom"/>
          </w:tcPr>
          <w:p>
            <w:pPr>
              <w:spacing w:after="0"/>
              <w:rPr>
                <w:sz w:val="1"/>
                <w:szCs w:val="1"/>
                <w:color w:val="auto"/>
              </w:rPr>
            </w:pPr>
          </w:p>
        </w:tc>
      </w:tr>
      <w:tr>
        <w:trPr>
          <w:trHeight w:val="21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147.9</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136.2</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Impairment, restructuring and other</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(0.8)</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 net</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6.9</w:t>
            </w:r>
          </w:p>
        </w:tc>
        <w:tc>
          <w:tcPr>
            <w:tcW w:w="3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7.2</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200.1</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191.1</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193.9</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of sales</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16.6 %</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16.8 %</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17.1 %</w:t>
            </w:r>
          </w:p>
        </w:tc>
        <w:tc>
          <w:tcPr>
            <w:tcW w:w="0" w:type="dxa"/>
            <w:vAlign w:val="bottom"/>
          </w:tcPr>
          <w:p>
            <w:pPr>
              <w:spacing w:after="0"/>
              <w:rPr>
                <w:sz w:val="1"/>
                <w:szCs w:val="1"/>
                <w:color w:val="auto"/>
              </w:rPr>
            </w:pPr>
          </w:p>
        </w:tc>
      </w:tr>
      <w:tr>
        <w:trPr>
          <w:trHeight w:val="21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 (income) loss of unconsolidated affiliates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(23.0)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(23.0)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(23.0)</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38.8</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38.7</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non-operating expense, net</w:t>
            </w: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continuing operations before income taxes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183.0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174.0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176.8</w:t>
            </w:r>
          </w:p>
        </w:tc>
        <w:tc>
          <w:tcPr>
            <w:tcW w:w="0" w:type="dxa"/>
            <w:vAlign w:val="bottom"/>
          </w:tcPr>
          <w:p>
            <w:pPr>
              <w:spacing w:after="0"/>
              <w:rPr>
                <w:sz w:val="1"/>
                <w:szCs w:val="1"/>
                <w:color w:val="auto"/>
              </w:rPr>
            </w:pPr>
          </w:p>
        </w:tc>
      </w:tr>
      <w:tr>
        <w:trPr>
          <w:trHeight w:val="213"/>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 (benefit) from continuing operations</w:t>
            </w: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50.9</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48.7</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3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45.1</w:t>
            </w:r>
          </w:p>
        </w:tc>
        <w:tc>
          <w:tcPr>
            <w:tcW w:w="0" w:type="dxa"/>
            <w:vAlign w:val="bottom"/>
          </w:tcPr>
          <w:p>
            <w:pPr>
              <w:spacing w:after="0"/>
              <w:rPr>
                <w:sz w:val="1"/>
                <w:szCs w:val="1"/>
                <w:color w:val="auto"/>
              </w:rPr>
            </w:pPr>
          </w:p>
        </w:tc>
      </w:tr>
      <w:tr>
        <w:trPr>
          <w:trHeight w:val="212"/>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from continuing operations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132.1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125.3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131.7</w:t>
            </w:r>
          </w:p>
        </w:tc>
        <w:tc>
          <w:tcPr>
            <w:tcW w:w="0" w:type="dxa"/>
            <w:vAlign w:val="bottom"/>
          </w:tcPr>
          <w:p>
            <w:pPr>
              <w:spacing w:after="0"/>
              <w:rPr>
                <w:sz w:val="1"/>
                <w:szCs w:val="1"/>
                <w:color w:val="auto"/>
              </w:rPr>
            </w:pPr>
          </w:p>
        </w:tc>
      </w:tr>
      <w:tr>
        <w:trPr>
          <w:trHeight w:val="21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from discontinued operations, net of tax</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8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132.1</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132.1</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(loss) per common share: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Continuing operations</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2.33</w:t>
            </w:r>
          </w:p>
        </w:tc>
        <w:tc>
          <w:tcPr>
            <w:tcW w:w="3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Discontinued operations</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0.12</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 net income (loss) per common share</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2.33</w:t>
            </w:r>
          </w:p>
        </w:tc>
        <w:tc>
          <w:tcPr>
            <w:tcW w:w="3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2.33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net income (loss) per common share:</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Continuing operations</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2.28</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2.16</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2.27</w:t>
            </w:r>
          </w:p>
        </w:tc>
        <w:tc>
          <w:tcPr>
            <w:tcW w:w="0" w:type="dxa"/>
            <w:vAlign w:val="bottom"/>
          </w:tcPr>
          <w:p>
            <w:pPr>
              <w:spacing w:after="0"/>
              <w:rPr>
                <w:sz w:val="1"/>
                <w:szCs w:val="1"/>
                <w:color w:val="auto"/>
              </w:rPr>
            </w:pPr>
          </w:p>
        </w:tc>
      </w:tr>
      <w:tr>
        <w:trPr>
          <w:trHeight w:val="213"/>
        </w:trPr>
        <w:tc>
          <w:tcPr>
            <w:tcW w:w="4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Discontinued operations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0.12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 net income (loss) per common share</w:t>
            </w:r>
          </w:p>
        </w:tc>
        <w:tc>
          <w:tcPr>
            <w:tcW w:w="8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2.28</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2.28</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4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shares used in basic net income (loss) per share</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56.8</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56.8</w:t>
            </w: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calculation</w:t>
            </w:r>
          </w:p>
        </w:tc>
        <w:tc>
          <w:tcPr>
            <w:tcW w:w="8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Times New Roman" w:cs="Times New Roman" w:eastAsia="Times New Roman" w:hAnsi="Times New Roman"/>
                <w:sz w:val="16"/>
                <w:szCs w:val="16"/>
                <w:color w:val="auto"/>
              </w:rPr>
              <w:t>Common shares and potential common shares used in diluted net</w:t>
            </w: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480" w:type="dxa"/>
            <w:vAlign w:val="bottom"/>
            <w:vMerge w:val="continue"/>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 (5)</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58.0</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58.0</w:t>
            </w: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58.0</w:t>
            </w:r>
          </w:p>
        </w:tc>
        <w:tc>
          <w:tcPr>
            <w:tcW w:w="0" w:type="dxa"/>
            <w:vAlign w:val="bottom"/>
          </w:tcPr>
          <w:p>
            <w:pPr>
              <w:spacing w:after="0"/>
              <w:rPr>
                <w:sz w:val="1"/>
                <w:szCs w:val="1"/>
                <w:color w:val="auto"/>
              </w:rPr>
            </w:pPr>
          </w:p>
        </w:tc>
      </w:tr>
      <w:tr>
        <w:trPr>
          <w:trHeight w:val="189"/>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per share calculation</w:t>
            </w: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See accompanying footnotes.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sum of the components may not equal due to rounding.</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20"/>
          </w:cols>
          <w:pgMar w:left="320" w:top="111" w:right="35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THE SCOTTS MIRACLE-GRO COMPANY</w:t>
      </w:r>
    </w:p>
    <w:p>
      <w:pPr>
        <w:spacing w:after="0" w:line="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Revised Results of Operations and Reconciliation of Non-GAAP Disclosure Items (5)</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4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color w:val="auto"/>
              </w:rPr>
              <w:t>Three Months Ended March 30, 2024</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center"/>
              <w:ind w:right="500"/>
              <w:spacing w:after="0" w:line="158" w:lineRule="exact"/>
              <w:rPr>
                <w:sz w:val="20"/>
                <w:szCs w:val="20"/>
                <w:color w:val="auto"/>
              </w:rPr>
            </w:pPr>
            <w:r>
              <w:rPr>
                <w:rFonts w:ascii="Times New Roman" w:cs="Times New Roman" w:eastAsia="Times New Roman" w:hAnsi="Times New Roman"/>
                <w:sz w:val="16"/>
                <w:szCs w:val="16"/>
                <w:color w:val="auto"/>
                <w:w w:val="99"/>
              </w:rPr>
              <w:t>Previously</w:t>
            </w:r>
          </w:p>
        </w:tc>
        <w:tc>
          <w:tcPr>
            <w:tcW w:w="120" w:type="dxa"/>
            <w:vAlign w:val="bottom"/>
          </w:tcPr>
          <w:p>
            <w:pPr>
              <w:spacing w:after="0"/>
              <w:rPr>
                <w:sz w:val="13"/>
                <w:szCs w:val="13"/>
                <w:color w:val="auto"/>
              </w:rPr>
            </w:pPr>
          </w:p>
        </w:tc>
        <w:tc>
          <w:tcPr>
            <w:tcW w:w="1100" w:type="dxa"/>
            <w:vAlign w:val="bottom"/>
          </w:tcPr>
          <w:p>
            <w:pPr>
              <w:jc w:val="center"/>
              <w:ind w:right="19"/>
              <w:spacing w:after="0" w:line="158" w:lineRule="exact"/>
              <w:rPr>
                <w:sz w:val="20"/>
                <w:szCs w:val="20"/>
                <w:color w:val="auto"/>
              </w:rPr>
            </w:pPr>
            <w:r>
              <w:rPr>
                <w:rFonts w:ascii="Times New Roman" w:cs="Times New Roman" w:eastAsia="Times New Roman" w:hAnsi="Times New Roman"/>
                <w:sz w:val="16"/>
                <w:szCs w:val="16"/>
                <w:color w:val="auto"/>
              </w:rPr>
              <w:t>Revised</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440"/>
              <w:spacing w:after="0" w:line="158" w:lineRule="exact"/>
              <w:rPr>
                <w:sz w:val="20"/>
                <w:szCs w:val="20"/>
                <w:color w:val="auto"/>
              </w:rPr>
            </w:pPr>
            <w:r>
              <w:rPr>
                <w:rFonts w:ascii="Times New Roman" w:cs="Times New Roman" w:eastAsia="Times New Roman" w:hAnsi="Times New Roman"/>
                <w:sz w:val="16"/>
                <w:szCs w:val="16"/>
                <w:color w:val="auto"/>
              </w:rPr>
              <w:t>Impairment,</w:t>
            </w:r>
          </w:p>
        </w:tc>
        <w:tc>
          <w:tcPr>
            <w:tcW w:w="200" w:type="dxa"/>
            <w:vAlign w:val="bottom"/>
          </w:tcPr>
          <w:p>
            <w:pPr>
              <w:spacing w:after="0"/>
              <w:rPr>
                <w:sz w:val="13"/>
                <w:szCs w:val="13"/>
                <w:color w:val="auto"/>
              </w:rPr>
            </w:pPr>
          </w:p>
        </w:tc>
        <w:tc>
          <w:tcPr>
            <w:tcW w:w="1000" w:type="dxa"/>
            <w:vAlign w:val="bottom"/>
          </w:tcPr>
          <w:p>
            <w:pPr>
              <w:jc w:val="right"/>
              <w:ind w:right="239"/>
              <w:spacing w:after="0" w:line="158" w:lineRule="exact"/>
              <w:rPr>
                <w:sz w:val="20"/>
                <w:szCs w:val="20"/>
                <w:color w:val="auto"/>
              </w:rPr>
            </w:pPr>
            <w:r>
              <w:rPr>
                <w:rFonts w:ascii="Times New Roman" w:cs="Times New Roman" w:eastAsia="Times New Roman" w:hAnsi="Times New Roman"/>
                <w:sz w:val="16"/>
                <w:szCs w:val="16"/>
                <w:color w:val="auto"/>
              </w:rPr>
              <w:t>Adjusted</w:t>
            </w:r>
          </w:p>
        </w:tc>
        <w:tc>
          <w:tcPr>
            <w:tcW w:w="0" w:type="dxa"/>
            <w:vAlign w:val="bottom"/>
          </w:tcPr>
          <w:p>
            <w:pPr>
              <w:spacing w:after="0"/>
              <w:rPr>
                <w:sz w:val="1"/>
                <w:szCs w:val="1"/>
                <w:color w:val="auto"/>
              </w:rPr>
            </w:pPr>
          </w:p>
        </w:tc>
      </w:tr>
      <w:tr>
        <w:trPr>
          <w:trHeight w:val="162"/>
        </w:trPr>
        <w:tc>
          <w:tcPr>
            <w:tcW w:w="4480" w:type="dxa"/>
            <w:vAlign w:val="bottom"/>
          </w:tcPr>
          <w:p>
            <w:pPr>
              <w:spacing w:after="0"/>
              <w:rPr>
                <w:sz w:val="14"/>
                <w:szCs w:val="14"/>
                <w:color w:val="auto"/>
              </w:rPr>
            </w:pPr>
          </w:p>
        </w:tc>
        <w:tc>
          <w:tcPr>
            <w:tcW w:w="1100" w:type="dxa"/>
            <w:vAlign w:val="bottom"/>
            <w:gridSpan w:val="3"/>
            <w:vMerge w:val="restart"/>
          </w:tcPr>
          <w:p>
            <w:pPr>
              <w:jc w:val="right"/>
              <w:ind w:right="279"/>
              <w:spacing w:after="0"/>
              <w:rPr>
                <w:sz w:val="20"/>
                <w:szCs w:val="20"/>
                <w:color w:val="auto"/>
              </w:rPr>
            </w:pPr>
            <w:r>
              <w:rPr>
                <w:rFonts w:ascii="Times New Roman" w:cs="Times New Roman" w:eastAsia="Times New Roman" w:hAnsi="Times New Roman"/>
                <w:sz w:val="16"/>
                <w:szCs w:val="16"/>
                <w:color w:val="auto"/>
              </w:rPr>
              <w:t>Footnotes</w:t>
            </w:r>
          </w:p>
        </w:tc>
        <w:tc>
          <w:tcPr>
            <w:tcW w:w="1380" w:type="dxa"/>
            <w:vAlign w:val="bottom"/>
            <w:gridSpan w:val="2"/>
          </w:tcPr>
          <w:p>
            <w:pPr>
              <w:jc w:val="center"/>
              <w:ind w:right="500"/>
              <w:spacing w:after="0" w:line="162" w:lineRule="exact"/>
              <w:rPr>
                <w:sz w:val="20"/>
                <w:szCs w:val="20"/>
                <w:color w:val="auto"/>
              </w:rPr>
            </w:pPr>
            <w:r>
              <w:rPr>
                <w:rFonts w:ascii="Times New Roman" w:cs="Times New Roman" w:eastAsia="Times New Roman" w:hAnsi="Times New Roman"/>
                <w:sz w:val="16"/>
                <w:szCs w:val="16"/>
                <w:color w:val="auto"/>
              </w:rPr>
              <w:t>Reported</w:t>
            </w:r>
          </w:p>
        </w:tc>
        <w:tc>
          <w:tcPr>
            <w:tcW w:w="120" w:type="dxa"/>
            <w:vAlign w:val="bottom"/>
          </w:tcPr>
          <w:p>
            <w:pPr>
              <w:spacing w:after="0"/>
              <w:rPr>
                <w:sz w:val="14"/>
                <w:szCs w:val="14"/>
                <w:color w:val="auto"/>
              </w:rPr>
            </w:pPr>
          </w:p>
        </w:tc>
        <w:tc>
          <w:tcPr>
            <w:tcW w:w="110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color w:val="auto"/>
              </w:rPr>
              <w:t>Reported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440"/>
              <w:spacing w:after="0" w:line="162" w:lineRule="exact"/>
              <w:rPr>
                <w:sz w:val="20"/>
                <w:szCs w:val="20"/>
                <w:color w:val="auto"/>
              </w:rPr>
            </w:pPr>
            <w:r>
              <w:rPr>
                <w:rFonts w:ascii="Times New Roman" w:cs="Times New Roman" w:eastAsia="Times New Roman" w:hAnsi="Times New Roman"/>
                <w:sz w:val="16"/>
                <w:szCs w:val="16"/>
                <w:color w:val="auto"/>
              </w:rPr>
              <w:t>Restructuring</w:t>
            </w:r>
          </w:p>
        </w:tc>
        <w:tc>
          <w:tcPr>
            <w:tcW w:w="200" w:type="dxa"/>
            <w:vAlign w:val="bottom"/>
          </w:tcPr>
          <w:p>
            <w:pPr>
              <w:spacing w:after="0"/>
              <w:rPr>
                <w:sz w:val="14"/>
                <w:szCs w:val="14"/>
                <w:color w:val="auto"/>
              </w:rPr>
            </w:pPr>
          </w:p>
        </w:tc>
        <w:tc>
          <w:tcPr>
            <w:tcW w:w="1000" w:type="dxa"/>
            <w:vAlign w:val="bottom"/>
          </w:tcPr>
          <w:p>
            <w:pPr>
              <w:jc w:val="right"/>
              <w:ind w:right="319"/>
              <w:spacing w:after="0" w:line="162" w:lineRule="exact"/>
              <w:rPr>
                <w:sz w:val="20"/>
                <w:szCs w:val="20"/>
                <w:color w:val="auto"/>
              </w:rPr>
            </w:pPr>
            <w:r>
              <w:rPr>
                <w:rFonts w:ascii="Times New Roman" w:cs="Times New Roman" w:eastAsia="Times New Roman" w:hAnsi="Times New Roman"/>
                <w:sz w:val="16"/>
                <w:szCs w:val="16"/>
                <w:color w:val="auto"/>
              </w:rPr>
              <w:t>(Non-</w:t>
            </w:r>
          </w:p>
        </w:tc>
        <w:tc>
          <w:tcPr>
            <w:tcW w:w="0" w:type="dxa"/>
            <w:vAlign w:val="bottom"/>
          </w:tcPr>
          <w:p>
            <w:pPr>
              <w:spacing w:after="0"/>
              <w:rPr>
                <w:sz w:val="1"/>
                <w:szCs w:val="1"/>
                <w:color w:val="auto"/>
              </w:rPr>
            </w:pPr>
          </w:p>
        </w:tc>
      </w:tr>
      <w:tr>
        <w:trPr>
          <w:trHeight w:val="213"/>
        </w:trPr>
        <w:tc>
          <w:tcPr>
            <w:tcW w:w="448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138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color w:val="auto"/>
              </w:rPr>
              <w:t>(GAAP) (1)</w:t>
            </w:r>
          </w:p>
        </w:tc>
        <w:tc>
          <w:tcPr>
            <w:tcW w:w="120" w:type="dxa"/>
            <w:vAlign w:val="bottom"/>
          </w:tcPr>
          <w:p>
            <w:pPr>
              <w:spacing w:after="0"/>
              <w:rPr>
                <w:sz w:val="18"/>
                <w:szCs w:val="18"/>
                <w:color w:val="auto"/>
              </w:rPr>
            </w:pPr>
          </w:p>
        </w:tc>
        <w:tc>
          <w:tcPr>
            <w:tcW w:w="11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(GAAP) (2)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color w:val="auto"/>
              </w:rPr>
              <w:t>and Other</w:t>
            </w:r>
          </w:p>
        </w:tc>
        <w:tc>
          <w:tcPr>
            <w:tcW w:w="200" w:type="dxa"/>
            <w:vAlign w:val="bottom"/>
          </w:tcPr>
          <w:p>
            <w:pPr>
              <w:spacing w:after="0"/>
              <w:rPr>
                <w:sz w:val="18"/>
                <w:szCs w:val="18"/>
                <w:color w:val="auto"/>
              </w:rPr>
            </w:pPr>
          </w:p>
        </w:tc>
        <w:tc>
          <w:tcPr>
            <w:tcW w:w="10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GAAP)</w:t>
            </w:r>
          </w:p>
        </w:tc>
        <w:tc>
          <w:tcPr>
            <w:tcW w:w="0" w:type="dxa"/>
            <w:vAlign w:val="bottom"/>
          </w:tcPr>
          <w:p>
            <w:pPr>
              <w:spacing w:after="0"/>
              <w:rPr>
                <w:sz w:val="1"/>
                <w:szCs w:val="1"/>
                <w:color w:val="auto"/>
              </w:rPr>
            </w:pPr>
          </w:p>
        </w:tc>
      </w:tr>
      <w:tr>
        <w:trPr>
          <w:trHeight w:val="212"/>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1,525.4</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1,462.3</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986.8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930.3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sales—impairment, restructuring and other</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74.9</w:t>
            </w:r>
          </w:p>
        </w:tc>
        <w:tc>
          <w:tcPr>
            <w:tcW w:w="3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(0.5)</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463.7</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532.5</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34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532.0</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of sales</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30.4 %</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36.4 %</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36.4 %</w:t>
            </w:r>
          </w:p>
        </w:tc>
        <w:tc>
          <w:tcPr>
            <w:tcW w:w="0" w:type="dxa"/>
            <w:vAlign w:val="bottom"/>
          </w:tcPr>
          <w:p>
            <w:pPr>
              <w:spacing w:after="0"/>
              <w:rPr>
                <w:sz w:val="1"/>
                <w:szCs w:val="1"/>
                <w:color w:val="auto"/>
              </w:rPr>
            </w:pPr>
          </w:p>
        </w:tc>
      </w:tr>
      <w:tr>
        <w:trPr>
          <w:trHeight w:val="21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178.7</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167.9</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Impairment, restructuring and other</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 net</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10.8</w:t>
            </w:r>
          </w:p>
        </w:tc>
        <w:tc>
          <w:tcPr>
            <w:tcW w:w="3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10.8</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272.1</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354.0</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353.2</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of sales</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17.8 %</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24.2 %</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24.2 %</w:t>
            </w:r>
          </w:p>
        </w:tc>
        <w:tc>
          <w:tcPr>
            <w:tcW w:w="0" w:type="dxa"/>
            <w:vAlign w:val="bottom"/>
          </w:tcPr>
          <w:p>
            <w:pPr>
              <w:spacing w:after="0"/>
              <w:rPr>
                <w:sz w:val="1"/>
                <w:szCs w:val="1"/>
                <w:color w:val="auto"/>
              </w:rPr>
            </w:pPr>
          </w:p>
        </w:tc>
      </w:tr>
      <w:tr>
        <w:trPr>
          <w:trHeight w:val="21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 (income) loss of unconsolidated affiliates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44.1</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44.0</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non-operating expense, net</w:t>
            </w: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1.2</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continuing operations before income taxes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219.8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301.7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300.9</w:t>
            </w:r>
          </w:p>
        </w:tc>
        <w:tc>
          <w:tcPr>
            <w:tcW w:w="0" w:type="dxa"/>
            <w:vAlign w:val="bottom"/>
          </w:tcPr>
          <w:p>
            <w:pPr>
              <w:spacing w:after="0"/>
              <w:rPr>
                <w:sz w:val="1"/>
                <w:szCs w:val="1"/>
                <w:color w:val="auto"/>
              </w:rPr>
            </w:pPr>
          </w:p>
        </w:tc>
      </w:tr>
      <w:tr>
        <w:trPr>
          <w:trHeight w:val="213"/>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 (benefit) from continuing operations</w:t>
            </w: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62.3</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85.0</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3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85.6</w:t>
            </w:r>
          </w:p>
        </w:tc>
        <w:tc>
          <w:tcPr>
            <w:tcW w:w="0" w:type="dxa"/>
            <w:vAlign w:val="bottom"/>
          </w:tcPr>
          <w:p>
            <w:pPr>
              <w:spacing w:after="0"/>
              <w:rPr>
                <w:sz w:val="1"/>
                <w:szCs w:val="1"/>
                <w:color w:val="auto"/>
              </w:rPr>
            </w:pPr>
          </w:p>
        </w:tc>
      </w:tr>
      <w:tr>
        <w:trPr>
          <w:trHeight w:val="212"/>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from continuing operations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157.5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216.7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215.3</w:t>
            </w:r>
          </w:p>
        </w:tc>
        <w:tc>
          <w:tcPr>
            <w:tcW w:w="0" w:type="dxa"/>
            <w:vAlign w:val="bottom"/>
          </w:tcPr>
          <w:p>
            <w:pPr>
              <w:spacing w:after="0"/>
              <w:rPr>
                <w:sz w:val="1"/>
                <w:szCs w:val="1"/>
                <w:color w:val="auto"/>
              </w:rPr>
            </w:pPr>
          </w:p>
        </w:tc>
      </w:tr>
      <w:tr>
        <w:trPr>
          <w:trHeight w:val="21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from discontinued operations, net of tax</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(59.2)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8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157.5</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157.5</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(loss) per common share: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Continuing operations</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2.77</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3.82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Discontinued operations</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(1.05)</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 net income (loss) per common share</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2.77</w:t>
            </w:r>
          </w:p>
        </w:tc>
        <w:tc>
          <w:tcPr>
            <w:tcW w:w="3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2.77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net income (loss) per common share:</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Continuing operations</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2.74</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3.78</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3.75</w:t>
            </w:r>
          </w:p>
        </w:tc>
        <w:tc>
          <w:tcPr>
            <w:tcW w:w="0" w:type="dxa"/>
            <w:vAlign w:val="bottom"/>
          </w:tcPr>
          <w:p>
            <w:pPr>
              <w:spacing w:after="0"/>
              <w:rPr>
                <w:sz w:val="1"/>
                <w:szCs w:val="1"/>
                <w:color w:val="auto"/>
              </w:rPr>
            </w:pPr>
          </w:p>
        </w:tc>
      </w:tr>
      <w:tr>
        <w:trPr>
          <w:trHeight w:val="213"/>
        </w:trPr>
        <w:tc>
          <w:tcPr>
            <w:tcW w:w="4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Discontinued operations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 net income (loss) per common share</w:t>
            </w:r>
          </w:p>
        </w:tc>
        <w:tc>
          <w:tcPr>
            <w:tcW w:w="8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2.74</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2.74</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4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shares used in basic net income (loss) per share</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56.8</w:t>
            </w: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56.8</w:t>
            </w: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calculation</w:t>
            </w:r>
          </w:p>
        </w:tc>
        <w:tc>
          <w:tcPr>
            <w:tcW w:w="8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Times New Roman" w:cs="Times New Roman" w:eastAsia="Times New Roman" w:hAnsi="Times New Roman"/>
                <w:sz w:val="16"/>
                <w:szCs w:val="16"/>
                <w:color w:val="auto"/>
              </w:rPr>
              <w:t>Common shares and potential common shares used in diluted net</w:t>
            </w: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480" w:type="dxa"/>
            <w:vAlign w:val="bottom"/>
            <w:vMerge w:val="continue"/>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 (5)</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57.4</w:t>
            </w: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57.4</w:t>
            </w: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57.4</w:t>
            </w:r>
          </w:p>
        </w:tc>
        <w:tc>
          <w:tcPr>
            <w:tcW w:w="0" w:type="dxa"/>
            <w:vAlign w:val="bottom"/>
          </w:tcPr>
          <w:p>
            <w:pPr>
              <w:spacing w:after="0"/>
              <w:rPr>
                <w:sz w:val="1"/>
                <w:szCs w:val="1"/>
                <w:color w:val="auto"/>
              </w:rPr>
            </w:pPr>
          </w:p>
        </w:tc>
      </w:tr>
      <w:tr>
        <w:trPr>
          <w:trHeight w:val="189"/>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per share calculation</w:t>
            </w: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See accompanying footnotes.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sum of the components may not equal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20"/>
          </w:cols>
          <w:pgMar w:left="320" w:top="111" w:right="35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THE SCOTTS MIRACLE-GRO COMPANY</w:t>
      </w:r>
    </w:p>
    <w:p>
      <w:pPr>
        <w:spacing w:after="0" w:line="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Revised Results of Operations and Reconciliation of Non-GAAP Disclosure Items (5)</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4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7"/>
          </w:tcPr>
          <w:p>
            <w:pPr>
              <w:ind w:left="320"/>
              <w:spacing w:after="0"/>
              <w:rPr>
                <w:sz w:val="20"/>
                <w:szCs w:val="20"/>
                <w:color w:val="auto"/>
              </w:rPr>
            </w:pPr>
            <w:r>
              <w:rPr>
                <w:rFonts w:ascii="Times New Roman" w:cs="Times New Roman" w:eastAsia="Times New Roman" w:hAnsi="Times New Roman"/>
                <w:sz w:val="16"/>
                <w:szCs w:val="16"/>
                <w:color w:val="auto"/>
              </w:rPr>
              <w:t>Three Months Ended December 30, 2023</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ind w:right="99"/>
              <w:spacing w:after="0" w:line="158" w:lineRule="exact"/>
              <w:rPr>
                <w:sz w:val="20"/>
                <w:szCs w:val="20"/>
                <w:color w:val="auto"/>
              </w:rPr>
            </w:pPr>
            <w:r>
              <w:rPr>
                <w:rFonts w:ascii="Times New Roman" w:cs="Times New Roman" w:eastAsia="Times New Roman" w:hAnsi="Times New Roman"/>
                <w:sz w:val="16"/>
                <w:szCs w:val="16"/>
                <w:color w:val="auto"/>
              </w:rPr>
              <w:t>Previously</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6"/>
                <w:szCs w:val="16"/>
                <w:color w:val="auto"/>
              </w:rPr>
              <w:t>Revised</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440"/>
              <w:spacing w:after="0" w:line="158" w:lineRule="exact"/>
              <w:rPr>
                <w:sz w:val="20"/>
                <w:szCs w:val="20"/>
                <w:color w:val="auto"/>
              </w:rPr>
            </w:pPr>
            <w:r>
              <w:rPr>
                <w:rFonts w:ascii="Times New Roman" w:cs="Times New Roman" w:eastAsia="Times New Roman" w:hAnsi="Times New Roman"/>
                <w:sz w:val="16"/>
                <w:szCs w:val="16"/>
                <w:color w:val="auto"/>
              </w:rPr>
              <w:t>Impairment,</w:t>
            </w:r>
          </w:p>
        </w:tc>
        <w:tc>
          <w:tcPr>
            <w:tcW w:w="200" w:type="dxa"/>
            <w:vAlign w:val="bottom"/>
          </w:tcPr>
          <w:p>
            <w:pPr>
              <w:spacing w:after="0"/>
              <w:rPr>
                <w:sz w:val="13"/>
                <w:szCs w:val="13"/>
                <w:color w:val="auto"/>
              </w:rPr>
            </w:pPr>
          </w:p>
        </w:tc>
        <w:tc>
          <w:tcPr>
            <w:tcW w:w="1000" w:type="dxa"/>
            <w:vAlign w:val="bottom"/>
          </w:tcPr>
          <w:p>
            <w:pPr>
              <w:jc w:val="right"/>
              <w:ind w:right="239"/>
              <w:spacing w:after="0" w:line="158" w:lineRule="exact"/>
              <w:rPr>
                <w:sz w:val="20"/>
                <w:szCs w:val="20"/>
                <w:color w:val="auto"/>
              </w:rPr>
            </w:pPr>
            <w:r>
              <w:rPr>
                <w:rFonts w:ascii="Times New Roman" w:cs="Times New Roman" w:eastAsia="Times New Roman" w:hAnsi="Times New Roman"/>
                <w:sz w:val="16"/>
                <w:szCs w:val="16"/>
                <w:color w:val="auto"/>
              </w:rPr>
              <w:t>Adjusted</w:t>
            </w:r>
          </w:p>
        </w:tc>
        <w:tc>
          <w:tcPr>
            <w:tcW w:w="0" w:type="dxa"/>
            <w:vAlign w:val="bottom"/>
          </w:tcPr>
          <w:p>
            <w:pPr>
              <w:spacing w:after="0"/>
              <w:rPr>
                <w:sz w:val="1"/>
                <w:szCs w:val="1"/>
                <w:color w:val="auto"/>
              </w:rPr>
            </w:pPr>
          </w:p>
        </w:tc>
      </w:tr>
      <w:tr>
        <w:trPr>
          <w:trHeight w:val="162"/>
        </w:trPr>
        <w:tc>
          <w:tcPr>
            <w:tcW w:w="4480" w:type="dxa"/>
            <w:vAlign w:val="bottom"/>
          </w:tcPr>
          <w:p>
            <w:pPr>
              <w:spacing w:after="0"/>
              <w:rPr>
                <w:sz w:val="14"/>
                <w:szCs w:val="14"/>
                <w:color w:val="auto"/>
              </w:rPr>
            </w:pPr>
          </w:p>
        </w:tc>
        <w:tc>
          <w:tcPr>
            <w:tcW w:w="1100" w:type="dxa"/>
            <w:vAlign w:val="bottom"/>
            <w:gridSpan w:val="3"/>
            <w:vMerge w:val="restart"/>
          </w:tcPr>
          <w:p>
            <w:pPr>
              <w:jc w:val="right"/>
              <w:ind w:right="279"/>
              <w:spacing w:after="0"/>
              <w:rPr>
                <w:sz w:val="20"/>
                <w:szCs w:val="20"/>
                <w:color w:val="auto"/>
              </w:rPr>
            </w:pPr>
            <w:r>
              <w:rPr>
                <w:rFonts w:ascii="Times New Roman" w:cs="Times New Roman" w:eastAsia="Times New Roman" w:hAnsi="Times New Roman"/>
                <w:sz w:val="16"/>
                <w:szCs w:val="16"/>
                <w:color w:val="auto"/>
              </w:rPr>
              <w:t>Footnotes</w:t>
            </w:r>
          </w:p>
        </w:tc>
        <w:tc>
          <w:tcPr>
            <w:tcW w:w="108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color w:val="auto"/>
              </w:rPr>
              <w:t>Reported</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color w:val="auto"/>
                <w:w w:val="98"/>
              </w:rPr>
              <w:t>Reported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440"/>
              <w:spacing w:after="0" w:line="162" w:lineRule="exact"/>
              <w:rPr>
                <w:sz w:val="20"/>
                <w:szCs w:val="20"/>
                <w:color w:val="auto"/>
              </w:rPr>
            </w:pPr>
            <w:r>
              <w:rPr>
                <w:rFonts w:ascii="Times New Roman" w:cs="Times New Roman" w:eastAsia="Times New Roman" w:hAnsi="Times New Roman"/>
                <w:sz w:val="16"/>
                <w:szCs w:val="16"/>
                <w:color w:val="auto"/>
              </w:rPr>
              <w:t>Restructuring</w:t>
            </w:r>
          </w:p>
        </w:tc>
        <w:tc>
          <w:tcPr>
            <w:tcW w:w="200" w:type="dxa"/>
            <w:vAlign w:val="bottom"/>
          </w:tcPr>
          <w:p>
            <w:pPr>
              <w:spacing w:after="0"/>
              <w:rPr>
                <w:sz w:val="14"/>
                <w:szCs w:val="14"/>
                <w:color w:val="auto"/>
              </w:rPr>
            </w:pPr>
          </w:p>
        </w:tc>
        <w:tc>
          <w:tcPr>
            <w:tcW w:w="1000" w:type="dxa"/>
            <w:vAlign w:val="bottom"/>
          </w:tcPr>
          <w:p>
            <w:pPr>
              <w:jc w:val="right"/>
              <w:ind w:right="319"/>
              <w:spacing w:after="0" w:line="162" w:lineRule="exact"/>
              <w:rPr>
                <w:sz w:val="20"/>
                <w:szCs w:val="20"/>
                <w:color w:val="auto"/>
              </w:rPr>
            </w:pPr>
            <w:r>
              <w:rPr>
                <w:rFonts w:ascii="Times New Roman" w:cs="Times New Roman" w:eastAsia="Times New Roman" w:hAnsi="Times New Roman"/>
                <w:sz w:val="16"/>
                <w:szCs w:val="16"/>
                <w:color w:val="auto"/>
              </w:rPr>
              <w:t>(Non-</w:t>
            </w:r>
          </w:p>
        </w:tc>
        <w:tc>
          <w:tcPr>
            <w:tcW w:w="0" w:type="dxa"/>
            <w:vAlign w:val="bottom"/>
          </w:tcPr>
          <w:p>
            <w:pPr>
              <w:spacing w:after="0"/>
              <w:rPr>
                <w:sz w:val="1"/>
                <w:szCs w:val="1"/>
                <w:color w:val="auto"/>
              </w:rPr>
            </w:pPr>
          </w:p>
        </w:tc>
      </w:tr>
      <w:tr>
        <w:trPr>
          <w:trHeight w:val="213"/>
        </w:trPr>
        <w:tc>
          <w:tcPr>
            <w:tcW w:w="448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108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(GAAP) (1)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(GAAP) (2)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color w:val="auto"/>
              </w:rPr>
              <w:t>and Other</w:t>
            </w:r>
          </w:p>
        </w:tc>
        <w:tc>
          <w:tcPr>
            <w:tcW w:w="200" w:type="dxa"/>
            <w:vAlign w:val="bottom"/>
          </w:tcPr>
          <w:p>
            <w:pPr>
              <w:spacing w:after="0"/>
              <w:rPr>
                <w:sz w:val="18"/>
                <w:szCs w:val="18"/>
                <w:color w:val="auto"/>
              </w:rPr>
            </w:pPr>
          </w:p>
        </w:tc>
        <w:tc>
          <w:tcPr>
            <w:tcW w:w="10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GAAP)</w:t>
            </w:r>
          </w:p>
        </w:tc>
        <w:tc>
          <w:tcPr>
            <w:tcW w:w="0" w:type="dxa"/>
            <w:vAlign w:val="bottom"/>
          </w:tcPr>
          <w:p>
            <w:pPr>
              <w:spacing w:after="0"/>
              <w:rPr>
                <w:sz w:val="1"/>
                <w:szCs w:val="1"/>
                <w:color w:val="auto"/>
              </w:rPr>
            </w:pPr>
          </w:p>
        </w:tc>
      </w:tr>
      <w:tr>
        <w:trPr>
          <w:trHeight w:val="212"/>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410.4</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333.9</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354.0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281.2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sales—impairment, restructuring and other</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(5.8)</w:t>
            </w:r>
          </w:p>
        </w:tc>
        <w:tc>
          <w:tcPr>
            <w:tcW w:w="3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62.2</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50.7</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34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52.7</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of sales</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15.2 %</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15.2 %</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15.8 %</w:t>
            </w:r>
          </w:p>
        </w:tc>
        <w:tc>
          <w:tcPr>
            <w:tcW w:w="0" w:type="dxa"/>
            <w:vAlign w:val="bottom"/>
          </w:tcPr>
          <w:p>
            <w:pPr>
              <w:spacing w:after="0"/>
              <w:rPr>
                <w:sz w:val="1"/>
                <w:szCs w:val="1"/>
                <w:color w:val="auto"/>
              </w:rPr>
            </w:pPr>
          </w:p>
        </w:tc>
      </w:tr>
      <w:tr>
        <w:trPr>
          <w:trHeight w:val="21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114.8</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100.9</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Impairment, restructuring and other</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 net</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w:t>
            </w:r>
          </w:p>
        </w:tc>
        <w:tc>
          <w:tcPr>
            <w:tcW w:w="3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(47.3)</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(54.1)</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(50.3)</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of sales</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21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 (income) loss of unconsolidated affiliates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42.8</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42.8</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non-operating expense, net</w:t>
            </w: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1.6</w:t>
            </w:r>
          </w:p>
        </w:tc>
        <w:tc>
          <w:tcPr>
            <w:tcW w:w="3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1.6</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continuing operations before income taxes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(114.2)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(121.0)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(106.8)</w:t>
            </w:r>
          </w:p>
        </w:tc>
        <w:tc>
          <w:tcPr>
            <w:tcW w:w="0" w:type="dxa"/>
            <w:vAlign w:val="bottom"/>
          </w:tcPr>
          <w:p>
            <w:pPr>
              <w:spacing w:after="0"/>
              <w:rPr>
                <w:sz w:val="1"/>
                <w:szCs w:val="1"/>
                <w:color w:val="auto"/>
              </w:rPr>
            </w:pPr>
          </w:p>
        </w:tc>
      </w:tr>
      <w:tr>
        <w:trPr>
          <w:trHeight w:val="213"/>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 (benefit) from continuing operations</w:t>
            </w: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(33.7)</w:t>
            </w:r>
          </w:p>
        </w:tc>
        <w:tc>
          <w:tcPr>
            <w:tcW w:w="3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(35.7)</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3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79"/>
              <w:spacing w:after="0"/>
              <w:rPr>
                <w:sz w:val="20"/>
                <w:szCs w:val="20"/>
                <w:color w:val="auto"/>
              </w:rPr>
            </w:pPr>
            <w:r>
              <w:rPr>
                <w:rFonts w:ascii="Times New Roman" w:cs="Times New Roman" w:eastAsia="Times New Roman" w:hAnsi="Times New Roman"/>
                <w:sz w:val="16"/>
                <w:szCs w:val="16"/>
                <w:color w:val="auto"/>
              </w:rPr>
              <w:t>(31.5)</w:t>
            </w:r>
          </w:p>
        </w:tc>
        <w:tc>
          <w:tcPr>
            <w:tcW w:w="0" w:type="dxa"/>
            <w:vAlign w:val="bottom"/>
          </w:tcPr>
          <w:p>
            <w:pPr>
              <w:spacing w:after="0"/>
              <w:rPr>
                <w:sz w:val="1"/>
                <w:szCs w:val="1"/>
                <w:color w:val="auto"/>
              </w:rPr>
            </w:pPr>
          </w:p>
        </w:tc>
      </w:tr>
      <w:tr>
        <w:trPr>
          <w:trHeight w:val="212"/>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from continuing operations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(80.5)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(85.3)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(75.3)</w:t>
            </w:r>
          </w:p>
        </w:tc>
        <w:tc>
          <w:tcPr>
            <w:tcW w:w="0" w:type="dxa"/>
            <w:vAlign w:val="bottom"/>
          </w:tcPr>
          <w:p>
            <w:pPr>
              <w:spacing w:after="0"/>
              <w:rPr>
                <w:sz w:val="1"/>
                <w:szCs w:val="1"/>
                <w:color w:val="auto"/>
              </w:rPr>
            </w:pPr>
          </w:p>
        </w:tc>
      </w:tr>
      <w:tr>
        <w:trPr>
          <w:trHeight w:val="213"/>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(loss) from discontinued operations, net of tax</w:t>
            </w: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4.8</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8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(80.5)</w:t>
            </w:r>
          </w:p>
        </w:tc>
        <w:tc>
          <w:tcPr>
            <w:tcW w:w="3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(80.5)</w:t>
            </w:r>
          </w:p>
        </w:tc>
        <w:tc>
          <w:tcPr>
            <w:tcW w:w="3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(loss) per common share: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Continuing operations</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(1.42)</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Discontinued operations</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0.08</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 net income (loss) per common share</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(1.42)</w:t>
            </w:r>
          </w:p>
        </w:tc>
        <w:tc>
          <w:tcPr>
            <w:tcW w:w="3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(1.42)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net income (loss) per common share:</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Continuing operations</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(1.42)</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(1.50)</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(1.33)</w:t>
            </w:r>
          </w:p>
        </w:tc>
        <w:tc>
          <w:tcPr>
            <w:tcW w:w="0" w:type="dxa"/>
            <w:vAlign w:val="bottom"/>
          </w:tcPr>
          <w:p>
            <w:pPr>
              <w:spacing w:after="0"/>
              <w:rPr>
                <w:sz w:val="1"/>
                <w:szCs w:val="1"/>
                <w:color w:val="auto"/>
              </w:rPr>
            </w:pPr>
          </w:p>
        </w:tc>
      </w:tr>
      <w:tr>
        <w:trPr>
          <w:trHeight w:val="213"/>
        </w:trPr>
        <w:tc>
          <w:tcPr>
            <w:tcW w:w="4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Discontinued operations</w:t>
            </w: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0.08</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 net income (loss) per common share</w:t>
            </w: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(1.42)</w:t>
            </w:r>
          </w:p>
        </w:tc>
        <w:tc>
          <w:tcPr>
            <w:tcW w:w="3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(1.42)</w:t>
            </w: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4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shares used in basic net income (loss) per share</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56.7</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56.7</w:t>
            </w: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calculation</w:t>
            </w:r>
          </w:p>
        </w:tc>
        <w:tc>
          <w:tcPr>
            <w:tcW w:w="8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Times New Roman" w:cs="Times New Roman" w:eastAsia="Times New Roman" w:hAnsi="Times New Roman"/>
                <w:sz w:val="16"/>
                <w:szCs w:val="16"/>
                <w:color w:val="auto"/>
              </w:rPr>
              <w:t>Common shares and potential common shares used in diluted net</w:t>
            </w: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480" w:type="dxa"/>
            <w:vAlign w:val="bottom"/>
            <w:vMerge w:val="continue"/>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 (5)</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56.7</w:t>
            </w: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56.7</w:t>
            </w: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restart"/>
          </w:tcPr>
          <w:p>
            <w:pPr>
              <w:ind w:left="520"/>
              <w:spacing w:after="0"/>
              <w:rPr>
                <w:sz w:val="20"/>
                <w:szCs w:val="20"/>
                <w:color w:val="auto"/>
              </w:rPr>
            </w:pPr>
            <w:r>
              <w:rPr>
                <w:rFonts w:ascii="Times New Roman" w:cs="Times New Roman" w:eastAsia="Times New Roman" w:hAnsi="Times New Roman"/>
                <w:sz w:val="16"/>
                <w:szCs w:val="16"/>
                <w:color w:val="auto"/>
              </w:rPr>
              <w:t>56.7</w:t>
            </w:r>
          </w:p>
        </w:tc>
        <w:tc>
          <w:tcPr>
            <w:tcW w:w="0" w:type="dxa"/>
            <w:vAlign w:val="bottom"/>
          </w:tcPr>
          <w:p>
            <w:pPr>
              <w:spacing w:after="0"/>
              <w:rPr>
                <w:sz w:val="1"/>
                <w:szCs w:val="1"/>
                <w:color w:val="auto"/>
              </w:rPr>
            </w:pPr>
          </w:p>
        </w:tc>
      </w:tr>
      <w:tr>
        <w:trPr>
          <w:trHeight w:val="189"/>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per share calculation</w:t>
            </w: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See accompanying footnotes.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sum of the components may not equal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20"/>
          </w:cols>
          <w:pgMar w:left="320" w:top="111" w:right="35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25"/>
          <w:szCs w:val="25"/>
          <w:b w:val="1"/>
          <w:bCs w:val="1"/>
          <w:color w:val="auto"/>
        </w:rPr>
        <w:t>THE SCOTTS MIRACLE-GRO COMPANY</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Revised Non-GAAP Disclosure Items (2) (5)</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80" w:type="dxa"/>
            <w:vAlign w:val="bottom"/>
            <w:gridSpan w:val="5"/>
            <w:vMerge w:val="restart"/>
          </w:tcPr>
          <w:p>
            <w:pPr>
              <w:ind w:left="460"/>
              <w:spacing w:after="0"/>
              <w:rPr>
                <w:sz w:val="20"/>
                <w:szCs w:val="20"/>
                <w:color w:val="auto"/>
              </w:rPr>
            </w:pPr>
            <w:r>
              <w:rPr>
                <w:rFonts w:ascii="Times New Roman" w:cs="Times New Roman" w:eastAsia="Times New Roman" w:hAnsi="Times New Roman"/>
                <w:sz w:val="14"/>
                <w:szCs w:val="14"/>
                <w:color w:val="auto"/>
              </w:rPr>
              <w:t>Three Months Ended</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82"/>
              <w:spacing w:after="0"/>
              <w:rPr>
                <w:sz w:val="20"/>
                <w:szCs w:val="20"/>
                <w:color w:val="auto"/>
              </w:rPr>
            </w:pPr>
            <w:r>
              <w:rPr>
                <w:rFonts w:ascii="Times New Roman" w:cs="Times New Roman" w:eastAsia="Times New Roman" w:hAnsi="Times New Roman"/>
                <w:sz w:val="14"/>
                <w:szCs w:val="14"/>
                <w:color w:val="auto"/>
              </w:rPr>
              <w:t>Twelve Months</w:t>
            </w:r>
          </w:p>
        </w:tc>
        <w:tc>
          <w:tcPr>
            <w:tcW w:w="0" w:type="dxa"/>
            <w:vAlign w:val="bottom"/>
          </w:tcPr>
          <w:p>
            <w:pPr>
              <w:spacing w:after="0"/>
              <w:rPr>
                <w:sz w:val="1"/>
                <w:szCs w:val="1"/>
                <w:color w:val="auto"/>
              </w:rPr>
            </w:pPr>
          </w:p>
        </w:tc>
      </w:tr>
      <w:tr>
        <w:trPr>
          <w:trHeight w:val="193"/>
        </w:trPr>
        <w:tc>
          <w:tcPr>
            <w:tcW w:w="45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color w:val="auto"/>
              </w:rPr>
              <w:t>Ended</w:t>
            </w:r>
          </w:p>
        </w:tc>
        <w:tc>
          <w:tcPr>
            <w:tcW w:w="0" w:type="dxa"/>
            <w:vAlign w:val="bottom"/>
          </w:tcPr>
          <w:p>
            <w:pPr>
              <w:spacing w:after="0"/>
              <w:rPr>
                <w:sz w:val="1"/>
                <w:szCs w:val="1"/>
                <w:color w:val="auto"/>
              </w:rPr>
            </w:pPr>
          </w:p>
        </w:tc>
      </w:tr>
      <w:tr>
        <w:trPr>
          <w:trHeight w:val="138"/>
        </w:trPr>
        <w:tc>
          <w:tcPr>
            <w:tcW w:w="4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8" w:lineRule="exact"/>
              <w:rPr>
                <w:sz w:val="20"/>
                <w:szCs w:val="20"/>
                <w:color w:val="auto"/>
              </w:rPr>
            </w:pPr>
            <w:r>
              <w:rPr>
                <w:rFonts w:ascii="Times New Roman" w:cs="Times New Roman" w:eastAsia="Times New Roman" w:hAnsi="Times New Roman"/>
                <w:sz w:val="14"/>
                <w:szCs w:val="14"/>
                <w:color w:val="auto"/>
              </w:rPr>
              <w:t>December 28,</w:t>
            </w:r>
          </w:p>
        </w:tc>
        <w:tc>
          <w:tcPr>
            <w:tcW w:w="220" w:type="dxa"/>
            <w:vAlign w:val="bottom"/>
          </w:tcPr>
          <w:p>
            <w:pPr>
              <w:spacing w:after="0"/>
              <w:rPr>
                <w:sz w:val="11"/>
                <w:szCs w:val="11"/>
                <w:color w:val="auto"/>
              </w:rPr>
            </w:pPr>
          </w:p>
        </w:tc>
        <w:tc>
          <w:tcPr>
            <w:tcW w:w="1140" w:type="dxa"/>
            <w:vAlign w:val="bottom"/>
            <w:gridSpan w:val="2"/>
          </w:tcPr>
          <w:p>
            <w:pPr>
              <w:jc w:val="center"/>
              <w:ind w:right="340"/>
              <w:spacing w:after="0" w:line="138" w:lineRule="exact"/>
              <w:rPr>
                <w:sz w:val="20"/>
                <w:szCs w:val="20"/>
                <w:color w:val="auto"/>
              </w:rPr>
            </w:pPr>
            <w:r>
              <w:rPr>
                <w:rFonts w:ascii="Times New Roman" w:cs="Times New Roman" w:eastAsia="Times New Roman" w:hAnsi="Times New Roman"/>
                <w:sz w:val="14"/>
                <w:szCs w:val="14"/>
                <w:color w:val="auto"/>
              </w:rPr>
              <w:t>March 29,</w:t>
            </w:r>
          </w:p>
        </w:tc>
        <w:tc>
          <w:tcPr>
            <w:tcW w:w="240" w:type="dxa"/>
            <w:vAlign w:val="bottom"/>
          </w:tcPr>
          <w:p>
            <w:pPr>
              <w:spacing w:after="0"/>
              <w:rPr>
                <w:sz w:val="11"/>
                <w:szCs w:val="11"/>
                <w:color w:val="auto"/>
              </w:rPr>
            </w:pPr>
          </w:p>
        </w:tc>
        <w:tc>
          <w:tcPr>
            <w:tcW w:w="1100" w:type="dxa"/>
            <w:vAlign w:val="bottom"/>
            <w:gridSpan w:val="2"/>
          </w:tcPr>
          <w:p>
            <w:pPr>
              <w:jc w:val="center"/>
              <w:ind w:right="340"/>
              <w:spacing w:after="0" w:line="138" w:lineRule="exact"/>
              <w:rPr>
                <w:sz w:val="20"/>
                <w:szCs w:val="20"/>
                <w:color w:val="auto"/>
              </w:rPr>
            </w:pPr>
            <w:r>
              <w:rPr>
                <w:rFonts w:ascii="Times New Roman" w:cs="Times New Roman" w:eastAsia="Times New Roman" w:hAnsi="Times New Roman"/>
                <w:sz w:val="14"/>
                <w:szCs w:val="14"/>
                <w:color w:val="auto"/>
              </w:rPr>
              <w:t>June 28,</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center"/>
              <w:ind w:right="81"/>
              <w:spacing w:after="0" w:line="138" w:lineRule="exact"/>
              <w:rPr>
                <w:sz w:val="20"/>
                <w:szCs w:val="20"/>
                <w:color w:val="auto"/>
              </w:rPr>
            </w:pPr>
            <w:r>
              <w:rPr>
                <w:rFonts w:ascii="Times New Roman" w:cs="Times New Roman" w:eastAsia="Times New Roman" w:hAnsi="Times New Roman"/>
                <w:sz w:val="14"/>
                <w:szCs w:val="14"/>
                <w:color w:val="auto"/>
              </w:rPr>
              <w:t>September 30,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center"/>
              <w:ind w:right="82"/>
              <w:spacing w:after="0" w:line="138" w:lineRule="exact"/>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193"/>
        </w:trPr>
        <w:tc>
          <w:tcPr>
            <w:tcW w:w="45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4"/>
                <w:szCs w:val="14"/>
                <w:color w:val="auto"/>
                <w:w w:val="99"/>
              </w:rPr>
              <w:t>2025</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color w:val="auto"/>
              </w:rPr>
              <w:t>2025</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01"/>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Summary of Non-GAAP Financial Measures: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gross margin</w:t>
            </w: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89.9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547.4</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374.6</w:t>
            </w:r>
          </w:p>
        </w:tc>
        <w:tc>
          <w:tcPr>
            <w:tcW w:w="10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1,029.7</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gross margin as a % of sales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31.6 %</w:t>
            </w:r>
          </w:p>
        </w:tc>
        <w:tc>
          <w:tcPr>
            <w:tcW w:w="0" w:type="dxa"/>
            <w:vAlign w:val="bottom"/>
          </w:tcPr>
          <w:p>
            <w:pPr>
              <w:spacing w:after="0"/>
              <w:rPr>
                <w:sz w:val="1"/>
                <w:szCs w:val="1"/>
                <w:color w:val="auto"/>
              </w:rPr>
            </w:pPr>
          </w:p>
        </w:tc>
      </w:tr>
      <w:tr>
        <w:trPr>
          <w:trHeight w:val="213"/>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income (loss) from operations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365.4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222.7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(113.0)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447.3</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income (loss) from operations as a % of sales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13.7 %</w:t>
            </w:r>
          </w:p>
        </w:tc>
        <w:tc>
          <w:tcPr>
            <w:tcW w:w="0" w:type="dxa"/>
            <w:vAlign w:val="bottom"/>
          </w:tcPr>
          <w:p>
            <w:pPr>
              <w:spacing w:after="0"/>
              <w:rPr>
                <w:sz w:val="1"/>
                <w:szCs w:val="1"/>
                <w:color w:val="auto"/>
              </w:rPr>
            </w:pPr>
          </w:p>
        </w:tc>
      </w:tr>
      <w:tr>
        <w:trPr>
          <w:trHeight w:val="213"/>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equity in income (loss) of unconsolidated affiliates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65"/>
        </w:trPr>
        <w:tc>
          <w:tcPr>
            <w:tcW w:w="45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Adjusted income (loss) from continuing operations before income</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(72.9)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321.6</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214.9</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(149.6)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314.1</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income tax expense (benefit) from continuing operations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88.0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61.5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(35.7)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91.1</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net income (loss) from continuing operations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(50.2)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233.7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153.4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(113.9)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223.0</w:t>
            </w:r>
          </w:p>
        </w:tc>
        <w:tc>
          <w:tcPr>
            <w:tcW w:w="0" w:type="dxa"/>
            <w:vAlign w:val="bottom"/>
          </w:tcPr>
          <w:p>
            <w:pPr>
              <w:spacing w:after="0"/>
              <w:rPr>
                <w:sz w:val="1"/>
                <w:szCs w:val="1"/>
                <w:color w:val="auto"/>
              </w:rPr>
            </w:pPr>
          </w:p>
        </w:tc>
      </w:tr>
      <w:tr>
        <w:trPr>
          <w:trHeight w:val="162"/>
        </w:trPr>
        <w:tc>
          <w:tcPr>
            <w:tcW w:w="45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Adjusted diluted net income (loss) per common share from</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(0.88)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4.00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2.62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(1.97)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3.80</w:t>
            </w:r>
          </w:p>
        </w:tc>
        <w:tc>
          <w:tcPr>
            <w:tcW w:w="0" w:type="dxa"/>
            <w:vAlign w:val="bottom"/>
          </w:tcPr>
          <w:p>
            <w:pPr>
              <w:spacing w:after="0"/>
              <w:rPr>
                <w:sz w:val="1"/>
                <w:szCs w:val="1"/>
                <w:color w:val="auto"/>
              </w:rPr>
            </w:pPr>
          </w:p>
        </w:tc>
      </w:tr>
      <w:tr>
        <w:trPr>
          <w:trHeight w:val="214"/>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continuing operations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401.6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253.5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(86.1)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569.7</w:t>
            </w:r>
          </w:p>
        </w:tc>
        <w:tc>
          <w:tcPr>
            <w:tcW w:w="0" w:type="dxa"/>
            <w:vAlign w:val="bottom"/>
          </w:tcPr>
          <w:p>
            <w:pPr>
              <w:spacing w:after="0"/>
              <w:rPr>
                <w:sz w:val="1"/>
                <w:szCs w:val="1"/>
                <w:color w:val="auto"/>
              </w:rPr>
            </w:pPr>
          </w:p>
        </w:tc>
      </w:tr>
      <w:tr>
        <w:trPr>
          <w:trHeight w:val="534"/>
        </w:trPr>
        <w:tc>
          <w:tcPr>
            <w:tcW w:w="4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gridSpan w:val="5"/>
            <w:vMerge w:val="restart"/>
          </w:tcPr>
          <w:p>
            <w:pPr>
              <w:ind w:left="480"/>
              <w:spacing w:after="0"/>
              <w:rPr>
                <w:sz w:val="20"/>
                <w:szCs w:val="20"/>
                <w:color w:val="auto"/>
              </w:rPr>
            </w:pPr>
            <w:r>
              <w:rPr>
                <w:rFonts w:ascii="Times New Roman" w:cs="Times New Roman" w:eastAsia="Times New Roman" w:hAnsi="Times New Roman"/>
                <w:sz w:val="14"/>
                <w:szCs w:val="14"/>
                <w:color w:val="auto"/>
              </w:rPr>
              <w:t>Three Months Ended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center"/>
              <w:ind w:right="62"/>
              <w:spacing w:after="0"/>
              <w:rPr>
                <w:sz w:val="20"/>
                <w:szCs w:val="20"/>
                <w:color w:val="auto"/>
              </w:rPr>
            </w:pPr>
            <w:r>
              <w:rPr>
                <w:rFonts w:ascii="Times New Roman" w:cs="Times New Roman" w:eastAsia="Times New Roman" w:hAnsi="Times New Roman"/>
                <w:sz w:val="14"/>
                <w:szCs w:val="14"/>
                <w:color w:val="auto"/>
                <w:w w:val="99"/>
              </w:rPr>
              <w:t>Twelve Months</w:t>
            </w:r>
          </w:p>
        </w:tc>
        <w:tc>
          <w:tcPr>
            <w:tcW w:w="0" w:type="dxa"/>
            <w:vAlign w:val="bottom"/>
          </w:tcPr>
          <w:p>
            <w:pPr>
              <w:spacing w:after="0"/>
              <w:rPr>
                <w:sz w:val="1"/>
                <w:szCs w:val="1"/>
                <w:color w:val="auto"/>
              </w:rPr>
            </w:pPr>
          </w:p>
        </w:tc>
      </w:tr>
      <w:tr>
        <w:trPr>
          <w:trHeight w:val="193"/>
        </w:trPr>
        <w:tc>
          <w:tcPr>
            <w:tcW w:w="4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color w:val="auto"/>
              </w:rPr>
              <w:t>Ended</w:t>
            </w:r>
          </w:p>
        </w:tc>
        <w:tc>
          <w:tcPr>
            <w:tcW w:w="0" w:type="dxa"/>
            <w:vAlign w:val="bottom"/>
          </w:tcPr>
          <w:p>
            <w:pPr>
              <w:spacing w:after="0"/>
              <w:rPr>
                <w:sz w:val="1"/>
                <w:szCs w:val="1"/>
                <w:color w:val="auto"/>
              </w:rPr>
            </w:pPr>
          </w:p>
        </w:tc>
      </w:tr>
      <w:tr>
        <w:trPr>
          <w:trHeight w:val="138"/>
        </w:trPr>
        <w:tc>
          <w:tcPr>
            <w:tcW w:w="4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8" w:lineRule="exact"/>
              <w:rPr>
                <w:sz w:val="20"/>
                <w:szCs w:val="20"/>
                <w:color w:val="auto"/>
              </w:rPr>
            </w:pPr>
            <w:r>
              <w:rPr>
                <w:rFonts w:ascii="Times New Roman" w:cs="Times New Roman" w:eastAsia="Times New Roman" w:hAnsi="Times New Roman"/>
                <w:sz w:val="14"/>
                <w:szCs w:val="14"/>
                <w:color w:val="auto"/>
              </w:rPr>
              <w:t>December 30,</w:t>
            </w:r>
          </w:p>
        </w:tc>
        <w:tc>
          <w:tcPr>
            <w:tcW w:w="220" w:type="dxa"/>
            <w:vAlign w:val="bottom"/>
          </w:tcPr>
          <w:p>
            <w:pPr>
              <w:spacing w:after="0"/>
              <w:rPr>
                <w:sz w:val="11"/>
                <w:szCs w:val="11"/>
                <w:color w:val="auto"/>
              </w:rPr>
            </w:pPr>
          </w:p>
        </w:tc>
        <w:tc>
          <w:tcPr>
            <w:tcW w:w="1140" w:type="dxa"/>
            <w:vAlign w:val="bottom"/>
            <w:gridSpan w:val="2"/>
          </w:tcPr>
          <w:p>
            <w:pPr>
              <w:jc w:val="center"/>
              <w:ind w:right="340"/>
              <w:spacing w:after="0" w:line="138" w:lineRule="exact"/>
              <w:rPr>
                <w:sz w:val="20"/>
                <w:szCs w:val="20"/>
                <w:color w:val="auto"/>
              </w:rPr>
            </w:pPr>
            <w:r>
              <w:rPr>
                <w:rFonts w:ascii="Times New Roman" w:cs="Times New Roman" w:eastAsia="Times New Roman" w:hAnsi="Times New Roman"/>
                <w:sz w:val="14"/>
                <w:szCs w:val="14"/>
                <w:color w:val="auto"/>
              </w:rPr>
              <w:t>March 30,</w:t>
            </w:r>
          </w:p>
        </w:tc>
        <w:tc>
          <w:tcPr>
            <w:tcW w:w="240" w:type="dxa"/>
            <w:vAlign w:val="bottom"/>
          </w:tcPr>
          <w:p>
            <w:pPr>
              <w:spacing w:after="0"/>
              <w:rPr>
                <w:sz w:val="11"/>
                <w:szCs w:val="11"/>
                <w:color w:val="auto"/>
              </w:rPr>
            </w:pPr>
          </w:p>
        </w:tc>
        <w:tc>
          <w:tcPr>
            <w:tcW w:w="1100" w:type="dxa"/>
            <w:vAlign w:val="bottom"/>
            <w:gridSpan w:val="2"/>
          </w:tcPr>
          <w:p>
            <w:pPr>
              <w:jc w:val="center"/>
              <w:ind w:right="340"/>
              <w:spacing w:after="0" w:line="138" w:lineRule="exact"/>
              <w:rPr>
                <w:sz w:val="20"/>
                <w:szCs w:val="20"/>
                <w:color w:val="auto"/>
              </w:rPr>
            </w:pPr>
            <w:r>
              <w:rPr>
                <w:rFonts w:ascii="Times New Roman" w:cs="Times New Roman" w:eastAsia="Times New Roman" w:hAnsi="Times New Roman"/>
                <w:sz w:val="14"/>
                <w:szCs w:val="14"/>
                <w:color w:val="auto"/>
              </w:rPr>
              <w:t>June 29,</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ind w:right="160"/>
              <w:spacing w:after="0" w:line="138" w:lineRule="exact"/>
              <w:rPr>
                <w:sz w:val="20"/>
                <w:szCs w:val="20"/>
                <w:color w:val="auto"/>
              </w:rPr>
            </w:pPr>
            <w:r>
              <w:rPr>
                <w:rFonts w:ascii="Times New Roman" w:cs="Times New Roman" w:eastAsia="Times New Roman" w:hAnsi="Times New Roman"/>
                <w:sz w:val="14"/>
                <w:szCs w:val="14"/>
                <w:color w:val="auto"/>
              </w:rPr>
              <w:t>September 30,</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center"/>
              <w:ind w:right="62"/>
              <w:spacing w:after="0" w:line="138" w:lineRule="exact"/>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193"/>
        </w:trPr>
        <w:tc>
          <w:tcPr>
            <w:tcW w:w="45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color w:val="auto"/>
                <w:w w:val="99"/>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4"/>
                <w:szCs w:val="14"/>
                <w:color w:val="auto"/>
                <w:w w:val="99"/>
              </w:rPr>
              <w:t>2024</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color w:val="auto"/>
                <w:w w:val="99"/>
              </w:rPr>
              <w:t>2024</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color w:val="auto"/>
                <w:w w:val="99"/>
              </w:rPr>
              <w:t>2024</w:t>
            </w:r>
          </w:p>
        </w:tc>
        <w:tc>
          <w:tcPr>
            <w:tcW w:w="0" w:type="dxa"/>
            <w:vAlign w:val="bottom"/>
          </w:tcPr>
          <w:p>
            <w:pPr>
              <w:spacing w:after="0"/>
              <w:rPr>
                <w:sz w:val="1"/>
                <w:szCs w:val="1"/>
                <w:color w:val="auto"/>
              </w:rPr>
            </w:pPr>
          </w:p>
        </w:tc>
      </w:tr>
      <w:tr>
        <w:trPr>
          <w:trHeight w:val="201"/>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Summary of Non-GAAP Financial Measures: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gross margin</w:t>
            </w: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52.7</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532.0</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337.2</w:t>
            </w:r>
          </w:p>
        </w:tc>
        <w:tc>
          <w:tcPr>
            <w:tcW w:w="100" w:type="dxa"/>
            <w:vAlign w:val="bottom"/>
          </w:tcPr>
          <w:p>
            <w:pPr>
              <w:spacing w:after="0"/>
              <w:rPr>
                <w:sz w:val="18"/>
                <w:szCs w:val="18"/>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900.5</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gross margin as a % of sales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27.6 %</w:t>
            </w:r>
          </w:p>
        </w:tc>
        <w:tc>
          <w:tcPr>
            <w:tcW w:w="0" w:type="dxa"/>
            <w:vAlign w:val="bottom"/>
          </w:tcPr>
          <w:p>
            <w:pPr>
              <w:spacing w:after="0"/>
              <w:rPr>
                <w:sz w:val="1"/>
                <w:szCs w:val="1"/>
                <w:color w:val="auto"/>
              </w:rPr>
            </w:pPr>
          </w:p>
        </w:tc>
      </w:tr>
      <w:tr>
        <w:trPr>
          <w:trHeight w:val="213"/>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income (loss) from operations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(50.3)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353.2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193.9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(124.7)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372.1</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income (loss) from operations as a % of sales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11.4 %</w:t>
            </w:r>
          </w:p>
        </w:tc>
        <w:tc>
          <w:tcPr>
            <w:tcW w:w="0" w:type="dxa"/>
            <w:vAlign w:val="bottom"/>
          </w:tcPr>
          <w:p>
            <w:pPr>
              <w:spacing w:after="0"/>
              <w:rPr>
                <w:sz w:val="1"/>
                <w:szCs w:val="1"/>
                <w:color w:val="auto"/>
              </w:rPr>
            </w:pPr>
          </w:p>
        </w:tc>
      </w:tr>
      <w:tr>
        <w:trPr>
          <w:trHeight w:val="213"/>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equity in income (loss) of unconsolidated affiliates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165"/>
        </w:trPr>
        <w:tc>
          <w:tcPr>
            <w:tcW w:w="45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Adjusted income (loss) from continuing operations before income</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(106.8)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300.9</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176.8</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(168.3)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202.6</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income tax expense (benefit) from continuing operations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85.6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(41.5)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57.7</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net income (loss) from continuing operations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(75.3)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215.3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131.7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(126.8)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144.9</w:t>
            </w:r>
          </w:p>
        </w:tc>
        <w:tc>
          <w:tcPr>
            <w:tcW w:w="0" w:type="dxa"/>
            <w:vAlign w:val="bottom"/>
          </w:tcPr>
          <w:p>
            <w:pPr>
              <w:spacing w:after="0"/>
              <w:rPr>
                <w:sz w:val="1"/>
                <w:szCs w:val="1"/>
                <w:color w:val="auto"/>
              </w:rPr>
            </w:pPr>
          </w:p>
        </w:tc>
      </w:tr>
      <w:tr>
        <w:trPr>
          <w:trHeight w:val="162"/>
        </w:trPr>
        <w:tc>
          <w:tcPr>
            <w:tcW w:w="45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Adjusted diluted net income (loss) per common share from</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(1.33)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3.75</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2.27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(2.23)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2.51</w:t>
            </w:r>
          </w:p>
        </w:tc>
        <w:tc>
          <w:tcPr>
            <w:tcW w:w="0" w:type="dxa"/>
            <w:vAlign w:val="bottom"/>
          </w:tcPr>
          <w:p>
            <w:pPr>
              <w:spacing w:after="0"/>
              <w:rPr>
                <w:sz w:val="1"/>
                <w:szCs w:val="1"/>
                <w:color w:val="auto"/>
              </w:rPr>
            </w:pPr>
          </w:p>
        </w:tc>
      </w:tr>
      <w:tr>
        <w:trPr>
          <w:trHeight w:val="214"/>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continuing operations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(21.2)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394.5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228.5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(96.5)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505.2</w:t>
            </w:r>
          </w:p>
        </w:tc>
        <w:tc>
          <w:tcPr>
            <w:tcW w:w="0" w:type="dxa"/>
            <w:vAlign w:val="bottom"/>
          </w:tcPr>
          <w:p>
            <w:pPr>
              <w:spacing w:after="0"/>
              <w:rPr>
                <w:sz w:val="1"/>
                <w:szCs w:val="1"/>
                <w:color w:val="auto"/>
              </w:rPr>
            </w:pPr>
          </w:p>
        </w:tc>
      </w:tr>
      <w:tr>
        <w:trPr>
          <w:trHeight w:val="304"/>
        </w:trPr>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Note: See accompanying footnotes.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The sum of the components may not equal due to rounding.</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11"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25"/>
          <w:szCs w:val="25"/>
          <w:b w:val="1"/>
          <w:bCs w:val="1"/>
          <w:color w:val="auto"/>
        </w:rPr>
        <w:t>THE SCOTTS MIRACLE-GRO COMPANY</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Revised Segment Results (2) (5)</w:t>
      </w:r>
    </w:p>
    <w:p>
      <w:pPr>
        <w:spacing w:after="0" w:line="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80" w:type="dxa"/>
            <w:vAlign w:val="bottom"/>
            <w:gridSpan w:val="5"/>
            <w:vMerge w:val="restart"/>
          </w:tcPr>
          <w:p>
            <w:pPr>
              <w:ind w:left="440"/>
              <w:spacing w:after="0"/>
              <w:rPr>
                <w:sz w:val="20"/>
                <w:szCs w:val="20"/>
                <w:color w:val="auto"/>
              </w:rPr>
            </w:pPr>
            <w:r>
              <w:rPr>
                <w:rFonts w:ascii="Times New Roman" w:cs="Times New Roman" w:eastAsia="Times New Roman" w:hAnsi="Times New Roman"/>
                <w:sz w:val="14"/>
                <w:szCs w:val="14"/>
                <w:color w:val="auto"/>
              </w:rPr>
              <w:t>Three Months Ended</w:t>
            </w: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right="41"/>
              <w:spacing w:after="0"/>
              <w:rPr>
                <w:sz w:val="20"/>
                <w:szCs w:val="20"/>
                <w:color w:val="auto"/>
              </w:rPr>
            </w:pPr>
            <w:r>
              <w:rPr>
                <w:rFonts w:ascii="Times New Roman" w:cs="Times New Roman" w:eastAsia="Times New Roman" w:hAnsi="Times New Roman"/>
                <w:sz w:val="14"/>
                <w:szCs w:val="14"/>
                <w:color w:val="auto"/>
                <w:w w:val="99"/>
              </w:rPr>
              <w:t>Twelve Months</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color w:val="auto"/>
              </w:rPr>
              <w:t>Ended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ind w:right="260"/>
              <w:spacing w:after="0" w:line="138" w:lineRule="exact"/>
              <w:rPr>
                <w:sz w:val="20"/>
                <w:szCs w:val="20"/>
                <w:color w:val="auto"/>
              </w:rPr>
            </w:pPr>
            <w:r>
              <w:rPr>
                <w:rFonts w:ascii="Times New Roman" w:cs="Times New Roman" w:eastAsia="Times New Roman" w:hAnsi="Times New Roman"/>
                <w:sz w:val="14"/>
                <w:szCs w:val="14"/>
                <w:color w:val="auto"/>
              </w:rPr>
              <w:t>December 28,</w:t>
            </w:r>
          </w:p>
        </w:tc>
        <w:tc>
          <w:tcPr>
            <w:tcW w:w="180" w:type="dxa"/>
            <w:vAlign w:val="bottom"/>
          </w:tcPr>
          <w:p>
            <w:pPr>
              <w:spacing w:after="0"/>
              <w:rPr>
                <w:sz w:val="11"/>
                <w:szCs w:val="11"/>
                <w:color w:val="auto"/>
              </w:rPr>
            </w:pPr>
          </w:p>
        </w:tc>
        <w:tc>
          <w:tcPr>
            <w:tcW w:w="1100" w:type="dxa"/>
            <w:vAlign w:val="bottom"/>
            <w:gridSpan w:val="2"/>
          </w:tcPr>
          <w:p>
            <w:pPr>
              <w:jc w:val="center"/>
              <w:ind w:right="300"/>
              <w:spacing w:after="0" w:line="138" w:lineRule="exact"/>
              <w:rPr>
                <w:sz w:val="20"/>
                <w:szCs w:val="20"/>
                <w:color w:val="auto"/>
              </w:rPr>
            </w:pPr>
            <w:r>
              <w:rPr>
                <w:rFonts w:ascii="Times New Roman" w:cs="Times New Roman" w:eastAsia="Times New Roman" w:hAnsi="Times New Roman"/>
                <w:sz w:val="14"/>
                <w:szCs w:val="14"/>
                <w:color w:val="auto"/>
              </w:rPr>
              <w:t>March 29,</w:t>
            </w:r>
          </w:p>
        </w:tc>
        <w:tc>
          <w:tcPr>
            <w:tcW w:w="220" w:type="dxa"/>
            <w:vAlign w:val="bottom"/>
          </w:tcPr>
          <w:p>
            <w:pPr>
              <w:spacing w:after="0"/>
              <w:rPr>
                <w:sz w:val="11"/>
                <w:szCs w:val="11"/>
                <w:color w:val="auto"/>
              </w:rPr>
            </w:pPr>
          </w:p>
        </w:tc>
        <w:tc>
          <w:tcPr>
            <w:tcW w:w="1060" w:type="dxa"/>
            <w:vAlign w:val="bottom"/>
            <w:gridSpan w:val="2"/>
          </w:tcPr>
          <w:p>
            <w:pPr>
              <w:jc w:val="center"/>
              <w:ind w:right="340"/>
              <w:spacing w:after="0" w:line="138" w:lineRule="exact"/>
              <w:rPr>
                <w:sz w:val="20"/>
                <w:szCs w:val="20"/>
                <w:color w:val="auto"/>
              </w:rPr>
            </w:pPr>
            <w:r>
              <w:rPr>
                <w:rFonts w:ascii="Times New Roman" w:cs="Times New Roman" w:eastAsia="Times New Roman" w:hAnsi="Times New Roman"/>
                <w:sz w:val="14"/>
                <w:szCs w:val="14"/>
                <w:color w:val="auto"/>
              </w:rPr>
              <w:t>June 28,</w:t>
            </w:r>
          </w:p>
        </w:tc>
        <w:tc>
          <w:tcPr>
            <w:tcW w:w="140" w:type="dxa"/>
            <w:vAlign w:val="bottom"/>
          </w:tcPr>
          <w:p>
            <w:pPr>
              <w:spacing w:after="0"/>
              <w:rPr>
                <w:sz w:val="11"/>
                <w:szCs w:val="11"/>
                <w:color w:val="auto"/>
              </w:rPr>
            </w:pPr>
          </w:p>
        </w:tc>
        <w:tc>
          <w:tcPr>
            <w:tcW w:w="1040" w:type="dxa"/>
            <w:vAlign w:val="bottom"/>
          </w:tcPr>
          <w:p>
            <w:pPr>
              <w:jc w:val="center"/>
              <w:ind w:right="80"/>
              <w:spacing w:after="0" w:line="138" w:lineRule="exact"/>
              <w:rPr>
                <w:sz w:val="20"/>
                <w:szCs w:val="20"/>
                <w:color w:val="auto"/>
              </w:rPr>
            </w:pPr>
            <w:r>
              <w:rPr>
                <w:rFonts w:ascii="Times New Roman" w:cs="Times New Roman" w:eastAsia="Times New Roman" w:hAnsi="Times New Roman"/>
                <w:sz w:val="14"/>
                <w:szCs w:val="14"/>
                <w:color w:val="auto"/>
              </w:rPr>
              <w:t>September 30,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center"/>
              <w:ind w:right="41"/>
              <w:spacing w:after="0" w:line="138" w:lineRule="exact"/>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193"/>
        </w:trPr>
        <w:tc>
          <w:tcPr>
            <w:tcW w:w="2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1800" w:type="dxa"/>
            <w:vAlign w:val="bottom"/>
            <w:tcBorders>
              <w:bottom w:val="single" w:sz="8" w:color="CCEEFF"/>
            </w:tcBorders>
          </w:tcPr>
          <w:p>
            <w:pPr>
              <w:spacing w:after="0"/>
              <w:rPr>
                <w:sz w:val="16"/>
                <w:szCs w:val="16"/>
                <w:color w:val="auto"/>
              </w:rPr>
            </w:pPr>
          </w:p>
        </w:tc>
        <w:tc>
          <w:tcPr>
            <w:tcW w:w="24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color w:val="auto"/>
                <w:w w:val="99"/>
              </w:rPr>
              <w:t>2024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color w:val="auto"/>
                <w:w w:val="99"/>
              </w:rPr>
              <w:t>2025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color w:val="auto"/>
                <w:w w:val="99"/>
              </w:rPr>
              <w:t>2025</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color w:val="auto"/>
                <w:w w:val="99"/>
              </w:rPr>
              <w:t>2025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color w:val="auto"/>
                <w:w w:val="99"/>
              </w:rPr>
              <w:t>2025</w:t>
            </w:r>
          </w:p>
        </w:tc>
        <w:tc>
          <w:tcPr>
            <w:tcW w:w="0" w:type="dxa"/>
            <w:vAlign w:val="bottom"/>
          </w:tcPr>
          <w:p>
            <w:pPr>
              <w:spacing w:after="0"/>
              <w:rPr>
                <w:sz w:val="1"/>
                <w:szCs w:val="1"/>
                <w:color w:val="auto"/>
              </w:rPr>
            </w:pPr>
          </w:p>
        </w:tc>
      </w:tr>
      <w:tr>
        <w:trPr>
          <w:trHeight w:val="181"/>
        </w:trPr>
        <w:tc>
          <w:tcPr>
            <w:tcW w:w="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line="161" w:lineRule="exact"/>
              <w:rPr>
                <w:sz w:val="20"/>
                <w:szCs w:val="20"/>
                <w:color w:val="auto"/>
              </w:rPr>
            </w:pPr>
            <w:r>
              <w:rPr>
                <w:rFonts w:ascii="Times New Roman" w:cs="Times New Roman" w:eastAsia="Times New Roman" w:hAnsi="Times New Roman"/>
                <w:sz w:val="16"/>
                <w:szCs w:val="16"/>
                <w:b w:val="1"/>
                <w:bCs w:val="1"/>
                <w:color w:val="auto"/>
                <w:w w:val="99"/>
              </w:rPr>
              <w:t>Net Sales:</w:t>
            </w:r>
          </w:p>
        </w:tc>
        <w:tc>
          <w:tcPr>
            <w:tcW w:w="4220" w:type="dxa"/>
            <w:vAlign w:val="bottom"/>
            <w:tcBorders>
              <w:bottom w:val="single" w:sz="8" w:color="CCEEFF"/>
            </w:tcBorders>
            <w:gridSpan w:val="2"/>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U.S. Consumer reportable segment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340.9</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1,311.5</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2,993.7</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20" w:type="dxa"/>
            <w:vAlign w:val="bottom"/>
            <w:gridSpan w:val="3"/>
          </w:tcPr>
          <w:p>
            <w:pPr>
              <w:ind w:left="460"/>
              <w:spacing w:after="0"/>
              <w:rPr>
                <w:sz w:val="20"/>
                <w:szCs w:val="20"/>
                <w:color w:val="auto"/>
              </w:rPr>
            </w:pPr>
            <w:r>
              <w:rPr>
                <w:rFonts w:ascii="Times New Roman" w:cs="Times New Roman" w:eastAsia="Times New Roman" w:hAnsi="Times New Roman"/>
                <w:sz w:val="16"/>
                <w:szCs w:val="16"/>
                <w:color w:val="auto"/>
              </w:rPr>
              <w:t>Consolidated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366.6</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1,389.7</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1,159.3</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3,255.8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92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Segment Profit (Loss) (Non-GAAP):</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U.S. Consumer reportable segment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Corporate</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 amortization</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Impairment, restructuring and other</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in income (loss) of unconsolidated affiliates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non-operating expense, net</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gridSpan w:val="3"/>
          </w:tcPr>
          <w:p>
            <w:pPr>
              <w:ind w:left="440"/>
              <w:spacing w:after="0" w:line="142" w:lineRule="exact"/>
              <w:rPr>
                <w:sz w:val="20"/>
                <w:szCs w:val="20"/>
                <w:color w:val="auto"/>
              </w:rPr>
            </w:pPr>
            <w:r>
              <w:rPr>
                <w:rFonts w:ascii="Times New Roman" w:cs="Times New Roman" w:eastAsia="Times New Roman" w:hAnsi="Times New Roman"/>
                <w:sz w:val="16"/>
                <w:szCs w:val="16"/>
                <w:color w:val="auto"/>
              </w:rPr>
              <w:t>Income (loss) from continuing operations before income taxes</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12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306.0</w:t>
            </w:r>
          </w:p>
        </w:tc>
        <w:tc>
          <w:tcPr>
            <w:tcW w:w="120" w:type="dxa"/>
            <w:vAlign w:val="bottom"/>
          </w:tcPr>
          <w:p>
            <w:pPr>
              <w:spacing w:after="0"/>
              <w:rPr>
                <w:sz w:val="12"/>
                <w:szCs w:val="12"/>
                <w:color w:val="auto"/>
              </w:rPr>
            </w:pP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214.0</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(164.2)</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264.9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92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auto"/>
              </w:rPr>
              <w:t>(GAAP)</w:t>
            </w:r>
          </w:p>
        </w:tc>
        <w:tc>
          <w:tcPr>
            <w:tcW w:w="16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73"/>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gridSpan w:val="5"/>
            <w:vMerge w:val="restart"/>
          </w:tcPr>
          <w:p>
            <w:pPr>
              <w:ind w:left="440"/>
              <w:spacing w:after="0"/>
              <w:rPr>
                <w:sz w:val="20"/>
                <w:szCs w:val="20"/>
                <w:color w:val="auto"/>
              </w:rPr>
            </w:pPr>
            <w:r>
              <w:rPr>
                <w:rFonts w:ascii="Times New Roman" w:cs="Times New Roman" w:eastAsia="Times New Roman" w:hAnsi="Times New Roman"/>
                <w:sz w:val="14"/>
                <w:szCs w:val="14"/>
                <w:color w:val="auto"/>
              </w:rPr>
              <w:t>Three Months Ended</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center"/>
              <w:ind w:right="41"/>
              <w:spacing w:after="0"/>
              <w:rPr>
                <w:sz w:val="20"/>
                <w:szCs w:val="20"/>
                <w:color w:val="auto"/>
              </w:rPr>
            </w:pPr>
            <w:r>
              <w:rPr>
                <w:rFonts w:ascii="Times New Roman" w:cs="Times New Roman" w:eastAsia="Times New Roman" w:hAnsi="Times New Roman"/>
                <w:sz w:val="14"/>
                <w:szCs w:val="14"/>
                <w:color w:val="auto"/>
                <w:w w:val="99"/>
              </w:rPr>
              <w:t>Twelve Months</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color w:val="auto"/>
              </w:rPr>
              <w:t>Ended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ind w:right="260"/>
              <w:spacing w:after="0" w:line="138" w:lineRule="exact"/>
              <w:rPr>
                <w:sz w:val="20"/>
                <w:szCs w:val="20"/>
                <w:color w:val="auto"/>
              </w:rPr>
            </w:pPr>
            <w:r>
              <w:rPr>
                <w:rFonts w:ascii="Times New Roman" w:cs="Times New Roman" w:eastAsia="Times New Roman" w:hAnsi="Times New Roman"/>
                <w:sz w:val="14"/>
                <w:szCs w:val="14"/>
                <w:color w:val="auto"/>
              </w:rPr>
              <w:t>December 30,</w:t>
            </w:r>
          </w:p>
        </w:tc>
        <w:tc>
          <w:tcPr>
            <w:tcW w:w="180" w:type="dxa"/>
            <w:vAlign w:val="bottom"/>
          </w:tcPr>
          <w:p>
            <w:pPr>
              <w:spacing w:after="0"/>
              <w:rPr>
                <w:sz w:val="11"/>
                <w:szCs w:val="11"/>
                <w:color w:val="auto"/>
              </w:rPr>
            </w:pPr>
          </w:p>
        </w:tc>
        <w:tc>
          <w:tcPr>
            <w:tcW w:w="1100" w:type="dxa"/>
            <w:vAlign w:val="bottom"/>
            <w:gridSpan w:val="2"/>
          </w:tcPr>
          <w:p>
            <w:pPr>
              <w:jc w:val="center"/>
              <w:ind w:right="300"/>
              <w:spacing w:after="0" w:line="138" w:lineRule="exact"/>
              <w:rPr>
                <w:sz w:val="20"/>
                <w:szCs w:val="20"/>
                <w:color w:val="auto"/>
              </w:rPr>
            </w:pPr>
            <w:r>
              <w:rPr>
                <w:rFonts w:ascii="Times New Roman" w:cs="Times New Roman" w:eastAsia="Times New Roman" w:hAnsi="Times New Roman"/>
                <w:sz w:val="14"/>
                <w:szCs w:val="14"/>
                <w:color w:val="auto"/>
              </w:rPr>
              <w:t>March 30,</w:t>
            </w:r>
          </w:p>
        </w:tc>
        <w:tc>
          <w:tcPr>
            <w:tcW w:w="220" w:type="dxa"/>
            <w:vAlign w:val="bottom"/>
          </w:tcPr>
          <w:p>
            <w:pPr>
              <w:spacing w:after="0"/>
              <w:rPr>
                <w:sz w:val="11"/>
                <w:szCs w:val="11"/>
                <w:color w:val="auto"/>
              </w:rPr>
            </w:pPr>
          </w:p>
        </w:tc>
        <w:tc>
          <w:tcPr>
            <w:tcW w:w="1060" w:type="dxa"/>
            <w:vAlign w:val="bottom"/>
            <w:gridSpan w:val="2"/>
          </w:tcPr>
          <w:p>
            <w:pPr>
              <w:jc w:val="center"/>
              <w:ind w:right="340"/>
              <w:spacing w:after="0" w:line="138" w:lineRule="exact"/>
              <w:rPr>
                <w:sz w:val="20"/>
                <w:szCs w:val="20"/>
                <w:color w:val="auto"/>
              </w:rPr>
            </w:pPr>
            <w:r>
              <w:rPr>
                <w:rFonts w:ascii="Times New Roman" w:cs="Times New Roman" w:eastAsia="Times New Roman" w:hAnsi="Times New Roman"/>
                <w:sz w:val="14"/>
                <w:szCs w:val="14"/>
                <w:color w:val="auto"/>
              </w:rPr>
              <w:t>June 29,</w:t>
            </w:r>
          </w:p>
        </w:tc>
        <w:tc>
          <w:tcPr>
            <w:tcW w:w="140" w:type="dxa"/>
            <w:vAlign w:val="bottom"/>
          </w:tcPr>
          <w:p>
            <w:pPr>
              <w:spacing w:after="0"/>
              <w:rPr>
                <w:sz w:val="11"/>
                <w:szCs w:val="11"/>
                <w:color w:val="auto"/>
              </w:rPr>
            </w:pPr>
          </w:p>
        </w:tc>
        <w:tc>
          <w:tcPr>
            <w:tcW w:w="1040" w:type="dxa"/>
            <w:vAlign w:val="bottom"/>
          </w:tcPr>
          <w:p>
            <w:pPr>
              <w:jc w:val="center"/>
              <w:ind w:right="80"/>
              <w:spacing w:after="0" w:line="138" w:lineRule="exact"/>
              <w:rPr>
                <w:sz w:val="20"/>
                <w:szCs w:val="20"/>
                <w:color w:val="auto"/>
              </w:rPr>
            </w:pPr>
            <w:r>
              <w:rPr>
                <w:rFonts w:ascii="Times New Roman" w:cs="Times New Roman" w:eastAsia="Times New Roman" w:hAnsi="Times New Roman"/>
                <w:sz w:val="14"/>
                <w:szCs w:val="14"/>
                <w:color w:val="auto"/>
              </w:rPr>
              <w:t>September 30,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center"/>
              <w:ind w:right="41"/>
              <w:spacing w:after="0" w:line="138" w:lineRule="exact"/>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193"/>
        </w:trPr>
        <w:tc>
          <w:tcPr>
            <w:tcW w:w="2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1800" w:type="dxa"/>
            <w:vAlign w:val="bottom"/>
            <w:tcBorders>
              <w:bottom w:val="single" w:sz="8" w:color="CCEEFF"/>
            </w:tcBorders>
          </w:tcPr>
          <w:p>
            <w:pPr>
              <w:spacing w:after="0"/>
              <w:rPr>
                <w:sz w:val="16"/>
                <w:szCs w:val="16"/>
                <w:color w:val="auto"/>
              </w:rPr>
            </w:pPr>
          </w:p>
        </w:tc>
        <w:tc>
          <w:tcPr>
            <w:tcW w:w="24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color w:val="auto"/>
                <w:w w:val="99"/>
              </w:rPr>
              <w:t>2023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color w:val="auto"/>
                <w:w w:val="99"/>
              </w:rPr>
              <w:t>2024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color w:val="auto"/>
                <w:w w:val="99"/>
              </w:rPr>
              <w:t>2024</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color w:val="auto"/>
                <w:w w:val="99"/>
              </w:rPr>
              <w:t>2024</w:t>
            </w:r>
          </w:p>
        </w:tc>
        <w:tc>
          <w:tcPr>
            <w:tcW w:w="0" w:type="dxa"/>
            <w:vAlign w:val="bottom"/>
          </w:tcPr>
          <w:p>
            <w:pPr>
              <w:spacing w:after="0"/>
              <w:rPr>
                <w:sz w:val="1"/>
                <w:szCs w:val="1"/>
                <w:color w:val="auto"/>
              </w:rPr>
            </w:pPr>
          </w:p>
        </w:tc>
      </w:tr>
      <w:tr>
        <w:trPr>
          <w:trHeight w:val="181"/>
        </w:trPr>
        <w:tc>
          <w:tcPr>
            <w:tcW w:w="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line="161" w:lineRule="exact"/>
              <w:rPr>
                <w:sz w:val="20"/>
                <w:szCs w:val="20"/>
                <w:color w:val="auto"/>
              </w:rPr>
            </w:pPr>
            <w:r>
              <w:rPr>
                <w:rFonts w:ascii="Times New Roman" w:cs="Times New Roman" w:eastAsia="Times New Roman" w:hAnsi="Times New Roman"/>
                <w:sz w:val="16"/>
                <w:szCs w:val="16"/>
                <w:b w:val="1"/>
                <w:bCs w:val="1"/>
                <w:color w:val="auto"/>
                <w:w w:val="99"/>
              </w:rPr>
              <w:t>Net Sales:</w:t>
            </w:r>
          </w:p>
        </w:tc>
        <w:tc>
          <w:tcPr>
            <w:tcW w:w="4220" w:type="dxa"/>
            <w:vAlign w:val="bottom"/>
            <w:tcBorders>
              <w:bottom w:val="single" w:sz="8" w:color="CCEEFF"/>
            </w:tcBorders>
            <w:gridSpan w:val="2"/>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U.S. Consumer reportable segment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306.7</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1,379.8</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3,013.7</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20" w:type="dxa"/>
            <w:vAlign w:val="bottom"/>
            <w:gridSpan w:val="3"/>
          </w:tcPr>
          <w:p>
            <w:pPr>
              <w:ind w:left="460"/>
              <w:spacing w:after="0"/>
              <w:rPr>
                <w:sz w:val="20"/>
                <w:szCs w:val="20"/>
                <w:color w:val="auto"/>
              </w:rPr>
            </w:pPr>
            <w:r>
              <w:rPr>
                <w:rFonts w:ascii="Times New Roman" w:cs="Times New Roman" w:eastAsia="Times New Roman" w:hAnsi="Times New Roman"/>
                <w:sz w:val="16"/>
                <w:szCs w:val="16"/>
                <w:color w:val="auto"/>
              </w:rPr>
              <w:t>Consolidated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333.9</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1,462.3</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1,136.2</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336.0</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3,268.4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92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Segment Profit (Loss) (Non-GAAP):</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U.S. Consumer reportable segment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3"/>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Corporate</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 amortization</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Impairment, restructuring and other</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in income (loss) of unconsolidated affiliates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non-operating expense, net</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gridSpan w:val="3"/>
          </w:tcPr>
          <w:p>
            <w:pPr>
              <w:ind w:left="440"/>
              <w:spacing w:after="0" w:line="142" w:lineRule="exact"/>
              <w:rPr>
                <w:sz w:val="20"/>
                <w:szCs w:val="20"/>
                <w:color w:val="auto"/>
              </w:rPr>
            </w:pPr>
            <w:r>
              <w:rPr>
                <w:rFonts w:ascii="Times New Roman" w:cs="Times New Roman" w:eastAsia="Times New Roman" w:hAnsi="Times New Roman"/>
                <w:sz w:val="16"/>
                <w:szCs w:val="16"/>
                <w:color w:val="auto"/>
              </w:rPr>
              <w:t>Income (loss) from continuing operations before income taxes</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(121.0)</w:t>
            </w:r>
          </w:p>
        </w:tc>
        <w:tc>
          <w:tcPr>
            <w:tcW w:w="12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301.7</w:t>
            </w:r>
          </w:p>
        </w:tc>
        <w:tc>
          <w:tcPr>
            <w:tcW w:w="120" w:type="dxa"/>
            <w:vAlign w:val="bottom"/>
          </w:tcPr>
          <w:p>
            <w:pPr>
              <w:spacing w:after="0"/>
              <w:rPr>
                <w:sz w:val="12"/>
                <w:szCs w:val="12"/>
                <w:color w:val="auto"/>
              </w:rPr>
            </w:pP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174.0</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(296.3)</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92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auto"/>
              </w:rPr>
              <w:t>(GAAP)</w:t>
            </w:r>
          </w:p>
        </w:tc>
        <w:tc>
          <w:tcPr>
            <w:tcW w:w="16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See accompanying footnotes.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sum of the components may not equal due to rounding.</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11"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25"/>
          <w:szCs w:val="25"/>
          <w:b w:val="1"/>
          <w:bCs w:val="1"/>
          <w:color w:val="auto"/>
        </w:rPr>
        <w:t>THE SCOTTS MIRACLE-GRO COMPANY</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Revised Reconciliation of Non-GAAP Adjusted EBITDA (2) (5)</w:t>
      </w:r>
    </w:p>
    <w:p>
      <w:pPr>
        <w:spacing w:after="0" w:line="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60" w:type="dxa"/>
            <w:vAlign w:val="bottom"/>
            <w:gridSpan w:val="5"/>
            <w:vMerge w:val="restart"/>
          </w:tcPr>
          <w:p>
            <w:pPr>
              <w:ind w:left="420"/>
              <w:spacing w:after="0"/>
              <w:rPr>
                <w:sz w:val="20"/>
                <w:szCs w:val="20"/>
                <w:color w:val="auto"/>
              </w:rPr>
            </w:pPr>
            <w:r>
              <w:rPr>
                <w:rFonts w:ascii="Times New Roman" w:cs="Times New Roman" w:eastAsia="Times New Roman" w:hAnsi="Times New Roman"/>
                <w:sz w:val="14"/>
                <w:szCs w:val="14"/>
                <w:color w:val="auto"/>
              </w:rPr>
              <w:t>Three Months Ended</w:t>
            </w: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ind w:right="41"/>
              <w:spacing w:after="0"/>
              <w:rPr>
                <w:sz w:val="20"/>
                <w:szCs w:val="20"/>
                <w:color w:val="auto"/>
              </w:rPr>
            </w:pPr>
            <w:r>
              <w:rPr>
                <w:rFonts w:ascii="Times New Roman" w:cs="Times New Roman" w:eastAsia="Times New Roman" w:hAnsi="Times New Roman"/>
                <w:sz w:val="14"/>
                <w:szCs w:val="14"/>
                <w:color w:val="auto"/>
              </w:rPr>
              <w:t>Twelve Months</w:t>
            </w:r>
          </w:p>
        </w:tc>
        <w:tc>
          <w:tcPr>
            <w:tcW w:w="0" w:type="dxa"/>
            <w:vAlign w:val="bottom"/>
          </w:tcPr>
          <w:p>
            <w:pPr>
              <w:spacing w:after="0"/>
              <w:rPr>
                <w:sz w:val="1"/>
                <w:szCs w:val="1"/>
                <w:color w:val="auto"/>
              </w:rPr>
            </w:pPr>
          </w:p>
        </w:tc>
      </w:tr>
      <w:tr>
        <w:trPr>
          <w:trHeight w:val="193"/>
        </w:trPr>
        <w:tc>
          <w:tcPr>
            <w:tcW w:w="49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color w:val="auto"/>
              </w:rPr>
              <w:t>Ended</w:t>
            </w:r>
          </w:p>
        </w:tc>
        <w:tc>
          <w:tcPr>
            <w:tcW w:w="0" w:type="dxa"/>
            <w:vAlign w:val="bottom"/>
          </w:tcPr>
          <w:p>
            <w:pPr>
              <w:spacing w:after="0"/>
              <w:rPr>
                <w:sz w:val="1"/>
                <w:szCs w:val="1"/>
                <w:color w:val="auto"/>
              </w:rPr>
            </w:pPr>
          </w:p>
        </w:tc>
      </w:tr>
      <w:tr>
        <w:trPr>
          <w:trHeight w:val="138"/>
        </w:trPr>
        <w:tc>
          <w:tcPr>
            <w:tcW w:w="4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60"/>
              <w:spacing w:after="0" w:line="138" w:lineRule="exact"/>
              <w:rPr>
                <w:sz w:val="20"/>
                <w:szCs w:val="20"/>
                <w:color w:val="auto"/>
              </w:rPr>
            </w:pPr>
            <w:r>
              <w:rPr>
                <w:rFonts w:ascii="Times New Roman" w:cs="Times New Roman" w:eastAsia="Times New Roman" w:hAnsi="Times New Roman"/>
                <w:sz w:val="14"/>
                <w:szCs w:val="14"/>
                <w:color w:val="auto"/>
              </w:rPr>
              <w:t>December 28,</w:t>
            </w:r>
          </w:p>
        </w:tc>
        <w:tc>
          <w:tcPr>
            <w:tcW w:w="200" w:type="dxa"/>
            <w:vAlign w:val="bottom"/>
          </w:tcPr>
          <w:p>
            <w:pPr>
              <w:spacing w:after="0"/>
              <w:rPr>
                <w:sz w:val="11"/>
                <w:szCs w:val="11"/>
                <w:color w:val="auto"/>
              </w:rPr>
            </w:pPr>
          </w:p>
        </w:tc>
        <w:tc>
          <w:tcPr>
            <w:tcW w:w="1080" w:type="dxa"/>
            <w:vAlign w:val="bottom"/>
            <w:gridSpan w:val="2"/>
          </w:tcPr>
          <w:p>
            <w:pPr>
              <w:jc w:val="center"/>
              <w:ind w:right="320"/>
              <w:spacing w:after="0" w:line="138" w:lineRule="exact"/>
              <w:rPr>
                <w:sz w:val="20"/>
                <w:szCs w:val="20"/>
                <w:color w:val="auto"/>
              </w:rPr>
            </w:pPr>
            <w:r>
              <w:rPr>
                <w:rFonts w:ascii="Times New Roman" w:cs="Times New Roman" w:eastAsia="Times New Roman" w:hAnsi="Times New Roman"/>
                <w:sz w:val="14"/>
                <w:szCs w:val="14"/>
                <w:color w:val="auto"/>
              </w:rPr>
              <w:t>March 29,</w:t>
            </w:r>
          </w:p>
        </w:tc>
        <w:tc>
          <w:tcPr>
            <w:tcW w:w="220" w:type="dxa"/>
            <w:vAlign w:val="bottom"/>
          </w:tcPr>
          <w:p>
            <w:pPr>
              <w:spacing w:after="0"/>
              <w:rPr>
                <w:sz w:val="11"/>
                <w:szCs w:val="11"/>
                <w:color w:val="auto"/>
              </w:rPr>
            </w:pPr>
          </w:p>
        </w:tc>
        <w:tc>
          <w:tcPr>
            <w:tcW w:w="1060" w:type="dxa"/>
            <w:vAlign w:val="bottom"/>
            <w:gridSpan w:val="2"/>
          </w:tcPr>
          <w:p>
            <w:pPr>
              <w:jc w:val="center"/>
              <w:ind w:right="340"/>
              <w:spacing w:after="0" w:line="138" w:lineRule="exact"/>
              <w:rPr>
                <w:sz w:val="20"/>
                <w:szCs w:val="20"/>
                <w:color w:val="auto"/>
              </w:rPr>
            </w:pPr>
            <w:r>
              <w:rPr>
                <w:rFonts w:ascii="Times New Roman" w:cs="Times New Roman" w:eastAsia="Times New Roman" w:hAnsi="Times New Roman"/>
                <w:sz w:val="14"/>
                <w:szCs w:val="14"/>
                <w:color w:val="auto"/>
              </w:rPr>
              <w:t>June 28,</w:t>
            </w:r>
          </w:p>
        </w:tc>
        <w:tc>
          <w:tcPr>
            <w:tcW w:w="140" w:type="dxa"/>
            <w:vAlign w:val="bottom"/>
          </w:tcPr>
          <w:p>
            <w:pPr>
              <w:spacing w:after="0"/>
              <w:rPr>
                <w:sz w:val="11"/>
                <w:szCs w:val="11"/>
                <w:color w:val="auto"/>
              </w:rPr>
            </w:pPr>
          </w:p>
        </w:tc>
        <w:tc>
          <w:tcPr>
            <w:tcW w:w="1040" w:type="dxa"/>
            <w:vAlign w:val="bottom"/>
          </w:tcPr>
          <w:p>
            <w:pPr>
              <w:jc w:val="center"/>
              <w:ind w:right="60"/>
              <w:spacing w:after="0" w:line="138" w:lineRule="exact"/>
              <w:rPr>
                <w:sz w:val="20"/>
                <w:szCs w:val="20"/>
                <w:color w:val="auto"/>
              </w:rPr>
            </w:pPr>
            <w:r>
              <w:rPr>
                <w:rFonts w:ascii="Times New Roman" w:cs="Times New Roman" w:eastAsia="Times New Roman" w:hAnsi="Times New Roman"/>
                <w:sz w:val="14"/>
                <w:szCs w:val="14"/>
                <w:color w:val="auto"/>
              </w:rPr>
              <w:t>September 30,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41"/>
              <w:spacing w:after="0" w:line="138" w:lineRule="exact"/>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193"/>
        </w:trPr>
        <w:tc>
          <w:tcPr>
            <w:tcW w:w="49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color w:val="auto"/>
                <w:w w:val="99"/>
              </w:rPr>
              <w:t>2024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4"/>
                <w:szCs w:val="14"/>
                <w:color w:val="auto"/>
                <w:w w:val="99"/>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0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Calculation of Adjusted EBITDA:</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(loss) (GAAP)</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217.5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145.2</w:t>
            </w: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expense (benefit) from continuing operations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0" w:type="dxa"/>
            <w:vAlign w:val="bottom"/>
          </w:tcPr>
          <w:p>
            <w:pPr>
              <w:spacing w:after="0"/>
              <w:rPr>
                <w:sz w:val="1"/>
                <w:szCs w:val="1"/>
                <w:color w:val="auto"/>
              </w:rPr>
            </w:pPr>
          </w:p>
        </w:tc>
      </w:tr>
      <w:tr>
        <w:trPr>
          <w:trHeight w:val="213"/>
        </w:trPr>
        <w:tc>
          <w:tcPr>
            <w:tcW w:w="4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loss from discontinued operations, net of tax</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w:t>
            </w:r>
          </w:p>
        </w:tc>
        <w:tc>
          <w:tcPr>
            <w:tcW w:w="0" w:type="dxa"/>
            <w:vAlign w:val="bottom"/>
          </w:tcPr>
          <w:p>
            <w:pPr>
              <w:spacing w:after="0"/>
              <w:rPr>
                <w:sz w:val="1"/>
                <w:szCs w:val="1"/>
                <w:color w:val="auto"/>
              </w:rPr>
            </w:pPr>
          </w:p>
        </w:tc>
      </w:tr>
      <w:tr>
        <w:trPr>
          <w:trHeight w:val="213"/>
        </w:trPr>
        <w:tc>
          <w:tcPr>
            <w:tcW w:w="4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3"/>
        </w:trPr>
        <w:tc>
          <w:tcPr>
            <w:tcW w:w="4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Impairment, restructuring and other</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in (income) loss of unconsolidated affiliates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3"/>
        </w:trPr>
        <w:tc>
          <w:tcPr>
            <w:tcW w:w="4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0" w:type="dxa"/>
            <w:vAlign w:val="bottom"/>
          </w:tcPr>
          <w:p>
            <w:pPr>
              <w:spacing w:after="0"/>
              <w:rPr>
                <w:sz w:val="1"/>
                <w:szCs w:val="1"/>
                <w:color w:val="auto"/>
              </w:rPr>
            </w:pPr>
          </w:p>
        </w:tc>
      </w:tr>
      <w:tr>
        <w:trPr>
          <w:trHeight w:val="235"/>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(Non-GAAP)</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401.6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253.5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(86.1)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569.7</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4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gridSpan w:val="5"/>
            <w:vMerge w:val="restart"/>
          </w:tcPr>
          <w:p>
            <w:pPr>
              <w:ind w:left="420"/>
              <w:spacing w:after="0"/>
              <w:rPr>
                <w:sz w:val="20"/>
                <w:szCs w:val="20"/>
                <w:color w:val="auto"/>
              </w:rPr>
            </w:pPr>
            <w:r>
              <w:rPr>
                <w:rFonts w:ascii="Times New Roman" w:cs="Times New Roman" w:eastAsia="Times New Roman" w:hAnsi="Times New Roman"/>
                <w:sz w:val="14"/>
                <w:szCs w:val="14"/>
                <w:color w:val="auto"/>
              </w:rPr>
              <w:t>Three Months Ended</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center"/>
              <w:ind w:right="41"/>
              <w:spacing w:after="0"/>
              <w:rPr>
                <w:sz w:val="20"/>
                <w:szCs w:val="20"/>
                <w:color w:val="auto"/>
              </w:rPr>
            </w:pPr>
            <w:r>
              <w:rPr>
                <w:rFonts w:ascii="Times New Roman" w:cs="Times New Roman" w:eastAsia="Times New Roman" w:hAnsi="Times New Roman"/>
                <w:sz w:val="14"/>
                <w:szCs w:val="14"/>
                <w:color w:val="auto"/>
              </w:rPr>
              <w:t>Twelve Months</w:t>
            </w:r>
          </w:p>
        </w:tc>
        <w:tc>
          <w:tcPr>
            <w:tcW w:w="0" w:type="dxa"/>
            <w:vAlign w:val="bottom"/>
          </w:tcPr>
          <w:p>
            <w:pPr>
              <w:spacing w:after="0"/>
              <w:rPr>
                <w:sz w:val="1"/>
                <w:szCs w:val="1"/>
                <w:color w:val="auto"/>
              </w:rPr>
            </w:pPr>
          </w:p>
        </w:tc>
      </w:tr>
      <w:tr>
        <w:trPr>
          <w:trHeight w:val="193"/>
        </w:trPr>
        <w:tc>
          <w:tcPr>
            <w:tcW w:w="49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color w:val="auto"/>
              </w:rPr>
              <w:t>Ended</w:t>
            </w:r>
          </w:p>
        </w:tc>
        <w:tc>
          <w:tcPr>
            <w:tcW w:w="0" w:type="dxa"/>
            <w:vAlign w:val="bottom"/>
          </w:tcPr>
          <w:p>
            <w:pPr>
              <w:spacing w:after="0"/>
              <w:rPr>
                <w:sz w:val="1"/>
                <w:szCs w:val="1"/>
                <w:color w:val="auto"/>
              </w:rPr>
            </w:pPr>
          </w:p>
        </w:tc>
      </w:tr>
      <w:tr>
        <w:trPr>
          <w:trHeight w:val="138"/>
        </w:trPr>
        <w:tc>
          <w:tcPr>
            <w:tcW w:w="4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60"/>
              <w:spacing w:after="0" w:line="138" w:lineRule="exact"/>
              <w:rPr>
                <w:sz w:val="20"/>
                <w:szCs w:val="20"/>
                <w:color w:val="auto"/>
              </w:rPr>
            </w:pPr>
            <w:r>
              <w:rPr>
                <w:rFonts w:ascii="Times New Roman" w:cs="Times New Roman" w:eastAsia="Times New Roman" w:hAnsi="Times New Roman"/>
                <w:sz w:val="14"/>
                <w:szCs w:val="14"/>
                <w:color w:val="auto"/>
              </w:rPr>
              <w:t>December 30,</w:t>
            </w:r>
          </w:p>
        </w:tc>
        <w:tc>
          <w:tcPr>
            <w:tcW w:w="200" w:type="dxa"/>
            <w:vAlign w:val="bottom"/>
          </w:tcPr>
          <w:p>
            <w:pPr>
              <w:spacing w:after="0"/>
              <w:rPr>
                <w:sz w:val="11"/>
                <w:szCs w:val="11"/>
                <w:color w:val="auto"/>
              </w:rPr>
            </w:pPr>
          </w:p>
        </w:tc>
        <w:tc>
          <w:tcPr>
            <w:tcW w:w="1080" w:type="dxa"/>
            <w:vAlign w:val="bottom"/>
            <w:gridSpan w:val="2"/>
          </w:tcPr>
          <w:p>
            <w:pPr>
              <w:jc w:val="center"/>
              <w:ind w:right="320"/>
              <w:spacing w:after="0" w:line="138" w:lineRule="exact"/>
              <w:rPr>
                <w:sz w:val="20"/>
                <w:szCs w:val="20"/>
                <w:color w:val="auto"/>
              </w:rPr>
            </w:pPr>
            <w:r>
              <w:rPr>
                <w:rFonts w:ascii="Times New Roman" w:cs="Times New Roman" w:eastAsia="Times New Roman" w:hAnsi="Times New Roman"/>
                <w:sz w:val="14"/>
                <w:szCs w:val="14"/>
                <w:color w:val="auto"/>
              </w:rPr>
              <w:t>March 30,</w:t>
            </w:r>
          </w:p>
        </w:tc>
        <w:tc>
          <w:tcPr>
            <w:tcW w:w="220" w:type="dxa"/>
            <w:vAlign w:val="bottom"/>
          </w:tcPr>
          <w:p>
            <w:pPr>
              <w:spacing w:after="0"/>
              <w:rPr>
                <w:sz w:val="11"/>
                <w:szCs w:val="11"/>
                <w:color w:val="auto"/>
              </w:rPr>
            </w:pPr>
          </w:p>
        </w:tc>
        <w:tc>
          <w:tcPr>
            <w:tcW w:w="1060" w:type="dxa"/>
            <w:vAlign w:val="bottom"/>
            <w:gridSpan w:val="2"/>
          </w:tcPr>
          <w:p>
            <w:pPr>
              <w:jc w:val="center"/>
              <w:ind w:right="340"/>
              <w:spacing w:after="0" w:line="138" w:lineRule="exact"/>
              <w:rPr>
                <w:sz w:val="20"/>
                <w:szCs w:val="20"/>
                <w:color w:val="auto"/>
              </w:rPr>
            </w:pPr>
            <w:r>
              <w:rPr>
                <w:rFonts w:ascii="Times New Roman" w:cs="Times New Roman" w:eastAsia="Times New Roman" w:hAnsi="Times New Roman"/>
                <w:sz w:val="14"/>
                <w:szCs w:val="14"/>
                <w:color w:val="auto"/>
              </w:rPr>
              <w:t>June 29,</w:t>
            </w:r>
          </w:p>
        </w:tc>
        <w:tc>
          <w:tcPr>
            <w:tcW w:w="140" w:type="dxa"/>
            <w:vAlign w:val="bottom"/>
          </w:tcPr>
          <w:p>
            <w:pPr>
              <w:spacing w:after="0"/>
              <w:rPr>
                <w:sz w:val="11"/>
                <w:szCs w:val="11"/>
                <w:color w:val="auto"/>
              </w:rPr>
            </w:pPr>
          </w:p>
        </w:tc>
        <w:tc>
          <w:tcPr>
            <w:tcW w:w="1040" w:type="dxa"/>
            <w:vAlign w:val="bottom"/>
          </w:tcPr>
          <w:p>
            <w:pPr>
              <w:jc w:val="center"/>
              <w:ind w:right="60"/>
              <w:spacing w:after="0" w:line="138" w:lineRule="exact"/>
              <w:rPr>
                <w:sz w:val="20"/>
                <w:szCs w:val="20"/>
                <w:color w:val="auto"/>
              </w:rPr>
            </w:pPr>
            <w:r>
              <w:rPr>
                <w:rFonts w:ascii="Times New Roman" w:cs="Times New Roman" w:eastAsia="Times New Roman" w:hAnsi="Times New Roman"/>
                <w:sz w:val="14"/>
                <w:szCs w:val="14"/>
                <w:color w:val="auto"/>
              </w:rPr>
              <w:t>September 30,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41"/>
              <w:spacing w:after="0" w:line="138" w:lineRule="exact"/>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193"/>
        </w:trPr>
        <w:tc>
          <w:tcPr>
            <w:tcW w:w="49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color w:val="auto"/>
                <w:w w:val="99"/>
              </w:rPr>
              <w:t>2023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0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Calculation of Adjusted EBITDA:</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(loss) (GAAP)</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157.5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expense (benefit) from continuing operations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0" w:type="dxa"/>
            <w:vAlign w:val="bottom"/>
          </w:tcPr>
          <w:p>
            <w:pPr>
              <w:spacing w:after="0"/>
              <w:rPr>
                <w:sz w:val="1"/>
                <w:szCs w:val="1"/>
                <w:color w:val="auto"/>
              </w:rPr>
            </w:pPr>
          </w:p>
        </w:tc>
      </w:tr>
      <w:tr>
        <w:trPr>
          <w:trHeight w:val="213"/>
        </w:trPr>
        <w:tc>
          <w:tcPr>
            <w:tcW w:w="4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loss from discontinued operations, net of tax</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59.2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w:t>
            </w:r>
          </w:p>
        </w:tc>
        <w:tc>
          <w:tcPr>
            <w:tcW w:w="0" w:type="dxa"/>
            <w:vAlign w:val="bottom"/>
          </w:tcPr>
          <w:p>
            <w:pPr>
              <w:spacing w:after="0"/>
              <w:rPr>
                <w:sz w:val="1"/>
                <w:szCs w:val="1"/>
                <w:color w:val="auto"/>
              </w:rPr>
            </w:pPr>
          </w:p>
        </w:tc>
      </w:tr>
      <w:tr>
        <w:trPr>
          <w:trHeight w:val="213"/>
        </w:trPr>
        <w:tc>
          <w:tcPr>
            <w:tcW w:w="4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13"/>
        </w:trPr>
        <w:tc>
          <w:tcPr>
            <w:tcW w:w="4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Impairment, restructuring and other</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in (income) loss of unconsolidated affiliates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0" w:type="dxa"/>
            <w:vAlign w:val="bottom"/>
          </w:tcPr>
          <w:p>
            <w:pPr>
              <w:spacing w:after="0"/>
              <w:rPr>
                <w:sz w:val="1"/>
                <w:szCs w:val="1"/>
                <w:color w:val="auto"/>
              </w:rPr>
            </w:pPr>
          </w:p>
        </w:tc>
      </w:tr>
      <w:tr>
        <w:trPr>
          <w:trHeight w:val="213"/>
        </w:trPr>
        <w:tc>
          <w:tcPr>
            <w:tcW w:w="4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0" w:type="dxa"/>
            <w:vAlign w:val="bottom"/>
          </w:tcPr>
          <w:p>
            <w:pPr>
              <w:spacing w:after="0"/>
              <w:rPr>
                <w:sz w:val="1"/>
                <w:szCs w:val="1"/>
                <w:color w:val="auto"/>
              </w:rPr>
            </w:pPr>
          </w:p>
        </w:tc>
      </w:tr>
      <w:tr>
        <w:trPr>
          <w:trHeight w:val="208"/>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(Non-GAAP)</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(21.2)</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394.5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228.5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(96.5)</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505.2</w:t>
            </w:r>
          </w:p>
        </w:tc>
        <w:tc>
          <w:tcPr>
            <w:tcW w:w="0" w:type="dxa"/>
            <w:vAlign w:val="bottom"/>
          </w:tcPr>
          <w:p>
            <w:pPr>
              <w:spacing w:after="0"/>
              <w:rPr>
                <w:sz w:val="1"/>
                <w:szCs w:val="1"/>
                <w:color w:val="auto"/>
              </w:rPr>
            </w:pPr>
          </w:p>
        </w:tc>
      </w:tr>
      <w:tr>
        <w:trPr>
          <w:trHeight w:val="22"/>
        </w:trPr>
        <w:tc>
          <w:tcPr>
            <w:tcW w:w="4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See accompanying footnotes.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sum of the components may not equal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11" w:right="339" w:bottom="1440" w:gutter="0" w:footer="0" w:header="0"/>
        </w:sectPr>
      </w:pPr>
    </w:p>
    <w:bookmarkStart w:id="18" w:name="page19"/>
    <w:bookmarkEnd w:id="18"/>
    <w:p>
      <w:pPr>
        <w:jc w:val="center"/>
        <w:ind w:right="150"/>
        <w:spacing w:after="0"/>
        <w:rPr>
          <w:sz w:val="20"/>
          <w:szCs w:val="20"/>
          <w:color w:val="auto"/>
        </w:rPr>
      </w:pPr>
      <w:r>
        <w:rPr>
          <w:rFonts w:ascii="Times New Roman" w:cs="Times New Roman" w:eastAsia="Times New Roman" w:hAnsi="Times New Roman"/>
          <w:sz w:val="25"/>
          <w:szCs w:val="25"/>
          <w:b w:val="1"/>
          <w:bCs w:val="1"/>
          <w:color w:val="auto"/>
        </w:rPr>
        <w:t>THE SCOTTS MIRACLE-GRO COMPANY</w:t>
      </w:r>
    </w:p>
    <w:p>
      <w:pPr>
        <w:spacing w:after="0" w:line="40"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Footnotes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330" w:hanging="330"/>
        <w:spacing w:after="0" w:line="266"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reported results of operations reflect the Company’s consolidated financial statements presented in accordance with accounting principles generally accepted in the United States of America (“GAAP”), as previously disclosed in the Company’s Annual Report on Form 10-K or Quarterly Report on Form 10-Q for each respective period.</w:t>
      </w:r>
    </w:p>
    <w:p>
      <w:pPr>
        <w:spacing w:after="0" w:line="202" w:lineRule="exact"/>
        <w:rPr>
          <w:rFonts w:ascii="Times New Roman" w:cs="Times New Roman" w:eastAsia="Times New Roman" w:hAnsi="Times New Roman"/>
          <w:sz w:val="18"/>
          <w:szCs w:val="18"/>
          <w:color w:val="auto"/>
        </w:rPr>
      </w:pPr>
    </w:p>
    <w:p>
      <w:pPr>
        <w:ind w:left="330" w:right="20" w:hanging="330"/>
        <w:spacing w:after="0" w:line="28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Revised reported results of operations are derived from the Company’s historical consolidated financial statements, as recast to classify the Hawthorne business as a discontinued operation in accordance with GAAP.</w:t>
      </w:r>
    </w:p>
    <w:p>
      <w:pPr>
        <w:spacing w:after="0" w:line="188" w:lineRule="exact"/>
        <w:rPr>
          <w:rFonts w:ascii="Times New Roman" w:cs="Times New Roman" w:eastAsia="Times New Roman" w:hAnsi="Times New Roman"/>
          <w:sz w:val="18"/>
          <w:szCs w:val="18"/>
          <w:color w:val="auto"/>
        </w:rPr>
      </w:pPr>
    </w:p>
    <w:p>
      <w:pPr>
        <w:ind w:left="330" w:hanging="330"/>
        <w:spacing w:after="0" w:line="28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net income (loss) per common share amounts are calculated by dividing net income (loss) from continuing operations and discontinued operations by the weighted average number of common shares outstanding during the period.</w:t>
      </w:r>
    </w:p>
    <w:p>
      <w:pPr>
        <w:spacing w:after="0" w:line="188" w:lineRule="exact"/>
        <w:rPr>
          <w:rFonts w:ascii="Times New Roman" w:cs="Times New Roman" w:eastAsia="Times New Roman" w:hAnsi="Times New Roman"/>
          <w:sz w:val="18"/>
          <w:szCs w:val="18"/>
          <w:color w:val="auto"/>
        </w:rPr>
      </w:pPr>
    </w:p>
    <w:p>
      <w:pPr>
        <w:jc w:val="both"/>
        <w:ind w:left="330" w:hanging="330"/>
        <w:spacing w:after="0" w:line="266"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net income (loss) per common share amounts are calculated by dividing net income (loss) from continuing operations and discontinued operations by the weighted average number of common shares, plus all potential dilutive securities (common stock options, performance shares, performance units, restricted stock and restricted stock units) outstanding during the period.</w:t>
      </w:r>
    </w:p>
    <w:p>
      <w:pPr>
        <w:spacing w:after="0" w:line="200" w:lineRule="exact"/>
        <w:rPr>
          <w:rFonts w:ascii="Times New Roman" w:cs="Times New Roman" w:eastAsia="Times New Roman" w:hAnsi="Times New Roman"/>
          <w:sz w:val="18"/>
          <w:szCs w:val="18"/>
          <w:color w:val="auto"/>
        </w:rPr>
      </w:pPr>
    </w:p>
    <w:p>
      <w:pPr>
        <w:ind w:left="330" w:right="7920" w:hanging="330"/>
        <w:spacing w:after="0" w:line="564" w:lineRule="auto"/>
        <w:tabs>
          <w:tab w:leader="none" w:pos="32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Reconciliation of Non-GAAP Measures </w:t>
      </w:r>
      <w:r>
        <w:rPr>
          <w:rFonts w:ascii="Times New Roman" w:cs="Times New Roman" w:eastAsia="Times New Roman" w:hAnsi="Times New Roman"/>
          <w:sz w:val="17"/>
          <w:szCs w:val="17"/>
          <w:u w:val="single" w:color="auto"/>
          <w:color w:val="auto"/>
        </w:rPr>
        <w:t>Use of Non-GAAP Measures</w:t>
      </w:r>
    </w:p>
    <w:p>
      <w:pPr>
        <w:spacing w:after="0" w:line="1" w:lineRule="exact"/>
        <w:rPr>
          <w:rFonts w:ascii="Times New Roman" w:cs="Times New Roman" w:eastAsia="Times New Roman" w:hAnsi="Times New Roman"/>
          <w:sz w:val="17"/>
          <w:szCs w:val="17"/>
          <w:color w:val="auto"/>
        </w:rPr>
      </w:pPr>
    </w:p>
    <w:p>
      <w:pPr>
        <w:jc w:val="both"/>
        <w:ind w:left="330"/>
        <w:spacing w:after="0" w:line="25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To supplement the financial measures prepared in accordance with GAAP, the Company uses non-GAAP financial measures. The reconciliations of these non-GAAP financial measures to the most directly comparable financial measures calculated and presented in accordance with GAAP are shown in the tables above. These non-GAAP financial measures should not be considered in isolation from, or as a substitute for or superior to, financial measures reported in accordance with GAAP. Moreover, these non-GAAP financial measures have limitations in that they do not reflect all the items associated with the operations of the business as determined in accordance with GAAP. Other companies may calculate similarly titled non-GAAP financial measures differently than the Company, limiting the usefulness of those measures for comparative purposes.</w:t>
      </w:r>
    </w:p>
    <w:p>
      <w:pPr>
        <w:spacing w:after="0" w:line="214" w:lineRule="exact"/>
        <w:rPr>
          <w:rFonts w:ascii="Times New Roman" w:cs="Times New Roman" w:eastAsia="Times New Roman" w:hAnsi="Times New Roman"/>
          <w:sz w:val="17"/>
          <w:szCs w:val="17"/>
          <w:color w:val="auto"/>
        </w:rPr>
      </w:pPr>
    </w:p>
    <w:p>
      <w:pPr>
        <w:jc w:val="both"/>
        <w:ind w:left="33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In addition to GAAP measures, management uses these non-GAAP financial measures to evaluate the Company’s performance, engage in financial and operational planning, determine incentive compensation and monitor compliance with the financial covenants contained in the Company’s borrowing agreements because it believes that these non-GAAP financial measures provide additional perspective on and, in some circumstances are more closely correlated to, the performance of the Company’s underlying, ongoing business.</w:t>
      </w:r>
    </w:p>
    <w:p>
      <w:pPr>
        <w:spacing w:after="0" w:line="206" w:lineRule="exact"/>
        <w:rPr>
          <w:rFonts w:ascii="Times New Roman" w:cs="Times New Roman" w:eastAsia="Times New Roman" w:hAnsi="Times New Roman"/>
          <w:sz w:val="17"/>
          <w:szCs w:val="17"/>
          <w:color w:val="auto"/>
        </w:rPr>
      </w:pPr>
    </w:p>
    <w:p>
      <w:pPr>
        <w:jc w:val="both"/>
        <w:ind w:left="330"/>
        <w:spacing w:after="0" w:line="25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Management believes that these non-GAAP financial measures are useful to investors in their assessment of operating performance and the valuation of the Company. In addition, these non-GAAP financial measures address questions routinely received from analysts and investors and, in order to ensure that all investors have access to the same data, management has determined that it is appropriate to make this data available to all investors. Non-GAAP financial measures exclude the impact of certain items (as further described below) and provide supplemental information regarding operating performance. By disclosing these non-GAAP financial measures, management intends to provide investors with a supplemental comparison of operating results and trends for the periods presented. Management believes these non-GAAP financial measures are also useful to investors as such measures allow investors to evaluate performance using the same metrics that management uses to evaluate past performance and prospects for future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70"/>
          </w:cols>
          <w:pgMar w:left="490" w:top="111" w:right="339" w:bottom="1440" w:gutter="0" w:footer="0" w:header="0"/>
        </w:sectPr>
      </w:pPr>
    </w:p>
    <w:bookmarkStart w:id="19" w:name="page20"/>
    <w:bookmarkEnd w:id="19"/>
    <w:p>
      <w:pPr>
        <w:jc w:val="center"/>
        <w:ind w:right="480"/>
        <w:spacing w:after="0"/>
        <w:rPr>
          <w:sz w:val="20"/>
          <w:szCs w:val="20"/>
          <w:color w:val="auto"/>
        </w:rPr>
      </w:pPr>
      <w:r>
        <w:rPr>
          <w:rFonts w:ascii="Times New Roman" w:cs="Times New Roman" w:eastAsia="Times New Roman" w:hAnsi="Times New Roman"/>
          <w:sz w:val="25"/>
          <w:szCs w:val="25"/>
          <w:b w:val="1"/>
          <w:bCs w:val="1"/>
          <w:color w:val="auto"/>
        </w:rPr>
        <w:t>THE SCOTTS MIRACLE-GRO COMPANY</w:t>
      </w:r>
    </w:p>
    <w:p>
      <w:pPr>
        <w:spacing w:after="0" w:line="40"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Footnotes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Exclusions from Non-GAAP Financial Measures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financial measures reflect adjustments based on the following items:</w:t>
      </w:r>
    </w:p>
    <w:p>
      <w:pPr>
        <w:spacing w:after="0" w:line="252" w:lineRule="exact"/>
        <w:rPr>
          <w:sz w:val="20"/>
          <w:szCs w:val="20"/>
          <w:color w:val="auto"/>
        </w:rPr>
      </w:pPr>
    </w:p>
    <w:p>
      <w:pPr>
        <w:ind w:left="640" w:right="20" w:hanging="322"/>
        <w:spacing w:after="0" w:line="261"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which are excluded because they do not occur in or reflect the ordinary course of the Company’s ongoing business operations and their exclusion results in a metric that provides supplemental information about the sustainability of operating performance.</w:t>
      </w:r>
    </w:p>
    <w:p>
      <w:pPr>
        <w:jc w:val="both"/>
        <w:ind w:left="640" w:hanging="322"/>
        <w:spacing w:after="0" w:line="250"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and employee severance costs, which include charges for discrete projects or transactions that fundamentally change the Company’s operations and are excluded because they are not part of the ongoing operations of its underlying business, which includes normal levels of reinvestment in the business.</w:t>
      </w:r>
    </w:p>
    <w:p>
      <w:pPr>
        <w:spacing w:after="0" w:line="1" w:lineRule="exact"/>
        <w:rPr>
          <w:rFonts w:ascii="Times New Roman" w:cs="Times New Roman" w:eastAsia="Times New Roman" w:hAnsi="Times New Roman"/>
          <w:sz w:val="18"/>
          <w:szCs w:val="18"/>
          <w:color w:val="auto"/>
        </w:rPr>
      </w:pPr>
    </w:p>
    <w:p>
      <w:pPr>
        <w:jc w:val="both"/>
        <w:ind w:left="640" w:hanging="322"/>
        <w:spacing w:after="0" w:line="250"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refinancing, which are excluded because they do not typically occur in the normal course of business and may obscure analysis of trends and financial performance. Additionally, the amount and frequency of these types of charges is not consistent and is significantly impacted by the timing and size of debt financing transactions.</w:t>
      </w:r>
    </w:p>
    <w:p>
      <w:pPr>
        <w:spacing w:after="0" w:line="1" w:lineRule="exact"/>
        <w:rPr>
          <w:rFonts w:ascii="Times New Roman" w:cs="Times New Roman" w:eastAsia="Times New Roman" w:hAnsi="Times New Roman"/>
          <w:sz w:val="18"/>
          <w:szCs w:val="18"/>
          <w:color w:val="auto"/>
        </w:rPr>
      </w:pPr>
    </w:p>
    <w:p>
      <w:pPr>
        <w:jc w:val="both"/>
        <w:ind w:left="640" w:hanging="322"/>
        <w:spacing w:after="0" w:line="255"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Discontinued operations and other unusual items, which include costs or gains related to discrete projects or transactions and are excluded because they are not comparable from one period to the next and are not part of the ongoing operations of the Company’s underlying business.</w:t>
      </w:r>
    </w:p>
    <w:p>
      <w:pPr>
        <w:spacing w:after="0" w:line="21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tax effect for each of the items listed above is determined using the tax rate and other tax attributes applicable to the item and the jurisdiction(s) in which the item is recorded.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Definitions of Non-GAAP Financial Measures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reconciliations of non-GAAP disclosure items include the following financial measures that are not calculated in accordance with GAAP:</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Adjusted gross margin</w:t>
      </w:r>
      <w:r>
        <w:rPr>
          <w:rFonts w:ascii="Times New Roman" w:cs="Times New Roman" w:eastAsia="Times New Roman" w:hAnsi="Times New Roman"/>
          <w:sz w:val="18"/>
          <w:szCs w:val="18"/>
          <w:color w:val="auto"/>
        </w:rPr>
        <w:t>: Gross margin excluding impairment, restructuring and other charges / recoveries.</w:t>
      </w:r>
    </w:p>
    <w:p>
      <w:pPr>
        <w:spacing w:after="0" w:line="31" w:lineRule="exact"/>
        <w:rPr>
          <w:sz w:val="20"/>
          <w:szCs w:val="20"/>
          <w:color w:val="auto"/>
        </w:rPr>
      </w:pPr>
    </w:p>
    <w:p>
      <w:pPr>
        <w:ind w:left="320"/>
        <w:spacing w:after="0" w:line="250" w:lineRule="auto"/>
        <w:rPr>
          <w:sz w:val="20"/>
          <w:szCs w:val="20"/>
          <w:color w:val="auto"/>
        </w:rPr>
      </w:pPr>
      <w:r>
        <w:rPr>
          <w:rFonts w:ascii="Times New Roman" w:cs="Times New Roman" w:eastAsia="Times New Roman" w:hAnsi="Times New Roman"/>
          <w:sz w:val="18"/>
          <w:szCs w:val="18"/>
          <w:b w:val="1"/>
          <w:bCs w:val="1"/>
          <w:color w:val="auto"/>
        </w:rPr>
        <w:t>Adjusted income (loss) from operations</w:t>
      </w:r>
      <w:r>
        <w:rPr>
          <w:rFonts w:ascii="Times New Roman" w:cs="Times New Roman" w:eastAsia="Times New Roman" w:hAnsi="Times New Roman"/>
          <w:sz w:val="18"/>
          <w:szCs w:val="18"/>
          <w:color w:val="auto"/>
        </w:rPr>
        <w:t>: Income (loss) from operations excluding impairment, restructuring and other charges / recoveries.</w:t>
      </w:r>
      <w:r>
        <w:rPr>
          <w:rFonts w:ascii="Times New Roman" w:cs="Times New Roman" w:eastAsia="Times New Roman" w:hAnsi="Times New Roman"/>
          <w:sz w:val="18"/>
          <w:szCs w:val="18"/>
          <w:b w:val="1"/>
          <w:bCs w:val="1"/>
          <w:color w:val="auto"/>
        </w:rPr>
        <w:t xml:space="preserve"> Adjusted equity in income (loss) of unconsolidated affiliates</w:t>
      </w:r>
      <w:r>
        <w:rPr>
          <w:rFonts w:ascii="Times New Roman" w:cs="Times New Roman" w:eastAsia="Times New Roman" w:hAnsi="Times New Roman"/>
          <w:sz w:val="18"/>
          <w:szCs w:val="18"/>
          <w:color w:val="auto"/>
        </w:rPr>
        <w:t>: Equity in income / loss of unconsolidated affiliates excluding impairment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charges.</w:t>
      </w:r>
    </w:p>
    <w:p>
      <w:pPr>
        <w:spacing w:after="0" w:line="1" w:lineRule="exact"/>
        <w:rPr>
          <w:sz w:val="20"/>
          <w:szCs w:val="20"/>
          <w:color w:val="auto"/>
        </w:rPr>
      </w:pPr>
    </w:p>
    <w:p>
      <w:pPr>
        <w:jc w:val="both"/>
        <w:ind w:left="320"/>
        <w:spacing w:after="0" w:line="250" w:lineRule="auto"/>
        <w:rPr>
          <w:sz w:val="20"/>
          <w:szCs w:val="20"/>
          <w:color w:val="auto"/>
        </w:rPr>
      </w:pPr>
      <w:r>
        <w:rPr>
          <w:rFonts w:ascii="Times New Roman" w:cs="Times New Roman" w:eastAsia="Times New Roman" w:hAnsi="Times New Roman"/>
          <w:sz w:val="18"/>
          <w:szCs w:val="18"/>
          <w:b w:val="1"/>
          <w:bCs w:val="1"/>
          <w:color w:val="auto"/>
        </w:rPr>
        <w:t>Adjusted income (loss) from continuing operations before income taxes</w:t>
      </w:r>
      <w:r>
        <w:rPr>
          <w:rFonts w:ascii="Times New Roman" w:cs="Times New Roman" w:eastAsia="Times New Roman" w:hAnsi="Times New Roman"/>
          <w:sz w:val="18"/>
          <w:szCs w:val="18"/>
          <w:color w:val="auto"/>
        </w:rPr>
        <w:t>: Income (loss) from continuing operations before income taxes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excluding impairment, restructuring and other charges / recoveries, costs related to refinancing and certain other non-operating income / expense items.</w:t>
      </w:r>
    </w:p>
    <w:p>
      <w:pPr>
        <w:spacing w:after="0" w:line="1" w:lineRule="exact"/>
        <w:rPr>
          <w:sz w:val="20"/>
          <w:szCs w:val="20"/>
          <w:color w:val="auto"/>
        </w:rPr>
      </w:pPr>
    </w:p>
    <w:p>
      <w:pPr>
        <w:jc w:val="both"/>
        <w:ind w:left="320"/>
        <w:spacing w:after="0" w:line="250" w:lineRule="auto"/>
        <w:rPr>
          <w:sz w:val="20"/>
          <w:szCs w:val="20"/>
          <w:color w:val="auto"/>
        </w:rPr>
      </w:pPr>
      <w:r>
        <w:rPr>
          <w:rFonts w:ascii="Times New Roman" w:cs="Times New Roman" w:eastAsia="Times New Roman" w:hAnsi="Times New Roman"/>
          <w:sz w:val="18"/>
          <w:szCs w:val="18"/>
          <w:b w:val="1"/>
          <w:bCs w:val="1"/>
          <w:color w:val="auto"/>
        </w:rPr>
        <w:t>Adjusted income tax expense (benefit) from continuing operations</w:t>
      </w:r>
      <w:r>
        <w:rPr>
          <w:rFonts w:ascii="Times New Roman" w:cs="Times New Roman" w:eastAsia="Times New Roman" w:hAnsi="Times New Roman"/>
          <w:sz w:val="18"/>
          <w:szCs w:val="18"/>
          <w:color w:val="auto"/>
        </w:rPr>
        <w:t>: Income tax expense (benefit) from continuing operations excluding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 effect of impairment, restructuring and other charges / recoveries, costs related to refinancing and certain other non-operating income / expense items.</w:t>
      </w:r>
    </w:p>
    <w:p>
      <w:pPr>
        <w:spacing w:after="0" w:line="1" w:lineRule="exact"/>
        <w:rPr>
          <w:sz w:val="20"/>
          <w:szCs w:val="20"/>
          <w:color w:val="auto"/>
        </w:rPr>
      </w:pPr>
    </w:p>
    <w:p>
      <w:pPr>
        <w:jc w:val="both"/>
        <w:ind w:left="320" w:right="20"/>
        <w:spacing w:after="0" w:line="250" w:lineRule="auto"/>
        <w:rPr>
          <w:sz w:val="20"/>
          <w:szCs w:val="20"/>
          <w:color w:val="auto"/>
        </w:rPr>
      </w:pPr>
      <w:r>
        <w:rPr>
          <w:rFonts w:ascii="Times New Roman" w:cs="Times New Roman" w:eastAsia="Times New Roman" w:hAnsi="Times New Roman"/>
          <w:sz w:val="18"/>
          <w:szCs w:val="18"/>
          <w:b w:val="1"/>
          <w:bCs w:val="1"/>
          <w:color w:val="auto"/>
        </w:rPr>
        <w:t>Adjusted net income (loss) from continuing operations</w:t>
      </w:r>
      <w:r>
        <w:rPr>
          <w:rFonts w:ascii="Times New Roman" w:cs="Times New Roman" w:eastAsia="Times New Roman" w:hAnsi="Times New Roman"/>
          <w:sz w:val="18"/>
          <w:szCs w:val="18"/>
          <w:color w:val="auto"/>
        </w:rPr>
        <w:t>: Net income (loss) from continuing operations excluding impairment, restructuring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other charges / recoveries, costs related to refinancing and certain other non-operating income / expense items, each net of tax.</w:t>
      </w:r>
    </w:p>
    <w:p>
      <w:pPr>
        <w:spacing w:after="0" w:line="1" w:lineRule="exact"/>
        <w:rPr>
          <w:sz w:val="20"/>
          <w:szCs w:val="20"/>
          <w:color w:val="auto"/>
        </w:rPr>
      </w:pPr>
    </w:p>
    <w:p>
      <w:pPr>
        <w:jc w:val="both"/>
        <w:ind w:left="320"/>
        <w:spacing w:after="0" w:line="250" w:lineRule="auto"/>
        <w:rPr>
          <w:sz w:val="20"/>
          <w:szCs w:val="20"/>
          <w:color w:val="auto"/>
        </w:rPr>
      </w:pPr>
      <w:r>
        <w:rPr>
          <w:rFonts w:ascii="Times New Roman" w:cs="Times New Roman" w:eastAsia="Times New Roman" w:hAnsi="Times New Roman"/>
          <w:sz w:val="18"/>
          <w:szCs w:val="18"/>
          <w:b w:val="1"/>
          <w:bCs w:val="1"/>
          <w:color w:val="auto"/>
        </w:rPr>
        <w:t>Adjusted diluted net income (loss) per common share from continuing operations</w:t>
      </w:r>
      <w:r>
        <w:rPr>
          <w:rFonts w:ascii="Times New Roman" w:cs="Times New Roman" w:eastAsia="Times New Roman" w:hAnsi="Times New Roman"/>
          <w:sz w:val="18"/>
          <w:szCs w:val="18"/>
          <w:color w:val="auto"/>
        </w:rPr>
        <w:t>: Diluted net income (loss) per common share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continuing operations excluding impairment, restructuring and other charges / recoveries, costs related to refinancing and certain other non-operating income / expense items, each net of tax.</w:t>
      </w:r>
    </w:p>
    <w:p>
      <w:pPr>
        <w:spacing w:after="0" w:line="1"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18"/>
          <w:szCs w:val="18"/>
          <w:color w:val="auto"/>
        </w:rPr>
        <w:t>: Net income (loss) before interest, taxes, depreciation and amortization as well as certain other items such as discontinued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the impact of the cumulative effect of changes in accounting, costs associated with debt refinancing and other non-recurring or non-cash items affecting net income (loss). A form of Adjusted EBITDA is used in agreements governing the Company’s outstanding indebtedness for debt covenant compliance purposes. Adjusted EBITDA as used in those agreements includes additional adjustments to the Adjusted EBITDA presented in the reconciliations above which may decrease or increase Adjusted EBITDA for purposes of the Company’s financial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16</w:t>
      </w:r>
    </w:p>
    <w:sectPr>
      <w:pgSz w:w="11900" w:h="16838" w:orient="portrait"/>
      <w:cols w:equalWidth="0" w:num="1">
        <w:col w:w="10740"/>
      </w:cols>
      <w:pgMar w:left="8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3"/>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2026-02-20T15:17:26Z</dcterms:created>
  <dcterms:modified xsi:type="dcterms:W3CDTF">2026-02-20T15:17:26Z</dcterms:modified>
</cp:coreProperties>
</file>