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96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96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COLATRELLA ANTHONY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SCOTTS CO</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14111 SCOTTSLAWN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SCOTTS COMPANY</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SMG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08/22/2003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SVP, Scotts LawnService</w:t>
      </w:r>
    </w:p>
    <w:p>
      <w:pPr>
        <w:spacing w:after="0" w:line="406"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8"/>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10"/>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MARYSVILLE  OH</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43041</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Shares</w:t>
            </w:r>
          </w:p>
        </w:tc>
        <w:tc>
          <w:tcPr>
            <w:tcW w:w="108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08/21/2003</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7"/>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1,500</w:t>
            </w:r>
          </w:p>
        </w:tc>
        <w:tc>
          <w:tcPr>
            <w:tcW w:w="660" w:type="dxa"/>
            <w:vAlign w:val="bottom"/>
          </w:tcPr>
          <w:p>
            <w:pPr>
              <w:ind w:left="400"/>
              <w:spacing w:after="0"/>
              <w:rPr>
                <w:sz w:val="20"/>
                <w:szCs w:val="20"/>
                <w:color w:val="auto"/>
              </w:rPr>
            </w:pPr>
            <w:r>
              <w:rPr>
                <w:rFonts w:ascii="Arial" w:cs="Arial" w:eastAsia="Arial" w:hAnsi="Arial"/>
                <w:sz w:val="18"/>
                <w:szCs w:val="18"/>
                <w:color w:val="0000FF"/>
              </w:rPr>
              <w:t>A</w:t>
            </w:r>
          </w:p>
        </w:tc>
        <w:tc>
          <w:tcPr>
            <w:tcW w:w="740" w:type="dxa"/>
            <w:vAlign w:val="bottom"/>
            <w:gridSpan w:val="3"/>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20.75</w:t>
            </w:r>
          </w:p>
        </w:tc>
        <w:tc>
          <w:tcPr>
            <w:tcW w:w="1240" w:type="dxa"/>
            <w:vAlign w:val="bottom"/>
            <w:gridSpan w:val="2"/>
          </w:tcPr>
          <w:p>
            <w:pPr>
              <w:ind w:left="400"/>
              <w:spacing w:after="0"/>
              <w:rPr>
                <w:sz w:val="20"/>
                <w:szCs w:val="20"/>
                <w:color w:val="auto"/>
              </w:rPr>
            </w:pPr>
            <w:r>
              <w:rPr>
                <w:rFonts w:ascii="Arial" w:cs="Arial" w:eastAsia="Arial" w:hAnsi="Arial"/>
                <w:sz w:val="18"/>
                <w:szCs w:val="18"/>
                <w:color w:val="0000FF"/>
              </w:rPr>
              <w:t>4,000</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Shares</w:t>
            </w:r>
          </w:p>
        </w:tc>
        <w:tc>
          <w:tcPr>
            <w:tcW w:w="108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08/21/2003</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7"/>
              <w:spacing w:after="0"/>
              <w:rPr>
                <w:sz w:val="20"/>
                <w:szCs w:val="20"/>
                <w:color w:val="auto"/>
              </w:rPr>
            </w:pPr>
            <w:r>
              <w:rPr>
                <w:rFonts w:ascii="Arial" w:cs="Arial" w:eastAsia="Arial" w:hAnsi="Arial"/>
                <w:sz w:val="14"/>
                <w:szCs w:val="14"/>
                <w:color w:val="0000FF"/>
                <w:w w:val="85"/>
              </w:rPr>
              <w:t>S</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1,500</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3"/>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55.25</w:t>
            </w:r>
          </w:p>
        </w:tc>
        <w:tc>
          <w:tcPr>
            <w:tcW w:w="1240" w:type="dxa"/>
            <w:vAlign w:val="bottom"/>
            <w:gridSpan w:val="2"/>
          </w:tcPr>
          <w:p>
            <w:pPr>
              <w:ind w:left="400"/>
              <w:spacing w:after="0"/>
              <w:rPr>
                <w:sz w:val="20"/>
                <w:szCs w:val="20"/>
                <w:color w:val="auto"/>
              </w:rPr>
            </w:pPr>
            <w:r>
              <w:rPr>
                <w:rFonts w:ascii="Arial" w:cs="Arial" w:eastAsia="Arial" w:hAnsi="Arial"/>
                <w:sz w:val="18"/>
                <w:szCs w:val="18"/>
                <w:color w:val="0000FF"/>
              </w:rPr>
              <w:t>2,500</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7"/>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60" w:type="dxa"/>
            <w:vAlign w:val="bottom"/>
            <w:gridSpan w:val="12"/>
          </w:tcPr>
          <w:p>
            <w:pPr>
              <w:jc w:val="center"/>
              <w:ind w:left="51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20.75</w:t>
            </w:r>
          </w:p>
        </w:tc>
        <w:tc>
          <w:tcPr>
            <w:tcW w:w="1080" w:type="dxa"/>
            <w:vAlign w:val="bottom"/>
          </w:tcPr>
          <w:p>
            <w:pPr>
              <w:ind w:left="260"/>
              <w:spacing w:after="0"/>
              <w:rPr>
                <w:sz w:val="20"/>
                <w:szCs w:val="20"/>
                <w:color w:val="auto"/>
              </w:rPr>
            </w:pPr>
            <w:r>
              <w:rPr>
                <w:rFonts w:ascii="Arial" w:cs="Arial" w:eastAsia="Arial" w:hAnsi="Arial"/>
                <w:sz w:val="14"/>
                <w:szCs w:val="14"/>
                <w:color w:val="0000FF"/>
              </w:rPr>
              <w:t>08/21/2003</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ind w:left="80"/>
              <w:spacing w:after="0"/>
              <w:rPr>
                <w:sz w:val="20"/>
                <w:szCs w:val="20"/>
                <w:color w:val="auto"/>
              </w:rPr>
            </w:pPr>
            <w:r>
              <w:rPr>
                <w:rFonts w:ascii="Arial" w:cs="Arial" w:eastAsia="Arial" w:hAnsi="Arial"/>
                <w:sz w:val="14"/>
                <w:szCs w:val="14"/>
                <w:color w:val="0000FF"/>
              </w:rPr>
              <w:t>M</w:t>
            </w:r>
          </w:p>
        </w:tc>
        <w:tc>
          <w:tcPr>
            <w:tcW w:w="160" w:type="dxa"/>
            <w:vAlign w:val="bottom"/>
          </w:tcPr>
          <w:p>
            <w:pPr>
              <w:spacing w:after="0"/>
              <w:rPr>
                <w:sz w:val="17"/>
                <w:szCs w:val="17"/>
                <w:color w:val="auto"/>
              </w:rPr>
            </w:pPr>
          </w:p>
        </w:tc>
        <w:tc>
          <w:tcPr>
            <w:tcW w:w="820" w:type="dxa"/>
            <w:vAlign w:val="bottom"/>
          </w:tcPr>
          <w:p>
            <w:pPr>
              <w:ind w:left="400"/>
              <w:spacing w:after="0"/>
              <w:rPr>
                <w:sz w:val="20"/>
                <w:szCs w:val="20"/>
                <w:color w:val="auto"/>
              </w:rPr>
            </w:pPr>
            <w:r>
              <w:rPr>
                <w:rFonts w:ascii="Arial" w:cs="Arial" w:eastAsia="Arial" w:hAnsi="Arial"/>
                <w:sz w:val="14"/>
                <w:szCs w:val="14"/>
                <w:color w:val="0000FF"/>
              </w:rPr>
              <w:t>1,500</w:t>
            </w:r>
          </w:p>
        </w:tc>
        <w:tc>
          <w:tcPr>
            <w:tcW w:w="800" w:type="dxa"/>
            <w:vAlign w:val="bottom"/>
            <w:gridSpan w:val="2"/>
          </w:tcPr>
          <w:p>
            <w:pPr>
              <w:jc w:val="center"/>
              <w:spacing w:after="0"/>
              <w:rPr>
                <w:sz w:val="20"/>
                <w:szCs w:val="20"/>
                <w:color w:val="auto"/>
              </w:rPr>
            </w:pPr>
            <w:r>
              <w:rPr>
                <w:rFonts w:ascii="Arial" w:cs="Arial" w:eastAsia="Arial" w:hAnsi="Arial"/>
                <w:sz w:val="14"/>
                <w:szCs w:val="14"/>
                <w:color w:val="0000FF"/>
                <w:w w:val="88"/>
              </w:rPr>
              <w:t>02/26/2000</w:t>
            </w:r>
          </w:p>
        </w:tc>
        <w:tc>
          <w:tcPr>
            <w:tcW w:w="780" w:type="dxa"/>
            <w:vAlign w:val="bottom"/>
            <w:gridSpan w:val="2"/>
          </w:tcPr>
          <w:p>
            <w:pPr>
              <w:ind w:left="60"/>
              <w:spacing w:after="0"/>
              <w:rPr>
                <w:sz w:val="20"/>
                <w:szCs w:val="20"/>
                <w:color w:val="auto"/>
              </w:rPr>
            </w:pPr>
            <w:r>
              <w:rPr>
                <w:rFonts w:ascii="Arial" w:cs="Arial" w:eastAsia="Arial" w:hAnsi="Arial"/>
                <w:sz w:val="14"/>
                <w:szCs w:val="14"/>
                <w:color w:val="0000FF"/>
                <w:w w:val="99"/>
              </w:rPr>
              <w:t>02/25/2007</w:t>
            </w:r>
          </w:p>
        </w:tc>
        <w:tc>
          <w:tcPr>
            <w:tcW w:w="660" w:type="dxa"/>
            <w:vAlign w:val="bottom"/>
          </w:tcPr>
          <w:p>
            <w:pPr>
              <w:ind w:left="4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1,500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ind w:left="240"/>
              <w:spacing w:after="0"/>
              <w:rPr>
                <w:sz w:val="20"/>
                <w:szCs w:val="20"/>
                <w:color w:val="auto"/>
              </w:rPr>
            </w:pPr>
            <w:r>
              <w:rPr>
                <w:rFonts w:ascii="Arial" w:cs="Arial" w:eastAsia="Arial" w:hAnsi="Arial"/>
                <w:sz w:val="14"/>
                <w:szCs w:val="14"/>
                <w:color w:val="0000FF"/>
                <w:w w:val="88"/>
              </w:rPr>
              <w:t>13,500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ind w:left="100"/>
              <w:spacing w:after="0" w:line="110" w:lineRule="exact"/>
              <w:rPr>
                <w:sz w:val="20"/>
                <w:szCs w:val="20"/>
                <w:color w:val="auto"/>
              </w:rPr>
            </w:pPr>
            <w:r>
              <w:rPr>
                <w:rFonts w:ascii="Arial" w:cs="Arial" w:eastAsia="Arial" w:hAnsi="Arial"/>
                <w:sz w:val="12"/>
                <w:szCs w:val="12"/>
                <w:color w:val="0000FF"/>
              </w:rPr>
              <w:t>Shares</w:t>
            </w: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ectPr>
          <w:pgSz w:w="11900" w:h="16838" w:orient="portrait"/>
          <w:cols w:equalWidth="0" w:num="1">
            <w:col w:w="11520"/>
          </w:cols>
          <w:pgMar w:left="240" w:top="226" w:right="139" w:bottom="1440" w:gutter="0" w:footer="0" w:header="0"/>
          <w:type w:val="continuous"/>
        </w:sectPr>
      </w:pP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77"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Anthony S. Colatrella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75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5360" cy="8890"/>
                    </a:xfrm>
                    <a:prstGeom prst="rect">
                      <a:avLst/>
                    </a:prstGeom>
                    <a:noFill/>
                  </pic:spPr>
                </pic:pic>
              </a:graphicData>
            </a:graphic>
          </wp:anchor>
        </w:drawing>
      </w:r>
    </w:p>
    <w:p>
      <w:pPr>
        <w:spacing w:after="0" w:line="43"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Kathy L. Uttley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773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fact for Anthony S. Colatrell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2788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78890" cy="8890"/>
                    </a:xfrm>
                    <a:prstGeom prst="rect">
                      <a:avLst/>
                    </a:prstGeom>
                    <a:noFill/>
                  </pic:spPr>
                </pic:pic>
              </a:graphicData>
            </a:graphic>
          </wp:anchor>
        </w:drawing>
      </w:r>
    </w:p>
    <w:p>
      <w:pPr>
        <w:spacing w:after="0" w:line="67"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color w:val="0000FF"/>
        </w:rPr>
        <w:t>08/22/2003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86" w:lineRule="exact"/>
        <w:rPr>
          <w:sz w:val="24"/>
          <w:szCs w:val="24"/>
          <w:color w:val="auto"/>
        </w:rPr>
      </w:pPr>
    </w:p>
    <w:p>
      <w:pPr>
        <w:spacing w:after="0"/>
        <w:rPr>
          <w:sz w:val="20"/>
          <w:szCs w:val="20"/>
          <w:color w:val="auto"/>
        </w:rPr>
      </w:pPr>
      <w:r>
        <w:rPr>
          <w:rFonts w:ascii="Arial" w:cs="Arial" w:eastAsia="Arial" w:hAnsi="Arial"/>
          <w:sz w:val="15"/>
          <w:szCs w:val="15"/>
          <w:color w:val="0000FF"/>
        </w:rPr>
        <w:t>08/22/2003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4"/>
          <w:szCs w:val="24"/>
          <w:color w:val="auto"/>
        </w:rPr>
      </w:pPr>
    </w:p>
    <w:p>
      <w:pPr>
        <w:sectPr>
          <w:pgSz w:w="11900" w:h="16838" w:orient="portrait"/>
          <w:cols w:equalWidth="0" w:num="2">
            <w:col w:w="9040" w:space="120"/>
            <w:col w:w="2360"/>
          </w:cols>
          <w:pgMar w:left="240" w:top="226" w:right="1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843"/>
        <w:spacing w:after="0" w:line="268" w:lineRule="auto"/>
        <w:rPr>
          <w:sz w:val="20"/>
          <w:szCs w:val="20"/>
          <w:color w:val="auto"/>
        </w:rPr>
      </w:pPr>
      <w:r>
        <w:rPr>
          <w:rFonts w:ascii="Courier New" w:cs="Courier New" w:eastAsia="Courier New" w:hAnsi="Courier New"/>
          <w:sz w:val="16"/>
          <w:szCs w:val="16"/>
          <w:color w:val="auto"/>
        </w:rPr>
        <w:t>Know all by these presents, that the undersigned officer and/or director of The Scotts Company (the "Company"), hereby constitutes and appoints each</w:t>
      </w:r>
    </w:p>
    <w:p>
      <w:pPr>
        <w:ind w:right="2199"/>
        <w:spacing w:after="0" w:line="235" w:lineRule="auto"/>
        <w:rPr>
          <w:sz w:val="20"/>
          <w:szCs w:val="20"/>
          <w:color w:val="auto"/>
        </w:rPr>
      </w:pPr>
      <w:r>
        <w:rPr>
          <w:rFonts w:ascii="Courier New" w:cs="Courier New" w:eastAsia="Courier New" w:hAnsi="Courier New"/>
          <w:sz w:val="18"/>
          <w:szCs w:val="18"/>
          <w:color w:val="auto"/>
        </w:rPr>
        <w:t>of David M. Aronowitz, Andrew B. Coogle and Kathy L. Uttley, signing singly, the undersigned's true and lawful attorney-in-fact to:</w:t>
      </w:r>
    </w:p>
    <w:p>
      <w:pPr>
        <w:spacing w:after="0" w:line="208" w:lineRule="exact"/>
        <w:rPr>
          <w:sz w:val="20"/>
          <w:szCs w:val="20"/>
          <w:color w:val="auto"/>
        </w:rPr>
      </w:pPr>
    </w:p>
    <w:p>
      <w:pPr>
        <w:ind w:right="1579" w:firstLine="8"/>
        <w:spacing w:after="0" w:line="236"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Forms 3, 4 and 5 with respect to the securities of the Company beneficially owned by the undersigned in accordance with Section 16(a) of the Securities Exchange Act of 1934 (the</w:t>
      </w:r>
    </w:p>
    <w:p>
      <w:pPr>
        <w:spacing w:after="0" w:line="6" w:lineRule="exact"/>
        <w:rPr>
          <w:rFonts w:ascii="Courier New" w:cs="Courier New" w:eastAsia="Courier New" w:hAnsi="Courier New"/>
          <w:sz w:val="18"/>
          <w:szCs w:val="18"/>
          <w:color w:val="auto"/>
        </w:rPr>
      </w:pPr>
    </w:p>
    <w:p>
      <w:pPr>
        <w:ind w:right="26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"1934 Act") and the rules and regulations thereunder (and Form 144 with respect to the securities of the Company beneficially owned by the undersigned in accordance with Rule 144 under the Securities Act of 1933 (the "Securities Act"));</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w:t>
      </w:r>
    </w:p>
    <w:p>
      <w:pPr>
        <w:spacing w:after="0" w:line="4"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which may be necessary or desirable to complete and execute any such Form 3, 4 or 5 (or Form 144), complete and execute any amendment or amendments thereto, and timely file any such form with the United States Securities and Exchange Commission and any stock exchange or similar authority; and</w:t>
      </w:r>
    </w:p>
    <w:p>
      <w:pPr>
        <w:spacing w:after="0" w:line="207" w:lineRule="exact"/>
        <w:rPr>
          <w:sz w:val="20"/>
          <w:szCs w:val="20"/>
          <w:color w:val="auto"/>
        </w:rPr>
      </w:pPr>
    </w:p>
    <w:p>
      <w:pPr>
        <w:ind w:right="1879" w:firstLine="8"/>
        <w:spacing w:after="0" w:line="268" w:lineRule="auto"/>
        <w:tabs>
          <w:tab w:leader="none" w:pos="84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2099" w:firstLine="843"/>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or resubstitution, hereby ratifying and confirming all that such attorney-in-fact, or such attorney-in-fact's substitute or substitutes, shall lawfully do or cause to be done by virtue of this Power 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38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209" w:lineRule="exact"/>
        <w:rPr>
          <w:sz w:val="20"/>
          <w:szCs w:val="20"/>
          <w:color w:val="auto"/>
        </w:rPr>
      </w:pPr>
    </w:p>
    <w:p>
      <w:pPr>
        <w:jc w:val="both"/>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February, 2003.</w:t>
      </w:r>
    </w:p>
    <w:p>
      <w:pPr>
        <w:spacing w:after="0" w:line="16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Anthony S. Colatrella</w:t>
      </w:r>
    </w:p>
    <w:p>
      <w:pPr>
        <w:ind w:left="42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Anthony S. Colatrella</w:t>
      </w:r>
    </w:p>
    <w:p>
      <w:pPr>
        <w:ind w:left="422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17252"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2019-12-18T06:20:23Z</dcterms:created>
  <dcterms:modified xsi:type="dcterms:W3CDTF">2019-12-18T06:20:23Z</dcterms:modified>
</cp:coreProperties>
</file>