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p>
    <w:p>
      <w:pPr>
        <w:ind w:left="284"/>
        <w:spacing w:after="0"/>
        <w:rPr>
          <w:sz w:val="20"/>
          <w:szCs w:val="20"/>
          <w:color w:val="auto"/>
        </w:rPr>
      </w:pPr>
      <w:r>
        <w:rPr>
          <w:rFonts w:ascii="Courier New" w:cs="Courier New" w:eastAsia="Courier New" w:hAnsi="Courier New"/>
          <w:sz w:val="16"/>
          <w:szCs w:val="16"/>
          <w:color w:val="auto"/>
        </w:rPr>
        <w:t>1</w:t>
      </w:r>
    </w:p>
    <w:p>
      <w:pPr>
        <w:spacing w:after="0" w:line="179" w:lineRule="exact"/>
        <w:rPr>
          <w:sz w:val="24"/>
          <w:szCs w:val="24"/>
          <w:color w:val="auto"/>
        </w:rPr>
      </w:pPr>
    </w:p>
    <w:p>
      <w:pPr>
        <w:ind w:left="464"/>
        <w:spacing w:after="0"/>
        <w:rPr>
          <w:sz w:val="20"/>
          <w:szCs w:val="20"/>
          <w:color w:val="auto"/>
        </w:rPr>
      </w:pPr>
      <w:r>
        <w:rPr>
          <w:rFonts w:ascii="Courier New" w:cs="Courier New" w:eastAsia="Courier New" w:hAnsi="Courier New"/>
          <w:sz w:val="16"/>
          <w:szCs w:val="16"/>
          <w:color w:val="auto"/>
        </w:rPr>
        <w:t>As filed with the Securities and Exchange Commission on June 16, 2000</w:t>
      </w:r>
    </w:p>
    <w:p>
      <w:pPr>
        <w:spacing w:after="0" w:line="179" w:lineRule="exact"/>
        <w:rPr>
          <w:sz w:val="24"/>
          <w:szCs w:val="24"/>
          <w:color w:val="auto"/>
        </w:rPr>
      </w:pPr>
    </w:p>
    <w:p>
      <w:pPr>
        <w:ind w:left="5064"/>
        <w:spacing w:after="0"/>
        <w:rPr>
          <w:sz w:val="20"/>
          <w:szCs w:val="20"/>
          <w:color w:val="auto"/>
        </w:rPr>
      </w:pPr>
      <w:r>
        <w:rPr>
          <w:rFonts w:ascii="Courier New" w:cs="Courier New" w:eastAsia="Courier New" w:hAnsi="Courier New"/>
          <w:sz w:val="16"/>
          <w:szCs w:val="16"/>
          <w:color w:val="auto"/>
        </w:rPr>
        <w:t>REGISTRATION NO. 333-76739</w:t>
      </w:r>
    </w:p>
    <w:p>
      <w:pPr>
        <w:spacing w:after="0" w:line="185"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2715"/>
        <w:spacing w:after="0"/>
        <w:rPr>
          <w:sz w:val="20"/>
          <w:szCs w:val="20"/>
          <w:color w:val="auto"/>
        </w:rPr>
      </w:pPr>
      <w:r>
        <w:rPr>
          <w:rFonts w:ascii="Courier New" w:cs="Courier New" w:eastAsia="Courier New" w:hAnsi="Courier New"/>
          <w:sz w:val="16"/>
          <w:szCs w:val="16"/>
          <w:color w:val="auto"/>
        </w:rPr>
        <w:t>WASHINGTON, D.C. 20549</w:t>
      </w:r>
    </w:p>
    <w:p>
      <w:pPr>
        <w:ind w:left="2824"/>
        <w:spacing w:after="0" w:line="237" w:lineRule="auto"/>
        <w:rPr>
          <w:sz w:val="20"/>
          <w:szCs w:val="20"/>
          <w:color w:val="auto"/>
        </w:rPr>
      </w:pPr>
      <w:r>
        <w:rPr>
          <w:rFonts w:ascii="Courier New" w:cs="Courier New" w:eastAsia="Courier New" w:hAnsi="Courier New"/>
          <w:sz w:val="16"/>
          <w:szCs w:val="16"/>
          <w:color w:val="auto"/>
        </w:rPr>
        <w:t>--------------------</w:t>
      </w:r>
    </w:p>
    <w:p>
      <w:pPr>
        <w:spacing w:after="0" w:line="360" w:lineRule="exact"/>
        <w:rPr>
          <w:sz w:val="24"/>
          <w:szCs w:val="24"/>
          <w:color w:val="auto"/>
        </w:rPr>
      </w:pPr>
    </w:p>
    <w:p>
      <w:pPr>
        <w:ind w:left="2904"/>
        <w:spacing w:after="0"/>
        <w:rPr>
          <w:sz w:val="20"/>
          <w:szCs w:val="20"/>
          <w:color w:val="auto"/>
        </w:rPr>
      </w:pPr>
      <w:r>
        <w:rPr>
          <w:rFonts w:ascii="Courier New" w:cs="Courier New" w:eastAsia="Courier New" w:hAnsi="Courier New"/>
          <w:sz w:val="16"/>
          <w:szCs w:val="16"/>
          <w:color w:val="auto"/>
        </w:rPr>
        <w:t>AMENDMENT NO. 3</w:t>
      </w:r>
    </w:p>
    <w:p>
      <w:pPr>
        <w:spacing w:after="0" w:line="179" w:lineRule="exact"/>
        <w:rPr>
          <w:sz w:val="24"/>
          <w:szCs w:val="24"/>
          <w:color w:val="auto"/>
        </w:rPr>
      </w:pPr>
    </w:p>
    <w:p>
      <w:pPr>
        <w:ind w:left="3664"/>
        <w:spacing w:after="0"/>
        <w:rPr>
          <w:sz w:val="20"/>
          <w:szCs w:val="20"/>
          <w:color w:val="auto"/>
        </w:rPr>
      </w:pPr>
      <w:r>
        <w:rPr>
          <w:rFonts w:ascii="Courier New" w:cs="Courier New" w:eastAsia="Courier New" w:hAnsi="Courier New"/>
          <w:sz w:val="16"/>
          <w:szCs w:val="16"/>
          <w:color w:val="auto"/>
        </w:rPr>
        <w:t>TO</w:t>
      </w:r>
    </w:p>
    <w:p>
      <w:pPr>
        <w:ind w:left="3384"/>
        <w:spacing w:after="0"/>
        <w:rPr>
          <w:sz w:val="20"/>
          <w:szCs w:val="20"/>
          <w:color w:val="auto"/>
        </w:rPr>
      </w:pPr>
      <w:r>
        <w:rPr>
          <w:rFonts w:ascii="Courier New" w:cs="Courier New" w:eastAsia="Courier New" w:hAnsi="Courier New"/>
          <w:sz w:val="16"/>
          <w:szCs w:val="16"/>
          <w:color w:val="auto"/>
        </w:rPr>
        <w:t>FORM S-4</w:t>
      </w:r>
    </w:p>
    <w:p>
      <w:pPr>
        <w:ind w:left="2724"/>
        <w:spacing w:after="0" w:line="237" w:lineRule="auto"/>
        <w:rPr>
          <w:sz w:val="20"/>
          <w:szCs w:val="20"/>
          <w:color w:val="auto"/>
        </w:rPr>
      </w:pPr>
      <w:r>
        <w:rPr>
          <w:rFonts w:ascii="Courier New" w:cs="Courier New" w:eastAsia="Courier New" w:hAnsi="Courier New"/>
          <w:sz w:val="16"/>
          <w:szCs w:val="16"/>
          <w:color w:val="auto"/>
        </w:rPr>
        <w:t>REGISTRATION STATEMENT</w:t>
      </w:r>
    </w:p>
    <w:p>
      <w:pPr>
        <w:ind w:left="3564"/>
        <w:spacing w:after="0"/>
        <w:rPr>
          <w:sz w:val="20"/>
          <w:szCs w:val="20"/>
          <w:color w:val="auto"/>
        </w:rPr>
      </w:pPr>
      <w:r>
        <w:rPr>
          <w:rFonts w:ascii="Courier New" w:cs="Courier New" w:eastAsia="Courier New" w:hAnsi="Courier New"/>
          <w:sz w:val="16"/>
          <w:szCs w:val="16"/>
          <w:color w:val="auto"/>
        </w:rPr>
        <w:t>UNDER</w:t>
      </w:r>
    </w:p>
    <w:p>
      <w:pPr>
        <w:ind w:left="2524"/>
        <w:spacing w:after="0" w:line="238" w:lineRule="auto"/>
        <w:rPr>
          <w:sz w:val="20"/>
          <w:szCs w:val="20"/>
          <w:color w:val="auto"/>
        </w:rPr>
      </w:pPr>
      <w:r>
        <w:rPr>
          <w:rFonts w:ascii="Courier New" w:cs="Courier New" w:eastAsia="Courier New" w:hAnsi="Courier New"/>
          <w:sz w:val="16"/>
          <w:szCs w:val="16"/>
          <w:color w:val="auto"/>
        </w:rPr>
        <w:t>THE SECURITIES ACT OF 1933</w:t>
      </w:r>
    </w:p>
    <w:p>
      <w:pPr>
        <w:ind w:left="282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THE SCOTTS COMPANY</w:t>
      </w:r>
    </w:p>
    <w:p>
      <w:pPr>
        <w:ind w:left="1304"/>
        <w:spacing w:after="0"/>
        <w:rPr>
          <w:sz w:val="20"/>
          <w:szCs w:val="20"/>
          <w:color w:val="auto"/>
        </w:rPr>
      </w:pPr>
      <w:r>
        <w:rPr>
          <w:rFonts w:ascii="Courier New" w:cs="Courier New" w:eastAsia="Courier New" w:hAnsi="Courier New"/>
          <w:sz w:val="16"/>
          <w:szCs w:val="16"/>
          <w:color w:val="auto"/>
        </w:rPr>
        <w:t>and the Guarantors identified in footnote (1) below</w:t>
      </w:r>
    </w:p>
    <w:p>
      <w:pPr>
        <w:ind w:left="1224"/>
        <w:spacing w:after="0" w:line="237" w:lineRule="auto"/>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200" w:lineRule="exact"/>
        <w:rPr>
          <w:sz w:val="24"/>
          <w:szCs w:val="24"/>
          <w:color w:val="auto"/>
        </w:rPr>
      </w:pPr>
    </w:p>
    <w:p>
      <w:pPr>
        <w:spacing w:after="0" w:line="341" w:lineRule="exact"/>
        <w:rPr>
          <w:sz w:val="24"/>
          <w:szCs w:val="24"/>
          <w:color w:val="auto"/>
        </w:rPr>
      </w:pPr>
    </w:p>
    <w:tbl>
      <w:tblPr>
        <w:tblLayout w:type="fixed"/>
        <w:tblInd w:w="4" w:type="dxa"/>
        <w:tblCellMar>
          <w:top w:w="0" w:type="dxa"/>
          <w:left w:w="0" w:type="dxa"/>
          <w:bottom w:w="0" w:type="dxa"/>
          <w:right w:w="0" w:type="dxa"/>
        </w:tblCellMar>
      </w:tblPr>
      <w:tr>
        <w:trPr>
          <w:trHeight w:val="181"/>
        </w:trPr>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OHIO</w:t>
            </w:r>
          </w:p>
        </w:tc>
        <w:tc>
          <w:tcPr>
            <w:tcW w:w="900" w:type="dxa"/>
            <w:vAlign w:val="bottom"/>
          </w:tcPr>
          <w:p>
            <w:pPr>
              <w:spacing w:after="0"/>
              <w:rPr>
                <w:sz w:val="15"/>
                <w:szCs w:val="15"/>
                <w:color w:val="auto"/>
              </w:rPr>
            </w:pPr>
          </w:p>
        </w:tc>
        <w:tc>
          <w:tcPr>
            <w:tcW w:w="3180" w:type="dxa"/>
            <w:vAlign w:val="bottom"/>
          </w:tcPr>
          <w:p>
            <w:pPr>
              <w:jc w:val="right"/>
              <w:ind w:right="1602"/>
              <w:spacing w:after="0"/>
              <w:rPr>
                <w:sz w:val="20"/>
                <w:szCs w:val="20"/>
                <w:color w:val="auto"/>
              </w:rPr>
            </w:pPr>
            <w:r>
              <w:rPr>
                <w:rFonts w:ascii="Courier New" w:cs="Courier New" w:eastAsia="Courier New" w:hAnsi="Courier New"/>
                <w:sz w:val="16"/>
                <w:szCs w:val="16"/>
                <w:color w:val="auto"/>
              </w:rPr>
              <w:t>2875</w:t>
            </w:r>
          </w:p>
        </w:tc>
        <w:tc>
          <w:tcPr>
            <w:tcW w:w="1780" w:type="dxa"/>
            <w:vAlign w:val="bottom"/>
          </w:tcPr>
          <w:p>
            <w:pPr>
              <w:spacing w:after="0"/>
              <w:rPr>
                <w:sz w:val="20"/>
                <w:szCs w:val="20"/>
                <w:color w:val="auto"/>
              </w:rPr>
            </w:pPr>
            <w:r>
              <w:rPr>
                <w:rFonts w:ascii="Courier New" w:cs="Courier New" w:eastAsia="Courier New" w:hAnsi="Courier New"/>
                <w:sz w:val="16"/>
                <w:szCs w:val="16"/>
                <w:color w:val="auto"/>
              </w:rPr>
              <w:t>31-1199481</w:t>
            </w:r>
          </w:p>
        </w:tc>
      </w:tr>
      <w:tr>
        <w:trPr>
          <w:trHeight w:val="361"/>
        </w:trPr>
        <w:tc>
          <w:tcPr>
            <w:tcW w:w="3000" w:type="dxa"/>
            <w:vAlign w:val="bottom"/>
            <w:gridSpan w:val="2"/>
          </w:tcPr>
          <w:p>
            <w:pPr>
              <w:spacing w:after="0"/>
              <w:rPr>
                <w:sz w:val="20"/>
                <w:szCs w:val="20"/>
                <w:color w:val="auto"/>
              </w:rPr>
            </w:pPr>
            <w:r>
              <w:rPr>
                <w:rFonts w:ascii="Courier New" w:cs="Courier New" w:eastAsia="Courier New" w:hAnsi="Courier New"/>
                <w:sz w:val="16"/>
                <w:szCs w:val="16"/>
                <w:color w:val="auto"/>
              </w:rPr>
              <w:t>(State or other jurisdiction of</w:t>
            </w:r>
          </w:p>
        </w:tc>
        <w:tc>
          <w:tcPr>
            <w:tcW w:w="3180" w:type="dxa"/>
            <w:vAlign w:val="bottom"/>
          </w:tcPr>
          <w:p>
            <w:pPr>
              <w:ind w:left="180"/>
              <w:spacing w:after="0"/>
              <w:rPr>
                <w:sz w:val="20"/>
                <w:szCs w:val="20"/>
                <w:color w:val="auto"/>
              </w:rPr>
            </w:pPr>
            <w:r>
              <w:rPr>
                <w:rFonts w:ascii="Courier New" w:cs="Courier New" w:eastAsia="Courier New" w:hAnsi="Courier New"/>
                <w:sz w:val="16"/>
                <w:szCs w:val="16"/>
                <w:color w:val="auto"/>
              </w:rPr>
              <w:t>(Primary Standard Industrial</w:t>
            </w:r>
          </w:p>
        </w:tc>
        <w:tc>
          <w:tcPr>
            <w:tcW w:w="1780" w:type="dxa"/>
            <w:vAlign w:val="bottom"/>
          </w:tcPr>
          <w:p>
            <w:pPr>
              <w:spacing w:after="0"/>
              <w:rPr>
                <w:sz w:val="20"/>
                <w:szCs w:val="20"/>
                <w:color w:val="auto"/>
              </w:rPr>
            </w:pPr>
            <w:r>
              <w:rPr>
                <w:rFonts w:ascii="Courier New" w:cs="Courier New" w:eastAsia="Courier New" w:hAnsi="Courier New"/>
                <w:sz w:val="16"/>
                <w:szCs w:val="16"/>
                <w:color w:val="auto"/>
              </w:rPr>
              <w:t>(I.R.S. Employer</w:t>
            </w:r>
          </w:p>
        </w:tc>
      </w:tr>
      <w:tr>
        <w:trPr>
          <w:trHeight w:val="180"/>
        </w:trPr>
        <w:tc>
          <w:tcPr>
            <w:tcW w:w="3000" w:type="dxa"/>
            <w:vAlign w:val="bottom"/>
            <w:gridSpan w:val="2"/>
          </w:tcPr>
          <w:p>
            <w:pPr>
              <w:spacing w:after="0"/>
              <w:rPr>
                <w:sz w:val="20"/>
                <w:szCs w:val="20"/>
                <w:color w:val="auto"/>
              </w:rPr>
            </w:pPr>
            <w:r>
              <w:rPr>
                <w:rFonts w:ascii="Courier New" w:cs="Courier New" w:eastAsia="Courier New" w:hAnsi="Courier New"/>
                <w:sz w:val="16"/>
                <w:szCs w:val="16"/>
                <w:color w:val="auto"/>
              </w:rPr>
              <w:t>incorporation or organization)</w:t>
            </w:r>
          </w:p>
        </w:tc>
        <w:tc>
          <w:tcPr>
            <w:tcW w:w="3180" w:type="dxa"/>
            <w:vAlign w:val="bottom"/>
          </w:tcPr>
          <w:p>
            <w:pPr>
              <w:ind w:left="180"/>
              <w:spacing w:after="0"/>
              <w:rPr>
                <w:sz w:val="20"/>
                <w:szCs w:val="20"/>
                <w:color w:val="auto"/>
              </w:rPr>
            </w:pPr>
            <w:r>
              <w:rPr>
                <w:rFonts w:ascii="Courier New" w:cs="Courier New" w:eastAsia="Courier New" w:hAnsi="Courier New"/>
                <w:sz w:val="16"/>
                <w:szCs w:val="16"/>
                <w:color w:val="auto"/>
              </w:rPr>
              <w:t>Classification Code Number)</w:t>
            </w:r>
          </w:p>
        </w:tc>
        <w:tc>
          <w:tcPr>
            <w:tcW w:w="1780" w:type="dxa"/>
            <w:vAlign w:val="bottom"/>
          </w:tcPr>
          <w:p>
            <w:pPr>
              <w:spacing w:after="0"/>
              <w:rPr>
                <w:sz w:val="20"/>
                <w:szCs w:val="20"/>
                <w:color w:val="auto"/>
              </w:rPr>
            </w:pPr>
            <w:r>
              <w:rPr>
                <w:rFonts w:ascii="Courier New" w:cs="Courier New" w:eastAsia="Courier New" w:hAnsi="Courier New"/>
                <w:sz w:val="16"/>
                <w:szCs w:val="16"/>
                <w:color w:val="auto"/>
                <w:w w:val="96"/>
              </w:rPr>
              <w:t>Identification No.)</w:t>
            </w:r>
          </w:p>
        </w:tc>
      </w:tr>
      <w:tr>
        <w:trPr>
          <w:trHeight w:val="721"/>
        </w:trPr>
        <w:tc>
          <w:tcPr>
            <w:tcW w:w="7960" w:type="dxa"/>
            <w:vAlign w:val="bottom"/>
            <w:gridSpan w:val="4"/>
          </w:tcPr>
          <w:p>
            <w:pPr>
              <w:jc w:val="center"/>
              <w:ind w:right="382"/>
              <w:spacing w:after="0"/>
              <w:rPr>
                <w:sz w:val="20"/>
                <w:szCs w:val="20"/>
                <w:color w:val="auto"/>
              </w:rPr>
            </w:pPr>
            <w:r>
              <w:rPr>
                <w:rFonts w:ascii="Courier New" w:cs="Courier New" w:eastAsia="Courier New" w:hAnsi="Courier New"/>
                <w:sz w:val="16"/>
                <w:szCs w:val="16"/>
                <w:color w:val="auto"/>
                <w:w w:val="97"/>
              </w:rPr>
              <w:t>41 SOUTH HIGH STREET, SUITE 3500, COLUMBUS, OHIO 43215, (614) 719-5500</w:t>
            </w:r>
          </w:p>
        </w:tc>
      </w:tr>
      <w:tr>
        <w:trPr>
          <w:trHeight w:val="180"/>
        </w:trPr>
        <w:tc>
          <w:tcPr>
            <w:tcW w:w="6180" w:type="dxa"/>
            <w:vAlign w:val="bottom"/>
            <w:gridSpan w:val="3"/>
          </w:tcPr>
          <w:p>
            <w:pPr>
              <w:jc w:val="center"/>
              <w:ind w:left="1322"/>
              <w:spacing w:after="0"/>
              <w:rPr>
                <w:sz w:val="20"/>
                <w:szCs w:val="20"/>
                <w:color w:val="auto"/>
              </w:rPr>
            </w:pPr>
            <w:r>
              <w:rPr>
                <w:rFonts w:ascii="Courier New" w:cs="Courier New" w:eastAsia="Courier New" w:hAnsi="Courier New"/>
                <w:sz w:val="16"/>
                <w:szCs w:val="16"/>
                <w:color w:val="auto"/>
                <w:w w:val="97"/>
              </w:rPr>
              <w:t>(Address, including zip code, and telephone number,</w:t>
            </w:r>
          </w:p>
        </w:tc>
        <w:tc>
          <w:tcPr>
            <w:tcW w:w="1780" w:type="dxa"/>
            <w:vAlign w:val="bottom"/>
          </w:tcPr>
          <w:p>
            <w:pPr>
              <w:spacing w:after="0"/>
              <w:rPr>
                <w:sz w:val="15"/>
                <w:szCs w:val="15"/>
                <w:color w:val="auto"/>
              </w:rPr>
            </w:pPr>
          </w:p>
        </w:tc>
      </w:tr>
      <w:tr>
        <w:trPr>
          <w:trHeight w:val="180"/>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including area</w:t>
            </w:r>
          </w:p>
        </w:tc>
        <w:tc>
          <w:tcPr>
            <w:tcW w:w="586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code, of Registrant's principal executive offices)</w:t>
            </w:r>
          </w:p>
        </w:tc>
      </w:tr>
      <w:tr>
        <w:trPr>
          <w:trHeight w:val="361"/>
        </w:trPr>
        <w:tc>
          <w:tcPr>
            <w:tcW w:w="2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180" w:type="dxa"/>
            <w:vAlign w:val="bottom"/>
          </w:tcPr>
          <w:p>
            <w:pPr>
              <w:jc w:val="center"/>
              <w:ind w:right="1502"/>
              <w:spacing w:after="0"/>
              <w:rPr>
                <w:sz w:val="20"/>
                <w:szCs w:val="20"/>
                <w:color w:val="auto"/>
              </w:rPr>
            </w:pPr>
            <w:r>
              <w:rPr>
                <w:rFonts w:ascii="Courier New" w:cs="Courier New" w:eastAsia="Courier New" w:hAnsi="Courier New"/>
                <w:sz w:val="16"/>
                <w:szCs w:val="16"/>
                <w:color w:val="auto"/>
                <w:w w:val="97"/>
              </w:rPr>
              <w:t>G. ROBERT LUCAS</w:t>
            </w:r>
          </w:p>
        </w:tc>
        <w:tc>
          <w:tcPr>
            <w:tcW w:w="1780" w:type="dxa"/>
            <w:vAlign w:val="bottom"/>
          </w:tcPr>
          <w:p>
            <w:pPr>
              <w:spacing w:after="0"/>
              <w:rPr>
                <w:sz w:val="24"/>
                <w:szCs w:val="24"/>
                <w:color w:val="auto"/>
              </w:rPr>
            </w:pPr>
          </w:p>
        </w:tc>
      </w:tr>
      <w:tr>
        <w:trPr>
          <w:trHeight w:val="180"/>
        </w:trPr>
        <w:tc>
          <w:tcPr>
            <w:tcW w:w="2100" w:type="dxa"/>
            <w:vAlign w:val="bottom"/>
          </w:tcPr>
          <w:p>
            <w:pPr>
              <w:spacing w:after="0"/>
              <w:rPr>
                <w:sz w:val="15"/>
                <w:szCs w:val="15"/>
                <w:color w:val="auto"/>
              </w:rPr>
            </w:pPr>
          </w:p>
        </w:tc>
        <w:tc>
          <w:tcPr>
            <w:tcW w:w="4080" w:type="dxa"/>
            <w:vAlign w:val="bottom"/>
            <w:gridSpan w:val="2"/>
          </w:tcPr>
          <w:p>
            <w:pPr>
              <w:jc w:val="center"/>
              <w:ind w:right="722"/>
              <w:spacing w:after="0"/>
              <w:rPr>
                <w:sz w:val="20"/>
                <w:szCs w:val="20"/>
                <w:color w:val="auto"/>
              </w:rPr>
            </w:pPr>
            <w:r>
              <w:rPr>
                <w:rFonts w:ascii="Courier New" w:cs="Courier New" w:eastAsia="Courier New" w:hAnsi="Courier New"/>
                <w:sz w:val="16"/>
                <w:szCs w:val="16"/>
                <w:color w:val="auto"/>
                <w:w w:val="97"/>
              </w:rPr>
              <w:t>41 SOUTH HIGH STREET, SUITE 3500</w:t>
            </w:r>
          </w:p>
        </w:tc>
        <w:tc>
          <w:tcPr>
            <w:tcW w:w="1780" w:type="dxa"/>
            <w:vAlign w:val="bottom"/>
          </w:tcPr>
          <w:p>
            <w:pPr>
              <w:spacing w:after="0"/>
              <w:rPr>
                <w:sz w:val="15"/>
                <w:szCs w:val="15"/>
                <w:color w:val="auto"/>
              </w:rPr>
            </w:pPr>
          </w:p>
        </w:tc>
      </w:tr>
      <w:tr>
        <w:trPr>
          <w:trHeight w:val="180"/>
        </w:trPr>
        <w:tc>
          <w:tcPr>
            <w:tcW w:w="2100" w:type="dxa"/>
            <w:vAlign w:val="bottom"/>
          </w:tcPr>
          <w:p>
            <w:pPr>
              <w:spacing w:after="0"/>
              <w:rPr>
                <w:sz w:val="15"/>
                <w:szCs w:val="15"/>
                <w:color w:val="auto"/>
              </w:rPr>
            </w:pPr>
          </w:p>
        </w:tc>
        <w:tc>
          <w:tcPr>
            <w:tcW w:w="4080" w:type="dxa"/>
            <w:vAlign w:val="bottom"/>
            <w:gridSpan w:val="2"/>
          </w:tcPr>
          <w:p>
            <w:pPr>
              <w:jc w:val="center"/>
              <w:ind w:right="702"/>
              <w:spacing w:after="0"/>
              <w:rPr>
                <w:sz w:val="20"/>
                <w:szCs w:val="20"/>
                <w:color w:val="auto"/>
              </w:rPr>
            </w:pPr>
            <w:r>
              <w:rPr>
                <w:rFonts w:ascii="Courier New" w:cs="Courier New" w:eastAsia="Courier New" w:hAnsi="Courier New"/>
                <w:sz w:val="16"/>
                <w:szCs w:val="16"/>
                <w:color w:val="auto"/>
                <w:w w:val="96"/>
              </w:rPr>
              <w:t>COLUMBUS, OHIO 43215</w:t>
            </w:r>
          </w:p>
        </w:tc>
        <w:tc>
          <w:tcPr>
            <w:tcW w:w="1780" w:type="dxa"/>
            <w:vAlign w:val="bottom"/>
          </w:tcPr>
          <w:p>
            <w:pPr>
              <w:spacing w:after="0"/>
              <w:rPr>
                <w:sz w:val="15"/>
                <w:szCs w:val="15"/>
                <w:color w:val="auto"/>
              </w:rPr>
            </w:pPr>
          </w:p>
        </w:tc>
      </w:tr>
      <w:tr>
        <w:trPr>
          <w:trHeight w:val="180"/>
        </w:trPr>
        <w:tc>
          <w:tcPr>
            <w:tcW w:w="2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180" w:type="dxa"/>
            <w:vAlign w:val="bottom"/>
          </w:tcPr>
          <w:p>
            <w:pPr>
              <w:jc w:val="right"/>
              <w:ind w:right="1702"/>
              <w:spacing w:after="0"/>
              <w:rPr>
                <w:sz w:val="20"/>
                <w:szCs w:val="20"/>
                <w:color w:val="auto"/>
              </w:rPr>
            </w:pPr>
            <w:r>
              <w:rPr>
                <w:rFonts w:ascii="Courier New" w:cs="Courier New" w:eastAsia="Courier New" w:hAnsi="Courier New"/>
                <w:sz w:val="16"/>
                <w:szCs w:val="16"/>
                <w:color w:val="auto"/>
              </w:rPr>
              <w:t>(614) 719-5500</w:t>
            </w:r>
          </w:p>
        </w:tc>
        <w:tc>
          <w:tcPr>
            <w:tcW w:w="1780" w:type="dxa"/>
            <w:vAlign w:val="bottom"/>
          </w:tcPr>
          <w:p>
            <w:pPr>
              <w:spacing w:after="0"/>
              <w:rPr>
                <w:sz w:val="15"/>
                <w:szCs w:val="15"/>
                <w:color w:val="auto"/>
              </w:rPr>
            </w:pPr>
          </w:p>
        </w:tc>
      </w:tr>
      <w:tr>
        <w:trPr>
          <w:trHeight w:val="180"/>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(Name,</w:t>
            </w:r>
          </w:p>
        </w:tc>
        <w:tc>
          <w:tcPr>
            <w:tcW w:w="40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address, including zip code, and telephone</w:t>
            </w:r>
          </w:p>
        </w:tc>
        <w:tc>
          <w:tcPr>
            <w:tcW w:w="1780" w:type="dxa"/>
            <w:vAlign w:val="bottom"/>
          </w:tcPr>
          <w:p>
            <w:pPr>
              <w:spacing w:after="0"/>
              <w:rPr>
                <w:sz w:val="15"/>
                <w:szCs w:val="15"/>
                <w:color w:val="auto"/>
              </w:rPr>
            </w:pPr>
          </w:p>
        </w:tc>
      </w:tr>
      <w:tr>
        <w:trPr>
          <w:trHeight w:val="180"/>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number,</w:t>
            </w:r>
          </w:p>
        </w:tc>
        <w:tc>
          <w:tcPr>
            <w:tcW w:w="40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including area code, of agent for service)</w:t>
            </w:r>
          </w:p>
        </w:tc>
        <w:tc>
          <w:tcPr>
            <w:tcW w:w="1780" w:type="dxa"/>
            <w:vAlign w:val="bottom"/>
          </w:tcPr>
          <w:p>
            <w:pPr>
              <w:spacing w:after="0"/>
              <w:rPr>
                <w:sz w:val="15"/>
                <w:szCs w:val="15"/>
                <w:color w:val="auto"/>
              </w:rPr>
            </w:pPr>
          </w:p>
        </w:tc>
      </w:tr>
      <w:tr>
        <w:trPr>
          <w:trHeight w:val="180"/>
        </w:trPr>
        <w:tc>
          <w:tcPr>
            <w:tcW w:w="2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180" w:type="dxa"/>
            <w:vAlign w:val="bottom"/>
          </w:tcPr>
          <w:p>
            <w:pPr>
              <w:jc w:val="center"/>
              <w:ind w:right="1602"/>
              <w:spacing w:after="0"/>
              <w:rPr>
                <w:sz w:val="20"/>
                <w:szCs w:val="20"/>
                <w:color w:val="auto"/>
              </w:rPr>
            </w:pPr>
            <w:r>
              <w:rPr>
                <w:rFonts w:ascii="Courier New" w:cs="Courier New" w:eastAsia="Courier New" w:hAnsi="Courier New"/>
                <w:sz w:val="16"/>
                <w:szCs w:val="16"/>
                <w:color w:val="auto"/>
                <w:w w:val="97"/>
              </w:rPr>
              <w:t>COPIES TO:</w:t>
            </w:r>
          </w:p>
        </w:tc>
        <w:tc>
          <w:tcPr>
            <w:tcW w:w="1780" w:type="dxa"/>
            <w:vAlign w:val="bottom"/>
          </w:tcPr>
          <w:p>
            <w:pPr>
              <w:spacing w:after="0"/>
              <w:rPr>
                <w:sz w:val="15"/>
                <w:szCs w:val="15"/>
                <w:color w:val="auto"/>
              </w:rPr>
            </w:pPr>
          </w:p>
        </w:tc>
      </w:tr>
      <w:tr>
        <w:trPr>
          <w:trHeight w:val="180"/>
        </w:trPr>
        <w:tc>
          <w:tcPr>
            <w:tcW w:w="2100" w:type="dxa"/>
            <w:vAlign w:val="bottom"/>
          </w:tcPr>
          <w:p>
            <w:pPr>
              <w:spacing w:after="0"/>
              <w:rPr>
                <w:sz w:val="15"/>
                <w:szCs w:val="15"/>
                <w:color w:val="auto"/>
              </w:rPr>
            </w:pPr>
          </w:p>
        </w:tc>
        <w:tc>
          <w:tcPr>
            <w:tcW w:w="4080" w:type="dxa"/>
            <w:vAlign w:val="bottom"/>
            <w:gridSpan w:val="2"/>
          </w:tcPr>
          <w:p>
            <w:pPr>
              <w:jc w:val="center"/>
              <w:ind w:right="602"/>
              <w:spacing w:after="0"/>
              <w:rPr>
                <w:sz w:val="20"/>
                <w:szCs w:val="20"/>
                <w:color w:val="auto"/>
              </w:rPr>
            </w:pPr>
            <w:r>
              <w:rPr>
                <w:rFonts w:ascii="Courier New" w:cs="Courier New" w:eastAsia="Courier New" w:hAnsi="Courier New"/>
                <w:sz w:val="16"/>
                <w:szCs w:val="16"/>
                <w:color w:val="auto"/>
                <w:w w:val="97"/>
              </w:rPr>
              <w:t>RONALD A. ROBINS, JR.</w:t>
            </w:r>
          </w:p>
        </w:tc>
        <w:tc>
          <w:tcPr>
            <w:tcW w:w="1780" w:type="dxa"/>
            <w:vAlign w:val="bottom"/>
          </w:tcPr>
          <w:p>
            <w:pPr>
              <w:spacing w:after="0"/>
              <w:rPr>
                <w:sz w:val="15"/>
                <w:szCs w:val="15"/>
                <w:color w:val="auto"/>
              </w:rPr>
            </w:pPr>
          </w:p>
        </w:tc>
      </w:tr>
      <w:tr>
        <w:trPr>
          <w:trHeight w:val="180"/>
        </w:trPr>
        <w:tc>
          <w:tcPr>
            <w:tcW w:w="2100" w:type="dxa"/>
            <w:vAlign w:val="bottom"/>
          </w:tcPr>
          <w:p>
            <w:pPr>
              <w:spacing w:after="0"/>
              <w:rPr>
                <w:sz w:val="15"/>
                <w:szCs w:val="15"/>
                <w:color w:val="auto"/>
              </w:rPr>
            </w:pPr>
          </w:p>
        </w:tc>
        <w:tc>
          <w:tcPr>
            <w:tcW w:w="40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VORYS, SATER, SEYMOUR AND PEASE LLP</w:t>
            </w:r>
          </w:p>
        </w:tc>
        <w:tc>
          <w:tcPr>
            <w:tcW w:w="1780" w:type="dxa"/>
            <w:vAlign w:val="bottom"/>
          </w:tcPr>
          <w:p>
            <w:pPr>
              <w:spacing w:after="0"/>
              <w:rPr>
                <w:sz w:val="15"/>
                <w:szCs w:val="15"/>
                <w:color w:val="auto"/>
              </w:rPr>
            </w:pPr>
          </w:p>
        </w:tc>
      </w:tr>
      <w:tr>
        <w:trPr>
          <w:trHeight w:val="180"/>
        </w:trPr>
        <w:tc>
          <w:tcPr>
            <w:tcW w:w="2100" w:type="dxa"/>
            <w:vAlign w:val="bottom"/>
          </w:tcPr>
          <w:p>
            <w:pPr>
              <w:spacing w:after="0"/>
              <w:rPr>
                <w:sz w:val="15"/>
                <w:szCs w:val="15"/>
                <w:color w:val="auto"/>
              </w:rPr>
            </w:pPr>
          </w:p>
        </w:tc>
        <w:tc>
          <w:tcPr>
            <w:tcW w:w="4080" w:type="dxa"/>
            <w:vAlign w:val="bottom"/>
            <w:gridSpan w:val="2"/>
          </w:tcPr>
          <w:p>
            <w:pPr>
              <w:jc w:val="center"/>
              <w:ind w:right="622"/>
              <w:spacing w:after="0"/>
              <w:rPr>
                <w:sz w:val="20"/>
                <w:szCs w:val="20"/>
                <w:color w:val="auto"/>
              </w:rPr>
            </w:pPr>
            <w:r>
              <w:rPr>
                <w:rFonts w:ascii="Courier New" w:cs="Courier New" w:eastAsia="Courier New" w:hAnsi="Courier New"/>
                <w:sz w:val="16"/>
                <w:szCs w:val="16"/>
                <w:color w:val="auto"/>
                <w:w w:val="97"/>
              </w:rPr>
              <w:t>52 EAST GAY STREET, P.O. BOX 1008</w:t>
            </w:r>
          </w:p>
        </w:tc>
        <w:tc>
          <w:tcPr>
            <w:tcW w:w="1780" w:type="dxa"/>
            <w:vAlign w:val="bottom"/>
          </w:tcPr>
          <w:p>
            <w:pPr>
              <w:spacing w:after="0"/>
              <w:rPr>
                <w:sz w:val="15"/>
                <w:szCs w:val="15"/>
                <w:color w:val="auto"/>
              </w:rPr>
            </w:pPr>
          </w:p>
        </w:tc>
      </w:tr>
      <w:tr>
        <w:trPr>
          <w:trHeight w:val="180"/>
        </w:trPr>
        <w:tc>
          <w:tcPr>
            <w:tcW w:w="2100" w:type="dxa"/>
            <w:vAlign w:val="bottom"/>
          </w:tcPr>
          <w:p>
            <w:pPr>
              <w:spacing w:after="0"/>
              <w:rPr>
                <w:sz w:val="15"/>
                <w:szCs w:val="15"/>
                <w:color w:val="auto"/>
              </w:rPr>
            </w:pPr>
          </w:p>
        </w:tc>
        <w:tc>
          <w:tcPr>
            <w:tcW w:w="4080" w:type="dxa"/>
            <w:vAlign w:val="bottom"/>
            <w:gridSpan w:val="2"/>
          </w:tcPr>
          <w:p>
            <w:pPr>
              <w:jc w:val="center"/>
              <w:ind w:right="622"/>
              <w:spacing w:after="0"/>
              <w:rPr>
                <w:sz w:val="20"/>
                <w:szCs w:val="20"/>
                <w:color w:val="auto"/>
              </w:rPr>
            </w:pPr>
            <w:r>
              <w:rPr>
                <w:rFonts w:ascii="Courier New" w:cs="Courier New" w:eastAsia="Courier New" w:hAnsi="Courier New"/>
                <w:sz w:val="16"/>
                <w:szCs w:val="16"/>
                <w:color w:val="auto"/>
                <w:w w:val="97"/>
              </w:rPr>
              <w:t>COLUMBUS, OHIO 43216-1008</w:t>
            </w:r>
          </w:p>
        </w:tc>
        <w:tc>
          <w:tcPr>
            <w:tcW w:w="1780" w:type="dxa"/>
            <w:vAlign w:val="bottom"/>
          </w:tcPr>
          <w:p>
            <w:pPr>
              <w:spacing w:after="0"/>
              <w:rPr>
                <w:sz w:val="15"/>
                <w:szCs w:val="15"/>
                <w:color w:val="auto"/>
              </w:rPr>
            </w:pPr>
          </w:p>
        </w:tc>
      </w:tr>
      <w:tr>
        <w:trPr>
          <w:trHeight w:val="180"/>
        </w:trPr>
        <w:tc>
          <w:tcPr>
            <w:tcW w:w="6180" w:type="dxa"/>
            <w:vAlign w:val="bottom"/>
            <w:gridSpan w:val="3"/>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spacing w:after="0"/>
              <w:rPr>
                <w:sz w:val="15"/>
                <w:szCs w:val="15"/>
                <w:color w:val="auto"/>
              </w:rPr>
            </w:pPr>
          </w:p>
        </w:tc>
      </w:tr>
      <w:tr>
        <w:trPr>
          <w:trHeight w:val="361"/>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APPROXIMATE DATE</w:t>
            </w:r>
          </w:p>
        </w:tc>
        <w:tc>
          <w:tcPr>
            <w:tcW w:w="586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OF COMMENCEMENT OF PROPOSED SALE OF THE SECURITIES</w:t>
            </w:r>
          </w:p>
        </w:tc>
      </w:tr>
      <w:tr>
        <w:trPr>
          <w:trHeight w:val="180"/>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w w:val="96"/>
              </w:rPr>
              <w:t>TO THE PUBLIC: As soon</w:t>
            </w:r>
          </w:p>
        </w:tc>
        <w:tc>
          <w:tcPr>
            <w:tcW w:w="586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as practicable after the effective date of this</w:t>
            </w:r>
          </w:p>
        </w:tc>
      </w:tr>
      <w:tr>
        <w:trPr>
          <w:trHeight w:val="180"/>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w w:val="96"/>
              </w:rPr>
              <w:t>Registration Statement</w:t>
            </w:r>
          </w:p>
        </w:tc>
        <w:tc>
          <w:tcPr>
            <w:tcW w:w="40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as the Registrant shall determine.</w:t>
            </w:r>
          </w:p>
        </w:tc>
        <w:tc>
          <w:tcPr>
            <w:tcW w:w="1780" w:type="dxa"/>
            <w:vAlign w:val="bottom"/>
          </w:tcPr>
          <w:p>
            <w:pPr>
              <w:spacing w:after="0"/>
              <w:rPr>
                <w:sz w:val="15"/>
                <w:szCs w:val="15"/>
                <w:color w:val="auto"/>
              </w:rPr>
            </w:pPr>
          </w:p>
        </w:tc>
      </w:tr>
      <w:tr>
        <w:trPr>
          <w:trHeight w:val="361"/>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If the securities</w:t>
            </w:r>
          </w:p>
        </w:tc>
        <w:tc>
          <w:tcPr>
            <w:tcW w:w="586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being registered on this Form are being offered in</w:t>
            </w:r>
          </w:p>
        </w:tc>
      </w:tr>
      <w:tr>
        <w:trPr>
          <w:trHeight w:val="180"/>
        </w:trPr>
        <w:tc>
          <w:tcPr>
            <w:tcW w:w="7960" w:type="dxa"/>
            <w:vAlign w:val="bottom"/>
            <w:gridSpan w:val="4"/>
          </w:tcPr>
          <w:p>
            <w:pPr>
              <w:spacing w:after="0"/>
              <w:rPr>
                <w:sz w:val="20"/>
                <w:szCs w:val="20"/>
                <w:color w:val="auto"/>
              </w:rPr>
            </w:pPr>
            <w:r>
              <w:rPr>
                <w:rFonts w:ascii="Courier New" w:cs="Courier New" w:eastAsia="Courier New" w:hAnsi="Courier New"/>
                <w:sz w:val="16"/>
                <w:szCs w:val="16"/>
                <w:color w:val="auto"/>
              </w:rPr>
              <w:t>connection with the formation of a holding company and there is compliance with</w:t>
            </w:r>
          </w:p>
        </w:tc>
      </w:tr>
      <w:tr>
        <w:trPr>
          <w:trHeight w:val="180"/>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w w:val="96"/>
              </w:rPr>
              <w:t>General Instruction G,</w:t>
            </w:r>
          </w:p>
        </w:tc>
        <w:tc>
          <w:tcPr>
            <w:tcW w:w="40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check the following box: [ ]</w:t>
            </w:r>
          </w:p>
        </w:tc>
        <w:tc>
          <w:tcPr>
            <w:tcW w:w="1780" w:type="dxa"/>
            <w:vAlign w:val="bottom"/>
          </w:tcPr>
          <w:p>
            <w:pPr>
              <w:spacing w:after="0"/>
              <w:rPr>
                <w:sz w:val="15"/>
                <w:szCs w:val="15"/>
                <w:color w:val="auto"/>
              </w:rPr>
            </w:pPr>
          </w:p>
        </w:tc>
      </w:tr>
    </w:tbl>
    <w:p>
      <w:pPr>
        <w:spacing w:after="0" w:line="185" w:lineRule="exact"/>
        <w:rPr>
          <w:sz w:val="24"/>
          <w:szCs w:val="24"/>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86" w:lineRule="exact"/>
        <w:rPr>
          <w:sz w:val="24"/>
          <w:szCs w:val="24"/>
          <w:color w:val="auto"/>
        </w:rPr>
      </w:pPr>
    </w:p>
    <w:p>
      <w:pPr>
        <w:jc w:val="both"/>
        <w:ind w:left="4" w:right="2999" w:firstLine="469"/>
        <w:spacing w:after="0" w:line="237" w:lineRule="auto"/>
        <w:rPr>
          <w:sz w:val="20"/>
          <w:szCs w:val="20"/>
          <w:color w:val="auto"/>
        </w:rPr>
      </w:pPr>
      <w:r>
        <w:rPr>
          <w:rFonts w:ascii="Courier New" w:cs="Courier New" w:eastAsia="Courier New" w:hAnsi="Courier New"/>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81"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4"/>
          <w:szCs w:val="24"/>
          <w:color w:val="auto"/>
        </w:rPr>
      </w:pPr>
    </w:p>
    <w:p>
      <w:pPr>
        <w:ind w:left="4" w:right="2899" w:hanging="4"/>
        <w:spacing w:after="0" w:line="254" w:lineRule="auto"/>
        <w:tabs>
          <w:tab w:leader="none" w:pos="75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domestic direct and indirect subsidiaries of Scotts are guarantors of the notes and co-registrants. Each of the guarantors is incorporated in the State of Ohio, unless otherwise indicated, and has the I.R.S. Employer Identification Number indicated: Scotts' Miracle-Gro Products, Inc., a New York corporation (31-1433894); Miracle-Gro Lawn Products, Inc., a New York corporation (11-3186421); Miracle-Gro Products Ltd., a New York corporation (11-3028862); OMS Investments, Inc., a Delaware corporation</w:t>
      </w:r>
    </w:p>
    <w:p>
      <w:pPr>
        <w:spacing w:after="0" w:line="3" w:lineRule="exact"/>
        <w:rPr>
          <w:rFonts w:ascii="Courier New" w:cs="Courier New" w:eastAsia="Courier New" w:hAnsi="Courier New"/>
          <w:sz w:val="15"/>
          <w:szCs w:val="15"/>
          <w:color w:val="auto"/>
        </w:rPr>
      </w:pPr>
    </w:p>
    <w:p>
      <w:pPr>
        <w:ind w:left="4" w:right="2899"/>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(51-0357374); Old Fort Financial Corp., a Delaware corporation (13-3052947); Hyponex Corporation, a Delaware corporation (31-1254519); EarthGro, Inc., a Connecticut corporation (06-1317438); Scotts Products Co., an Ohio corporation (31-1269080); Scotts Professional Products Co., an Ohio corporation</w:t>
      </w:r>
    </w:p>
    <w:p>
      <w:pPr>
        <w:spacing w:after="0" w:line="2" w:lineRule="exact"/>
        <w:rPr>
          <w:rFonts w:ascii="Courier New" w:cs="Courier New" w:eastAsia="Courier New" w:hAnsi="Courier New"/>
          <w:sz w:val="15"/>
          <w:szCs w:val="15"/>
          <w:color w:val="auto"/>
        </w:rPr>
      </w:pPr>
    </w:p>
    <w:p>
      <w:pPr>
        <w:ind w:left="4" w:right="2999"/>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(31-1269066); Republic Tool &amp; Manufacturing Corp., a Delaware corporation (33-0536684); Scotts-Sierra Horticultural Products Company, a California corporation (94-1634227); Scotts-Sierra Crop Protection Company, a California corporation (77-0153275); Scotts-Sierra Investments, Inc., a Delaware corporation (51-0371209); and Swiss Farms Products, Inc., a Delaware corporation (88-0407223).</w:t>
      </w:r>
    </w:p>
    <w:p>
      <w:pPr>
        <w:sectPr>
          <w:pgSz w:w="11900" w:h="16842" w:orient="portrait"/>
          <w:cols w:equalWidth="0" w:num="1">
            <w:col w:w="10223"/>
          </w:cols>
          <w:pgMar w:left="236" w:top="233" w:right="1440" w:bottom="0" w:gutter="0" w:footer="0" w:header="0"/>
        </w:sectPr>
      </w:pPr>
    </w:p>
    <w:p>
      <w:pPr>
        <w:spacing w:after="0" w:line="369" w:lineRule="exact"/>
        <w:rPr>
          <w:sz w:val="24"/>
          <w:szCs w:val="24"/>
          <w:color w:val="auto"/>
        </w:rPr>
      </w:pPr>
    </w:p>
    <w:p>
      <w:pPr>
        <w:ind w:left="2344"/>
        <w:spacing w:after="0"/>
        <w:rPr>
          <w:sz w:val="20"/>
          <w:szCs w:val="20"/>
          <w:color w:val="auto"/>
        </w:rPr>
      </w:pPr>
      <w:r>
        <w:rPr>
          <w:rFonts w:ascii="Courier New" w:cs="Courier New" w:eastAsia="Courier New" w:hAnsi="Courier New"/>
          <w:sz w:val="15"/>
          <w:szCs w:val="15"/>
          <w:color w:val="auto"/>
        </w:rPr>
        <w:t>CALCULATION OF REGISTRATION FEE</w:t>
      </w:r>
    </w:p>
    <w:p>
      <w:pPr>
        <w:sectPr>
          <w:pgSz w:w="11900" w:h="16842" w:orient="portrait"/>
          <w:cols w:equalWidth="0" w:num="1">
            <w:col w:w="10223"/>
          </w:cols>
          <w:pgMar w:left="236" w:top="233" w:right="1440" w:bottom="0" w:gutter="0" w:footer="0" w:header="0"/>
          <w:type w:val="continuous"/>
        </w:sectPr>
      </w:pPr>
    </w:p>
    <w:bookmarkStart w:id="1" w:name="page2"/>
    <w:bookmarkEnd w:id="1"/>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024"/>
        <w:spacing w:after="0"/>
        <w:tabs>
          <w:tab w:leader="none" w:pos="4943" w:val="left"/>
          <w:tab w:leader="none" w:pos="7303" w:val="left"/>
          <w:tab w:leader="none" w:pos="10203" w:val="left"/>
        </w:tabs>
        <w:rPr>
          <w:sz w:val="20"/>
          <w:szCs w:val="20"/>
          <w:color w:val="auto"/>
        </w:rPr>
      </w:pPr>
      <w:r>
        <w:rPr>
          <w:rFonts w:ascii="Courier New" w:cs="Courier New" w:eastAsia="Courier New" w:hAnsi="Courier New"/>
          <w:sz w:val="16"/>
          <w:szCs w:val="16"/>
          <w:color w:val="auto"/>
        </w:rPr>
        <w:t>TITLE OF EACH CLASS OF</w:t>
      </w:r>
      <w:r>
        <w:rPr>
          <w:sz w:val="20"/>
          <w:szCs w:val="20"/>
          <w:color w:val="auto"/>
        </w:rPr>
        <w:tab/>
      </w:r>
      <w:r>
        <w:rPr>
          <w:rFonts w:ascii="Courier New" w:cs="Courier New" w:eastAsia="Courier New" w:hAnsi="Courier New"/>
          <w:sz w:val="16"/>
          <w:szCs w:val="16"/>
          <w:color w:val="auto"/>
        </w:rPr>
        <w:t>AMOUNT TO BE</w:t>
      </w:r>
      <w:r>
        <w:rPr>
          <w:sz w:val="20"/>
          <w:szCs w:val="20"/>
          <w:color w:val="auto"/>
        </w:rPr>
        <w:tab/>
      </w:r>
      <w:r>
        <w:rPr>
          <w:rFonts w:ascii="Courier New" w:cs="Courier New" w:eastAsia="Courier New" w:hAnsi="Courier New"/>
          <w:sz w:val="16"/>
          <w:szCs w:val="16"/>
          <w:color w:val="auto"/>
        </w:rPr>
        <w:t>PROPOSED MAXIMUM</w:t>
      </w:r>
      <w:r>
        <w:rPr>
          <w:sz w:val="20"/>
          <w:szCs w:val="20"/>
          <w:color w:val="auto"/>
        </w:rPr>
        <w:tab/>
      </w:r>
      <w:r>
        <w:rPr>
          <w:rFonts w:ascii="Courier New" w:cs="Courier New" w:eastAsia="Courier New" w:hAnsi="Courier New"/>
          <w:sz w:val="15"/>
          <w:szCs w:val="15"/>
          <w:color w:val="auto"/>
        </w:rPr>
        <w:t>AMOUNT OF</w:t>
      </w:r>
    </w:p>
    <w:p>
      <w:pPr>
        <w:ind w:left="844"/>
        <w:spacing w:after="0"/>
        <w:tabs>
          <w:tab w:leader="none" w:pos="5043" w:val="left"/>
          <w:tab w:leader="none" w:pos="7023" w:val="left"/>
          <w:tab w:leader="none" w:pos="9823" w:val="left"/>
        </w:tabs>
        <w:rPr>
          <w:sz w:val="20"/>
          <w:szCs w:val="20"/>
          <w:color w:val="auto"/>
        </w:rPr>
      </w:pPr>
      <w:r>
        <w:rPr>
          <w:rFonts w:ascii="Courier New" w:cs="Courier New" w:eastAsia="Courier New" w:hAnsi="Courier New"/>
          <w:sz w:val="16"/>
          <w:szCs w:val="16"/>
          <w:color w:val="auto"/>
        </w:rPr>
        <w:t>SECURITIES TO BE REGISTERED</w:t>
      </w:r>
      <w:r>
        <w:rPr>
          <w:sz w:val="20"/>
          <w:szCs w:val="20"/>
          <w:color w:val="auto"/>
        </w:rPr>
        <w:tab/>
      </w:r>
      <w:r>
        <w:rPr>
          <w:rFonts w:ascii="Courier New" w:cs="Courier New" w:eastAsia="Courier New" w:hAnsi="Courier New"/>
          <w:sz w:val="16"/>
          <w:szCs w:val="16"/>
          <w:color w:val="auto"/>
        </w:rPr>
        <w:t>REGISTERED</w:t>
      </w:r>
      <w:r>
        <w:rPr>
          <w:sz w:val="20"/>
          <w:szCs w:val="20"/>
          <w:color w:val="auto"/>
        </w:rPr>
        <w:tab/>
      </w:r>
      <w:r>
        <w:rPr>
          <w:rFonts w:ascii="Courier New" w:cs="Courier New" w:eastAsia="Courier New" w:hAnsi="Courier New"/>
          <w:sz w:val="16"/>
          <w:szCs w:val="16"/>
          <w:color w:val="auto"/>
        </w:rPr>
        <w:t>OFFERING PRICE PER UNIT</w:t>
      </w:r>
      <w:r>
        <w:rPr>
          <w:sz w:val="20"/>
          <w:szCs w:val="20"/>
          <w:color w:val="auto"/>
        </w:rPr>
        <w:tab/>
      </w:r>
      <w:r>
        <w:rPr>
          <w:rFonts w:ascii="Courier New" w:cs="Courier New" w:eastAsia="Courier New" w:hAnsi="Courier New"/>
          <w:sz w:val="15"/>
          <w:szCs w:val="15"/>
          <w:color w:val="auto"/>
        </w:rPr>
        <w:t>REGISTRATION FEE</w:t>
      </w:r>
    </w:p>
    <w:p>
      <w:pPr>
        <w:spacing w:after="0" w:line="35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4"/>
        <w:spacing w:after="0"/>
        <w:tabs>
          <w:tab w:leader="none" w:pos="4943" w:val="left"/>
          <w:tab w:leader="none" w:pos="7863" w:val="left"/>
          <w:tab w:leader="none" w:pos="10303" w:val="left"/>
        </w:tabs>
        <w:rPr>
          <w:sz w:val="20"/>
          <w:szCs w:val="20"/>
          <w:color w:val="auto"/>
        </w:rPr>
      </w:pPr>
      <w:r>
        <w:rPr>
          <w:rFonts w:ascii="Courier New" w:cs="Courier New" w:eastAsia="Courier New" w:hAnsi="Courier New"/>
          <w:sz w:val="16"/>
          <w:szCs w:val="16"/>
          <w:color w:val="auto"/>
        </w:rPr>
        <w:t>8.625% Senior Subordinated Notes due 2009</w:t>
      </w:r>
      <w:r>
        <w:rPr>
          <w:sz w:val="20"/>
          <w:szCs w:val="20"/>
          <w:color w:val="auto"/>
        </w:rPr>
        <w:tab/>
      </w:r>
      <w:r>
        <w:rPr>
          <w:rFonts w:ascii="Courier New" w:cs="Courier New" w:eastAsia="Courier New" w:hAnsi="Courier New"/>
          <w:sz w:val="16"/>
          <w:szCs w:val="16"/>
          <w:color w:val="auto"/>
        </w:rPr>
        <w:t>$330,000,000</w:t>
      </w:r>
      <w:r>
        <w:rPr>
          <w:sz w:val="20"/>
          <w:szCs w:val="20"/>
          <w:color w:val="auto"/>
        </w:rPr>
        <w:tab/>
      </w:r>
      <w:r>
        <w:rPr>
          <w:rFonts w:ascii="Courier New" w:cs="Courier New" w:eastAsia="Courier New" w:hAnsi="Courier New"/>
          <w:sz w:val="16"/>
          <w:szCs w:val="16"/>
          <w:color w:val="auto"/>
        </w:rPr>
        <w:t>100%</w:t>
      </w:r>
      <w:r>
        <w:rPr>
          <w:sz w:val="20"/>
          <w:szCs w:val="20"/>
          <w:color w:val="auto"/>
        </w:rPr>
        <w:tab/>
      </w:r>
      <w:r>
        <w:rPr>
          <w:rFonts w:ascii="Courier New" w:cs="Courier New" w:eastAsia="Courier New" w:hAnsi="Courier New"/>
          <w:sz w:val="15"/>
          <w:szCs w:val="15"/>
          <w:color w:val="auto"/>
        </w:rPr>
        <w:t>$91,740(2)</w:t>
      </w:r>
    </w:p>
    <w:p>
      <w:pPr>
        <w:ind w:left="4"/>
        <w:spacing w:after="0"/>
        <w:rPr>
          <w:sz w:val="20"/>
          <w:szCs w:val="20"/>
          <w:color w:val="auto"/>
        </w:rPr>
      </w:pPr>
      <w:r>
        <w:rPr>
          <w:rFonts w:ascii="Courier New" w:cs="Courier New" w:eastAsia="Courier New" w:hAnsi="Courier New"/>
          <w:sz w:val="16"/>
          <w:szCs w:val="16"/>
          <w:color w:val="auto"/>
        </w:rPr>
        <w:t>Guarantee of 8.625% Senior Subordinated</w:t>
      </w:r>
    </w:p>
    <w:p>
      <w:pPr>
        <w:ind w:left="4"/>
        <w:spacing w:after="0"/>
        <w:tabs>
          <w:tab w:leader="none" w:pos="4943" w:val="left"/>
          <w:tab w:leader="none" w:pos="7863" w:val="left"/>
          <w:tab w:leader="none" w:pos="10303" w:val="left"/>
        </w:tabs>
        <w:rPr>
          <w:sz w:val="20"/>
          <w:szCs w:val="20"/>
          <w:color w:val="auto"/>
        </w:rPr>
      </w:pPr>
      <w:r>
        <w:rPr>
          <w:rFonts w:ascii="Courier New" w:cs="Courier New" w:eastAsia="Courier New" w:hAnsi="Courier New"/>
          <w:sz w:val="16"/>
          <w:szCs w:val="16"/>
          <w:color w:val="auto"/>
        </w:rPr>
        <w:t>Notes due 2009</w:t>
      </w:r>
      <w:r>
        <w:rPr>
          <w:sz w:val="20"/>
          <w:szCs w:val="20"/>
          <w:color w:val="auto"/>
        </w:rPr>
        <w:tab/>
      </w:r>
      <w:r>
        <w:rPr>
          <w:rFonts w:ascii="Courier New" w:cs="Courier New" w:eastAsia="Courier New" w:hAnsi="Courier New"/>
          <w:sz w:val="16"/>
          <w:szCs w:val="16"/>
          <w:color w:val="auto"/>
        </w:rPr>
        <w:t>$330,000,000</w:t>
      </w:r>
      <w:r>
        <w:rPr>
          <w:sz w:val="20"/>
          <w:szCs w:val="20"/>
          <w:color w:val="auto"/>
        </w:rPr>
        <w:tab/>
      </w: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5"/>
          <w:szCs w:val="15"/>
          <w:color w:val="auto"/>
        </w:rPr>
        <w:t>(3)</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564" w:hanging="564"/>
        <w:spacing w:after="0"/>
        <w:tabs>
          <w:tab w:leader="none" w:pos="56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paid.</w:t>
      </w:r>
    </w:p>
    <w:p>
      <w:pPr>
        <w:spacing w:after="0" w:line="184" w:lineRule="exact"/>
        <w:rPr>
          <w:rFonts w:ascii="Courier New" w:cs="Courier New" w:eastAsia="Courier New" w:hAnsi="Courier New"/>
          <w:sz w:val="16"/>
          <w:szCs w:val="16"/>
          <w:color w:val="auto"/>
        </w:rPr>
      </w:pPr>
    </w:p>
    <w:p>
      <w:pPr>
        <w:ind w:left="564" w:right="4680" w:hanging="564"/>
        <w:spacing w:after="0" w:line="259" w:lineRule="auto"/>
        <w:tabs>
          <w:tab w:leader="none" w:pos="564"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additional consideration for the Guarantees of the 8.625% Senior Subordinated Notes due 2009 will be furnished. Pursuant to Rule 457(n), no separate fee is payable with respect to such Guarantees.</w:t>
      </w:r>
    </w:p>
    <w:p>
      <w:pPr>
        <w:spacing w:after="0" w:line="200" w:lineRule="exact"/>
        <w:rPr>
          <w:sz w:val="20"/>
          <w:szCs w:val="20"/>
          <w:color w:val="auto"/>
        </w:rPr>
      </w:pPr>
    </w:p>
    <w:p>
      <w:pPr>
        <w:spacing w:after="0" w:line="332" w:lineRule="exact"/>
        <w:rPr>
          <w:sz w:val="20"/>
          <w:szCs w:val="20"/>
          <w:color w:val="auto"/>
        </w:rPr>
      </w:pPr>
    </w:p>
    <w:p>
      <w:pPr>
        <w:ind w:left="4" w:right="4120"/>
        <w:spacing w:after="0" w:line="238"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ectPr>
          <w:pgSz w:w="11900" w:h="16838" w:orient="portrait"/>
          <w:cols w:equalWidth="0" w:num="1">
            <w:col w:w="11524"/>
          </w:cols>
          <w:pgMar w:left="236" w:top="502" w:right="139"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2</w:t>
      </w:r>
    </w:p>
    <w:p>
      <w:pPr>
        <w:spacing w:after="0" w:line="185" w:lineRule="exact"/>
        <w:rPr>
          <w:sz w:val="20"/>
          <w:szCs w:val="20"/>
          <w:color w:val="auto"/>
        </w:rPr>
      </w:pPr>
    </w:p>
    <w:p>
      <w:pPr>
        <w:ind w:left="1020" w:right="3099"/>
        <w:spacing w:after="0" w:line="256" w:lineRule="auto"/>
        <w:rPr>
          <w:sz w:val="20"/>
          <w:szCs w:val="20"/>
          <w:color w:val="auto"/>
        </w:rPr>
      </w:pPr>
      <w:r>
        <w:rPr>
          <w:rFonts w:ascii="Courier New" w:cs="Courier New" w:eastAsia="Courier New" w:hAnsi="Courier New"/>
          <w:sz w:val="15"/>
          <w:szCs w:val="15"/>
          <w:color w:val="auto"/>
        </w:rPr>
        <w:t>THE INFORMATION IN THIS PROSPECTUS IS NOT COMPLETE AND MAY BE CHANGED. WE MAY NOT SELL THESE SECURITIES UNTIL THE PROSPECTUS IS DELIVERED IN FINAL FORM. THIS PROSPECTUS IS NOT AN OFFER TO SELL THESE SECURITIES AND IS NOT SOLICITING AN OFFER TO BUY THESE SECURITIES IN ANY STATE WHERE THE OFFER OR SALE IS NOT PERMITTED.</w:t>
      </w:r>
    </w:p>
    <w:p>
      <w:pPr>
        <w:spacing w:after="0" w:line="351"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SUBJECT TO COMPLETION, DATED JUNE 16, 2000</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PRELIMINARY PROSPECTUS</w:t>
      </w:r>
    </w:p>
    <w:p>
      <w:pPr>
        <w:spacing w:after="0" w:line="179"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[THE SCOTTS COMPANY LOGO]</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$330,000,000</w:t>
      </w:r>
    </w:p>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THE SCOTTS COMPANY</w:t>
      </w:r>
    </w:p>
    <w:p>
      <w:pPr>
        <w:ind w:left="2720"/>
        <w:spacing w:after="0"/>
        <w:rPr>
          <w:sz w:val="20"/>
          <w:szCs w:val="20"/>
          <w:color w:val="auto"/>
        </w:rPr>
      </w:pPr>
      <w:r>
        <w:rPr>
          <w:rFonts w:ascii="Courier New" w:cs="Courier New" w:eastAsia="Courier New" w:hAnsi="Courier New"/>
          <w:sz w:val="16"/>
          <w:szCs w:val="16"/>
          <w:color w:val="auto"/>
        </w:rPr>
        <w:t>OFFER TO EXCHANGE ITS</w:t>
      </w:r>
    </w:p>
    <w:p>
      <w:pPr>
        <w:ind w:left="2240"/>
        <w:spacing w:after="0" w:line="237" w:lineRule="auto"/>
        <w:rPr>
          <w:sz w:val="20"/>
          <w:szCs w:val="20"/>
          <w:color w:val="auto"/>
        </w:rPr>
      </w:pPr>
      <w:r>
        <w:rPr>
          <w:rFonts w:ascii="Courier New" w:cs="Courier New" w:eastAsia="Courier New" w:hAnsi="Courier New"/>
          <w:sz w:val="16"/>
          <w:szCs w:val="16"/>
          <w:color w:val="auto"/>
        </w:rPr>
        <w:t>8.625% SENIOR SUBORDINATED NOTES</w:t>
      </w:r>
    </w:p>
    <w:p>
      <w:pPr>
        <w:ind w:left="1600"/>
        <w:spacing w:after="0"/>
        <w:rPr>
          <w:sz w:val="20"/>
          <w:szCs w:val="20"/>
          <w:color w:val="auto"/>
        </w:rPr>
      </w:pPr>
      <w:r>
        <w:rPr>
          <w:rFonts w:ascii="Courier New" w:cs="Courier New" w:eastAsia="Courier New" w:hAnsi="Courier New"/>
          <w:sz w:val="16"/>
          <w:szCs w:val="16"/>
          <w:color w:val="auto"/>
        </w:rPr>
        <w:t>DUE 2009, WHICH HAVE BEEN REGISTERED UNDER THE</w:t>
      </w:r>
    </w:p>
    <w:p>
      <w:pPr>
        <w:ind w:left="2720"/>
        <w:spacing w:after="0" w:line="238" w:lineRule="auto"/>
        <w:rPr>
          <w:sz w:val="20"/>
          <w:szCs w:val="20"/>
          <w:color w:val="auto"/>
        </w:rPr>
      </w:pPr>
      <w:r>
        <w:rPr>
          <w:rFonts w:ascii="Courier New" w:cs="Courier New" w:eastAsia="Courier New" w:hAnsi="Courier New"/>
          <w:sz w:val="16"/>
          <w:szCs w:val="16"/>
          <w:color w:val="auto"/>
        </w:rPr>
        <w:t>SECURITIES ACT OF 1933</w:t>
      </w:r>
    </w:p>
    <w:p>
      <w:pPr>
        <w:ind w:left="2060"/>
        <w:spacing w:after="0"/>
        <w:rPr>
          <w:sz w:val="20"/>
          <w:szCs w:val="20"/>
          <w:color w:val="auto"/>
        </w:rPr>
      </w:pPr>
      <w:r>
        <w:rPr>
          <w:rFonts w:ascii="Courier New" w:cs="Courier New" w:eastAsia="Courier New" w:hAnsi="Courier New"/>
          <w:sz w:val="16"/>
          <w:szCs w:val="16"/>
          <w:color w:val="auto"/>
        </w:rPr>
        <w:t>FOR AN EQUAL PRINCIPAL AMOUNT OF ITS</w:t>
      </w:r>
    </w:p>
    <w:p>
      <w:pPr>
        <w:ind w:left="1780"/>
        <w:spacing w:after="0" w:line="238" w:lineRule="auto"/>
        <w:rPr>
          <w:sz w:val="20"/>
          <w:szCs w:val="20"/>
          <w:color w:val="auto"/>
        </w:rPr>
      </w:pPr>
      <w:r>
        <w:rPr>
          <w:rFonts w:ascii="Courier New" w:cs="Courier New" w:eastAsia="Courier New" w:hAnsi="Courier New"/>
          <w:sz w:val="16"/>
          <w:szCs w:val="16"/>
          <w:color w:val="auto"/>
        </w:rPr>
        <w:t>8.625% SENIOR SUBORDINATED NOTES DUE 2009,</w:t>
      </w:r>
    </w:p>
    <w:p>
      <w:pPr>
        <w:ind w:left="2340"/>
        <w:spacing w:after="0"/>
        <w:rPr>
          <w:sz w:val="20"/>
          <w:szCs w:val="20"/>
          <w:color w:val="auto"/>
        </w:rPr>
      </w:pPr>
      <w:r>
        <w:rPr>
          <w:rFonts w:ascii="Courier New" w:cs="Courier New" w:eastAsia="Courier New" w:hAnsi="Courier New"/>
          <w:sz w:val="16"/>
          <w:szCs w:val="16"/>
          <w:color w:val="auto"/>
        </w:rPr>
        <w:t>WHICH HAVE NOT BEEN REGISTERED</w:t>
      </w:r>
    </w:p>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0" w:type="dxa"/>
            <w:vAlign w:val="bottom"/>
          </w:tcPr>
          <w:p>
            <w:pPr>
              <w:spacing w:after="0"/>
              <w:rPr>
                <w:sz w:val="20"/>
                <w:szCs w:val="20"/>
                <w:color w:val="auto"/>
              </w:rPr>
            </w:pPr>
            <w:r>
              <w:rPr>
                <w:rFonts w:ascii="Courier New" w:cs="Courier New" w:eastAsia="Courier New" w:hAnsi="Courier New"/>
                <w:sz w:val="16"/>
                <w:szCs w:val="16"/>
                <w:color w:val="auto"/>
              </w:rPr>
              <w:t>DIFFERENCES IN TERMS OF THE NOTES:</w:t>
            </w:r>
          </w:p>
        </w:tc>
        <w:tc>
          <w:tcPr>
            <w:tcW w:w="54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7"/>
              </w:rPr>
              <w:t>The new notes and the original notes are identical, except</w:t>
            </w:r>
          </w:p>
        </w:tc>
      </w:tr>
      <w:tr>
        <w:trPr>
          <w:trHeight w:val="180"/>
        </w:trPr>
        <w:tc>
          <w:tcPr>
            <w:tcW w:w="3800" w:type="dxa"/>
            <w:vAlign w:val="bottom"/>
          </w:tcPr>
          <w:p>
            <w:pPr>
              <w:spacing w:after="0"/>
              <w:rPr>
                <w:sz w:val="15"/>
                <w:szCs w:val="15"/>
                <w:color w:val="auto"/>
              </w:rPr>
            </w:pPr>
          </w:p>
        </w:tc>
        <w:tc>
          <w:tcPr>
            <w:tcW w:w="54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that the original notes contained transfer restrictions</w:t>
            </w:r>
          </w:p>
        </w:tc>
      </w:tr>
      <w:tr>
        <w:trPr>
          <w:trHeight w:val="180"/>
        </w:trPr>
        <w:tc>
          <w:tcPr>
            <w:tcW w:w="3800" w:type="dxa"/>
            <w:vAlign w:val="bottom"/>
          </w:tcPr>
          <w:p>
            <w:pPr>
              <w:spacing w:after="0"/>
              <w:rPr>
                <w:sz w:val="15"/>
                <w:szCs w:val="15"/>
                <w:color w:val="auto"/>
              </w:rPr>
            </w:pPr>
          </w:p>
        </w:tc>
        <w:tc>
          <w:tcPr>
            <w:tcW w:w="54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7"/>
              </w:rPr>
              <w:t>and registration rights that the new notes do not contain.</w:t>
            </w:r>
          </w:p>
        </w:tc>
      </w:tr>
      <w:tr>
        <w:trPr>
          <w:trHeight w:val="180"/>
        </w:trPr>
        <w:tc>
          <w:tcPr>
            <w:tcW w:w="3800" w:type="dxa"/>
            <w:vAlign w:val="bottom"/>
          </w:tcPr>
          <w:p>
            <w:pPr>
              <w:spacing w:after="0"/>
              <w:rPr>
                <w:sz w:val="20"/>
                <w:szCs w:val="20"/>
                <w:color w:val="auto"/>
              </w:rPr>
            </w:pPr>
            <w:r>
              <w:rPr>
                <w:rFonts w:ascii="Courier New" w:cs="Courier New" w:eastAsia="Courier New" w:hAnsi="Courier New"/>
                <w:sz w:val="16"/>
                <w:szCs w:val="16"/>
                <w:color w:val="auto"/>
              </w:rPr>
              <w:t>PROCEDURE FOR EXCHANGING NOTES:</w:t>
            </w:r>
          </w:p>
        </w:tc>
        <w:tc>
          <w:tcPr>
            <w:tcW w:w="54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7"/>
              </w:rPr>
              <w:t>To exchange your notes, you must complete the accompanying</w:t>
            </w:r>
          </w:p>
        </w:tc>
      </w:tr>
      <w:tr>
        <w:trPr>
          <w:trHeight w:val="180"/>
        </w:trPr>
        <w:tc>
          <w:tcPr>
            <w:tcW w:w="3800" w:type="dxa"/>
            <w:vAlign w:val="bottom"/>
          </w:tcPr>
          <w:p>
            <w:pPr>
              <w:spacing w:after="0"/>
              <w:rPr>
                <w:sz w:val="15"/>
                <w:szCs w:val="15"/>
                <w:color w:val="auto"/>
              </w:rPr>
            </w:pPr>
          </w:p>
        </w:tc>
        <w:tc>
          <w:tcPr>
            <w:tcW w:w="54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letter of transmittal and mail it and your original notes</w:t>
            </w:r>
          </w:p>
        </w:tc>
      </w:tr>
      <w:tr>
        <w:trPr>
          <w:trHeight w:val="180"/>
        </w:trPr>
        <w:tc>
          <w:tcPr>
            <w:tcW w:w="3800" w:type="dxa"/>
            <w:vAlign w:val="bottom"/>
          </w:tcPr>
          <w:p>
            <w:pPr>
              <w:spacing w:after="0"/>
              <w:rPr>
                <w:sz w:val="15"/>
                <w:szCs w:val="15"/>
                <w:color w:val="auto"/>
              </w:rPr>
            </w:pPr>
          </w:p>
        </w:tc>
        <w:tc>
          <w:tcPr>
            <w:tcW w:w="54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to our exchange agent, as described in the letter of</w:t>
            </w:r>
          </w:p>
        </w:tc>
      </w:tr>
      <w:tr>
        <w:trPr>
          <w:trHeight w:val="180"/>
        </w:trPr>
        <w:tc>
          <w:tcPr>
            <w:tcW w:w="3800" w:type="dxa"/>
            <w:vAlign w:val="bottom"/>
          </w:tcPr>
          <w:p>
            <w:pPr>
              <w:spacing w:after="0"/>
              <w:rPr>
                <w:sz w:val="15"/>
                <w:szCs w:val="15"/>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6"/>
                <w:szCs w:val="16"/>
                <w:color w:val="auto"/>
              </w:rPr>
              <w:t>transmittal.</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3800" w:type="dxa"/>
            <w:vAlign w:val="bottom"/>
          </w:tcPr>
          <w:p>
            <w:pPr>
              <w:spacing w:after="0"/>
              <w:rPr>
                <w:sz w:val="20"/>
                <w:szCs w:val="20"/>
                <w:color w:val="auto"/>
              </w:rPr>
            </w:pPr>
            <w:r>
              <w:rPr>
                <w:rFonts w:ascii="Courier New" w:cs="Courier New" w:eastAsia="Courier New" w:hAnsi="Courier New"/>
                <w:sz w:val="16"/>
                <w:szCs w:val="16"/>
                <w:color w:val="auto"/>
              </w:rPr>
              <w:t>DEADLINE:</w:t>
            </w:r>
          </w:p>
        </w:tc>
        <w:tc>
          <w:tcPr>
            <w:tcW w:w="54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Unless we extend the exchange offer, it will expire at</w:t>
            </w:r>
          </w:p>
        </w:tc>
      </w:tr>
      <w:tr>
        <w:trPr>
          <w:trHeight w:val="180"/>
        </w:trPr>
        <w:tc>
          <w:tcPr>
            <w:tcW w:w="3800" w:type="dxa"/>
            <w:vAlign w:val="bottom"/>
          </w:tcPr>
          <w:p>
            <w:pPr>
              <w:spacing w:after="0"/>
              <w:rPr>
                <w:sz w:val="15"/>
                <w:szCs w:val="15"/>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6"/>
                <w:szCs w:val="16"/>
                <w:color w:val="auto"/>
              </w:rPr>
              <w:t>5:00 p.m., New York City time, on</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 2000.</w:t>
            </w:r>
          </w:p>
        </w:tc>
        <w:tc>
          <w:tcPr>
            <w:tcW w:w="940" w:type="dxa"/>
            <w:vAlign w:val="bottom"/>
          </w:tcPr>
          <w:p>
            <w:pPr>
              <w:spacing w:after="0"/>
              <w:rPr>
                <w:sz w:val="15"/>
                <w:szCs w:val="15"/>
                <w:color w:val="auto"/>
              </w:rPr>
            </w:pPr>
          </w:p>
        </w:tc>
      </w:tr>
      <w:tr>
        <w:trPr>
          <w:trHeight w:val="180"/>
        </w:trPr>
        <w:tc>
          <w:tcPr>
            <w:tcW w:w="3800" w:type="dxa"/>
            <w:vAlign w:val="bottom"/>
          </w:tcPr>
          <w:p>
            <w:pPr>
              <w:spacing w:after="0"/>
              <w:rPr>
                <w:sz w:val="20"/>
                <w:szCs w:val="20"/>
                <w:color w:val="auto"/>
              </w:rPr>
            </w:pPr>
            <w:r>
              <w:rPr>
                <w:rFonts w:ascii="Courier New" w:cs="Courier New" w:eastAsia="Courier New" w:hAnsi="Courier New"/>
                <w:sz w:val="16"/>
                <w:szCs w:val="16"/>
                <w:color w:val="auto"/>
              </w:rPr>
              <w:t>WITHDRAWAL RIGHTS:</w:t>
            </w:r>
          </w:p>
        </w:tc>
        <w:tc>
          <w:tcPr>
            <w:tcW w:w="54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Notes delivered for exchange may be withdrawn at any time</w:t>
            </w:r>
          </w:p>
        </w:tc>
      </w:tr>
      <w:tr>
        <w:trPr>
          <w:trHeight w:val="180"/>
        </w:trPr>
        <w:tc>
          <w:tcPr>
            <w:tcW w:w="3800" w:type="dxa"/>
            <w:vAlign w:val="bottom"/>
          </w:tcPr>
          <w:p>
            <w:pPr>
              <w:spacing w:after="0"/>
              <w:rPr>
                <w:sz w:val="15"/>
                <w:szCs w:val="15"/>
                <w:color w:val="auto"/>
              </w:rPr>
            </w:pPr>
          </w:p>
        </w:tc>
        <w:tc>
          <w:tcPr>
            <w:tcW w:w="45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prior to 5:00 p.m., New York City time, on</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5"/>
              </w:rPr>
              <w:t>, 2000.</w:t>
            </w:r>
          </w:p>
        </w:tc>
      </w:tr>
      <w:tr>
        <w:trPr>
          <w:trHeight w:val="180"/>
        </w:trPr>
        <w:tc>
          <w:tcPr>
            <w:tcW w:w="3800" w:type="dxa"/>
            <w:vAlign w:val="bottom"/>
          </w:tcPr>
          <w:p>
            <w:pPr>
              <w:spacing w:after="0"/>
              <w:rPr>
                <w:sz w:val="20"/>
                <w:szCs w:val="20"/>
                <w:color w:val="auto"/>
              </w:rPr>
            </w:pPr>
            <w:r>
              <w:rPr>
                <w:rFonts w:ascii="Courier New" w:cs="Courier New" w:eastAsia="Courier New" w:hAnsi="Courier New"/>
                <w:sz w:val="16"/>
                <w:szCs w:val="16"/>
                <w:color w:val="auto"/>
              </w:rPr>
              <w:t>MARKET FOR THE NOTES:</w:t>
            </w:r>
          </w:p>
        </w:tc>
        <w:tc>
          <w:tcPr>
            <w:tcW w:w="54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The notes are expected to trade in the Private Offerings,</w:t>
            </w:r>
          </w:p>
        </w:tc>
      </w:tr>
      <w:tr>
        <w:trPr>
          <w:trHeight w:val="180"/>
        </w:trPr>
        <w:tc>
          <w:tcPr>
            <w:tcW w:w="3800" w:type="dxa"/>
            <w:vAlign w:val="bottom"/>
          </w:tcPr>
          <w:p>
            <w:pPr>
              <w:spacing w:after="0"/>
              <w:rPr>
                <w:sz w:val="15"/>
                <w:szCs w:val="15"/>
                <w:color w:val="auto"/>
              </w:rPr>
            </w:pPr>
          </w:p>
        </w:tc>
        <w:tc>
          <w:tcPr>
            <w:tcW w:w="54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Resales, and Trading through Automatic Linkages Market.</w:t>
            </w:r>
          </w:p>
        </w:tc>
      </w:tr>
      <w:tr>
        <w:trPr>
          <w:trHeight w:val="180"/>
        </w:trPr>
        <w:tc>
          <w:tcPr>
            <w:tcW w:w="380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45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We will pay all expenses of the exchange offer.</w:t>
            </w:r>
          </w:p>
        </w:tc>
        <w:tc>
          <w:tcPr>
            <w:tcW w:w="940" w:type="dxa"/>
            <w:vAlign w:val="bottom"/>
          </w:tcPr>
          <w:p>
            <w:pPr>
              <w:spacing w:after="0"/>
              <w:rPr>
                <w:sz w:val="15"/>
                <w:szCs w:val="15"/>
                <w:color w:val="auto"/>
              </w:rPr>
            </w:pPr>
          </w:p>
        </w:tc>
      </w:tr>
      <w:tr>
        <w:trPr>
          <w:trHeight w:val="541"/>
        </w:trPr>
        <w:tc>
          <w:tcPr>
            <w:tcW w:w="7600" w:type="dxa"/>
            <w:vAlign w:val="bottom"/>
            <w:gridSpan w:val="2"/>
          </w:tcPr>
          <w:p>
            <w:pPr>
              <w:ind w:left="290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1"/>
        </w:trPr>
        <w:tc>
          <w:tcPr>
            <w:tcW w:w="760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8"/>
              </w:rPr>
              <w:t>INVESTING IN THE NOTES INVOLVES RISKS. SEE "RISK FACTORS" BEGINNING ON PAGE</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3800" w:type="dxa"/>
            <w:vAlign w:val="bottom"/>
          </w:tcPr>
          <w:p>
            <w:pPr>
              <w:spacing w:after="0"/>
              <w:rPr>
                <w:sz w:val="20"/>
                <w:szCs w:val="20"/>
                <w:color w:val="auto"/>
              </w:rPr>
            </w:pPr>
            <w:r>
              <w:rPr>
                <w:rFonts w:ascii="Courier New" w:cs="Courier New" w:eastAsia="Courier New" w:hAnsi="Courier New"/>
                <w:sz w:val="16"/>
                <w:szCs w:val="16"/>
                <w:color w:val="auto"/>
              </w:rPr>
              <w:t>9.</w:t>
            </w:r>
          </w:p>
        </w:tc>
        <w:tc>
          <w:tcPr>
            <w:tcW w:w="3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61"/>
        </w:trPr>
        <w:tc>
          <w:tcPr>
            <w:tcW w:w="7600" w:type="dxa"/>
            <w:vAlign w:val="bottom"/>
            <w:gridSpan w:val="2"/>
          </w:tcPr>
          <w:p>
            <w:pPr>
              <w:ind w:left="290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1"/>
        </w:trPr>
        <w:tc>
          <w:tcPr>
            <w:tcW w:w="3800" w:type="dxa"/>
            <w:vAlign w:val="bottom"/>
          </w:tcPr>
          <w:p>
            <w:pPr>
              <w:ind w:left="460"/>
              <w:spacing w:after="0"/>
              <w:rPr>
                <w:sz w:val="20"/>
                <w:szCs w:val="20"/>
                <w:color w:val="auto"/>
              </w:rPr>
            </w:pPr>
            <w:r>
              <w:rPr>
                <w:rFonts w:ascii="Courier New" w:cs="Courier New" w:eastAsia="Courier New" w:hAnsi="Courier New"/>
                <w:sz w:val="16"/>
                <w:szCs w:val="16"/>
                <w:color w:val="auto"/>
                <w:w w:val="98"/>
              </w:rPr>
              <w:t>Neither the Securities and Exchange</w:t>
            </w:r>
          </w:p>
        </w:tc>
        <w:tc>
          <w:tcPr>
            <w:tcW w:w="3800" w:type="dxa"/>
            <w:vAlign w:val="bottom"/>
          </w:tcPr>
          <w:p>
            <w:pPr>
              <w:ind w:left="40"/>
              <w:spacing w:after="0"/>
              <w:rPr>
                <w:sz w:val="20"/>
                <w:szCs w:val="20"/>
                <w:color w:val="auto"/>
              </w:rPr>
            </w:pPr>
            <w:r>
              <w:rPr>
                <w:rFonts w:ascii="Courier New" w:cs="Courier New" w:eastAsia="Courier New" w:hAnsi="Courier New"/>
                <w:sz w:val="16"/>
                <w:szCs w:val="16"/>
                <w:color w:val="auto"/>
              </w:rPr>
              <w:t>Commission nor any state securities</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4"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commission has approved or disapproved these securities or determined if this prospectus is truthful or complete. Any representation to the contrary is a criminal offense.</w:t>
      </w:r>
    </w:p>
    <w:p>
      <w:pPr>
        <w:spacing w:after="0" w:line="180"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 2000</w:t>
      </w:r>
    </w:p>
    <w:p>
      <w:pPr>
        <w:sectPr>
          <w:pgSz w:w="11900" w:h="16838" w:orient="portrait"/>
          <w:cols w:equalWidth="0" w:num="1">
            <w:col w:w="10219"/>
          </w:cols>
          <w:pgMar w:left="240" w:top="293"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3</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YOU SHOULD RELY ONLY ON THE INFORMATION CONTAINED IN OR INCORPORATED BY REFERENCE IN THIS PROSPECTUS. WE HAVE NOT AUTHORIZED ANYONE TO PROVIDE YOU WITH DIFFERENT INFORMATION. SCOTTS IS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ind w:left="2900"/>
              <w:spacing w:after="0"/>
              <w:rPr>
                <w:sz w:val="20"/>
                <w:szCs w:val="20"/>
                <w:color w:val="auto"/>
              </w:rPr>
            </w:pPr>
            <w:r>
              <w:rPr>
                <w:rFonts w:ascii="Courier New" w:cs="Courier New" w:eastAsia="Courier New" w:hAnsi="Courier New"/>
                <w:sz w:val="16"/>
                <w:szCs w:val="16"/>
                <w:color w:val="auto"/>
              </w:rPr>
              <w:t>TABLE OF CONTENTS</w:t>
            </w:r>
          </w:p>
        </w:tc>
        <w:tc>
          <w:tcPr>
            <w:tcW w:w="460" w:type="dxa"/>
            <w:vAlign w:val="bottom"/>
          </w:tcPr>
          <w:p>
            <w:pPr>
              <w:spacing w:after="0"/>
              <w:rPr>
                <w:sz w:val="15"/>
                <w:szCs w:val="15"/>
                <w:color w:val="auto"/>
              </w:rPr>
            </w:pPr>
          </w:p>
        </w:tc>
      </w:tr>
      <w:tr>
        <w:trPr>
          <w:trHeight w:val="721"/>
        </w:trPr>
        <w:tc>
          <w:tcPr>
            <w:tcW w:w="57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80"/>
        </w:trPr>
        <w:tc>
          <w:tcPr>
            <w:tcW w:w="57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Prospectus Summary..........................................</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3</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Risk Factors................................................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9</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Ratio of Earnings to Fixed Charges..........................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15</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Use of Proceeds.............................................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15</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Capitalization..............................................</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16</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Selected Consolidated Financial Data........................</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17</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The Exchange Offer..........................................</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18</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Description of Notes........................................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27</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United States Federal Tax Considerations....................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50</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Legal Matters...............................................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50</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Independent Auditors........................................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50</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Where You Can Find More Information.........................</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50</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Disclosure Regarding Forward-Looking Statements.............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51</w:t>
            </w:r>
          </w:p>
        </w:tc>
      </w:tr>
      <w:tr>
        <w:trPr>
          <w:trHeight w:val="541"/>
        </w:trPr>
        <w:tc>
          <w:tcPr>
            <w:tcW w:w="5720" w:type="dxa"/>
            <w:vAlign w:val="bottom"/>
          </w:tcPr>
          <w:p>
            <w:pPr>
              <w:ind w:left="3740"/>
              <w:spacing w:after="0"/>
              <w:rPr>
                <w:sz w:val="20"/>
                <w:szCs w:val="20"/>
                <w:color w:val="auto"/>
              </w:rPr>
            </w:pPr>
            <w:r>
              <w:rPr>
                <w:rFonts w:ascii="Courier New" w:cs="Courier New" w:eastAsia="Courier New" w:hAnsi="Courier New"/>
                <w:sz w:val="16"/>
                <w:szCs w:val="16"/>
                <w:color w:val="auto"/>
              </w:rPr>
              <w:t>2</w:t>
            </w:r>
          </w:p>
        </w:tc>
        <w:tc>
          <w:tcPr>
            <w:tcW w:w="46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4</w:t>
      </w:r>
    </w:p>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PROSPECTUS SUMMARY</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ABOUT OUR COMPANY</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We are among the most widely recognized marketers and manufacturers of products for lawns, gardens, professional turf and horticulture. We believe that our market leadership is driven by our leading brands, consumer-focused marketing, product performance and extensive relationships with major national retailers. Our portfolio of consumer brands that hold a top one or two leading U.S. market share position in their market includes the following:</w:t>
      </w:r>
    </w:p>
    <w:p>
      <w:pPr>
        <w:spacing w:after="0" w:line="184" w:lineRule="exact"/>
        <w:rPr>
          <w:sz w:val="20"/>
          <w:szCs w:val="20"/>
          <w:color w:val="auto"/>
        </w:rPr>
      </w:pPr>
    </w:p>
    <w:p>
      <w:pPr>
        <w:ind w:left="660" w:hanging="195"/>
        <w:spacing w:after="0"/>
        <w:tabs>
          <w:tab w:leader="none" w:pos="6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SCOTTS(R)</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MIRACLE-GRO(R)</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ORTHO(R)</w:t>
      </w:r>
    </w:p>
    <w:p>
      <w:pPr>
        <w:spacing w:after="0" w:line="184" w:lineRule="exact"/>
        <w:rPr>
          <w:rFonts w:ascii="Courier New" w:cs="Courier New" w:eastAsia="Courier New" w:hAnsi="Courier New"/>
          <w:sz w:val="16"/>
          <w:szCs w:val="16"/>
          <w:color w:val="auto"/>
        </w:rPr>
      </w:pPr>
    </w:p>
    <w:p>
      <w:pPr>
        <w:ind w:left="660" w:right="3279" w:hanging="195"/>
        <w:spacing w:after="0" w:line="263" w:lineRule="auto"/>
        <w:tabs>
          <w:tab w:leader="none" w:pos="6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ROUNDUP(R), which is a registered trademark of Monsanto Company. We market and distribute consumer Roundup(R) products for Monsanto.</w:t>
      </w:r>
    </w:p>
    <w:p>
      <w:pPr>
        <w:spacing w:after="0" w:line="163" w:lineRule="exact"/>
        <w:rPr>
          <w:rFonts w:ascii="Courier New" w:cs="Courier New" w:eastAsia="Courier New" w:hAnsi="Courier New"/>
          <w:sz w:val="15"/>
          <w:szCs w:val="15"/>
          <w:color w:val="auto"/>
        </w:rPr>
      </w:pPr>
    </w:p>
    <w:p>
      <w:pPr>
        <w:ind w:left="660" w:hanging="195"/>
        <w:spacing w:after="0"/>
        <w:tabs>
          <w:tab w:leader="none" w:pos="6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HYPONEX(R)</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Our portfolio of European Union brands includes the following:</w:t>
      </w:r>
    </w:p>
    <w:p>
      <w:pPr>
        <w:spacing w:after="0" w:line="179" w:lineRule="exact"/>
        <w:rPr>
          <w:sz w:val="20"/>
          <w:szCs w:val="20"/>
          <w:color w:val="auto"/>
        </w:rPr>
      </w:pPr>
    </w:p>
    <w:p>
      <w:pPr>
        <w:ind w:left="660" w:hanging="195"/>
        <w:spacing w:after="0"/>
        <w:tabs>
          <w:tab w:leader="none" w:pos="6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MIRACLE-GRO(R), WEEDOL(R), LEVINGTON(R), KB(R), FERTILIGENE(R),</w:t>
      </w:r>
    </w:p>
    <w:p>
      <w:pPr>
        <w:ind w:left="6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CELAFLOR(R) AND NEXA-LOTTE(R)</w:t>
      </w:r>
    </w:p>
    <w:p>
      <w:pPr>
        <w:spacing w:after="0" w:line="179"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THE ISSUANCE OF THE ORIGINAL NOTES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original notes were issued and sold on January 21, 1999, in a transaction not registered under the Securities Act in reliance upon an exemption from registration. The initial purchaser of the original notes was Salomon Smith Barney Inc. Salomon Smith Barney subsequently resold the original notes under Rule 144A and Regulation S under the Securities Act. In connection with the issuance of the original notes, we entered into a registration rights agreement with Salomon Smith Barney which provides the holders of the notes with registration and exchange rights. The exchange offer is intended to satisfy our obligations under the registration rights agreement.</w:t>
      </w:r>
    </w:p>
    <w:p>
      <w:pPr>
        <w:spacing w:after="0" w:line="17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original notes are represented by two, permanent global notes which are registered in the name of a nominee of The Depositary Trust Company. Participants in the DTC system who have accounts with DTC hold interests in the global notes in book-entry form. Accordingly, ownership of beneficial interests in the original notes is limited to DTC participants or persons who hold their interests through DTC participants.</w:t>
      </w:r>
    </w:p>
    <w:p>
      <w:pPr>
        <w:spacing w:after="0" w:line="18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THE EXCHANGE OFFER</w:t>
      </w:r>
    </w:p>
    <w:p>
      <w:pPr>
        <w:spacing w:after="0" w:line="179"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6"/>
          <w:szCs w:val="16"/>
          <w:color w:val="auto"/>
        </w:rPr>
        <w:t>THE EXCHANGE OFFER.........</w:t>
      </w:r>
      <w:r>
        <w:rPr>
          <w:sz w:val="20"/>
          <w:szCs w:val="20"/>
          <w:color w:val="auto"/>
        </w:rPr>
        <w:tab/>
      </w:r>
      <w:r>
        <w:rPr>
          <w:rFonts w:ascii="Courier New" w:cs="Courier New" w:eastAsia="Courier New" w:hAnsi="Courier New"/>
          <w:sz w:val="15"/>
          <w:szCs w:val="15"/>
          <w:color w:val="auto"/>
        </w:rPr>
        <w:t>We are offering to exchange up to $330 million in</w:t>
      </w:r>
    </w:p>
    <w:p>
      <w:pPr>
        <w:ind w:left="2720"/>
        <w:spacing w:after="0"/>
        <w:rPr>
          <w:sz w:val="20"/>
          <w:szCs w:val="20"/>
          <w:color w:val="auto"/>
        </w:rPr>
      </w:pPr>
      <w:r>
        <w:rPr>
          <w:rFonts w:ascii="Courier New" w:cs="Courier New" w:eastAsia="Courier New" w:hAnsi="Courier New"/>
          <w:sz w:val="16"/>
          <w:szCs w:val="16"/>
          <w:color w:val="auto"/>
        </w:rPr>
        <w:t>principal amount of notes which have been</w:t>
      </w:r>
    </w:p>
    <w:p>
      <w:pPr>
        <w:ind w:left="2720"/>
        <w:spacing w:after="0" w:line="237" w:lineRule="auto"/>
        <w:rPr>
          <w:sz w:val="20"/>
          <w:szCs w:val="20"/>
          <w:color w:val="auto"/>
        </w:rPr>
      </w:pPr>
      <w:r>
        <w:rPr>
          <w:rFonts w:ascii="Courier New" w:cs="Courier New" w:eastAsia="Courier New" w:hAnsi="Courier New"/>
          <w:sz w:val="16"/>
          <w:szCs w:val="16"/>
          <w:color w:val="auto"/>
        </w:rPr>
        <w:t>registered under the Securities Act for a like</w:t>
      </w:r>
    </w:p>
    <w:p>
      <w:pPr>
        <w:ind w:left="2720"/>
        <w:spacing w:after="0"/>
        <w:rPr>
          <w:sz w:val="20"/>
          <w:szCs w:val="20"/>
          <w:color w:val="auto"/>
        </w:rPr>
      </w:pPr>
      <w:r>
        <w:rPr>
          <w:rFonts w:ascii="Courier New" w:cs="Courier New" w:eastAsia="Courier New" w:hAnsi="Courier New"/>
          <w:sz w:val="16"/>
          <w:szCs w:val="16"/>
          <w:color w:val="auto"/>
        </w:rPr>
        <w:t>principal amount of original notes which were</w:t>
      </w:r>
    </w:p>
    <w:p>
      <w:pPr>
        <w:ind w:left="2720"/>
        <w:spacing w:after="0" w:line="238" w:lineRule="auto"/>
        <w:rPr>
          <w:sz w:val="20"/>
          <w:szCs w:val="20"/>
          <w:color w:val="auto"/>
        </w:rPr>
      </w:pPr>
      <w:r>
        <w:rPr>
          <w:rFonts w:ascii="Courier New" w:cs="Courier New" w:eastAsia="Courier New" w:hAnsi="Courier New"/>
          <w:sz w:val="16"/>
          <w:szCs w:val="16"/>
          <w:color w:val="auto"/>
        </w:rPr>
        <w:t>issued without registration.</w:t>
      </w:r>
    </w:p>
    <w:p>
      <w:pPr>
        <w:spacing w:after="0" w:line="180"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6"/>
          <w:szCs w:val="16"/>
          <w:color w:val="auto"/>
        </w:rPr>
        <w:t>EXPIRATION DATE............</w:t>
      </w:r>
      <w:r>
        <w:rPr>
          <w:sz w:val="20"/>
          <w:szCs w:val="20"/>
          <w:color w:val="auto"/>
        </w:rPr>
        <w:tab/>
      </w:r>
      <w:r>
        <w:rPr>
          <w:rFonts w:ascii="Courier New" w:cs="Courier New" w:eastAsia="Courier New" w:hAnsi="Courier New"/>
          <w:sz w:val="15"/>
          <w:szCs w:val="15"/>
          <w:color w:val="auto"/>
        </w:rPr>
        <w:t>This exchange offer will expire at 5:00 p.m., New</w:t>
      </w:r>
    </w:p>
    <w:tbl>
      <w:tblPr>
        <w:tblLayout w:type="fixed"/>
        <w:tblInd w:w="0" w:type="dxa"/>
        <w:tblCellMar>
          <w:top w:w="0" w:type="dxa"/>
          <w:left w:w="0" w:type="dxa"/>
          <w:bottom w:w="0" w:type="dxa"/>
          <w:right w:w="0" w:type="dxa"/>
        </w:tblCellMar>
      </w:tblPr>
      <w:tr>
        <w:trPr>
          <w:trHeight w:val="180"/>
        </w:trPr>
        <w:tc>
          <w:tcPr>
            <w:tcW w:w="5020" w:type="dxa"/>
            <w:vAlign w:val="bottom"/>
          </w:tcPr>
          <w:p>
            <w:pPr>
              <w:ind w:left="2720"/>
              <w:spacing w:after="0"/>
              <w:rPr>
                <w:sz w:val="20"/>
                <w:szCs w:val="20"/>
                <w:color w:val="auto"/>
              </w:rPr>
            </w:pPr>
            <w:r>
              <w:rPr>
                <w:rFonts w:ascii="Courier New" w:cs="Courier New" w:eastAsia="Courier New" w:hAnsi="Courier New"/>
                <w:sz w:val="16"/>
                <w:szCs w:val="16"/>
                <w:color w:val="auto"/>
              </w:rPr>
              <w:t>York City time, on</w:t>
            </w:r>
          </w:p>
        </w:tc>
        <w:tc>
          <w:tcPr>
            <w:tcW w:w="1580" w:type="dxa"/>
            <w:vAlign w:val="bottom"/>
          </w:tcPr>
          <w:p>
            <w:pPr>
              <w:ind w:left="600"/>
              <w:spacing w:after="0"/>
              <w:rPr>
                <w:sz w:val="20"/>
                <w:szCs w:val="20"/>
                <w:color w:val="auto"/>
              </w:rPr>
            </w:pPr>
            <w:r>
              <w:rPr>
                <w:rFonts w:ascii="Courier New" w:cs="Courier New" w:eastAsia="Courier New" w:hAnsi="Courier New"/>
                <w:sz w:val="16"/>
                <w:szCs w:val="16"/>
                <w:color w:val="auto"/>
                <w:w w:val="99"/>
              </w:rPr>
              <w:t>, 2000. If</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w w:val="94"/>
              </w:rPr>
              <w:t>we choose</w:t>
            </w:r>
          </w:p>
        </w:tc>
      </w:tr>
      <w:tr>
        <w:trPr>
          <w:trHeight w:val="180"/>
        </w:trPr>
        <w:tc>
          <w:tcPr>
            <w:tcW w:w="7500" w:type="dxa"/>
            <w:vAlign w:val="bottom"/>
            <w:gridSpan w:val="3"/>
          </w:tcPr>
          <w:p>
            <w:pPr>
              <w:ind w:left="2720"/>
              <w:spacing w:after="0"/>
              <w:rPr>
                <w:sz w:val="20"/>
                <w:szCs w:val="20"/>
                <w:color w:val="auto"/>
              </w:rPr>
            </w:pPr>
            <w:r>
              <w:rPr>
                <w:rFonts w:ascii="Courier New" w:cs="Courier New" w:eastAsia="Courier New" w:hAnsi="Courier New"/>
                <w:sz w:val="16"/>
                <w:szCs w:val="16"/>
                <w:color w:val="auto"/>
              </w:rPr>
              <w:t>to extend the exchange offer, the expiration date</w:t>
            </w:r>
          </w:p>
        </w:tc>
      </w:tr>
      <w:tr>
        <w:trPr>
          <w:trHeight w:val="180"/>
        </w:trPr>
        <w:tc>
          <w:tcPr>
            <w:tcW w:w="6600" w:type="dxa"/>
            <w:vAlign w:val="bottom"/>
            <w:gridSpan w:val="2"/>
          </w:tcPr>
          <w:p>
            <w:pPr>
              <w:ind w:left="2720"/>
              <w:spacing w:after="0"/>
              <w:rPr>
                <w:sz w:val="20"/>
                <w:szCs w:val="20"/>
                <w:color w:val="auto"/>
              </w:rPr>
            </w:pPr>
            <w:r>
              <w:rPr>
                <w:rFonts w:ascii="Courier New" w:cs="Courier New" w:eastAsia="Courier New" w:hAnsi="Courier New"/>
                <w:sz w:val="16"/>
                <w:szCs w:val="16"/>
                <w:color w:val="auto"/>
                <w:w w:val="98"/>
              </w:rPr>
              <w:t>will be the latest date and time to which</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it is</w:t>
            </w:r>
          </w:p>
        </w:tc>
      </w:tr>
      <w:tr>
        <w:trPr>
          <w:trHeight w:val="180"/>
        </w:trPr>
        <w:tc>
          <w:tcPr>
            <w:tcW w:w="5020" w:type="dxa"/>
            <w:vAlign w:val="bottom"/>
          </w:tcPr>
          <w:p>
            <w:pPr>
              <w:ind w:left="2720"/>
              <w:spacing w:after="0"/>
              <w:rPr>
                <w:sz w:val="20"/>
                <w:szCs w:val="20"/>
                <w:color w:val="auto"/>
              </w:rPr>
            </w:pPr>
            <w:r>
              <w:rPr>
                <w:rFonts w:ascii="Courier New" w:cs="Courier New" w:eastAsia="Courier New" w:hAnsi="Courier New"/>
                <w:sz w:val="16"/>
                <w:szCs w:val="16"/>
                <w:color w:val="auto"/>
              </w:rPr>
              <w:t>extended.</w:t>
            </w:r>
          </w:p>
        </w:tc>
        <w:tc>
          <w:tcPr>
            <w:tcW w:w="15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61"/>
        </w:trPr>
        <w:tc>
          <w:tcPr>
            <w:tcW w:w="5020" w:type="dxa"/>
            <w:vAlign w:val="bottom"/>
          </w:tcPr>
          <w:p>
            <w:pPr>
              <w:spacing w:after="0"/>
              <w:rPr>
                <w:sz w:val="20"/>
                <w:szCs w:val="20"/>
                <w:color w:val="auto"/>
              </w:rPr>
            </w:pPr>
            <w:r>
              <w:rPr>
                <w:rFonts w:ascii="Courier New" w:cs="Courier New" w:eastAsia="Courier New" w:hAnsi="Courier New"/>
                <w:sz w:val="16"/>
                <w:szCs w:val="16"/>
                <w:color w:val="auto"/>
              </w:rPr>
              <w:t>PROCEDURES FOR EXCHANGING</w:t>
            </w: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0"/>
        </w:trPr>
        <w:tc>
          <w:tcPr>
            <w:tcW w:w="6600" w:type="dxa"/>
            <w:vAlign w:val="bottom"/>
            <w:gridSpan w:val="2"/>
          </w:tcPr>
          <w:p>
            <w:pPr>
              <w:spacing w:after="0"/>
              <w:rPr>
                <w:sz w:val="20"/>
                <w:szCs w:val="20"/>
                <w:color w:val="auto"/>
              </w:rPr>
            </w:pPr>
            <w:r>
              <w:rPr>
                <w:rFonts w:ascii="Courier New" w:cs="Courier New" w:eastAsia="Courier New" w:hAnsi="Courier New"/>
                <w:sz w:val="16"/>
                <w:szCs w:val="16"/>
                <w:color w:val="auto"/>
                <w:w w:val="97"/>
              </w:rPr>
              <w:t>NOTES......................  If you want to accept the exchange offer,</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you must</w:t>
            </w:r>
          </w:p>
        </w:tc>
      </w:tr>
      <w:tr>
        <w:trPr>
          <w:trHeight w:val="180"/>
        </w:trPr>
        <w:tc>
          <w:tcPr>
            <w:tcW w:w="7500" w:type="dxa"/>
            <w:vAlign w:val="bottom"/>
            <w:gridSpan w:val="3"/>
          </w:tcPr>
          <w:p>
            <w:pPr>
              <w:ind w:left="2720"/>
              <w:spacing w:after="0"/>
              <w:rPr>
                <w:sz w:val="20"/>
                <w:szCs w:val="20"/>
                <w:color w:val="auto"/>
              </w:rPr>
            </w:pPr>
            <w:r>
              <w:rPr>
                <w:rFonts w:ascii="Courier New" w:cs="Courier New" w:eastAsia="Courier New" w:hAnsi="Courier New"/>
                <w:sz w:val="16"/>
                <w:szCs w:val="16"/>
                <w:color w:val="auto"/>
                <w:w w:val="99"/>
              </w:rPr>
              <w:t>complete, sign and date the accompanying letter of</w:t>
            </w:r>
          </w:p>
        </w:tc>
      </w:tr>
      <w:tr>
        <w:trPr>
          <w:trHeight w:val="180"/>
        </w:trPr>
        <w:tc>
          <w:tcPr>
            <w:tcW w:w="6600" w:type="dxa"/>
            <w:vAlign w:val="bottom"/>
            <w:gridSpan w:val="2"/>
          </w:tcPr>
          <w:p>
            <w:pPr>
              <w:ind w:left="2720"/>
              <w:spacing w:after="0"/>
              <w:rPr>
                <w:sz w:val="20"/>
                <w:szCs w:val="20"/>
                <w:color w:val="auto"/>
              </w:rPr>
            </w:pPr>
            <w:r>
              <w:rPr>
                <w:rFonts w:ascii="Courier New" w:cs="Courier New" w:eastAsia="Courier New" w:hAnsi="Courier New"/>
                <w:sz w:val="16"/>
                <w:szCs w:val="16"/>
                <w:color w:val="auto"/>
                <w:w w:val="98"/>
              </w:rPr>
              <w:t>transmittal and deliver it, together with</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r>
      <w:tr>
        <w:trPr>
          <w:trHeight w:val="180"/>
        </w:trPr>
        <w:tc>
          <w:tcPr>
            <w:tcW w:w="6600" w:type="dxa"/>
            <w:vAlign w:val="bottom"/>
            <w:gridSpan w:val="2"/>
          </w:tcPr>
          <w:p>
            <w:pPr>
              <w:ind w:left="2720"/>
              <w:spacing w:after="0"/>
              <w:rPr>
                <w:sz w:val="20"/>
                <w:szCs w:val="20"/>
                <w:color w:val="auto"/>
              </w:rPr>
            </w:pPr>
            <w:r>
              <w:rPr>
                <w:rFonts w:ascii="Courier New" w:cs="Courier New" w:eastAsia="Courier New" w:hAnsi="Courier New"/>
                <w:sz w:val="16"/>
                <w:szCs w:val="16"/>
                <w:color w:val="auto"/>
              </w:rPr>
              <w:t>original notes and any other required</w:t>
            </w:r>
          </w:p>
        </w:tc>
        <w:tc>
          <w:tcPr>
            <w:tcW w:w="900" w:type="dxa"/>
            <w:vAlign w:val="bottom"/>
          </w:tcPr>
          <w:p>
            <w:pPr>
              <w:spacing w:after="0"/>
              <w:rPr>
                <w:sz w:val="15"/>
                <w:szCs w:val="15"/>
                <w:color w:val="auto"/>
              </w:rPr>
            </w:pPr>
          </w:p>
        </w:tc>
      </w:tr>
    </w:tbl>
    <w:p>
      <w:pPr>
        <w:ind w:left="2720"/>
        <w:spacing w:after="0"/>
        <w:rPr>
          <w:sz w:val="20"/>
          <w:szCs w:val="20"/>
          <w:color w:val="auto"/>
        </w:rPr>
      </w:pPr>
      <w:r>
        <w:rPr>
          <w:rFonts w:ascii="Courier New" w:cs="Courier New" w:eastAsia="Courier New" w:hAnsi="Courier New"/>
          <w:sz w:val="16"/>
          <w:szCs w:val="16"/>
          <w:color w:val="auto"/>
        </w:rPr>
        <w:t>documentation, to the exchange agent before the</w:t>
      </w:r>
    </w:p>
    <w:p>
      <w:pPr>
        <w:spacing w:after="0" w:line="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expiration date. THE LETTER OF TRANSMITTAL INCLUDES</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DETAILED INSTRUCTIONS FOR ITS COMPLETION, EXECUTION</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AND DELIVERY WHICH MUST BE FOLLOWED METICULOUSLY.</w:t>
      </w:r>
    </w:p>
    <w:p>
      <w:pPr>
        <w:spacing w:after="0" w:line="1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3"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1"/>
        </w:trPr>
        <w:tc>
          <w:tcPr>
            <w:tcW w:w="2620" w:type="dxa"/>
            <w:vAlign w:val="bottom"/>
          </w:tcPr>
          <w:p>
            <w:pPr>
              <w:jc w:val="right"/>
              <w:ind w:right="2162"/>
              <w:spacing w:after="0"/>
              <w:rPr>
                <w:sz w:val="20"/>
                <w:szCs w:val="20"/>
                <w:color w:val="auto"/>
              </w:rPr>
            </w:pPr>
            <w:r>
              <w:rPr>
                <w:rFonts w:ascii="Courier New" w:cs="Courier New" w:eastAsia="Courier New" w:hAnsi="Courier New"/>
                <w:sz w:val="16"/>
                <w:szCs w:val="16"/>
                <w:color w:val="auto"/>
              </w:rPr>
              <w:t>5</w:t>
            </w:r>
          </w:p>
        </w:tc>
        <w:tc>
          <w:tcPr>
            <w:tcW w:w="4880" w:type="dxa"/>
            <w:vAlign w:val="bottom"/>
          </w:tcPr>
          <w:p>
            <w:pPr>
              <w:spacing w:after="0"/>
              <w:rPr>
                <w:sz w:val="15"/>
                <w:szCs w:val="15"/>
                <w:color w:val="auto"/>
              </w:rPr>
            </w:pPr>
          </w:p>
        </w:tc>
      </w:tr>
      <w:tr>
        <w:trPr>
          <w:trHeight w:val="361"/>
        </w:trPr>
        <w:tc>
          <w:tcPr>
            <w:tcW w:w="2620" w:type="dxa"/>
            <w:vAlign w:val="bottom"/>
          </w:tcPr>
          <w:p>
            <w:pPr>
              <w:spacing w:after="0"/>
              <w:rPr>
                <w:sz w:val="20"/>
                <w:szCs w:val="20"/>
                <w:color w:val="auto"/>
              </w:rPr>
            </w:pPr>
            <w:r>
              <w:rPr>
                <w:rFonts w:ascii="Courier New" w:cs="Courier New" w:eastAsia="Courier New" w:hAnsi="Courier New"/>
                <w:sz w:val="16"/>
                <w:szCs w:val="16"/>
                <w:color w:val="auto"/>
              </w:rPr>
              <w:t>SPECIAL PROCEDURES FOR</w:t>
            </w:r>
          </w:p>
        </w:tc>
        <w:tc>
          <w:tcPr>
            <w:tcW w:w="4880" w:type="dxa"/>
            <w:vAlign w:val="bottom"/>
          </w:tcPr>
          <w:p>
            <w:pPr>
              <w:spacing w:after="0"/>
              <w:rPr>
                <w:sz w:val="24"/>
                <w:szCs w:val="24"/>
                <w:color w:val="auto"/>
              </w:rPr>
            </w:pPr>
          </w:p>
        </w:tc>
      </w:tr>
      <w:tr>
        <w:trPr>
          <w:trHeight w:val="180"/>
        </w:trPr>
        <w:tc>
          <w:tcPr>
            <w:tcW w:w="2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BENEFICIAL OWNERS........</w:t>
            </w: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If your original notes are registered in the name</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7"/>
              </w:rPr>
              <w:t>of a broker, dealer, commercial bank, trust company</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or other nominee and you wish to exchange your</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notes, you should contact the registered holder</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promptly and instruct it to exchange the notes on</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your behalf.</w:t>
            </w:r>
          </w:p>
        </w:tc>
      </w:tr>
      <w:tr>
        <w:trPr>
          <w:trHeight w:val="361"/>
        </w:trPr>
        <w:tc>
          <w:tcPr>
            <w:tcW w:w="2620" w:type="dxa"/>
            <w:vAlign w:val="bottom"/>
          </w:tcPr>
          <w:p>
            <w:pPr>
              <w:spacing w:after="0"/>
              <w:rPr>
                <w:sz w:val="20"/>
                <w:szCs w:val="20"/>
                <w:color w:val="auto"/>
              </w:rPr>
            </w:pPr>
            <w:r>
              <w:rPr>
                <w:rFonts w:ascii="Courier New" w:cs="Courier New" w:eastAsia="Courier New" w:hAnsi="Courier New"/>
                <w:sz w:val="16"/>
                <w:szCs w:val="16"/>
                <w:color w:val="auto"/>
              </w:rPr>
              <w:t>GUARANTEED DELIVERY</w:t>
            </w:r>
          </w:p>
        </w:tc>
        <w:tc>
          <w:tcPr>
            <w:tcW w:w="4880" w:type="dxa"/>
            <w:vAlign w:val="bottom"/>
          </w:tcPr>
          <w:p>
            <w:pPr>
              <w:spacing w:after="0"/>
              <w:rPr>
                <w:sz w:val="24"/>
                <w:szCs w:val="24"/>
                <w:color w:val="auto"/>
              </w:rPr>
            </w:pPr>
          </w:p>
        </w:tc>
      </w:tr>
      <w:tr>
        <w:trPr>
          <w:trHeight w:val="180"/>
        </w:trPr>
        <w:tc>
          <w:tcPr>
            <w:tcW w:w="2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PROCEDURES...............</w:t>
            </w: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If you cannot deliver the original notes, the</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letter of transmittal or any other documents</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required by the letter of transmittal to the</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exchange agent prior to the expiration date, and</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you cannot comply with the procedures for</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7"/>
              </w:rPr>
              <w:t>book-entry transfer, you must follow the guaranteed</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delivery procedures. See "The Exchange</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Offer -- Guaranteed Delivery Procedures."</w:t>
            </w:r>
          </w:p>
        </w:tc>
      </w:tr>
      <w:tr>
        <w:trPr>
          <w:trHeight w:val="361"/>
        </w:trPr>
        <w:tc>
          <w:tcPr>
            <w:tcW w:w="26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WITHDRAWAL RIGHTS..........</w:t>
            </w: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Notes delivered for exchange may be withdrawn at</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7"/>
              </w:rPr>
              <w:t>any time prior to 5:00 p.m., New York City time, on</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the expiration date.</w:t>
            </w:r>
          </w:p>
        </w:tc>
      </w:tr>
      <w:tr>
        <w:trPr>
          <w:trHeight w:val="361"/>
        </w:trPr>
        <w:tc>
          <w:tcPr>
            <w:tcW w:w="2620" w:type="dxa"/>
            <w:vAlign w:val="bottom"/>
          </w:tcPr>
          <w:p>
            <w:pPr>
              <w:spacing w:after="0"/>
              <w:rPr>
                <w:sz w:val="20"/>
                <w:szCs w:val="20"/>
                <w:color w:val="auto"/>
              </w:rPr>
            </w:pPr>
            <w:r>
              <w:rPr>
                <w:rFonts w:ascii="Courier New" w:cs="Courier New" w:eastAsia="Courier New" w:hAnsi="Courier New"/>
                <w:sz w:val="16"/>
                <w:szCs w:val="16"/>
                <w:color w:val="auto"/>
              </w:rPr>
              <w:t>ACCEPTANCE OF ORIGINAL</w:t>
            </w:r>
          </w:p>
        </w:tc>
        <w:tc>
          <w:tcPr>
            <w:tcW w:w="4880" w:type="dxa"/>
            <w:vAlign w:val="bottom"/>
          </w:tcPr>
          <w:p>
            <w:pPr>
              <w:spacing w:after="0"/>
              <w:rPr>
                <w:sz w:val="24"/>
                <w:szCs w:val="24"/>
                <w:color w:val="auto"/>
              </w:rPr>
            </w:pPr>
          </w:p>
        </w:tc>
      </w:tr>
      <w:tr>
        <w:trPr>
          <w:trHeight w:val="180"/>
        </w:trPr>
        <w:tc>
          <w:tcPr>
            <w:tcW w:w="2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NOTES AND DELIVERY OF NEW</w:t>
            </w:r>
          </w:p>
        </w:tc>
        <w:tc>
          <w:tcPr>
            <w:tcW w:w="4880" w:type="dxa"/>
            <w:vAlign w:val="bottom"/>
          </w:tcPr>
          <w:p>
            <w:pPr>
              <w:spacing w:after="0"/>
              <w:rPr>
                <w:sz w:val="15"/>
                <w:szCs w:val="15"/>
                <w:color w:val="auto"/>
              </w:rPr>
            </w:pPr>
          </w:p>
        </w:tc>
      </w:tr>
      <w:tr>
        <w:trPr>
          <w:trHeight w:val="180"/>
        </w:trPr>
        <w:tc>
          <w:tcPr>
            <w:tcW w:w="2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NOTES....................</w:t>
            </w: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7"/>
              </w:rPr>
              <w:t>We will accept for exchange any original notes that</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7"/>
              </w:rPr>
              <w:t>are properly delivered prior to 5:00 p.m., New York</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9"/>
              </w:rPr>
              <w:t>City time, on the expiration date. We will deliver</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new notes promptly following the expiration date.</w:t>
            </w:r>
          </w:p>
        </w:tc>
      </w:tr>
      <w:tr>
        <w:trPr>
          <w:trHeight w:val="361"/>
        </w:trPr>
        <w:tc>
          <w:tcPr>
            <w:tcW w:w="2620" w:type="dxa"/>
            <w:vAlign w:val="bottom"/>
          </w:tcPr>
          <w:p>
            <w:pPr>
              <w:spacing w:after="0"/>
              <w:rPr>
                <w:sz w:val="20"/>
                <w:szCs w:val="20"/>
                <w:color w:val="auto"/>
              </w:rPr>
            </w:pPr>
            <w:r>
              <w:rPr>
                <w:rFonts w:ascii="Courier New" w:cs="Courier New" w:eastAsia="Courier New" w:hAnsi="Courier New"/>
                <w:sz w:val="16"/>
                <w:szCs w:val="16"/>
                <w:color w:val="auto"/>
              </w:rPr>
              <w:t>CONSEQUENCES OF FAILURE TO</w:t>
            </w:r>
          </w:p>
        </w:tc>
        <w:tc>
          <w:tcPr>
            <w:tcW w:w="4880" w:type="dxa"/>
            <w:vAlign w:val="bottom"/>
          </w:tcPr>
          <w:p>
            <w:pPr>
              <w:spacing w:after="0"/>
              <w:rPr>
                <w:sz w:val="24"/>
                <w:szCs w:val="24"/>
                <w:color w:val="auto"/>
              </w:rPr>
            </w:pPr>
          </w:p>
        </w:tc>
      </w:tr>
      <w:tr>
        <w:trPr>
          <w:trHeight w:val="180"/>
        </w:trPr>
        <w:tc>
          <w:tcPr>
            <w:tcW w:w="2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EXCHANGE.................</w:t>
            </w: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9"/>
              </w:rPr>
              <w:t>If you are eligible to participate in the exchange</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9"/>
              </w:rPr>
              <w:t>offer but do not exchange your original notes, you</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will not have any exchange rights following the</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7"/>
              </w:rPr>
              <w:t>closing of this exchange offer. Your original notes</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7"/>
              </w:rPr>
              <w:t>will remain restricted securities and may be resold</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only:</w:t>
            </w:r>
          </w:p>
        </w:tc>
      </w:tr>
      <w:tr>
        <w:trPr>
          <w:trHeight w:val="361"/>
        </w:trPr>
        <w:tc>
          <w:tcPr>
            <w:tcW w:w="2620" w:type="dxa"/>
            <w:vAlign w:val="bottom"/>
          </w:tcPr>
          <w:p>
            <w:pPr>
              <w:spacing w:after="0"/>
              <w:rPr>
                <w:sz w:val="24"/>
                <w:szCs w:val="24"/>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 to Scotts;</w:t>
            </w:r>
          </w:p>
        </w:tc>
      </w:tr>
      <w:tr>
        <w:trPr>
          <w:trHeight w:val="361"/>
        </w:trPr>
        <w:tc>
          <w:tcPr>
            <w:tcW w:w="2620" w:type="dxa"/>
            <w:vAlign w:val="bottom"/>
          </w:tcPr>
          <w:p>
            <w:pPr>
              <w:spacing w:after="0"/>
              <w:rPr>
                <w:sz w:val="24"/>
                <w:szCs w:val="24"/>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 to a qualified institutional buyer under Rule</w:t>
            </w:r>
          </w:p>
        </w:tc>
      </w:tr>
      <w:tr>
        <w:trPr>
          <w:trHeight w:val="180"/>
        </w:trPr>
        <w:tc>
          <w:tcPr>
            <w:tcW w:w="2620" w:type="dxa"/>
            <w:vAlign w:val="bottom"/>
          </w:tcPr>
          <w:p>
            <w:pPr>
              <w:spacing w:after="0"/>
              <w:rPr>
                <w:sz w:val="15"/>
                <w:szCs w:val="15"/>
                <w:color w:val="auto"/>
              </w:rPr>
            </w:pPr>
          </w:p>
        </w:tc>
        <w:tc>
          <w:tcPr>
            <w:tcW w:w="4880" w:type="dxa"/>
            <w:vAlign w:val="bottom"/>
          </w:tcPr>
          <w:p>
            <w:pPr>
              <w:ind w:left="280"/>
              <w:spacing w:after="0"/>
              <w:rPr>
                <w:sz w:val="20"/>
                <w:szCs w:val="20"/>
                <w:color w:val="auto"/>
              </w:rPr>
            </w:pPr>
            <w:r>
              <w:rPr>
                <w:rFonts w:ascii="Courier New" w:cs="Courier New" w:eastAsia="Courier New" w:hAnsi="Courier New"/>
                <w:sz w:val="16"/>
                <w:szCs w:val="16"/>
                <w:color w:val="auto"/>
              </w:rPr>
              <w:t>144A or Rule 144 under the Securities Act;</w:t>
            </w:r>
          </w:p>
        </w:tc>
      </w:tr>
      <w:tr>
        <w:trPr>
          <w:trHeight w:val="361"/>
        </w:trPr>
        <w:tc>
          <w:tcPr>
            <w:tcW w:w="2620" w:type="dxa"/>
            <w:vAlign w:val="bottom"/>
          </w:tcPr>
          <w:p>
            <w:pPr>
              <w:spacing w:after="0"/>
              <w:rPr>
                <w:sz w:val="24"/>
                <w:szCs w:val="24"/>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7"/>
              </w:rPr>
              <w:t>- in an offshore transaction under Rule 903 or Rule</w:t>
            </w:r>
          </w:p>
        </w:tc>
      </w:tr>
      <w:tr>
        <w:trPr>
          <w:trHeight w:val="180"/>
        </w:trPr>
        <w:tc>
          <w:tcPr>
            <w:tcW w:w="2620" w:type="dxa"/>
            <w:vAlign w:val="bottom"/>
          </w:tcPr>
          <w:p>
            <w:pPr>
              <w:spacing w:after="0"/>
              <w:rPr>
                <w:sz w:val="15"/>
                <w:szCs w:val="15"/>
                <w:color w:val="auto"/>
              </w:rPr>
            </w:pPr>
          </w:p>
        </w:tc>
        <w:tc>
          <w:tcPr>
            <w:tcW w:w="4880" w:type="dxa"/>
            <w:vAlign w:val="bottom"/>
          </w:tcPr>
          <w:p>
            <w:pPr>
              <w:ind w:left="280"/>
              <w:spacing w:after="0"/>
              <w:rPr>
                <w:sz w:val="20"/>
                <w:szCs w:val="20"/>
                <w:color w:val="auto"/>
              </w:rPr>
            </w:pPr>
            <w:r>
              <w:rPr>
                <w:rFonts w:ascii="Courier New" w:cs="Courier New" w:eastAsia="Courier New" w:hAnsi="Courier New"/>
                <w:sz w:val="16"/>
                <w:szCs w:val="16"/>
                <w:color w:val="auto"/>
              </w:rPr>
              <w:t>904 of Regulation S under the Securities Act;</w:t>
            </w:r>
          </w:p>
        </w:tc>
      </w:tr>
      <w:tr>
        <w:trPr>
          <w:trHeight w:val="361"/>
        </w:trPr>
        <w:tc>
          <w:tcPr>
            <w:tcW w:w="2620" w:type="dxa"/>
            <w:vAlign w:val="bottom"/>
          </w:tcPr>
          <w:p>
            <w:pPr>
              <w:spacing w:after="0"/>
              <w:rPr>
                <w:sz w:val="24"/>
                <w:szCs w:val="24"/>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 to an institutional accredited investor;</w:t>
            </w:r>
          </w:p>
        </w:tc>
      </w:tr>
      <w:tr>
        <w:trPr>
          <w:trHeight w:val="361"/>
        </w:trPr>
        <w:tc>
          <w:tcPr>
            <w:tcW w:w="2620" w:type="dxa"/>
            <w:vAlign w:val="bottom"/>
          </w:tcPr>
          <w:p>
            <w:pPr>
              <w:spacing w:after="0"/>
              <w:rPr>
                <w:sz w:val="24"/>
                <w:szCs w:val="24"/>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 in a transaction otherwise exempt from</w:t>
            </w:r>
          </w:p>
        </w:tc>
      </w:tr>
      <w:tr>
        <w:trPr>
          <w:trHeight w:val="180"/>
        </w:trPr>
        <w:tc>
          <w:tcPr>
            <w:tcW w:w="2620" w:type="dxa"/>
            <w:vAlign w:val="bottom"/>
          </w:tcPr>
          <w:p>
            <w:pPr>
              <w:spacing w:after="0"/>
              <w:rPr>
                <w:sz w:val="15"/>
                <w:szCs w:val="15"/>
                <w:color w:val="auto"/>
              </w:rPr>
            </w:pPr>
          </w:p>
        </w:tc>
        <w:tc>
          <w:tcPr>
            <w:tcW w:w="4880" w:type="dxa"/>
            <w:vAlign w:val="bottom"/>
          </w:tcPr>
          <w:p>
            <w:pPr>
              <w:ind w:left="280"/>
              <w:spacing w:after="0"/>
              <w:rPr>
                <w:sz w:val="20"/>
                <w:szCs w:val="20"/>
                <w:color w:val="auto"/>
              </w:rPr>
            </w:pPr>
            <w:r>
              <w:rPr>
                <w:rFonts w:ascii="Courier New" w:cs="Courier New" w:eastAsia="Courier New" w:hAnsi="Courier New"/>
                <w:sz w:val="16"/>
                <w:szCs w:val="16"/>
                <w:color w:val="auto"/>
              </w:rPr>
              <w:t>registration under the Securities Act; or</w:t>
            </w:r>
          </w:p>
        </w:tc>
      </w:tr>
      <w:tr>
        <w:trPr>
          <w:trHeight w:val="361"/>
        </w:trPr>
        <w:tc>
          <w:tcPr>
            <w:tcW w:w="2620" w:type="dxa"/>
            <w:vAlign w:val="bottom"/>
          </w:tcPr>
          <w:p>
            <w:pPr>
              <w:spacing w:after="0"/>
              <w:rPr>
                <w:sz w:val="24"/>
                <w:szCs w:val="24"/>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 pursuant to an effective registration statement</w:t>
            </w:r>
          </w:p>
        </w:tc>
      </w:tr>
      <w:tr>
        <w:trPr>
          <w:trHeight w:val="180"/>
        </w:trPr>
        <w:tc>
          <w:tcPr>
            <w:tcW w:w="2620" w:type="dxa"/>
            <w:vAlign w:val="bottom"/>
          </w:tcPr>
          <w:p>
            <w:pPr>
              <w:spacing w:after="0"/>
              <w:rPr>
                <w:sz w:val="15"/>
                <w:szCs w:val="15"/>
                <w:color w:val="auto"/>
              </w:rPr>
            </w:pPr>
          </w:p>
        </w:tc>
        <w:tc>
          <w:tcPr>
            <w:tcW w:w="4880" w:type="dxa"/>
            <w:vAlign w:val="bottom"/>
          </w:tcPr>
          <w:p>
            <w:pPr>
              <w:ind w:left="280"/>
              <w:spacing w:after="0"/>
              <w:rPr>
                <w:sz w:val="20"/>
                <w:szCs w:val="20"/>
                <w:color w:val="auto"/>
              </w:rPr>
            </w:pPr>
            <w:r>
              <w:rPr>
                <w:rFonts w:ascii="Courier New" w:cs="Courier New" w:eastAsia="Courier New" w:hAnsi="Courier New"/>
                <w:sz w:val="16"/>
                <w:szCs w:val="16"/>
                <w:color w:val="auto"/>
              </w:rPr>
              <w:t>under the Securities Act.</w:t>
            </w:r>
          </w:p>
        </w:tc>
      </w:tr>
      <w:tr>
        <w:trPr>
          <w:trHeight w:val="361"/>
        </w:trPr>
        <w:tc>
          <w:tcPr>
            <w:tcW w:w="26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RESALE OF THE NOTES........</w:t>
            </w: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Based on interpretations by the staff of the</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Commission in no-action letters to third parties,</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9"/>
              </w:rPr>
              <w:t>we believe that the notes to be issued in exchange</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for original notes may be offered for resale and</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may be resold or otherwise transferred without</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restriction, except as follows:</w:t>
            </w:r>
          </w:p>
        </w:tc>
      </w:tr>
      <w:tr>
        <w:trPr>
          <w:trHeight w:val="361"/>
        </w:trPr>
        <w:tc>
          <w:tcPr>
            <w:tcW w:w="2620" w:type="dxa"/>
            <w:vAlign w:val="bottom"/>
          </w:tcPr>
          <w:p>
            <w:pPr>
              <w:spacing w:after="0"/>
              <w:rPr>
                <w:sz w:val="24"/>
                <w:szCs w:val="24"/>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 a broker-dealer who purchased original notes</w:t>
            </w:r>
          </w:p>
        </w:tc>
      </w:tr>
      <w:tr>
        <w:trPr>
          <w:trHeight w:val="180"/>
        </w:trPr>
        <w:tc>
          <w:tcPr>
            <w:tcW w:w="2620" w:type="dxa"/>
            <w:vAlign w:val="bottom"/>
          </w:tcPr>
          <w:p>
            <w:pPr>
              <w:spacing w:after="0"/>
              <w:rPr>
                <w:sz w:val="15"/>
                <w:szCs w:val="15"/>
                <w:color w:val="auto"/>
              </w:rPr>
            </w:pPr>
          </w:p>
        </w:tc>
        <w:tc>
          <w:tcPr>
            <w:tcW w:w="4880" w:type="dxa"/>
            <w:vAlign w:val="bottom"/>
          </w:tcPr>
          <w:p>
            <w:pPr>
              <w:ind w:left="280"/>
              <w:spacing w:after="0"/>
              <w:rPr>
                <w:sz w:val="20"/>
                <w:szCs w:val="20"/>
                <w:color w:val="auto"/>
              </w:rPr>
            </w:pPr>
            <w:r>
              <w:rPr>
                <w:rFonts w:ascii="Courier New" w:cs="Courier New" w:eastAsia="Courier New" w:hAnsi="Courier New"/>
                <w:sz w:val="16"/>
                <w:szCs w:val="16"/>
                <w:color w:val="auto"/>
              </w:rPr>
              <w:t>directly from Scotts for resale under Rule 144A</w:t>
            </w:r>
          </w:p>
        </w:tc>
      </w:tr>
      <w:tr>
        <w:trPr>
          <w:trHeight w:val="180"/>
        </w:trPr>
        <w:tc>
          <w:tcPr>
            <w:tcW w:w="2620" w:type="dxa"/>
            <w:vAlign w:val="bottom"/>
          </w:tcPr>
          <w:p>
            <w:pPr>
              <w:spacing w:after="0"/>
              <w:rPr>
                <w:sz w:val="15"/>
                <w:szCs w:val="15"/>
                <w:color w:val="auto"/>
              </w:rPr>
            </w:pPr>
          </w:p>
        </w:tc>
        <w:tc>
          <w:tcPr>
            <w:tcW w:w="4880" w:type="dxa"/>
            <w:vAlign w:val="bottom"/>
          </w:tcPr>
          <w:p>
            <w:pPr>
              <w:ind w:left="280"/>
              <w:spacing w:after="0"/>
              <w:rPr>
                <w:sz w:val="20"/>
                <w:szCs w:val="20"/>
                <w:color w:val="auto"/>
              </w:rPr>
            </w:pPr>
            <w:r>
              <w:rPr>
                <w:rFonts w:ascii="Courier New" w:cs="Courier New" w:eastAsia="Courier New" w:hAnsi="Courier New"/>
                <w:sz w:val="16"/>
                <w:szCs w:val="16"/>
                <w:color w:val="auto"/>
              </w:rPr>
              <w:t>or another exemption under the Securities Act</w:t>
            </w:r>
          </w:p>
        </w:tc>
      </w:tr>
      <w:tr>
        <w:trPr>
          <w:trHeight w:val="180"/>
        </w:trPr>
        <w:tc>
          <w:tcPr>
            <w:tcW w:w="2620" w:type="dxa"/>
            <w:vAlign w:val="bottom"/>
          </w:tcPr>
          <w:p>
            <w:pPr>
              <w:spacing w:after="0"/>
              <w:rPr>
                <w:sz w:val="15"/>
                <w:szCs w:val="15"/>
                <w:color w:val="auto"/>
              </w:rPr>
            </w:pPr>
          </w:p>
        </w:tc>
        <w:tc>
          <w:tcPr>
            <w:tcW w:w="4880" w:type="dxa"/>
            <w:vAlign w:val="bottom"/>
          </w:tcPr>
          <w:p>
            <w:pPr>
              <w:ind w:left="280"/>
              <w:spacing w:after="0"/>
              <w:rPr>
                <w:sz w:val="20"/>
                <w:szCs w:val="20"/>
                <w:color w:val="auto"/>
              </w:rPr>
            </w:pPr>
            <w:r>
              <w:rPr>
                <w:rFonts w:ascii="Courier New" w:cs="Courier New" w:eastAsia="Courier New" w:hAnsi="Courier New"/>
                <w:sz w:val="16"/>
                <w:szCs w:val="16"/>
                <w:color w:val="auto"/>
                <w:w w:val="99"/>
              </w:rPr>
              <w:t>must comply with the registration and prospectus</w:t>
            </w:r>
          </w:p>
        </w:tc>
      </w:tr>
      <w:tr>
        <w:trPr>
          <w:trHeight w:val="180"/>
        </w:trPr>
        <w:tc>
          <w:tcPr>
            <w:tcW w:w="2620" w:type="dxa"/>
            <w:vAlign w:val="bottom"/>
          </w:tcPr>
          <w:p>
            <w:pPr>
              <w:spacing w:after="0"/>
              <w:rPr>
                <w:sz w:val="15"/>
                <w:szCs w:val="15"/>
                <w:color w:val="auto"/>
              </w:rPr>
            </w:pPr>
          </w:p>
        </w:tc>
        <w:tc>
          <w:tcPr>
            <w:tcW w:w="4880" w:type="dxa"/>
            <w:vAlign w:val="bottom"/>
          </w:tcPr>
          <w:p>
            <w:pPr>
              <w:ind w:left="280"/>
              <w:spacing w:after="0"/>
              <w:rPr>
                <w:sz w:val="20"/>
                <w:szCs w:val="20"/>
                <w:color w:val="auto"/>
              </w:rPr>
            </w:pPr>
            <w:r>
              <w:rPr>
                <w:rFonts w:ascii="Courier New" w:cs="Courier New" w:eastAsia="Courier New" w:hAnsi="Courier New"/>
                <w:sz w:val="16"/>
                <w:szCs w:val="16"/>
                <w:color w:val="auto"/>
              </w:rPr>
              <w:t>delivery provisions of the Securities Act; and</w:t>
            </w:r>
          </w:p>
        </w:tc>
      </w:tr>
      <w:tr>
        <w:trPr>
          <w:trHeight w:val="361"/>
        </w:trPr>
        <w:tc>
          <w:tcPr>
            <w:tcW w:w="2620" w:type="dxa"/>
            <w:vAlign w:val="bottom"/>
          </w:tcPr>
          <w:p>
            <w:pPr>
              <w:spacing w:after="0"/>
              <w:rPr>
                <w:sz w:val="24"/>
                <w:szCs w:val="24"/>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9"/>
              </w:rPr>
              <w:t>- a person that is an "affiliate" of Scotts within</w:t>
            </w:r>
          </w:p>
        </w:tc>
      </w:tr>
      <w:tr>
        <w:trPr>
          <w:trHeight w:val="180"/>
        </w:trPr>
        <w:tc>
          <w:tcPr>
            <w:tcW w:w="2620" w:type="dxa"/>
            <w:vAlign w:val="bottom"/>
          </w:tcPr>
          <w:p>
            <w:pPr>
              <w:spacing w:after="0"/>
              <w:rPr>
                <w:sz w:val="15"/>
                <w:szCs w:val="15"/>
                <w:color w:val="auto"/>
              </w:rPr>
            </w:pPr>
          </w:p>
        </w:tc>
        <w:tc>
          <w:tcPr>
            <w:tcW w:w="4880" w:type="dxa"/>
            <w:vAlign w:val="bottom"/>
          </w:tcPr>
          <w:p>
            <w:pPr>
              <w:ind w:left="280"/>
              <w:spacing w:after="0"/>
              <w:rPr>
                <w:sz w:val="20"/>
                <w:szCs w:val="20"/>
                <w:color w:val="auto"/>
              </w:rPr>
            </w:pPr>
            <w:r>
              <w:rPr>
                <w:rFonts w:ascii="Courier New" w:cs="Courier New" w:eastAsia="Courier New" w:hAnsi="Courier New"/>
                <w:sz w:val="16"/>
                <w:szCs w:val="16"/>
                <w:color w:val="auto"/>
                <w:w w:val="97"/>
              </w:rPr>
              <w:t>the meaning of Rule 405 under the Securities Act,</w:t>
            </w:r>
          </w:p>
        </w:tc>
      </w:tr>
      <w:tr>
        <w:trPr>
          <w:trHeight w:val="180"/>
        </w:trPr>
        <w:tc>
          <w:tcPr>
            <w:tcW w:w="2620" w:type="dxa"/>
            <w:vAlign w:val="bottom"/>
          </w:tcPr>
          <w:p>
            <w:pPr>
              <w:spacing w:after="0"/>
              <w:rPr>
                <w:sz w:val="15"/>
                <w:szCs w:val="15"/>
                <w:color w:val="auto"/>
              </w:rPr>
            </w:pPr>
          </w:p>
        </w:tc>
        <w:tc>
          <w:tcPr>
            <w:tcW w:w="4880" w:type="dxa"/>
            <w:vAlign w:val="bottom"/>
          </w:tcPr>
          <w:p>
            <w:pPr>
              <w:ind w:left="280"/>
              <w:spacing w:after="0"/>
              <w:rPr>
                <w:sz w:val="20"/>
                <w:szCs w:val="20"/>
                <w:color w:val="auto"/>
              </w:rPr>
            </w:pPr>
            <w:r>
              <w:rPr>
                <w:rFonts w:ascii="Courier New" w:cs="Courier New" w:eastAsia="Courier New" w:hAnsi="Courier New"/>
                <w:sz w:val="16"/>
                <w:szCs w:val="16"/>
                <w:color w:val="auto"/>
              </w:rPr>
              <w:t>must sell under Rule 144 or another exemption</w:t>
            </w:r>
          </w:p>
        </w:tc>
      </w:tr>
      <w:tr>
        <w:trPr>
          <w:trHeight w:val="180"/>
        </w:trPr>
        <w:tc>
          <w:tcPr>
            <w:tcW w:w="2620" w:type="dxa"/>
            <w:vAlign w:val="bottom"/>
          </w:tcPr>
          <w:p>
            <w:pPr>
              <w:spacing w:after="0"/>
              <w:rPr>
                <w:sz w:val="15"/>
                <w:szCs w:val="15"/>
                <w:color w:val="auto"/>
              </w:rPr>
            </w:pPr>
          </w:p>
        </w:tc>
        <w:tc>
          <w:tcPr>
            <w:tcW w:w="4880" w:type="dxa"/>
            <w:vAlign w:val="bottom"/>
          </w:tcPr>
          <w:p>
            <w:pPr>
              <w:ind w:left="280"/>
              <w:spacing w:after="0"/>
              <w:rPr>
                <w:sz w:val="20"/>
                <w:szCs w:val="20"/>
                <w:color w:val="auto"/>
              </w:rPr>
            </w:pPr>
            <w:r>
              <w:rPr>
                <w:rFonts w:ascii="Courier New" w:cs="Courier New" w:eastAsia="Courier New" w:hAnsi="Courier New"/>
                <w:sz w:val="16"/>
                <w:szCs w:val="16"/>
                <w:color w:val="auto"/>
              </w:rPr>
              <w:t>under the Securities Act.</w:t>
            </w:r>
          </w:p>
        </w:tc>
      </w:tr>
      <w:tr>
        <w:trPr>
          <w:trHeight w:val="361"/>
        </w:trPr>
        <w:tc>
          <w:tcPr>
            <w:tcW w:w="2620" w:type="dxa"/>
            <w:vAlign w:val="bottom"/>
          </w:tcPr>
          <w:p>
            <w:pPr>
              <w:spacing w:after="0"/>
              <w:rPr>
                <w:sz w:val="24"/>
                <w:szCs w:val="24"/>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9"/>
              </w:rPr>
              <w:t>If a broker-dealer or affiliate transfers notes in</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9"/>
              </w:rPr>
              <w:t>violation of the prospectus delivery provisions of</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the Securities Act or without an</w:t>
            </w:r>
          </w:p>
        </w:tc>
      </w:tr>
    </w:tbl>
    <w:p>
      <w:pPr>
        <w:spacing w:after="0" w:line="179" w:lineRule="exact"/>
        <w:rPr>
          <w:sz w:val="20"/>
          <w:szCs w:val="20"/>
          <w:color w:val="auto"/>
        </w:rPr>
      </w:pPr>
    </w:p>
    <w:p>
      <w:pPr>
        <w:sectPr>
          <w:pgSz w:w="11900" w:h="16838" w:orient="portrait"/>
          <w:cols w:equalWidth="0" w:num="1">
            <w:col w:w="10219"/>
          </w:cols>
          <w:pgMar w:left="240" w:top="293" w:right="1440" w:bottom="1440" w:gutter="0" w:footer="0" w:header="0"/>
        </w:sect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93" w:right="1440" w:bottom="1440" w:gutter="0" w:footer="0" w:header="0"/>
          <w:type w:val="continuous"/>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6</w:t>
      </w:r>
    </w:p>
    <w:p>
      <w:pPr>
        <w:spacing w:after="0" w:line="18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exemption from registration, it may incur liability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under the Securities Act. We do not indemnify</w:t>
      </w:r>
    </w:p>
    <w:p>
      <w:pPr>
        <w:ind w:left="2720"/>
        <w:spacing w:after="0"/>
        <w:rPr>
          <w:sz w:val="20"/>
          <w:szCs w:val="20"/>
          <w:color w:val="auto"/>
        </w:rPr>
      </w:pPr>
      <w:r>
        <w:rPr>
          <w:rFonts w:ascii="Courier New" w:cs="Courier New" w:eastAsia="Courier New" w:hAnsi="Courier New"/>
          <w:sz w:val="16"/>
          <w:szCs w:val="16"/>
          <w:color w:val="auto"/>
        </w:rPr>
        <w:t>holders of notes against liability under the</w:t>
      </w:r>
    </w:p>
    <w:p>
      <w:pPr>
        <w:ind w:left="2720"/>
        <w:spacing w:after="0" w:line="237" w:lineRule="auto"/>
        <w:rPr>
          <w:sz w:val="20"/>
          <w:szCs w:val="20"/>
          <w:color w:val="auto"/>
        </w:rPr>
      </w:pPr>
      <w:r>
        <w:rPr>
          <w:rFonts w:ascii="Courier New" w:cs="Courier New" w:eastAsia="Courier New" w:hAnsi="Courier New"/>
          <w:sz w:val="16"/>
          <w:szCs w:val="16"/>
          <w:color w:val="auto"/>
        </w:rPr>
        <w:t>Securities Act.</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Each broker-dealer that is issued notes in the</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exchange offer for its own account in exchange for</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notes which were acquired by the broker-dealer as a</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result of market-making or other trading</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activities, must acknowledge that it will deliver a</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prospectus meeting the requirements of the</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Securities Act in connection with any resale of the</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notes issued in the exchange offer. We have agreed</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that a broker-dealer may use this prospectus for an</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offer to resell, resale or other retransfer of the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notes issued to it in the exchange offer.</w:t>
      </w:r>
    </w:p>
    <w:p>
      <w:pPr>
        <w:spacing w:after="0" w:line="179"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All resales of notes must be made in compliance</w:t>
      </w:r>
    </w:p>
    <w:p>
      <w:pPr>
        <w:ind w:left="2720"/>
        <w:spacing w:after="0"/>
        <w:rPr>
          <w:sz w:val="20"/>
          <w:szCs w:val="20"/>
          <w:color w:val="auto"/>
        </w:rPr>
      </w:pPr>
      <w:r>
        <w:rPr>
          <w:rFonts w:ascii="Courier New" w:cs="Courier New" w:eastAsia="Courier New" w:hAnsi="Courier New"/>
          <w:sz w:val="16"/>
          <w:szCs w:val="16"/>
          <w:color w:val="auto"/>
        </w:rPr>
        <w:t>with applicable state securities or "blue sky"</w:t>
      </w:r>
    </w:p>
    <w:p>
      <w:pPr>
        <w:ind w:left="2720"/>
        <w:spacing w:after="0" w:line="237" w:lineRule="auto"/>
        <w:rPr>
          <w:sz w:val="20"/>
          <w:szCs w:val="20"/>
          <w:color w:val="auto"/>
        </w:rPr>
      </w:pPr>
      <w:r>
        <w:rPr>
          <w:rFonts w:ascii="Courier New" w:cs="Courier New" w:eastAsia="Courier New" w:hAnsi="Courier New"/>
          <w:sz w:val="16"/>
          <w:szCs w:val="16"/>
          <w:color w:val="auto"/>
        </w:rPr>
        <w:t>laws. We assume no responsibility for your</w:t>
      </w:r>
    </w:p>
    <w:p>
      <w:pPr>
        <w:ind w:left="2720"/>
        <w:spacing w:after="0"/>
        <w:rPr>
          <w:sz w:val="20"/>
          <w:szCs w:val="20"/>
          <w:color w:val="auto"/>
        </w:rPr>
      </w:pPr>
      <w:r>
        <w:rPr>
          <w:rFonts w:ascii="Courier New" w:cs="Courier New" w:eastAsia="Courier New" w:hAnsi="Courier New"/>
          <w:sz w:val="16"/>
          <w:szCs w:val="16"/>
          <w:color w:val="auto"/>
        </w:rPr>
        <w:t>compliance with these requirements. We are not</w:t>
      </w:r>
    </w:p>
    <w:p>
      <w:pPr>
        <w:ind w:left="2720"/>
        <w:spacing w:after="0" w:line="238" w:lineRule="auto"/>
        <w:rPr>
          <w:sz w:val="20"/>
          <w:szCs w:val="20"/>
          <w:color w:val="auto"/>
        </w:rPr>
      </w:pPr>
      <w:r>
        <w:rPr>
          <w:rFonts w:ascii="Courier New" w:cs="Courier New" w:eastAsia="Courier New" w:hAnsi="Courier New"/>
          <w:sz w:val="16"/>
          <w:szCs w:val="16"/>
          <w:color w:val="auto"/>
        </w:rPr>
        <w:t>making the exchange offer to, and will not accept</w:t>
      </w:r>
    </w:p>
    <w:p>
      <w:pPr>
        <w:ind w:left="2720"/>
        <w:spacing w:after="0"/>
        <w:rPr>
          <w:sz w:val="20"/>
          <w:szCs w:val="20"/>
          <w:color w:val="auto"/>
        </w:rPr>
      </w:pPr>
      <w:r>
        <w:rPr>
          <w:rFonts w:ascii="Courier New" w:cs="Courier New" w:eastAsia="Courier New" w:hAnsi="Courier New"/>
          <w:sz w:val="16"/>
          <w:szCs w:val="16"/>
          <w:color w:val="auto"/>
        </w:rPr>
        <w:t>surrenders for exchange from, holders of original</w:t>
      </w:r>
    </w:p>
    <w:p>
      <w:pPr>
        <w:ind w:left="2720"/>
        <w:spacing w:after="0" w:line="238" w:lineRule="auto"/>
        <w:rPr>
          <w:sz w:val="20"/>
          <w:szCs w:val="20"/>
          <w:color w:val="auto"/>
        </w:rPr>
      </w:pPr>
      <w:r>
        <w:rPr>
          <w:rFonts w:ascii="Courier New" w:cs="Courier New" w:eastAsia="Courier New" w:hAnsi="Courier New"/>
          <w:sz w:val="16"/>
          <w:szCs w:val="16"/>
          <w:color w:val="auto"/>
        </w:rPr>
        <w:t>notes in any jurisdiction in which the exchange</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offer or the acceptance of the exchange offer would</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not be in compliance with the applicable securities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or "blue sky" laws.</w:t>
      </w:r>
    </w:p>
    <w:p>
      <w:pPr>
        <w:spacing w:after="0" w:line="179"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We will require that each holder who wants to</w:t>
      </w:r>
    </w:p>
    <w:p>
      <w:pPr>
        <w:ind w:left="2720"/>
        <w:spacing w:after="0"/>
        <w:rPr>
          <w:sz w:val="20"/>
          <w:szCs w:val="20"/>
          <w:color w:val="auto"/>
        </w:rPr>
      </w:pPr>
      <w:r>
        <w:rPr>
          <w:rFonts w:ascii="Courier New" w:cs="Courier New" w:eastAsia="Courier New" w:hAnsi="Courier New"/>
          <w:sz w:val="16"/>
          <w:szCs w:val="16"/>
          <w:color w:val="auto"/>
        </w:rPr>
        <w:t>participate in the exchange offer represent to</w:t>
      </w:r>
    </w:p>
    <w:p>
      <w:pPr>
        <w:spacing w:after="0" w:line="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Scotts in the letter of transmittal that the holder</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is acquiring the notes to be issued in the exchange</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offer in the ordinary course of business and is not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participating, and has no arrangement or</w:t>
      </w:r>
    </w:p>
    <w:p>
      <w:pPr>
        <w:ind w:left="2720"/>
        <w:spacing w:after="0"/>
        <w:rPr>
          <w:sz w:val="20"/>
          <w:szCs w:val="20"/>
          <w:color w:val="auto"/>
        </w:rPr>
      </w:pPr>
      <w:r>
        <w:rPr>
          <w:rFonts w:ascii="Courier New" w:cs="Courier New" w:eastAsia="Courier New" w:hAnsi="Courier New"/>
          <w:sz w:val="16"/>
          <w:szCs w:val="16"/>
          <w:color w:val="auto"/>
        </w:rPr>
        <w:t>understanding with any person to participate, in</w:t>
      </w:r>
    </w:p>
    <w:p>
      <w:pPr>
        <w:ind w:left="2720"/>
        <w:spacing w:after="0" w:line="237" w:lineRule="auto"/>
        <w:rPr>
          <w:sz w:val="20"/>
          <w:szCs w:val="20"/>
          <w:color w:val="auto"/>
        </w:rPr>
      </w:pPr>
      <w:r>
        <w:rPr>
          <w:rFonts w:ascii="Courier New" w:cs="Courier New" w:eastAsia="Courier New" w:hAnsi="Courier New"/>
          <w:sz w:val="16"/>
          <w:szCs w:val="16"/>
          <w:color w:val="auto"/>
        </w:rPr>
        <w:t>the distribution of the notes to be issued in the</w:t>
      </w:r>
    </w:p>
    <w:p>
      <w:pPr>
        <w:ind w:left="2720"/>
        <w:spacing w:after="0"/>
        <w:rPr>
          <w:sz w:val="20"/>
          <w:szCs w:val="20"/>
          <w:color w:val="auto"/>
        </w:rPr>
      </w:pPr>
      <w:r>
        <w:rPr>
          <w:rFonts w:ascii="Courier New" w:cs="Courier New" w:eastAsia="Courier New" w:hAnsi="Courier New"/>
          <w:sz w:val="16"/>
          <w:szCs w:val="16"/>
          <w:color w:val="auto"/>
        </w:rPr>
        <w:t>exchange offer. If a holder inaccurately makes</w:t>
      </w:r>
    </w:p>
    <w:p>
      <w:pPr>
        <w:ind w:left="2720"/>
        <w:spacing w:after="0" w:line="238" w:lineRule="auto"/>
        <w:rPr>
          <w:sz w:val="20"/>
          <w:szCs w:val="20"/>
          <w:color w:val="auto"/>
        </w:rPr>
      </w:pPr>
      <w:r>
        <w:rPr>
          <w:rFonts w:ascii="Courier New" w:cs="Courier New" w:eastAsia="Courier New" w:hAnsi="Courier New"/>
          <w:sz w:val="16"/>
          <w:szCs w:val="16"/>
          <w:color w:val="auto"/>
        </w:rPr>
        <w:t>these representations and transfers notes in</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violation of the prospectus delivery provisions of</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the Securities Act and without an exemption from</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registration, the holder may incur liability under</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the Securities Act. Scotts does not assume or</w:t>
      </w:r>
    </w:p>
    <w:p>
      <w:pPr>
        <w:ind w:left="2720"/>
        <w:spacing w:after="0"/>
        <w:rPr>
          <w:sz w:val="20"/>
          <w:szCs w:val="20"/>
          <w:color w:val="auto"/>
        </w:rPr>
      </w:pPr>
      <w:r>
        <w:rPr>
          <w:rFonts w:ascii="Courier New" w:cs="Courier New" w:eastAsia="Courier New" w:hAnsi="Courier New"/>
          <w:sz w:val="16"/>
          <w:szCs w:val="16"/>
          <w:color w:val="auto"/>
        </w:rPr>
        <w:t>indemnify holders of notes issued in the exchange</w:t>
      </w:r>
    </w:p>
    <w:p>
      <w:pPr>
        <w:ind w:left="2720"/>
        <w:spacing w:after="0" w:line="237" w:lineRule="auto"/>
        <w:rPr>
          <w:sz w:val="20"/>
          <w:szCs w:val="20"/>
          <w:color w:val="auto"/>
        </w:rPr>
      </w:pPr>
      <w:r>
        <w:rPr>
          <w:rFonts w:ascii="Courier New" w:cs="Courier New" w:eastAsia="Courier New" w:hAnsi="Courier New"/>
          <w:sz w:val="16"/>
          <w:szCs w:val="16"/>
          <w:color w:val="auto"/>
        </w:rPr>
        <w:t>offer against liability under the Securities Act,</w:t>
      </w:r>
    </w:p>
    <w:p>
      <w:pPr>
        <w:ind w:left="2720"/>
        <w:spacing w:after="0"/>
        <w:rPr>
          <w:sz w:val="20"/>
          <w:szCs w:val="20"/>
          <w:color w:val="auto"/>
        </w:rPr>
      </w:pPr>
      <w:r>
        <w:rPr>
          <w:rFonts w:ascii="Courier New" w:cs="Courier New" w:eastAsia="Courier New" w:hAnsi="Courier New"/>
          <w:sz w:val="16"/>
          <w:szCs w:val="16"/>
          <w:color w:val="auto"/>
        </w:rPr>
        <w:t>although, if the representations are true, Scotts</w:t>
      </w:r>
    </w:p>
    <w:p>
      <w:pPr>
        <w:ind w:left="2720"/>
        <w:spacing w:after="0" w:line="238" w:lineRule="auto"/>
        <w:rPr>
          <w:sz w:val="20"/>
          <w:szCs w:val="20"/>
          <w:color w:val="auto"/>
        </w:rPr>
      </w:pPr>
      <w:r>
        <w:rPr>
          <w:rFonts w:ascii="Courier New" w:cs="Courier New" w:eastAsia="Courier New" w:hAnsi="Courier New"/>
          <w:sz w:val="16"/>
          <w:szCs w:val="16"/>
          <w:color w:val="auto"/>
        </w:rPr>
        <w:t>does not believe that any liability should exist.</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If you are unable to participate in the exchange</w:t>
      </w:r>
    </w:p>
    <w:p>
      <w:pPr>
        <w:ind w:left="2720"/>
        <w:spacing w:after="0"/>
        <w:rPr>
          <w:sz w:val="20"/>
          <w:szCs w:val="20"/>
          <w:color w:val="auto"/>
        </w:rPr>
      </w:pPr>
      <w:r>
        <w:rPr>
          <w:rFonts w:ascii="Courier New" w:cs="Courier New" w:eastAsia="Courier New" w:hAnsi="Courier New"/>
          <w:sz w:val="16"/>
          <w:szCs w:val="16"/>
          <w:color w:val="auto"/>
        </w:rPr>
        <w:t>offer because of applicable law, the Commission's</w:t>
      </w:r>
    </w:p>
    <w:p>
      <w:pPr>
        <w:ind w:left="2720"/>
        <w:spacing w:after="0" w:line="237" w:lineRule="auto"/>
        <w:rPr>
          <w:sz w:val="20"/>
          <w:szCs w:val="20"/>
          <w:color w:val="auto"/>
        </w:rPr>
      </w:pPr>
      <w:r>
        <w:rPr>
          <w:rFonts w:ascii="Courier New" w:cs="Courier New" w:eastAsia="Courier New" w:hAnsi="Courier New"/>
          <w:sz w:val="16"/>
          <w:szCs w:val="16"/>
          <w:color w:val="auto"/>
        </w:rPr>
        <w:t>policies or your status as an affiliate of Scotts</w:t>
      </w:r>
    </w:p>
    <w:p>
      <w:pPr>
        <w:ind w:left="2720"/>
        <w:spacing w:after="0"/>
        <w:rPr>
          <w:sz w:val="20"/>
          <w:szCs w:val="20"/>
          <w:color w:val="auto"/>
        </w:rPr>
      </w:pPr>
      <w:r>
        <w:rPr>
          <w:rFonts w:ascii="Courier New" w:cs="Courier New" w:eastAsia="Courier New" w:hAnsi="Courier New"/>
          <w:sz w:val="16"/>
          <w:szCs w:val="16"/>
          <w:color w:val="auto"/>
        </w:rPr>
        <w:t>or as a broker-dealer who acquired notes directly</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from us or one of our affiliates, we have agreed to</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file another registration statement with the</w:t>
      </w:r>
    </w:p>
    <w:p>
      <w:pPr>
        <w:ind w:left="2720"/>
        <w:spacing w:after="0"/>
        <w:rPr>
          <w:sz w:val="20"/>
          <w:szCs w:val="20"/>
          <w:color w:val="auto"/>
        </w:rPr>
      </w:pPr>
      <w:r>
        <w:rPr>
          <w:rFonts w:ascii="Courier New" w:cs="Courier New" w:eastAsia="Courier New" w:hAnsi="Courier New"/>
          <w:sz w:val="16"/>
          <w:szCs w:val="16"/>
          <w:color w:val="auto"/>
        </w:rPr>
        <w:t>Commission. This second registration statement</w:t>
      </w:r>
    </w:p>
    <w:p>
      <w:pPr>
        <w:ind w:left="2720"/>
        <w:spacing w:after="0" w:line="237" w:lineRule="auto"/>
        <w:rPr>
          <w:sz w:val="20"/>
          <w:szCs w:val="20"/>
          <w:color w:val="auto"/>
        </w:rPr>
      </w:pPr>
      <w:r>
        <w:rPr>
          <w:rFonts w:ascii="Courier New" w:cs="Courier New" w:eastAsia="Courier New" w:hAnsi="Courier New"/>
          <w:sz w:val="16"/>
          <w:szCs w:val="16"/>
          <w:color w:val="auto"/>
        </w:rPr>
        <w:t>would cover periodic resales of the original,</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unregistered notes by the holders who are unable to</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participate in the exchange offer.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 OF THE EXCHANGE</w:t>
      </w:r>
    </w:p>
    <w:p>
      <w:pPr>
        <w:ind w:left="180"/>
        <w:spacing w:after="0"/>
        <w:tabs>
          <w:tab w:leader="none" w:pos="2700" w:val="left"/>
        </w:tabs>
        <w:rPr>
          <w:sz w:val="20"/>
          <w:szCs w:val="20"/>
          <w:color w:val="auto"/>
        </w:rPr>
      </w:pPr>
      <w:r>
        <w:rPr>
          <w:rFonts w:ascii="Courier New" w:cs="Courier New" w:eastAsia="Courier New" w:hAnsi="Courier New"/>
          <w:sz w:val="16"/>
          <w:szCs w:val="16"/>
          <w:color w:val="auto"/>
        </w:rPr>
        <w:t>OFFER....................</w:t>
      </w:r>
      <w:r>
        <w:rPr>
          <w:sz w:val="20"/>
          <w:szCs w:val="20"/>
          <w:color w:val="auto"/>
        </w:rPr>
        <w:tab/>
      </w:r>
      <w:r>
        <w:rPr>
          <w:rFonts w:ascii="Courier New" w:cs="Courier New" w:eastAsia="Courier New" w:hAnsi="Courier New"/>
          <w:sz w:val="15"/>
          <w:szCs w:val="15"/>
          <w:color w:val="auto"/>
        </w:rPr>
        <w:t>If we determine that applicable federal law or the</w:t>
      </w:r>
    </w:p>
    <w:p>
      <w:pPr>
        <w:ind w:left="2720"/>
        <w:spacing w:after="0" w:line="237" w:lineRule="auto"/>
        <w:rPr>
          <w:sz w:val="20"/>
          <w:szCs w:val="20"/>
          <w:color w:val="auto"/>
        </w:rPr>
      </w:pPr>
      <w:r>
        <w:rPr>
          <w:rFonts w:ascii="Courier New" w:cs="Courier New" w:eastAsia="Courier New" w:hAnsi="Courier New"/>
          <w:sz w:val="16"/>
          <w:szCs w:val="16"/>
          <w:color w:val="auto"/>
        </w:rPr>
        <w:t>Commission's staff interpretations do not permit</w:t>
      </w:r>
    </w:p>
    <w:p>
      <w:pPr>
        <w:ind w:left="2720"/>
        <w:spacing w:after="0"/>
        <w:rPr>
          <w:sz w:val="20"/>
          <w:szCs w:val="20"/>
          <w:color w:val="auto"/>
        </w:rPr>
      </w:pPr>
      <w:r>
        <w:rPr>
          <w:rFonts w:ascii="Courier New" w:cs="Courier New" w:eastAsia="Courier New" w:hAnsi="Courier New"/>
          <w:sz w:val="16"/>
          <w:szCs w:val="16"/>
          <w:color w:val="auto"/>
        </w:rPr>
        <w:t>the exchange offer, we may terminate the exchange</w:t>
      </w:r>
    </w:p>
    <w:p>
      <w:pPr>
        <w:ind w:left="2720"/>
        <w:spacing w:after="0" w:line="238" w:lineRule="auto"/>
        <w:rPr>
          <w:sz w:val="20"/>
          <w:szCs w:val="20"/>
          <w:color w:val="auto"/>
        </w:rPr>
      </w:pPr>
      <w:r>
        <w:rPr>
          <w:rFonts w:ascii="Courier New" w:cs="Courier New" w:eastAsia="Courier New" w:hAnsi="Courier New"/>
          <w:sz w:val="16"/>
          <w:szCs w:val="16"/>
          <w:color w:val="auto"/>
        </w:rPr>
        <w:t>offer.</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The exchange offer is not conditioned upon the</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tender of any minimum principal amount of original</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notes.</w:t>
      </w:r>
    </w:p>
    <w:p>
      <w:pPr>
        <w:spacing w:after="0" w:line="18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To accept the exchange offer, you must represent to</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us in writing that you are acquiring the notes</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being issued in the ordinary course of business and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that you are not participating in, and have no</w:t>
      </w:r>
    </w:p>
    <w:p>
      <w:pPr>
        <w:ind w:left="2720"/>
        <w:spacing w:after="0"/>
        <w:rPr>
          <w:sz w:val="20"/>
          <w:szCs w:val="20"/>
          <w:color w:val="auto"/>
        </w:rPr>
      </w:pPr>
      <w:r>
        <w:rPr>
          <w:rFonts w:ascii="Courier New" w:cs="Courier New" w:eastAsia="Courier New" w:hAnsi="Courier New"/>
          <w:sz w:val="16"/>
          <w:szCs w:val="16"/>
          <w:color w:val="auto"/>
        </w:rPr>
        <w:t>arrangement or understanding with any person to</w:t>
      </w:r>
    </w:p>
    <w:p>
      <w:pPr>
        <w:ind w:left="2720"/>
        <w:spacing w:after="0" w:line="237" w:lineRule="auto"/>
        <w:rPr>
          <w:sz w:val="20"/>
          <w:szCs w:val="20"/>
          <w:color w:val="auto"/>
        </w:rPr>
      </w:pPr>
      <w:r>
        <w:rPr>
          <w:rFonts w:ascii="Courier New" w:cs="Courier New" w:eastAsia="Courier New" w:hAnsi="Courier New"/>
          <w:sz w:val="16"/>
          <w:szCs w:val="16"/>
          <w:color w:val="auto"/>
        </w:rPr>
        <w:t>participate in, the distribution of the notes.</w:t>
      </w:r>
    </w:p>
    <w:p>
      <w:pPr>
        <w:sectPr>
          <w:pgSz w:w="11900" w:h="16838" w:orient="portrait"/>
          <w:cols w:equalWidth="0" w:num="1">
            <w:col w:w="10219"/>
          </w:cols>
          <w:pgMar w:left="240" w:top="293" w:right="1440" w:bottom="1440" w:gutter="0" w:footer="0" w:header="0"/>
        </w:sectPr>
      </w:pP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93" w:right="1440" w:bottom="1440" w:gutter="0" w:footer="0" w:header="0"/>
          <w:type w:val="continuous"/>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7</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INCOME TAX</w:t>
      </w:r>
    </w:p>
    <w:p>
      <w:pPr>
        <w:ind w:left="180"/>
        <w:spacing w:after="0"/>
        <w:tabs>
          <w:tab w:leader="none" w:pos="2700" w:val="left"/>
        </w:tabs>
        <w:rPr>
          <w:sz w:val="20"/>
          <w:szCs w:val="20"/>
          <w:color w:val="auto"/>
        </w:rPr>
      </w:pPr>
      <w:r>
        <w:rPr>
          <w:rFonts w:ascii="Courier New" w:cs="Courier New" w:eastAsia="Courier New" w:hAnsi="Courier New"/>
          <w:sz w:val="16"/>
          <w:szCs w:val="16"/>
          <w:color w:val="auto"/>
        </w:rPr>
        <w:t>CONSEQUENCES.............</w:t>
      </w:r>
      <w:r>
        <w:rPr>
          <w:sz w:val="20"/>
          <w:szCs w:val="20"/>
          <w:color w:val="auto"/>
        </w:rPr>
        <w:tab/>
      </w:r>
      <w:r>
        <w:rPr>
          <w:rFonts w:ascii="Courier New" w:cs="Courier New" w:eastAsia="Courier New" w:hAnsi="Courier New"/>
          <w:sz w:val="15"/>
          <w:szCs w:val="15"/>
          <w:color w:val="auto"/>
        </w:rPr>
        <w:t>The exchange of notes will generally not be a</w:t>
      </w:r>
    </w:p>
    <w:p>
      <w:pPr>
        <w:spacing w:after="0" w:line="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taxable event for U.S. federal income tax purposes.</w:t>
      </w:r>
    </w:p>
    <w:p>
      <w:pPr>
        <w:spacing w:after="0" w:line="186"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6"/>
          <w:szCs w:val="16"/>
          <w:color w:val="auto"/>
        </w:rPr>
        <w:t>EXCHANGE AGENT.............</w:t>
      </w:r>
      <w:r>
        <w:rPr>
          <w:sz w:val="20"/>
          <w:szCs w:val="20"/>
          <w:color w:val="auto"/>
        </w:rPr>
        <w:tab/>
      </w:r>
      <w:r>
        <w:rPr>
          <w:rFonts w:ascii="Courier New" w:cs="Courier New" w:eastAsia="Courier New" w:hAnsi="Courier New"/>
          <w:sz w:val="15"/>
          <w:szCs w:val="15"/>
          <w:color w:val="auto"/>
        </w:rPr>
        <w:t>State Street Bank and Trust Company</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NOTES ISSUED IN EXCHANGE OFFER</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terms of the notes to be issued in the exchange offer will be substantially identical to those of the original notes except that they will be registered under the Securities Act and will not bear legends restricting transfer. The registration rights agreement will not apply to the new notes. The new notes will evidence the same debt as the original notes and both series of notes will be entitled to the benefits of the indenture and treated as a single class of debt securities.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AMOUNT OF NOTES</w:t>
      </w:r>
    </w:p>
    <w:p>
      <w:pPr>
        <w:spacing w:after="0"/>
        <w:tabs>
          <w:tab w:leader="none" w:pos="2700" w:val="left"/>
        </w:tabs>
        <w:rPr>
          <w:sz w:val="20"/>
          <w:szCs w:val="20"/>
          <w:color w:val="auto"/>
        </w:rPr>
      </w:pPr>
      <w:r>
        <w:rPr>
          <w:rFonts w:ascii="Courier New" w:cs="Courier New" w:eastAsia="Courier New" w:hAnsi="Courier New"/>
          <w:sz w:val="16"/>
          <w:szCs w:val="16"/>
          <w:color w:val="auto"/>
        </w:rPr>
        <w:t>OFFERED....................</w:t>
      </w:r>
      <w:r>
        <w:rPr>
          <w:sz w:val="20"/>
          <w:szCs w:val="20"/>
          <w:color w:val="auto"/>
        </w:rPr>
        <w:tab/>
      </w:r>
      <w:r>
        <w:rPr>
          <w:rFonts w:ascii="Courier New" w:cs="Courier New" w:eastAsia="Courier New" w:hAnsi="Courier New"/>
          <w:sz w:val="15"/>
          <w:szCs w:val="15"/>
          <w:color w:val="auto"/>
        </w:rPr>
        <w:t>$330 million in principal amount of 8.625% Senior</w:t>
      </w:r>
    </w:p>
    <w:p>
      <w:pPr>
        <w:ind w:left="2720"/>
        <w:spacing w:after="0" w:line="237" w:lineRule="auto"/>
        <w:rPr>
          <w:sz w:val="20"/>
          <w:szCs w:val="20"/>
          <w:color w:val="auto"/>
        </w:rPr>
      </w:pPr>
      <w:r>
        <w:rPr>
          <w:rFonts w:ascii="Courier New" w:cs="Courier New" w:eastAsia="Courier New" w:hAnsi="Courier New"/>
          <w:sz w:val="16"/>
          <w:szCs w:val="16"/>
          <w:color w:val="auto"/>
        </w:rPr>
        <w:t>Subordinated Notes due 2009 registered under the</w:t>
      </w:r>
    </w:p>
    <w:p>
      <w:pPr>
        <w:ind w:left="2720"/>
        <w:spacing w:after="0"/>
        <w:rPr>
          <w:sz w:val="20"/>
          <w:szCs w:val="20"/>
          <w:color w:val="auto"/>
        </w:rPr>
      </w:pPr>
      <w:r>
        <w:rPr>
          <w:rFonts w:ascii="Courier New" w:cs="Courier New" w:eastAsia="Courier New" w:hAnsi="Courier New"/>
          <w:sz w:val="16"/>
          <w:szCs w:val="16"/>
          <w:color w:val="auto"/>
        </w:rPr>
        <w:t>Securities Act.</w:t>
      </w:r>
    </w:p>
    <w:p>
      <w:pPr>
        <w:spacing w:after="0" w:line="179"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6"/>
          <w:szCs w:val="16"/>
          <w:color w:val="auto"/>
        </w:rPr>
        <w:t>MATURITY...................</w:t>
      </w:r>
      <w:r>
        <w:rPr>
          <w:sz w:val="20"/>
          <w:szCs w:val="20"/>
          <w:color w:val="auto"/>
        </w:rPr>
        <w:tab/>
      </w:r>
      <w:r>
        <w:rPr>
          <w:rFonts w:ascii="Courier New" w:cs="Courier New" w:eastAsia="Courier New" w:hAnsi="Courier New"/>
          <w:sz w:val="15"/>
          <w:szCs w:val="15"/>
          <w:color w:val="auto"/>
        </w:rPr>
        <w:t>January 15, 2009.</w:t>
      </w:r>
    </w:p>
    <w:p>
      <w:pPr>
        <w:spacing w:after="0" w:line="179"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6"/>
          <w:szCs w:val="16"/>
          <w:color w:val="auto"/>
        </w:rPr>
        <w:t>INTEREST...................</w:t>
      </w:r>
      <w:r>
        <w:rPr>
          <w:sz w:val="20"/>
          <w:szCs w:val="20"/>
          <w:color w:val="auto"/>
        </w:rPr>
        <w:tab/>
      </w:r>
      <w:r>
        <w:rPr>
          <w:rFonts w:ascii="Courier New" w:cs="Courier New" w:eastAsia="Courier New" w:hAnsi="Courier New"/>
          <w:sz w:val="15"/>
          <w:szCs w:val="15"/>
          <w:color w:val="auto"/>
        </w:rPr>
        <w:t>Annual fixed rate -- 8.625%. Payment frequency</w:t>
      </w:r>
    </w:p>
    <w:p>
      <w:pPr>
        <w:ind w:left="2820"/>
        <w:spacing w:after="0"/>
        <w:rPr>
          <w:sz w:val="20"/>
          <w:szCs w:val="20"/>
          <w:color w:val="auto"/>
        </w:rPr>
      </w:pPr>
      <w:r>
        <w:rPr>
          <w:rFonts w:ascii="Courier New" w:cs="Courier New" w:eastAsia="Courier New" w:hAnsi="Courier New"/>
          <w:sz w:val="16"/>
          <w:szCs w:val="16"/>
          <w:color w:val="auto"/>
        </w:rPr>
        <w:t>-- every six months on January 15 and July 15.</w:t>
      </w:r>
    </w:p>
    <w:p>
      <w:pPr>
        <w:ind w:left="2720"/>
        <w:spacing w:after="0" w:line="237" w:lineRule="auto"/>
        <w:rPr>
          <w:sz w:val="20"/>
          <w:szCs w:val="20"/>
          <w:color w:val="auto"/>
        </w:rPr>
      </w:pPr>
      <w:r>
        <w:rPr>
          <w:rFonts w:ascii="Courier New" w:cs="Courier New" w:eastAsia="Courier New" w:hAnsi="Courier New"/>
          <w:sz w:val="16"/>
          <w:szCs w:val="16"/>
          <w:color w:val="auto"/>
        </w:rPr>
        <w:t>First payment -- July 15, 1999.</w:t>
      </w:r>
    </w:p>
    <w:p>
      <w:pPr>
        <w:spacing w:after="0" w:line="180"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6"/>
          <w:szCs w:val="16"/>
          <w:color w:val="auto"/>
        </w:rPr>
        <w:t>SUBSIDIARY GUARANTORS......</w:t>
      </w:r>
      <w:r>
        <w:rPr>
          <w:sz w:val="20"/>
          <w:szCs w:val="20"/>
          <w:color w:val="auto"/>
        </w:rPr>
        <w:tab/>
      </w:r>
      <w:r>
        <w:rPr>
          <w:rFonts w:ascii="Courier New" w:cs="Courier New" w:eastAsia="Courier New" w:hAnsi="Courier New"/>
          <w:sz w:val="15"/>
          <w:szCs w:val="15"/>
          <w:color w:val="auto"/>
        </w:rPr>
        <w:t>Each subsidiary guarantor is a wholly owned</w:t>
      </w:r>
    </w:p>
    <w:p>
      <w:pPr>
        <w:ind w:left="2720"/>
        <w:spacing w:after="0"/>
        <w:rPr>
          <w:sz w:val="20"/>
          <w:szCs w:val="20"/>
          <w:color w:val="auto"/>
        </w:rPr>
      </w:pPr>
      <w:r>
        <w:rPr>
          <w:rFonts w:ascii="Courier New" w:cs="Courier New" w:eastAsia="Courier New" w:hAnsi="Courier New"/>
          <w:sz w:val="16"/>
          <w:szCs w:val="16"/>
          <w:color w:val="auto"/>
        </w:rPr>
        <w:t>domestic subsidiary of Scotts. Scotts' foreign</w:t>
      </w:r>
    </w:p>
    <w:p>
      <w:pPr>
        <w:ind w:left="2720"/>
        <w:spacing w:after="0" w:line="237" w:lineRule="auto"/>
        <w:rPr>
          <w:sz w:val="20"/>
          <w:szCs w:val="20"/>
          <w:color w:val="auto"/>
        </w:rPr>
      </w:pPr>
      <w:r>
        <w:rPr>
          <w:rFonts w:ascii="Courier New" w:cs="Courier New" w:eastAsia="Courier New" w:hAnsi="Courier New"/>
          <w:sz w:val="16"/>
          <w:szCs w:val="16"/>
          <w:color w:val="auto"/>
        </w:rPr>
        <w:t>subsidiaries are not subsidiary guarantors of the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notes. If Scotts cannot make payments on the notes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when they are due, the subsidiary guarantors must</w:t>
      </w:r>
    </w:p>
    <w:p>
      <w:pPr>
        <w:ind w:left="2720"/>
        <w:spacing w:after="0"/>
        <w:rPr>
          <w:sz w:val="20"/>
          <w:szCs w:val="20"/>
          <w:color w:val="auto"/>
        </w:rPr>
      </w:pPr>
      <w:r>
        <w:rPr>
          <w:rFonts w:ascii="Courier New" w:cs="Courier New" w:eastAsia="Courier New" w:hAnsi="Courier New"/>
          <w:sz w:val="16"/>
          <w:szCs w:val="16"/>
          <w:color w:val="auto"/>
        </w:rPr>
        <w:t>make them instead.</w:t>
      </w:r>
    </w:p>
    <w:p>
      <w:pPr>
        <w:spacing w:after="0" w:line="179"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6"/>
          <w:szCs w:val="16"/>
          <w:color w:val="auto"/>
        </w:rPr>
        <w:t>RANKING....................</w:t>
      </w:r>
      <w:r>
        <w:rPr>
          <w:sz w:val="20"/>
          <w:szCs w:val="20"/>
          <w:color w:val="auto"/>
        </w:rPr>
        <w:tab/>
      </w:r>
      <w:r>
        <w:rPr>
          <w:rFonts w:ascii="Courier New" w:cs="Courier New" w:eastAsia="Courier New" w:hAnsi="Courier New"/>
          <w:sz w:val="15"/>
          <w:szCs w:val="15"/>
          <w:color w:val="auto"/>
        </w:rPr>
        <w:t>The notes and the subsidiary guarantees are</w:t>
      </w:r>
    </w:p>
    <w:p>
      <w:pPr>
        <w:ind w:left="2720"/>
        <w:spacing w:after="0"/>
        <w:rPr>
          <w:sz w:val="20"/>
          <w:szCs w:val="20"/>
          <w:color w:val="auto"/>
        </w:rPr>
      </w:pPr>
      <w:r>
        <w:rPr>
          <w:rFonts w:ascii="Courier New" w:cs="Courier New" w:eastAsia="Courier New" w:hAnsi="Courier New"/>
          <w:sz w:val="16"/>
          <w:szCs w:val="16"/>
          <w:color w:val="auto"/>
        </w:rPr>
        <w:t>unsecured senior subordinated debts. They rank</w:t>
      </w:r>
    </w:p>
    <w:p>
      <w:pPr>
        <w:ind w:left="2720"/>
        <w:spacing w:after="0" w:line="237" w:lineRule="auto"/>
        <w:rPr>
          <w:sz w:val="20"/>
          <w:szCs w:val="20"/>
          <w:color w:val="auto"/>
        </w:rPr>
      </w:pPr>
      <w:r>
        <w:rPr>
          <w:rFonts w:ascii="Courier New" w:cs="Courier New" w:eastAsia="Courier New" w:hAnsi="Courier New"/>
          <w:sz w:val="16"/>
          <w:szCs w:val="16"/>
          <w:color w:val="auto"/>
        </w:rPr>
        <w:t>behind all of Scotts' and its subsidiary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guarantors' current and future indebtedness, except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trade payables and indebtedness that expressly</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provides that it is not senior to the notes and the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subsidiary guarantees.</w:t>
      </w:r>
    </w:p>
    <w:p>
      <w:pPr>
        <w:spacing w:after="0" w:line="36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As of April 1, 2000, the notes and the subsidiary</w:t>
      </w:r>
    </w:p>
    <w:p>
      <w:pPr>
        <w:ind w:left="2720"/>
        <w:spacing w:after="0"/>
        <w:rPr>
          <w:sz w:val="20"/>
          <w:szCs w:val="20"/>
          <w:color w:val="auto"/>
        </w:rPr>
      </w:pPr>
      <w:r>
        <w:rPr>
          <w:rFonts w:ascii="Courier New" w:cs="Courier New" w:eastAsia="Courier New" w:hAnsi="Courier New"/>
          <w:sz w:val="16"/>
          <w:szCs w:val="16"/>
          <w:color w:val="auto"/>
        </w:rPr>
        <w:t>guarantees were subordinated to $830.9 million of</w:t>
      </w:r>
    </w:p>
    <w:p>
      <w:pPr>
        <w:spacing w:after="0" w:line="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senior debt. In addition, the subsidiary guarantees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will be effectively subordinated to any current</w:t>
      </w:r>
    </w:p>
    <w:p>
      <w:pPr>
        <w:ind w:left="2720"/>
        <w:spacing w:after="0"/>
        <w:rPr>
          <w:sz w:val="20"/>
          <w:szCs w:val="20"/>
          <w:color w:val="auto"/>
        </w:rPr>
      </w:pPr>
      <w:r>
        <w:rPr>
          <w:rFonts w:ascii="Courier New" w:cs="Courier New" w:eastAsia="Courier New" w:hAnsi="Courier New"/>
          <w:sz w:val="16"/>
          <w:szCs w:val="16"/>
          <w:color w:val="auto"/>
        </w:rPr>
        <w:t>operating liabilities of the non-guarantor</w:t>
      </w:r>
    </w:p>
    <w:p>
      <w:pPr>
        <w:ind w:left="2720"/>
        <w:spacing w:after="0" w:line="237" w:lineRule="auto"/>
        <w:rPr>
          <w:sz w:val="20"/>
          <w:szCs w:val="20"/>
          <w:color w:val="auto"/>
        </w:rPr>
      </w:pPr>
      <w:r>
        <w:rPr>
          <w:rFonts w:ascii="Courier New" w:cs="Courier New" w:eastAsia="Courier New" w:hAnsi="Courier New"/>
          <w:sz w:val="16"/>
          <w:szCs w:val="16"/>
          <w:color w:val="auto"/>
        </w:rPr>
        <w:t>subsidiaries, because the creditors of any</w:t>
      </w:r>
    </w:p>
    <w:p>
      <w:pPr>
        <w:ind w:left="2720"/>
        <w:spacing w:after="0"/>
        <w:rPr>
          <w:sz w:val="20"/>
          <w:szCs w:val="20"/>
          <w:color w:val="auto"/>
        </w:rPr>
      </w:pPr>
      <w:r>
        <w:rPr>
          <w:rFonts w:ascii="Courier New" w:cs="Courier New" w:eastAsia="Courier New" w:hAnsi="Courier New"/>
          <w:sz w:val="16"/>
          <w:szCs w:val="16"/>
          <w:color w:val="auto"/>
        </w:rPr>
        <w:t>non-guarantor subsidiary will be entitled to the</w:t>
      </w:r>
    </w:p>
    <w:p>
      <w:pPr>
        <w:ind w:left="2720"/>
        <w:spacing w:after="0" w:line="238" w:lineRule="auto"/>
        <w:rPr>
          <w:sz w:val="20"/>
          <w:szCs w:val="20"/>
          <w:color w:val="auto"/>
        </w:rPr>
      </w:pPr>
      <w:r>
        <w:rPr>
          <w:rFonts w:ascii="Courier New" w:cs="Courier New" w:eastAsia="Courier New" w:hAnsi="Courier New"/>
          <w:sz w:val="16"/>
          <w:szCs w:val="16"/>
          <w:color w:val="auto"/>
        </w:rPr>
        <w:t>assets of that subsidiary in payment for the</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current operating liabilities before the assets can</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be used to repay any indebtedness of Scotts. As of</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April 1, 2000, the non-guarantor subsidiaries had</w:t>
      </w:r>
    </w:p>
    <w:p>
      <w:pPr>
        <w:ind w:left="2720"/>
        <w:spacing w:after="0"/>
        <w:rPr>
          <w:sz w:val="20"/>
          <w:szCs w:val="20"/>
          <w:color w:val="auto"/>
        </w:rPr>
      </w:pPr>
      <w:r>
        <w:rPr>
          <w:rFonts w:ascii="Courier New" w:cs="Courier New" w:eastAsia="Courier New" w:hAnsi="Courier New"/>
          <w:sz w:val="16"/>
          <w:szCs w:val="16"/>
          <w:color w:val="auto"/>
        </w:rPr>
        <w:t>current operating liabilities of $162.5 million.</w:t>
      </w:r>
    </w:p>
    <w:p>
      <w:pPr>
        <w:spacing w:after="0" w:line="359"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6"/>
          <w:szCs w:val="16"/>
          <w:color w:val="auto"/>
        </w:rPr>
        <w:t>OPTIONAL REDEMPTION........</w:t>
      </w:r>
      <w:r>
        <w:rPr>
          <w:sz w:val="20"/>
          <w:szCs w:val="20"/>
          <w:color w:val="auto"/>
        </w:rPr>
        <w:tab/>
      </w:r>
      <w:r>
        <w:rPr>
          <w:rFonts w:ascii="Courier New" w:cs="Courier New" w:eastAsia="Courier New" w:hAnsi="Courier New"/>
          <w:sz w:val="15"/>
          <w:szCs w:val="15"/>
          <w:color w:val="auto"/>
        </w:rPr>
        <w:t>On or after January 15, 2004, Scotts may redeem</w:t>
      </w:r>
    </w:p>
    <w:p>
      <w:pPr>
        <w:ind w:left="2720"/>
        <w:spacing w:after="0"/>
        <w:rPr>
          <w:sz w:val="20"/>
          <w:szCs w:val="20"/>
          <w:color w:val="auto"/>
        </w:rPr>
      </w:pPr>
      <w:r>
        <w:rPr>
          <w:rFonts w:ascii="Courier New" w:cs="Courier New" w:eastAsia="Courier New" w:hAnsi="Courier New"/>
          <w:sz w:val="16"/>
          <w:szCs w:val="16"/>
          <w:color w:val="auto"/>
        </w:rPr>
        <w:t>some or all of the notes at any time at the</w:t>
      </w:r>
    </w:p>
    <w:p>
      <w:pPr>
        <w:ind w:left="2720"/>
        <w:spacing w:after="0" w:line="237" w:lineRule="auto"/>
        <w:rPr>
          <w:sz w:val="20"/>
          <w:szCs w:val="20"/>
          <w:color w:val="auto"/>
        </w:rPr>
      </w:pPr>
      <w:r>
        <w:rPr>
          <w:rFonts w:ascii="Courier New" w:cs="Courier New" w:eastAsia="Courier New" w:hAnsi="Courier New"/>
          <w:sz w:val="16"/>
          <w:szCs w:val="16"/>
          <w:color w:val="auto"/>
        </w:rPr>
        <w:t>redemption prices listed in the "Description of</w:t>
      </w:r>
    </w:p>
    <w:p>
      <w:pPr>
        <w:ind w:left="2720"/>
        <w:spacing w:after="0"/>
        <w:rPr>
          <w:sz w:val="20"/>
          <w:szCs w:val="20"/>
          <w:color w:val="auto"/>
        </w:rPr>
      </w:pPr>
      <w:r>
        <w:rPr>
          <w:rFonts w:ascii="Courier New" w:cs="Courier New" w:eastAsia="Courier New" w:hAnsi="Courier New"/>
          <w:sz w:val="16"/>
          <w:szCs w:val="16"/>
          <w:color w:val="auto"/>
        </w:rPr>
        <w:t>Notes" section under the heading "Optional</w:t>
      </w:r>
    </w:p>
    <w:p>
      <w:pPr>
        <w:ind w:left="2720"/>
        <w:spacing w:after="0" w:line="238" w:lineRule="auto"/>
        <w:rPr>
          <w:sz w:val="20"/>
          <w:szCs w:val="20"/>
          <w:color w:val="auto"/>
        </w:rPr>
      </w:pPr>
      <w:r>
        <w:rPr>
          <w:rFonts w:ascii="Courier New" w:cs="Courier New" w:eastAsia="Courier New" w:hAnsi="Courier New"/>
          <w:sz w:val="16"/>
          <w:szCs w:val="16"/>
          <w:color w:val="auto"/>
        </w:rPr>
        <w:t>Redemption."</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Before January 15, 2002, Scotts may redeem up to</w:t>
      </w:r>
    </w:p>
    <w:p>
      <w:pPr>
        <w:ind w:left="2720"/>
        <w:spacing w:after="0"/>
        <w:rPr>
          <w:sz w:val="20"/>
          <w:szCs w:val="20"/>
          <w:color w:val="auto"/>
        </w:rPr>
      </w:pPr>
      <w:r>
        <w:rPr>
          <w:rFonts w:ascii="Courier New" w:cs="Courier New" w:eastAsia="Courier New" w:hAnsi="Courier New"/>
          <w:sz w:val="16"/>
          <w:szCs w:val="16"/>
          <w:color w:val="auto"/>
        </w:rPr>
        <w:t>35% of the notes with the proceeds of one or more</w:t>
      </w:r>
    </w:p>
    <w:p>
      <w:pPr>
        <w:spacing w:after="0" w:line="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public equity offerings of Scotts' common shares at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the price listed in the "Description of Notes"</w:t>
      </w:r>
    </w:p>
    <w:p>
      <w:pPr>
        <w:ind w:left="2720"/>
        <w:spacing w:after="0"/>
        <w:rPr>
          <w:sz w:val="20"/>
          <w:szCs w:val="20"/>
          <w:color w:val="auto"/>
        </w:rPr>
      </w:pPr>
      <w:r>
        <w:rPr>
          <w:rFonts w:ascii="Courier New" w:cs="Courier New" w:eastAsia="Courier New" w:hAnsi="Courier New"/>
          <w:sz w:val="16"/>
          <w:szCs w:val="16"/>
          <w:color w:val="auto"/>
        </w:rPr>
        <w:t>section under the heading "Optional Redemption."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MANDATORY OFFER TO</w:t>
      </w:r>
    </w:p>
    <w:p>
      <w:pPr>
        <w:spacing w:after="0"/>
        <w:tabs>
          <w:tab w:leader="none" w:pos="2700" w:val="left"/>
        </w:tabs>
        <w:rPr>
          <w:sz w:val="20"/>
          <w:szCs w:val="20"/>
          <w:color w:val="auto"/>
        </w:rPr>
      </w:pPr>
      <w:r>
        <w:rPr>
          <w:rFonts w:ascii="Courier New" w:cs="Courier New" w:eastAsia="Courier New" w:hAnsi="Courier New"/>
          <w:sz w:val="16"/>
          <w:szCs w:val="16"/>
          <w:color w:val="auto"/>
        </w:rPr>
        <w:t>REPURCHASE.................</w:t>
      </w:r>
      <w:r>
        <w:rPr>
          <w:sz w:val="20"/>
          <w:szCs w:val="20"/>
          <w:color w:val="auto"/>
        </w:rPr>
        <w:tab/>
      </w:r>
      <w:r>
        <w:rPr>
          <w:rFonts w:ascii="Courier New" w:cs="Courier New" w:eastAsia="Courier New" w:hAnsi="Courier New"/>
          <w:sz w:val="15"/>
          <w:szCs w:val="15"/>
          <w:color w:val="auto"/>
        </w:rPr>
        <w:t>If Scotts sells a significant amount of assets or</w:t>
      </w:r>
    </w:p>
    <w:p>
      <w:pPr>
        <w:ind w:left="2720"/>
        <w:spacing w:after="0" w:line="237" w:lineRule="auto"/>
        <w:rPr>
          <w:sz w:val="20"/>
          <w:szCs w:val="20"/>
          <w:color w:val="auto"/>
        </w:rPr>
      </w:pPr>
      <w:r>
        <w:rPr>
          <w:rFonts w:ascii="Courier New" w:cs="Courier New" w:eastAsia="Courier New" w:hAnsi="Courier New"/>
          <w:sz w:val="16"/>
          <w:szCs w:val="16"/>
          <w:color w:val="auto"/>
        </w:rPr>
        <w:t>experiences specific kinds of changes of control,</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it must offer to repurchase the notes at the prices</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listed in the "Description of Notes" section under</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the heading "Redemption at the Option of Holders."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BASIC COVENANTS OF</w:t>
      </w:r>
    </w:p>
    <w:p>
      <w:pPr>
        <w:spacing w:after="0"/>
        <w:tabs>
          <w:tab w:leader="none" w:pos="2700" w:val="left"/>
        </w:tabs>
        <w:rPr>
          <w:sz w:val="20"/>
          <w:szCs w:val="20"/>
          <w:color w:val="auto"/>
        </w:rPr>
      </w:pPr>
      <w:r>
        <w:rPr>
          <w:rFonts w:ascii="Courier New" w:cs="Courier New" w:eastAsia="Courier New" w:hAnsi="Courier New"/>
          <w:sz w:val="16"/>
          <w:szCs w:val="16"/>
          <w:color w:val="auto"/>
        </w:rPr>
        <w:t>INDENTURE..................</w:t>
      </w:r>
      <w:r>
        <w:rPr>
          <w:sz w:val="20"/>
          <w:szCs w:val="20"/>
          <w:color w:val="auto"/>
        </w:rPr>
        <w:tab/>
      </w:r>
      <w:r>
        <w:rPr>
          <w:rFonts w:ascii="Courier New" w:cs="Courier New" w:eastAsia="Courier New" w:hAnsi="Courier New"/>
          <w:sz w:val="15"/>
          <w:szCs w:val="15"/>
          <w:color w:val="auto"/>
        </w:rPr>
        <w:t>Scotts will issue the notes under an indenture with</w:t>
      </w:r>
    </w:p>
    <w:p>
      <w:pPr>
        <w:ind w:left="2720"/>
        <w:spacing w:after="0" w:line="237" w:lineRule="auto"/>
        <w:rPr>
          <w:sz w:val="20"/>
          <w:szCs w:val="20"/>
          <w:color w:val="auto"/>
        </w:rPr>
      </w:pPr>
      <w:r>
        <w:rPr>
          <w:rFonts w:ascii="Courier New" w:cs="Courier New" w:eastAsia="Courier New" w:hAnsi="Courier New"/>
          <w:sz w:val="16"/>
          <w:szCs w:val="16"/>
          <w:color w:val="auto"/>
        </w:rPr>
        <w:t>State Street Bank and Trust Company, as trustee.</w:t>
      </w:r>
    </w:p>
    <w:p>
      <w:pPr>
        <w:ind w:left="2720"/>
        <w:spacing w:after="0"/>
        <w:rPr>
          <w:sz w:val="20"/>
          <w:szCs w:val="20"/>
          <w:color w:val="auto"/>
        </w:rPr>
      </w:pPr>
      <w:r>
        <w:rPr>
          <w:rFonts w:ascii="Courier New" w:cs="Courier New" w:eastAsia="Courier New" w:hAnsi="Courier New"/>
          <w:sz w:val="16"/>
          <w:szCs w:val="16"/>
          <w:color w:val="auto"/>
        </w:rPr>
        <w:t>The indenture restricts Scotts' ability and the</w:t>
      </w:r>
    </w:p>
    <w:p>
      <w:pPr>
        <w:ind w:left="2720"/>
        <w:spacing w:after="0" w:line="238" w:lineRule="auto"/>
        <w:rPr>
          <w:sz w:val="20"/>
          <w:szCs w:val="20"/>
          <w:color w:val="auto"/>
        </w:rPr>
      </w:pPr>
      <w:r>
        <w:rPr>
          <w:rFonts w:ascii="Courier New" w:cs="Courier New" w:eastAsia="Courier New" w:hAnsi="Courier New"/>
          <w:sz w:val="16"/>
          <w:szCs w:val="16"/>
          <w:color w:val="auto"/>
        </w:rPr>
        <w:t>ability of its subsidiaries to:</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 borrow money;</w:t>
      </w:r>
    </w:p>
    <w:p>
      <w:pPr>
        <w:spacing w:after="0" w:line="179"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 pay dividends on stock or purchase stock;</w:t>
      </w:r>
    </w:p>
    <w:p>
      <w:pPr>
        <w:sectPr>
          <w:pgSz w:w="11900" w:h="16838" w:orient="portrait"/>
          <w:cols w:equalWidth="0" w:num="1">
            <w:col w:w="10219"/>
          </w:cols>
          <w:pgMar w:left="240" w:top="293" w:right="1440" w:bottom="0" w:gutter="0" w:footer="0" w:header="0"/>
        </w:sectPr>
      </w:pPr>
    </w:p>
    <w:p>
      <w:pPr>
        <w:spacing w:after="0" w:line="1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93" w:right="1440" w:bottom="0" w:gutter="0" w:footer="0" w:header="0"/>
          <w:type w:val="continuous"/>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8</w:t>
      </w:r>
    </w:p>
    <w:p>
      <w:pPr>
        <w:spacing w:after="0" w:line="179" w:lineRule="exact"/>
        <w:rPr>
          <w:sz w:val="20"/>
          <w:szCs w:val="20"/>
          <w:color w:val="auto"/>
        </w:rPr>
      </w:pPr>
    </w:p>
    <w:p>
      <w:pPr>
        <w:ind w:left="2900" w:hanging="184"/>
        <w:spacing w:after="0"/>
        <w:tabs>
          <w:tab w:leader="none" w:pos="29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investments;</w:t>
      </w:r>
    </w:p>
    <w:p>
      <w:pPr>
        <w:spacing w:after="0" w:line="184" w:lineRule="exact"/>
        <w:rPr>
          <w:rFonts w:ascii="Courier New" w:cs="Courier New" w:eastAsia="Courier New" w:hAnsi="Courier New"/>
          <w:sz w:val="16"/>
          <w:szCs w:val="16"/>
          <w:color w:val="auto"/>
        </w:rPr>
      </w:pPr>
    </w:p>
    <w:p>
      <w:pPr>
        <w:ind w:left="2900" w:hanging="184"/>
        <w:spacing w:after="0"/>
        <w:tabs>
          <w:tab w:leader="none" w:pos="29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assets as security in other transactions; and</w:t>
      </w:r>
    </w:p>
    <w:p>
      <w:pPr>
        <w:spacing w:after="0" w:line="190" w:lineRule="exact"/>
        <w:rPr>
          <w:rFonts w:ascii="Courier New" w:cs="Courier New" w:eastAsia="Courier New" w:hAnsi="Courier New"/>
          <w:sz w:val="15"/>
          <w:szCs w:val="15"/>
          <w:color w:val="auto"/>
        </w:rPr>
      </w:pPr>
    </w:p>
    <w:p>
      <w:pPr>
        <w:ind w:left="2900" w:right="2719" w:hanging="184"/>
        <w:spacing w:after="0" w:line="236" w:lineRule="auto"/>
        <w:tabs>
          <w:tab w:leader="none" w:pos="29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a significant amount of assets or merge with or into other companies.</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For more details, see the "Description of Notes"</w:t>
      </w:r>
    </w:p>
    <w:p>
      <w:pPr>
        <w:ind w:left="2720"/>
        <w:spacing w:after="0"/>
        <w:rPr>
          <w:sz w:val="20"/>
          <w:szCs w:val="20"/>
          <w:color w:val="auto"/>
        </w:rPr>
      </w:pPr>
      <w:r>
        <w:rPr>
          <w:rFonts w:ascii="Courier New" w:cs="Courier New" w:eastAsia="Courier New" w:hAnsi="Courier New"/>
          <w:sz w:val="16"/>
          <w:szCs w:val="16"/>
          <w:color w:val="auto"/>
        </w:rPr>
        <w:t>section under the heading "Covenants."</w:t>
      </w:r>
    </w:p>
    <w:p>
      <w:pPr>
        <w:spacing w:after="0" w:line="179"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6"/>
          <w:szCs w:val="16"/>
          <w:color w:val="auto"/>
        </w:rPr>
        <w:t>RISK FACTORS...............</w:t>
      </w:r>
      <w:r>
        <w:rPr>
          <w:sz w:val="20"/>
          <w:szCs w:val="20"/>
          <w:color w:val="auto"/>
        </w:rPr>
        <w:tab/>
      </w:r>
      <w:r>
        <w:rPr>
          <w:rFonts w:ascii="Courier New" w:cs="Courier New" w:eastAsia="Courier New" w:hAnsi="Courier New"/>
          <w:sz w:val="15"/>
          <w:szCs w:val="15"/>
          <w:color w:val="auto"/>
        </w:rPr>
        <w:t>See "Risk Factors" beginning on page 9 for a</w:t>
      </w:r>
    </w:p>
    <w:p>
      <w:pPr>
        <w:ind w:left="2720"/>
        <w:spacing w:after="0"/>
        <w:rPr>
          <w:sz w:val="20"/>
          <w:szCs w:val="20"/>
          <w:color w:val="auto"/>
        </w:rPr>
      </w:pPr>
      <w:r>
        <w:rPr>
          <w:rFonts w:ascii="Courier New" w:cs="Courier New" w:eastAsia="Courier New" w:hAnsi="Courier New"/>
          <w:sz w:val="16"/>
          <w:szCs w:val="16"/>
          <w:color w:val="auto"/>
        </w:rPr>
        <w:t>discussion of factors that you should carefully</w:t>
      </w:r>
    </w:p>
    <w:p>
      <w:pPr>
        <w:ind w:left="2720"/>
        <w:spacing w:after="0" w:line="237" w:lineRule="auto"/>
        <w:rPr>
          <w:sz w:val="20"/>
          <w:szCs w:val="20"/>
          <w:color w:val="auto"/>
        </w:rPr>
      </w:pPr>
      <w:r>
        <w:rPr>
          <w:rFonts w:ascii="Courier New" w:cs="Courier New" w:eastAsia="Courier New" w:hAnsi="Courier New"/>
          <w:sz w:val="16"/>
          <w:szCs w:val="16"/>
          <w:color w:val="auto"/>
        </w:rPr>
        <w:t>consider. In particular, we note the following</w:t>
      </w:r>
    </w:p>
    <w:p>
      <w:pPr>
        <w:ind w:left="2720"/>
        <w:spacing w:after="0"/>
        <w:rPr>
          <w:sz w:val="20"/>
          <w:szCs w:val="20"/>
          <w:color w:val="auto"/>
        </w:rPr>
      </w:pPr>
      <w:r>
        <w:rPr>
          <w:rFonts w:ascii="Courier New" w:cs="Courier New" w:eastAsia="Courier New" w:hAnsi="Courier New"/>
          <w:sz w:val="16"/>
          <w:szCs w:val="16"/>
          <w:color w:val="auto"/>
        </w:rPr>
        <w:t>risks:</w:t>
      </w:r>
    </w:p>
    <w:p>
      <w:pPr>
        <w:spacing w:after="0" w:line="184" w:lineRule="exact"/>
        <w:rPr>
          <w:sz w:val="20"/>
          <w:szCs w:val="20"/>
          <w:color w:val="auto"/>
        </w:rPr>
      </w:pPr>
    </w:p>
    <w:p>
      <w:pPr>
        <w:ind w:left="2900" w:right="2899" w:hanging="184"/>
        <w:spacing w:after="0" w:line="259" w:lineRule="auto"/>
        <w:tabs>
          <w:tab w:leader="none" w:pos="2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substantial indebtedness could adversely affect our financial health and prevent us from fulfilling our obligations under the notes.</w:t>
      </w:r>
    </w:p>
    <w:p>
      <w:pPr>
        <w:spacing w:after="0" w:line="171" w:lineRule="exact"/>
        <w:rPr>
          <w:rFonts w:ascii="Courier New" w:cs="Courier New" w:eastAsia="Courier New" w:hAnsi="Courier New"/>
          <w:sz w:val="15"/>
          <w:szCs w:val="15"/>
          <w:color w:val="auto"/>
        </w:rPr>
      </w:pPr>
    </w:p>
    <w:p>
      <w:pPr>
        <w:ind w:left="2900" w:right="2999" w:hanging="184"/>
        <w:spacing w:after="0" w:line="237" w:lineRule="auto"/>
        <w:tabs>
          <w:tab w:leader="none" w:pos="29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Your right to receive payments on the notes is junior to our existing indebtedness and, possibly, all of our future borrowings.</w:t>
      </w:r>
    </w:p>
    <w:p>
      <w:pPr>
        <w:spacing w:after="0" w:line="184" w:lineRule="exact"/>
        <w:rPr>
          <w:rFonts w:ascii="Courier New" w:cs="Courier New" w:eastAsia="Courier New" w:hAnsi="Courier New"/>
          <w:sz w:val="16"/>
          <w:szCs w:val="16"/>
          <w:color w:val="auto"/>
        </w:rPr>
      </w:pPr>
    </w:p>
    <w:p>
      <w:pPr>
        <w:ind w:left="2900" w:right="3179" w:hanging="184"/>
        <w:spacing w:after="0" w:line="237" w:lineRule="auto"/>
        <w:tabs>
          <w:tab w:leader="none" w:pos="29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might not be able to integrate our recent acquisitions into our business operations successfully.</w:t>
      </w:r>
    </w:p>
    <w:p>
      <w:pPr>
        <w:spacing w:after="0" w:line="184" w:lineRule="exact"/>
        <w:rPr>
          <w:rFonts w:ascii="Courier New" w:cs="Courier New" w:eastAsia="Courier New" w:hAnsi="Courier New"/>
          <w:sz w:val="16"/>
          <w:szCs w:val="16"/>
          <w:color w:val="auto"/>
        </w:rPr>
      </w:pPr>
    </w:p>
    <w:p>
      <w:pPr>
        <w:ind w:left="2900" w:right="2719" w:hanging="184"/>
        <w:spacing w:after="0" w:line="237" w:lineRule="auto"/>
        <w:tabs>
          <w:tab w:leader="none" w:pos="29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Because of the concentration of our sales to a small number of retail customers, the loss of one or more of our top customers could adversely affect our financial results.</w:t>
      </w:r>
    </w:p>
    <w:p>
      <w:pPr>
        <w:spacing w:after="0" w:line="18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93"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9</w:t>
      </w:r>
    </w:p>
    <w:p>
      <w:pPr>
        <w:spacing w:after="0" w:line="179" w:lineRule="exact"/>
        <w:rPr>
          <w:sz w:val="20"/>
          <w:szCs w:val="20"/>
          <w:color w:val="auto"/>
        </w:rPr>
      </w:pPr>
    </w:p>
    <w:p>
      <w:pPr>
        <w:jc w:val="center"/>
        <w:ind w:right="3100"/>
        <w:spacing w:after="0"/>
        <w:rPr>
          <w:sz w:val="20"/>
          <w:szCs w:val="20"/>
          <w:color w:val="auto"/>
        </w:rPr>
      </w:pPr>
      <w:r>
        <w:rPr>
          <w:rFonts w:ascii="Courier New" w:cs="Courier New" w:eastAsia="Courier New" w:hAnsi="Courier New"/>
          <w:sz w:val="16"/>
          <w:szCs w:val="16"/>
          <w:color w:val="auto"/>
        </w:rPr>
        <w:t>SUMMARY CONSOLIDATED FINANCIAL DATA</w:t>
      </w:r>
    </w:p>
    <w:p>
      <w:pPr>
        <w:jc w:val="center"/>
        <w:ind w:right="3100"/>
        <w:spacing w:after="0"/>
        <w:rPr>
          <w:sz w:val="20"/>
          <w:szCs w:val="20"/>
          <w:color w:val="auto"/>
        </w:rPr>
      </w:pPr>
      <w:r>
        <w:rPr>
          <w:rFonts w:ascii="Courier New" w:cs="Courier New" w:eastAsia="Courier New" w:hAnsi="Courier New"/>
          <w:sz w:val="16"/>
          <w:szCs w:val="16"/>
          <w:color w:val="auto"/>
        </w:rPr>
        <w:t>(IN MILLIONS)</w:t>
      </w:r>
    </w:p>
    <w:p>
      <w:pPr>
        <w:spacing w:after="0" w:line="184" w:lineRule="exact"/>
        <w:rPr>
          <w:sz w:val="20"/>
          <w:szCs w:val="20"/>
          <w:color w:val="auto"/>
        </w:rPr>
      </w:pPr>
    </w:p>
    <w:p>
      <w:pPr>
        <w:ind w:right="3100" w:firstLine="469"/>
        <w:spacing w:after="0" w:line="238" w:lineRule="auto"/>
        <w:rPr>
          <w:sz w:val="20"/>
          <w:szCs w:val="20"/>
          <w:color w:val="auto"/>
        </w:rPr>
      </w:pPr>
      <w:r>
        <w:rPr>
          <w:rFonts w:ascii="Courier New" w:cs="Courier New" w:eastAsia="Courier New" w:hAnsi="Courier New"/>
          <w:sz w:val="16"/>
          <w:szCs w:val="16"/>
          <w:color w:val="auto"/>
        </w:rPr>
        <w:t>We have derived the historical financial data included in the following summary financial data from our audited and unaudited consolidated financial statements which are incorporated by reference. You should read the following information in conjunction with our consolidated financial statements and the related notes and the information contained in "Management's Discussion and Analysis of Financial Condition and Results of Operations," all of which we are incorporating in this prospectus.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8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SIX-MONTHS</w:t>
            </w:r>
          </w:p>
        </w:tc>
      </w:tr>
      <w:tr>
        <w:trPr>
          <w:trHeight w:val="180"/>
        </w:trPr>
        <w:tc>
          <w:tcPr>
            <w:tcW w:w="5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8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ENDED</w:t>
            </w:r>
          </w:p>
        </w:tc>
      </w:tr>
      <w:tr>
        <w:trPr>
          <w:trHeight w:val="180"/>
        </w:trPr>
        <w:tc>
          <w:tcPr>
            <w:tcW w:w="572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YEAR ENDED</w:t>
            </w:r>
          </w:p>
        </w:tc>
        <w:tc>
          <w:tcPr>
            <w:tcW w:w="1680" w:type="dxa"/>
            <w:vAlign w:val="bottom"/>
            <w:gridSpan w:val="3"/>
          </w:tcPr>
          <w:p>
            <w:pPr>
              <w:jc w:val="right"/>
              <w:ind w:right="282"/>
              <w:spacing w:after="0"/>
              <w:rPr>
                <w:sz w:val="20"/>
                <w:szCs w:val="20"/>
                <w:color w:val="auto"/>
              </w:rPr>
            </w:pPr>
            <w:r>
              <w:rPr>
                <w:rFonts w:ascii="Courier New" w:cs="Courier New" w:eastAsia="Courier New" w:hAnsi="Courier New"/>
                <w:sz w:val="16"/>
                <w:szCs w:val="16"/>
                <w:color w:val="auto"/>
              </w:rPr>
              <w:t>SEPTEMBER 30,</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jc w:val="right"/>
              <w:ind w:right="82"/>
              <w:spacing w:after="0"/>
              <w:rPr>
                <w:sz w:val="20"/>
                <w:szCs w:val="20"/>
                <w:color w:val="auto"/>
              </w:rPr>
            </w:pPr>
            <w:r>
              <w:rPr>
                <w:rFonts w:ascii="Courier New" w:cs="Courier New" w:eastAsia="Courier New" w:hAnsi="Courier New"/>
                <w:sz w:val="16"/>
                <w:szCs w:val="16"/>
                <w:color w:val="auto"/>
              </w:rPr>
              <w:t>APRIL 3,</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APRIL 1,</w:t>
            </w:r>
          </w:p>
        </w:tc>
      </w:tr>
      <w:tr>
        <w:trPr>
          <w:trHeight w:val="180"/>
        </w:trPr>
        <w:tc>
          <w:tcPr>
            <w:tcW w:w="5720" w:type="dxa"/>
            <w:vAlign w:val="bottom"/>
          </w:tcPr>
          <w:p>
            <w:pPr>
              <w:spacing w:after="0"/>
              <w:rPr>
                <w:sz w:val="15"/>
                <w:szCs w:val="15"/>
                <w:color w:val="auto"/>
              </w:rPr>
            </w:pPr>
          </w:p>
        </w:tc>
        <w:tc>
          <w:tcPr>
            <w:tcW w:w="940" w:type="dxa"/>
            <w:vAlign w:val="bottom"/>
          </w:tcPr>
          <w:p>
            <w:pPr>
              <w:jc w:val="right"/>
              <w:ind w:right="303"/>
              <w:spacing w:after="0"/>
              <w:rPr>
                <w:sz w:val="20"/>
                <w:szCs w:val="20"/>
                <w:color w:val="auto"/>
              </w:rPr>
            </w:pPr>
            <w:r>
              <w:rPr>
                <w:rFonts w:ascii="Courier New" w:cs="Courier New" w:eastAsia="Courier New" w:hAnsi="Courier New"/>
                <w:sz w:val="16"/>
                <w:szCs w:val="16"/>
                <w:color w:val="auto"/>
              </w:rPr>
              <w:t>1997</w:t>
            </w:r>
          </w:p>
        </w:tc>
        <w:tc>
          <w:tcPr>
            <w:tcW w:w="88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1998</w:t>
            </w:r>
          </w:p>
        </w:tc>
        <w:tc>
          <w:tcPr>
            <w:tcW w:w="280" w:type="dxa"/>
            <w:vAlign w:val="bottom"/>
          </w:tcPr>
          <w:p>
            <w:pPr>
              <w:spacing w:after="0"/>
              <w:rPr>
                <w:sz w:val="15"/>
                <w:szCs w:val="15"/>
                <w:color w:val="auto"/>
              </w:rPr>
            </w:pPr>
          </w:p>
        </w:tc>
        <w:tc>
          <w:tcPr>
            <w:tcW w:w="8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1999</w:t>
            </w: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1999</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2000</w:t>
            </w:r>
          </w:p>
        </w:tc>
      </w:tr>
      <w:tr>
        <w:trPr>
          <w:trHeight w:val="180"/>
        </w:trPr>
        <w:tc>
          <w:tcPr>
            <w:tcW w:w="572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3"/>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8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720" w:type="dxa"/>
            <w:vAlign w:val="bottom"/>
          </w:tcPr>
          <w:p>
            <w:pPr>
              <w:jc w:val="right"/>
              <w:ind w:right="4242"/>
              <w:spacing w:after="0"/>
              <w:rPr>
                <w:sz w:val="20"/>
                <w:szCs w:val="20"/>
                <w:color w:val="auto"/>
              </w:rPr>
            </w:pPr>
            <w:r>
              <w:rPr>
                <w:rFonts w:ascii="Courier New" w:cs="Courier New" w:eastAsia="Courier New" w:hAnsi="Courier New"/>
                <w:sz w:val="16"/>
                <w:szCs w:val="16"/>
                <w:color w:val="auto"/>
                <w:w w:val="95"/>
              </w:rPr>
              <w:t>OPERATING DATA:</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Sales.....................................................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$899.3</w:t>
            </w:r>
          </w:p>
        </w:tc>
        <w:tc>
          <w:tcPr>
            <w:tcW w:w="8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3"/>
              </w:rPr>
              <w:t>$1,113.0</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$1,648.3</w:t>
            </w: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$815.9</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$912.3</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Cost of sales.............................................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573.6</w:t>
            </w:r>
          </w:p>
        </w:tc>
        <w:tc>
          <w:tcPr>
            <w:tcW w:w="280" w:type="dxa"/>
            <w:vAlign w:val="bottom"/>
          </w:tcPr>
          <w:p>
            <w:pPr>
              <w:spacing w:after="0"/>
              <w:rPr>
                <w:sz w:val="15"/>
                <w:szCs w:val="15"/>
                <w:color w:val="auto"/>
              </w:rPr>
            </w:pP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1"/>
              </w:rPr>
              <w:t>715.0</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989.1</w:t>
            </w: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482.3</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525.3</w:t>
            </w:r>
          </w:p>
        </w:tc>
      </w:tr>
      <w:tr>
        <w:trPr>
          <w:trHeight w:val="180"/>
        </w:trPr>
        <w:tc>
          <w:tcPr>
            <w:tcW w:w="572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3"/>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Gross profit..............................................</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325.7</w:t>
            </w:r>
          </w:p>
        </w:tc>
        <w:tc>
          <w:tcPr>
            <w:tcW w:w="280" w:type="dxa"/>
            <w:vAlign w:val="bottom"/>
          </w:tcPr>
          <w:p>
            <w:pPr>
              <w:spacing w:after="0"/>
              <w:rPr>
                <w:sz w:val="15"/>
                <w:szCs w:val="15"/>
                <w:color w:val="auto"/>
              </w:rPr>
            </w:pP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1"/>
              </w:rPr>
              <w:t>398.0</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659.2</w:t>
            </w: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333.6</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387.0</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Net commission earned from Roundup agency agreement.......</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28.7</w:t>
            </w: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16.8</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5.9</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Advertising and promotion.................................</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83.9</w:t>
            </w:r>
          </w:p>
        </w:tc>
        <w:tc>
          <w:tcPr>
            <w:tcW w:w="280" w:type="dxa"/>
            <w:vAlign w:val="bottom"/>
          </w:tcPr>
          <w:p>
            <w:pPr>
              <w:spacing w:after="0"/>
              <w:rPr>
                <w:sz w:val="15"/>
                <w:szCs w:val="15"/>
                <w:color w:val="auto"/>
              </w:rPr>
            </w:pP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1"/>
              </w:rPr>
              <w:t>104.4</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189.0</w:t>
            </w: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102.7</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121.9</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Selling, general &amp; administrative.........................</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131.6</w:t>
            </w:r>
          </w:p>
        </w:tc>
        <w:tc>
          <w:tcPr>
            <w:tcW w:w="280" w:type="dxa"/>
            <w:vAlign w:val="bottom"/>
          </w:tcPr>
          <w:p>
            <w:pPr>
              <w:spacing w:after="0"/>
              <w:rPr>
                <w:sz w:val="15"/>
                <w:szCs w:val="15"/>
                <w:color w:val="auto"/>
              </w:rPr>
            </w:pP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1"/>
              </w:rPr>
              <w:t>169.9</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281.2</w:t>
            </w: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126.4</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153.1</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Amortization of goodwill and other intangibles............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10.2</w:t>
            </w:r>
          </w:p>
        </w:tc>
        <w:tc>
          <w:tcPr>
            <w:tcW w:w="280" w:type="dxa"/>
            <w:vAlign w:val="bottom"/>
          </w:tcPr>
          <w:p>
            <w:pPr>
              <w:spacing w:after="0"/>
              <w:rPr>
                <w:sz w:val="15"/>
                <w:szCs w:val="15"/>
                <w:color w:val="auto"/>
              </w:rPr>
            </w:pP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12.9</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23.8</w:t>
            </w: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9.4</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13.0</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Restructuring and other charges...........................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15.4</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w:t>
            </w: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1.4</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Other expense (income), net...............................</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5.2</w:t>
            </w:r>
          </w:p>
        </w:tc>
        <w:tc>
          <w:tcPr>
            <w:tcW w:w="280" w:type="dxa"/>
            <w:vAlign w:val="bottom"/>
          </w:tcPr>
          <w:p>
            <w:pPr>
              <w:spacing w:after="0"/>
              <w:rPr>
                <w:sz w:val="15"/>
                <w:szCs w:val="15"/>
                <w:color w:val="auto"/>
              </w:rPr>
            </w:pP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w:t>
            </w:r>
          </w:p>
        </w:tc>
        <w:tc>
          <w:tcPr>
            <w:tcW w:w="28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(3.6)</w:t>
            </w: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0.3</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0"/>
        </w:trPr>
        <w:tc>
          <w:tcPr>
            <w:tcW w:w="572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3"/>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Income from operations....................................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94.8</w:t>
            </w:r>
          </w:p>
        </w:tc>
        <w:tc>
          <w:tcPr>
            <w:tcW w:w="280" w:type="dxa"/>
            <w:vAlign w:val="bottom"/>
          </w:tcPr>
          <w:p>
            <w:pPr>
              <w:spacing w:after="0"/>
              <w:rPr>
                <w:sz w:val="15"/>
                <w:szCs w:val="15"/>
                <w:color w:val="auto"/>
              </w:rPr>
            </w:pP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94.1</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196.1</w:t>
            </w: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110.2</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106.8</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Interest expense..........................................</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25.2</w:t>
            </w:r>
          </w:p>
        </w:tc>
        <w:tc>
          <w:tcPr>
            <w:tcW w:w="280" w:type="dxa"/>
            <w:vAlign w:val="bottom"/>
          </w:tcPr>
          <w:p>
            <w:pPr>
              <w:spacing w:after="0"/>
              <w:rPr>
                <w:sz w:val="15"/>
                <w:szCs w:val="15"/>
                <w:color w:val="auto"/>
              </w:rPr>
            </w:pP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32.2</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79.1</w:t>
            </w: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34.4</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49.6</w:t>
            </w:r>
          </w:p>
        </w:tc>
      </w:tr>
      <w:tr>
        <w:trPr>
          <w:trHeight w:val="180"/>
        </w:trPr>
        <w:tc>
          <w:tcPr>
            <w:tcW w:w="572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3"/>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Income before income taxes................................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69.6</w:t>
            </w:r>
          </w:p>
        </w:tc>
        <w:tc>
          <w:tcPr>
            <w:tcW w:w="280" w:type="dxa"/>
            <w:vAlign w:val="bottom"/>
          </w:tcPr>
          <w:p>
            <w:pPr>
              <w:spacing w:after="0"/>
              <w:rPr>
                <w:sz w:val="15"/>
                <w:szCs w:val="15"/>
                <w:color w:val="auto"/>
              </w:rPr>
            </w:pP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61.9</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117.0</w:t>
            </w: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75.8</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57.2</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Income taxes..............................................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30.1</w:t>
            </w:r>
          </w:p>
        </w:tc>
        <w:tc>
          <w:tcPr>
            <w:tcW w:w="280" w:type="dxa"/>
            <w:vAlign w:val="bottom"/>
          </w:tcPr>
          <w:p>
            <w:pPr>
              <w:spacing w:after="0"/>
              <w:rPr>
                <w:sz w:val="15"/>
                <w:szCs w:val="15"/>
                <w:color w:val="auto"/>
              </w:rPr>
            </w:pP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24.9</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47.9</w:t>
            </w: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31.1</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23.2</w:t>
            </w:r>
          </w:p>
        </w:tc>
      </w:tr>
      <w:tr>
        <w:trPr>
          <w:trHeight w:val="180"/>
        </w:trPr>
        <w:tc>
          <w:tcPr>
            <w:tcW w:w="572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3"/>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Income before extraordinary item..........................</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39.5</w:t>
            </w:r>
          </w:p>
        </w:tc>
        <w:tc>
          <w:tcPr>
            <w:tcW w:w="280" w:type="dxa"/>
            <w:vAlign w:val="bottom"/>
          </w:tcPr>
          <w:p>
            <w:pPr>
              <w:spacing w:after="0"/>
              <w:rPr>
                <w:sz w:val="15"/>
                <w:szCs w:val="15"/>
                <w:color w:val="auto"/>
              </w:rPr>
            </w:pP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37.0</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69.1</w:t>
            </w: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44.7</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34.0</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Extraordinary loss on early extinguishment of debt, net of</w:t>
            </w: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income tax benefit......................................</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0.7</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5.9</w:t>
            </w: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5.8</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3"/>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Net income................................................</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39.5</w:t>
            </w:r>
          </w:p>
        </w:tc>
        <w:tc>
          <w:tcPr>
            <w:tcW w:w="280" w:type="dxa"/>
            <w:vAlign w:val="bottom"/>
          </w:tcPr>
          <w:p>
            <w:pPr>
              <w:spacing w:after="0"/>
              <w:rPr>
                <w:sz w:val="15"/>
                <w:szCs w:val="15"/>
                <w:color w:val="auto"/>
              </w:rPr>
            </w:pP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36.3</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63.2</w:t>
            </w: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38.9</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34.0</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Preferred stock dividends.................................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9.8</w:t>
            </w:r>
          </w:p>
        </w:tc>
        <w:tc>
          <w:tcPr>
            <w:tcW w:w="280" w:type="dxa"/>
            <w:vAlign w:val="bottom"/>
          </w:tcPr>
          <w:p>
            <w:pPr>
              <w:spacing w:after="0"/>
              <w:rPr>
                <w:sz w:val="15"/>
                <w:szCs w:val="15"/>
                <w:color w:val="auto"/>
              </w:rPr>
            </w:pP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9.8</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9.7</w:t>
            </w: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4.9</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6.4</w:t>
            </w:r>
          </w:p>
        </w:tc>
      </w:tr>
      <w:tr>
        <w:trPr>
          <w:trHeight w:val="180"/>
        </w:trPr>
        <w:tc>
          <w:tcPr>
            <w:tcW w:w="572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3"/>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Income applicable to common shareholders..................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$ 29.7</w:t>
            </w:r>
          </w:p>
        </w:tc>
        <w:tc>
          <w:tcPr>
            <w:tcW w:w="280" w:type="dxa"/>
            <w:vAlign w:val="bottom"/>
          </w:tcPr>
          <w:p>
            <w:pPr>
              <w:jc w:val="right"/>
              <w:ind w:right="126"/>
              <w:spacing w:after="0"/>
              <w:rPr>
                <w:sz w:val="20"/>
                <w:szCs w:val="20"/>
                <w:color w:val="auto"/>
              </w:rPr>
            </w:pPr>
            <w:r>
              <w:rPr>
                <w:rFonts w:ascii="Courier New" w:cs="Courier New" w:eastAsia="Courier New" w:hAnsi="Courier New"/>
                <w:sz w:val="13"/>
                <w:szCs w:val="13"/>
                <w:color w:val="auto"/>
                <w:w w:val="76"/>
              </w:rPr>
              <w:t>$</w:t>
            </w: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26.5</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53.5</w:t>
            </w: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$ 34.0</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$ 27.6</w:t>
            </w:r>
          </w:p>
        </w:tc>
      </w:tr>
      <w:tr>
        <w:trPr>
          <w:trHeight w:val="180"/>
        </w:trPr>
        <w:tc>
          <w:tcPr>
            <w:tcW w:w="572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3"/>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4242"/>
              <w:spacing w:after="0"/>
              <w:rPr>
                <w:sz w:val="20"/>
                <w:szCs w:val="20"/>
                <w:color w:val="auto"/>
              </w:rPr>
            </w:pPr>
            <w:r>
              <w:rPr>
                <w:rFonts w:ascii="Courier New" w:cs="Courier New" w:eastAsia="Courier New" w:hAnsi="Courier New"/>
                <w:sz w:val="16"/>
                <w:szCs w:val="16"/>
                <w:color w:val="auto"/>
                <w:w w:val="95"/>
              </w:rPr>
              <w:t>PER SHARE DATA:</w:t>
            </w: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Basic earnings per common share before extraordinary</w:t>
            </w: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items...................................................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$ 1.60</w:t>
            </w:r>
          </w:p>
        </w:tc>
        <w:tc>
          <w:tcPr>
            <w:tcW w:w="280" w:type="dxa"/>
            <w:vAlign w:val="bottom"/>
          </w:tcPr>
          <w:p>
            <w:pPr>
              <w:jc w:val="right"/>
              <w:ind w:right="126"/>
              <w:spacing w:after="0"/>
              <w:rPr>
                <w:sz w:val="20"/>
                <w:szCs w:val="20"/>
                <w:color w:val="auto"/>
              </w:rPr>
            </w:pPr>
            <w:r>
              <w:rPr>
                <w:rFonts w:ascii="Courier New" w:cs="Courier New" w:eastAsia="Courier New" w:hAnsi="Courier New"/>
                <w:sz w:val="13"/>
                <w:szCs w:val="13"/>
                <w:color w:val="auto"/>
                <w:w w:val="76"/>
              </w:rPr>
              <w:t>$</w:t>
            </w: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1.46</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3.25</w:t>
            </w: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$ 2.17</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$ 0.99</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Basic earnings per common share...........................</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$ 1.60</w:t>
            </w:r>
          </w:p>
        </w:tc>
        <w:tc>
          <w:tcPr>
            <w:tcW w:w="280" w:type="dxa"/>
            <w:vAlign w:val="bottom"/>
          </w:tcPr>
          <w:p>
            <w:pPr>
              <w:jc w:val="right"/>
              <w:ind w:right="126"/>
              <w:spacing w:after="0"/>
              <w:rPr>
                <w:sz w:val="20"/>
                <w:szCs w:val="20"/>
                <w:color w:val="auto"/>
              </w:rPr>
            </w:pPr>
            <w:r>
              <w:rPr>
                <w:rFonts w:ascii="Courier New" w:cs="Courier New" w:eastAsia="Courier New" w:hAnsi="Courier New"/>
                <w:sz w:val="13"/>
                <w:szCs w:val="13"/>
                <w:color w:val="auto"/>
                <w:w w:val="76"/>
              </w:rPr>
              <w:t>$</w:t>
            </w: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1.42</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2.93</w:t>
            </w: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$ 1.85</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$ 0.99</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Diluted earnings per common share before extraordinary</w:t>
            </w: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items...................................................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$ 1.35</w:t>
            </w:r>
          </w:p>
        </w:tc>
        <w:tc>
          <w:tcPr>
            <w:tcW w:w="280" w:type="dxa"/>
            <w:vAlign w:val="bottom"/>
          </w:tcPr>
          <w:p>
            <w:pPr>
              <w:jc w:val="right"/>
              <w:ind w:right="126"/>
              <w:spacing w:after="0"/>
              <w:rPr>
                <w:sz w:val="20"/>
                <w:szCs w:val="20"/>
                <w:color w:val="auto"/>
              </w:rPr>
            </w:pPr>
            <w:r>
              <w:rPr>
                <w:rFonts w:ascii="Courier New" w:cs="Courier New" w:eastAsia="Courier New" w:hAnsi="Courier New"/>
                <w:sz w:val="13"/>
                <w:szCs w:val="13"/>
                <w:color w:val="auto"/>
                <w:w w:val="76"/>
              </w:rPr>
              <w:t>$</w:t>
            </w: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1.22</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2.27</w:t>
            </w: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$ 1.48</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$ 0.93</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Diluted earnings per common share.........................</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$ 1.35</w:t>
            </w:r>
          </w:p>
        </w:tc>
        <w:tc>
          <w:tcPr>
            <w:tcW w:w="280" w:type="dxa"/>
            <w:vAlign w:val="bottom"/>
          </w:tcPr>
          <w:p>
            <w:pPr>
              <w:jc w:val="right"/>
              <w:ind w:right="126"/>
              <w:spacing w:after="0"/>
              <w:rPr>
                <w:sz w:val="20"/>
                <w:szCs w:val="20"/>
                <w:color w:val="auto"/>
              </w:rPr>
            </w:pPr>
            <w:r>
              <w:rPr>
                <w:rFonts w:ascii="Courier New" w:cs="Courier New" w:eastAsia="Courier New" w:hAnsi="Courier New"/>
                <w:sz w:val="13"/>
                <w:szCs w:val="13"/>
                <w:color w:val="auto"/>
                <w:w w:val="76"/>
              </w:rPr>
              <w:t>$</w:t>
            </w: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2.08</w:t>
            </w: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$ 1.29</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$ 0.93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AS OF APRIL 1, 2000</w:t>
            </w:r>
          </w:p>
        </w:tc>
      </w:tr>
      <w:tr>
        <w:trPr>
          <w:trHeight w:val="180"/>
        </w:trPr>
        <w:tc>
          <w:tcPr>
            <w:tcW w:w="57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1880" w:type="dxa"/>
            <w:vAlign w:val="bottom"/>
          </w:tcPr>
          <w:p>
            <w:pPr>
              <w:spacing w:after="0"/>
              <w:rPr>
                <w:sz w:val="24"/>
                <w:szCs w:val="24"/>
                <w:color w:val="auto"/>
              </w:rPr>
            </w:pP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Working capital.............................................</w:t>
            </w:r>
          </w:p>
        </w:tc>
        <w:tc>
          <w:tcPr>
            <w:tcW w:w="18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  381.9</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Total assets................................................</w:t>
            </w:r>
          </w:p>
        </w:tc>
        <w:tc>
          <w:tcPr>
            <w:tcW w:w="18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2,272.3</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Total debt..................................................</w:t>
            </w:r>
          </w:p>
        </w:tc>
        <w:tc>
          <w:tcPr>
            <w:tcW w:w="18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1,197.9</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Total shareholders' equity..................................</w:t>
            </w:r>
          </w:p>
        </w:tc>
        <w:tc>
          <w:tcPr>
            <w:tcW w:w="18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442.5</w:t>
            </w:r>
          </w:p>
        </w:tc>
      </w:tr>
    </w:tbl>
    <w:p>
      <w:pPr>
        <w:spacing w:after="0" w:line="200" w:lineRule="exact"/>
        <w:rPr>
          <w:sz w:val="20"/>
          <w:szCs w:val="20"/>
          <w:color w:val="auto"/>
        </w:rPr>
      </w:pPr>
    </w:p>
    <w:p>
      <w:pPr>
        <w:sectPr>
          <w:pgSz w:w="11900" w:h="16838" w:orient="portrait"/>
          <w:cols w:equalWidth="0" w:num="1">
            <w:col w:w="10500"/>
          </w:cols>
          <w:pgMar w:left="240" w:top="293" w:right="1159" w:bottom="1440" w:gutter="0" w:footer="0" w:header="0"/>
        </w:sectPr>
      </w:pPr>
    </w:p>
    <w:p>
      <w:pPr>
        <w:spacing w:after="0" w:line="34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500"/>
          </w:cols>
          <w:pgMar w:left="240" w:top="293" w:right="1159" w:bottom="1440"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10</w:t>
      </w:r>
    </w:p>
    <w:p>
      <w:pPr>
        <w:spacing w:after="0" w:line="179"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RISK FACTORS</w:t>
      </w:r>
    </w:p>
    <w:p>
      <w:pPr>
        <w:spacing w:after="0" w:line="185"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OUR SUBSTANTIAL INDEBTEDNESS COULD ADVERSELY AFFECT OUR FINANCIAL HEALTH AND PREVENT US FROM FULFILLING OUR OBLIGATIONS UNDER THE NOTES.</w:t>
      </w:r>
    </w:p>
    <w:p>
      <w:pPr>
        <w:spacing w:after="0" w:line="36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following table shows our outstanding indebtedness as of April 1,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20" w:type="dxa"/>
            <w:vAlign w:val="bottom"/>
          </w:tcPr>
          <w:p>
            <w:pPr>
              <w:spacing w:after="0"/>
              <w:rPr>
                <w:sz w:val="15"/>
                <w:szCs w:val="15"/>
                <w:color w:val="auto"/>
              </w:rPr>
            </w:pPr>
          </w:p>
        </w:tc>
        <w:tc>
          <w:tcPr>
            <w:tcW w:w="21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AT APRIL 1, 2000</w:t>
            </w:r>
          </w:p>
        </w:tc>
      </w:tr>
      <w:tr>
        <w:trPr>
          <w:trHeight w:val="180"/>
        </w:trPr>
        <w:tc>
          <w:tcPr>
            <w:tcW w:w="5820" w:type="dxa"/>
            <w:vAlign w:val="bottom"/>
          </w:tcPr>
          <w:p>
            <w:pPr>
              <w:spacing w:after="0"/>
              <w:rPr>
                <w:sz w:val="15"/>
                <w:szCs w:val="15"/>
                <w:color w:val="auto"/>
              </w:rPr>
            </w:pPr>
          </w:p>
        </w:tc>
        <w:tc>
          <w:tcPr>
            <w:tcW w:w="21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5820" w:type="dxa"/>
            <w:vAlign w:val="bottom"/>
          </w:tcPr>
          <w:p>
            <w:pPr>
              <w:spacing w:after="0"/>
              <w:rPr>
                <w:sz w:val="15"/>
                <w:szCs w:val="15"/>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rPr>
              <w:t>(DOLLARS IN MILLIONS)</w:t>
            </w:r>
          </w:p>
        </w:tc>
      </w:tr>
      <w:tr>
        <w:trPr>
          <w:trHeight w:val="180"/>
        </w:trPr>
        <w:tc>
          <w:tcPr>
            <w:tcW w:w="5820" w:type="dxa"/>
            <w:vAlign w:val="bottom"/>
          </w:tcPr>
          <w:p>
            <w:pPr>
              <w:spacing w:after="0"/>
              <w:rPr>
                <w:sz w:val="15"/>
                <w:szCs w:val="15"/>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820" w:type="dxa"/>
            <w:vAlign w:val="bottom"/>
          </w:tcPr>
          <w:p>
            <w:pPr>
              <w:spacing w:after="0"/>
              <w:rPr>
                <w:sz w:val="20"/>
                <w:szCs w:val="20"/>
                <w:color w:val="auto"/>
              </w:rPr>
            </w:pPr>
            <w:r>
              <w:rPr>
                <w:rFonts w:ascii="Courier New" w:cs="Courier New" w:eastAsia="Courier New" w:hAnsi="Courier New"/>
                <w:sz w:val="16"/>
                <w:szCs w:val="16"/>
                <w:color w:val="auto"/>
              </w:rPr>
              <w:t>Total debt..................................................</w:t>
            </w:r>
          </w:p>
        </w:tc>
        <w:tc>
          <w:tcPr>
            <w:tcW w:w="214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$1,197.9</w:t>
            </w:r>
          </w:p>
        </w:tc>
      </w:tr>
      <w:tr>
        <w:trPr>
          <w:trHeight w:val="180"/>
        </w:trPr>
        <w:tc>
          <w:tcPr>
            <w:tcW w:w="582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214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442.5</w:t>
            </w:r>
          </w:p>
        </w:tc>
      </w:tr>
      <w:tr>
        <w:trPr>
          <w:trHeight w:val="180"/>
        </w:trPr>
        <w:tc>
          <w:tcPr>
            <w:tcW w:w="5820" w:type="dxa"/>
            <w:vAlign w:val="bottom"/>
          </w:tcPr>
          <w:p>
            <w:pPr>
              <w:spacing w:after="0"/>
              <w:rPr>
                <w:sz w:val="20"/>
                <w:szCs w:val="20"/>
                <w:color w:val="auto"/>
              </w:rPr>
            </w:pPr>
            <w:r>
              <w:rPr>
                <w:rFonts w:ascii="Courier New" w:cs="Courier New" w:eastAsia="Courier New" w:hAnsi="Courier New"/>
                <w:sz w:val="16"/>
                <w:szCs w:val="16"/>
                <w:color w:val="auto"/>
              </w:rPr>
              <w:t>Debt to equity ratio........................................</w:t>
            </w:r>
          </w:p>
        </w:tc>
        <w:tc>
          <w:tcPr>
            <w:tcW w:w="214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2.71:1</w:t>
            </w:r>
          </w:p>
        </w:tc>
      </w:tr>
    </w:tbl>
    <w:p>
      <w:pPr>
        <w:spacing w:after="0" w:line="200" w:lineRule="exact"/>
        <w:rPr>
          <w:sz w:val="20"/>
          <w:szCs w:val="20"/>
          <w:color w:val="auto"/>
        </w:rPr>
      </w:pPr>
    </w:p>
    <w:p>
      <w:pPr>
        <w:spacing w:after="0" w:line="34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This substantial amount of indebtedness could have important consequences to you. For example, it could:</w:t>
      </w:r>
    </w:p>
    <w:p>
      <w:pPr>
        <w:spacing w:after="0" w:line="180" w:lineRule="exact"/>
        <w:rPr>
          <w:sz w:val="20"/>
          <w:szCs w:val="20"/>
          <w:color w:val="auto"/>
        </w:rPr>
      </w:pPr>
    </w:p>
    <w:p>
      <w:pPr>
        <w:ind w:left="660" w:hanging="195"/>
        <w:spacing w:after="0"/>
        <w:tabs>
          <w:tab w:leader="none" w:pos="6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it more difficult for us to satisfy our obligations under the notes;</w:t>
      </w:r>
    </w:p>
    <w:p>
      <w:pPr>
        <w:spacing w:after="0" w:line="184" w:lineRule="exact"/>
        <w:rPr>
          <w:rFonts w:ascii="Courier New" w:cs="Courier New" w:eastAsia="Courier New" w:hAnsi="Courier New"/>
          <w:sz w:val="16"/>
          <w:szCs w:val="16"/>
          <w:color w:val="auto"/>
        </w:rPr>
      </w:pPr>
    </w:p>
    <w:p>
      <w:pPr>
        <w:ind w:left="660" w:right="3279" w:hanging="195"/>
        <w:spacing w:after="0" w:line="236" w:lineRule="auto"/>
        <w:tabs>
          <w:tab w:leader="none" w:pos="6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our vulnerability to general adverse economic and industry conditions;</w:t>
      </w:r>
    </w:p>
    <w:p>
      <w:pPr>
        <w:spacing w:after="0" w:line="184" w:lineRule="exact"/>
        <w:rPr>
          <w:rFonts w:ascii="Courier New" w:cs="Courier New" w:eastAsia="Courier New" w:hAnsi="Courier New"/>
          <w:sz w:val="16"/>
          <w:szCs w:val="16"/>
          <w:color w:val="auto"/>
        </w:rPr>
      </w:pPr>
    </w:p>
    <w:p>
      <w:pPr>
        <w:ind w:left="660" w:right="2819" w:hanging="195"/>
        <w:spacing w:after="0" w:line="263" w:lineRule="auto"/>
        <w:tabs>
          <w:tab w:leader="none" w:pos="6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ability to fund future working capital, capital expenditures, research and development costs and other general corporate requirements;</w:t>
      </w:r>
    </w:p>
    <w:p>
      <w:pPr>
        <w:spacing w:after="0" w:line="168" w:lineRule="exact"/>
        <w:rPr>
          <w:rFonts w:ascii="Courier New" w:cs="Courier New" w:eastAsia="Courier New" w:hAnsi="Courier New"/>
          <w:sz w:val="15"/>
          <w:szCs w:val="15"/>
          <w:color w:val="auto"/>
        </w:rPr>
      </w:pPr>
    </w:p>
    <w:p>
      <w:pPr>
        <w:ind w:left="660" w:right="2899" w:hanging="195"/>
        <w:spacing w:after="0" w:line="257" w:lineRule="auto"/>
        <w:tabs>
          <w:tab w:leader="none" w:pos="6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us to dedicate a substantial portion of our cash flow from operations to payments on our indebtedness, which would reduce the cash flow available to fund working capital, capital expenditures, research and development efforts and other general corporate requirements;</w:t>
      </w:r>
    </w:p>
    <w:p>
      <w:pPr>
        <w:spacing w:after="0" w:line="174" w:lineRule="exact"/>
        <w:rPr>
          <w:rFonts w:ascii="Courier New" w:cs="Courier New" w:eastAsia="Courier New" w:hAnsi="Courier New"/>
          <w:sz w:val="15"/>
          <w:szCs w:val="15"/>
          <w:color w:val="auto"/>
        </w:rPr>
      </w:pPr>
    </w:p>
    <w:p>
      <w:pPr>
        <w:ind w:left="660" w:right="3099" w:hanging="195"/>
        <w:spacing w:after="0" w:line="236" w:lineRule="auto"/>
        <w:tabs>
          <w:tab w:leader="none" w:pos="6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our flexibility in planning for, or reacting to, changes in our business and the industry in which we operate;</w:t>
      </w:r>
    </w:p>
    <w:p>
      <w:pPr>
        <w:spacing w:after="0" w:line="184"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us at a competitive disadvantage compared to our competitors that have less debt; and</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our ability to borrow additional funds.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If we fail to comply with any of the financial or other restrictive covenants of our indebtedness, the indebtedness could become due and payable in full prior to its stated due date. We cannot be sure that our lenders would waive a default or that we could pay the indebtness in full if it were accelerated.</w:t>
      </w:r>
    </w:p>
    <w:p>
      <w:pPr>
        <w:spacing w:after="0" w:line="187" w:lineRule="exact"/>
        <w:rPr>
          <w:sz w:val="20"/>
          <w:szCs w:val="20"/>
          <w:color w:val="auto"/>
        </w:rPr>
      </w:pPr>
    </w:p>
    <w:p>
      <w:pPr>
        <w:ind w:right="2719"/>
        <w:spacing w:after="0" w:line="263" w:lineRule="auto"/>
        <w:rPr>
          <w:sz w:val="20"/>
          <w:szCs w:val="20"/>
          <w:color w:val="auto"/>
        </w:rPr>
      </w:pPr>
      <w:r>
        <w:rPr>
          <w:rFonts w:ascii="Courier New" w:cs="Courier New" w:eastAsia="Courier New" w:hAnsi="Courier New"/>
          <w:sz w:val="15"/>
          <w:szCs w:val="15"/>
          <w:color w:val="auto"/>
        </w:rPr>
        <w:t>DESPITE CURRENT INDEBTEDNESS LEVELS, WE MAY STILL BE ABLE TO INCUR SUBSTANTIALLY MORE DEBT. THIS COULD FURTHER EXACERBATE THE RISKS DESCRIBED ABOVE.</w:t>
      </w:r>
    </w:p>
    <w:p>
      <w:pPr>
        <w:spacing w:after="0" w:line="16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We may be able to incur substantial additional indebtedness in the future. The terms of the indenture do not fully prohibit us from doing so. Our credit facility permits additional borrowings of up to $1.025 billion. All of those borrowings would be senior to the notes and the subsidiary guarantees. If new debt is added to our current debt levels, the related risks that we now face could intensify.</w:t>
      </w:r>
    </w:p>
    <w:p>
      <w:pPr>
        <w:spacing w:after="0" w:line="189"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TO SERVICE OUR INDEBTEDNESS, WE WILL REQUIRE A SIGNIFICANT AMOUNT OF CASH, WHICH WE MAY NOT BE ABLE TO GENERATE.</w:t>
      </w:r>
    </w:p>
    <w:p>
      <w:pPr>
        <w:spacing w:after="0" w:line="185"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Our ability to make payments on and to refinance our indebtedness, including the notes, and to fund planned capital expenditures and research and development efforts will depend on our ability to generate cash in the future. This, to some extent, is subject to general economic, financial, competitive, legislative, regulatory and other factors that are beyond our control.</w:t>
      </w:r>
    </w:p>
    <w:p>
      <w:pPr>
        <w:spacing w:after="0" w:line="17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cannot assure you that our business will generate sufficient cash flow from operations or that currently anticipated cost savings and operating improvements will be realized on schedule or at all. We also cannot assure you that future borrowings will be available to us under our credit facility in amounts sufficient to enable us to pay our indebtedness, including the notes, or to fund our other liquidity needs. We may need to refinance all or a portion of our indebtedness, including the notes, on or before maturity. We cannot assure you that we will be able to refinance any of our indebtedness on commercially reasonable terms or at all.</w:t>
      </w:r>
    </w:p>
    <w:p>
      <w:pPr>
        <w:sectPr>
          <w:pgSz w:w="11900" w:h="16838" w:orient="portrait"/>
          <w:cols w:equalWidth="0" w:num="1">
            <w:col w:w="10219"/>
          </w:cols>
          <w:pgMar w:left="240" w:top="293" w:right="1440" w:bottom="648" w:gutter="0" w:footer="0" w:header="0"/>
        </w:sectPr>
      </w:pPr>
    </w:p>
    <w:p>
      <w:pPr>
        <w:spacing w:after="0" w:line="18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93" w:right="1440" w:bottom="648" w:gutter="0" w:footer="0" w:header="0"/>
          <w:type w:val="continuous"/>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11</w:t>
      </w:r>
    </w:p>
    <w:p>
      <w:pPr>
        <w:spacing w:after="0" w:line="185" w:lineRule="exact"/>
        <w:rPr>
          <w:sz w:val="20"/>
          <w:szCs w:val="20"/>
          <w:color w:val="auto"/>
        </w:rPr>
      </w:pPr>
    </w:p>
    <w:p>
      <w:pPr>
        <w:ind w:right="3759"/>
        <w:spacing w:after="0" w:line="236" w:lineRule="auto"/>
        <w:rPr>
          <w:sz w:val="20"/>
          <w:szCs w:val="20"/>
          <w:color w:val="auto"/>
        </w:rPr>
      </w:pPr>
      <w:r>
        <w:rPr>
          <w:rFonts w:ascii="Courier New" w:cs="Courier New" w:eastAsia="Courier New" w:hAnsi="Courier New"/>
          <w:sz w:val="16"/>
          <w:szCs w:val="16"/>
          <w:color w:val="auto"/>
        </w:rPr>
        <w:t>YOUR RIGHT TO RECEIVE PAYMENTS ON THE NOTES IS JUNIOR TO OUR EXISTING INDEBTEDNESS AND, POSSIBLY, ALL OF OUR FUTURE BORROWINGS.</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The notes and the subsidiary guarantees rank behind all of our and the subsidiary guarantors' existing indebtedness and all of our and their future borrowings, except:</w:t>
      </w:r>
    </w:p>
    <w:p>
      <w:pPr>
        <w:spacing w:after="0" w:line="180" w:lineRule="exact"/>
        <w:rPr>
          <w:sz w:val="20"/>
          <w:szCs w:val="20"/>
          <w:color w:val="auto"/>
        </w:rPr>
      </w:pPr>
    </w:p>
    <w:p>
      <w:pPr>
        <w:ind w:left="660" w:hanging="195"/>
        <w:spacing w:after="0"/>
        <w:tabs>
          <w:tab w:leader="none" w:pos="6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trade payables; and</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future indebtedness that expressly provides that it ranks equal with, or is subordinated in right of payment to, the notes and the subsidiary guarantees.</w:t>
      </w:r>
    </w:p>
    <w:p>
      <w:pPr>
        <w:spacing w:after="0" w:line="185"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As a result, upon any distribution to our creditors or the creditors of the subsidiary guarantors in a bankruptcy, liquidation or reorganization or similar proceeding, the holders of senior debt will be entitled to be paid in full in cash before any payment may be made on the notes or the subsidiary guarantees.</w:t>
      </w:r>
    </w:p>
    <w:p>
      <w:pPr>
        <w:spacing w:after="0" w:line="174"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In addition, all payments on the notes and the subsidiary guarantees will be blocked in the event of a payment default on senior debt and may be blocked for up to 179 of 360 consecutive days in the event of uncured non-payment defaults on senior debt.</w:t>
      </w:r>
    </w:p>
    <w:p>
      <w:pPr>
        <w:spacing w:after="0" w:line="186"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In the event of a bankruptcy, liquidation or reorganization or similar proceeding relating to Scotts or the subsidiary guarantors, holders of the notes will participate with trade creditors and all other holders of subordinated indebtedness in the assets remaining after we have paid all of the senior debt. Because the indenture requires that amounts otherwise payable to holders of the notes in a bankruptcy or similar proceeding be paid to holders of senior debt holders of the notes may receive less, ratably, than holders of trade payables in any bankruptcy or similar proceeding. In any of these cases, we and the subsidiary guarantors may not have sufficient funds to pay all of our creditors and holders of notes may receive less, ratably, than the holders of senior debt.</w:t>
      </w:r>
    </w:p>
    <w:p>
      <w:pPr>
        <w:spacing w:after="0" w:line="359"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As of April 1, 2000, the notes and the subsidiary guarantees were subordinated to $830.9 million of senior debt, and approximately $150.5 million was available for borrowing as additional senior debt under our credit facility. We will be permitted to borrow substantial additional indebtedness, including senior debt, in the future under the terms of the indenture. In addition, the notes and the subsidiary guarantees will be effectively subordinated to the current operating liabilities, including trade payables, of all of our subsidiaries that are not subsidiary guarantors. See note 22 to our consolidated financial statements, which are incorporated by reference in this prospectus.</w:t>
      </w:r>
    </w:p>
    <w:p>
      <w:pPr>
        <w:spacing w:after="0" w:line="359"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6"/>
          <w:szCs w:val="16"/>
          <w:color w:val="auto"/>
        </w:rPr>
        <w:t>WE MIGHT NOT BE ABLE TO INTEGRATE OUR RECENT ACQUISITIONS INTO OUR BUSINESS OPERATIONS SUCCESSFULLY.</w:t>
      </w:r>
    </w:p>
    <w:p>
      <w:pPr>
        <w:spacing w:after="0" w:line="185"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We have made several substantial acquisitions in the past four years. The acquisition of the Ortho business represents the largest acquisition we have ever made. The success of any completed acquisition depends, and the success of the Ortho acquisition will depend, on our ability to integrate effectively the acquired business. We believe that our recent acquisitions provide us with significant cost saving opportunities. However, if we are not able to successfully integrate Ortho, Rhone-Poulenc Jardin or our other acquired businesses, we will not be able to maximize these cost saving opportunities. Rather, the failure to integrate these acquired businesses, because of difficulties in the assimilation of operations and products, the diversion of management's attention from other business concerns, the loss of key employees or other factors, could materially adversely affect our financial results.</w:t>
      </w:r>
    </w:p>
    <w:p>
      <w:pPr>
        <w:spacing w:after="0" w:line="178"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BECAUSE OF THE CONCENTRATION OF OUR SALES TO A SMALL NUMBER OF RETAIL CUSTOMERS, THE LOSS OF ONE OR MORE OF OUR TOP CUSTOMERS COULD ADVERSELY AFFECT OUR FINANCIAL RESULTS.</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Our top 10 North American retail customers together accounted for approximately 52% of our fiscal 1999 sales and 41% of our outstanding accounts receivable as of September 30, 1999. Our top three customers, The Home Depot, Wal-Mart and Kmart, represented approximately 17%, 12% and 9% of our fiscal 1999 sales. These customers hold significant positions in the retail lawn and garden market. The loss of, or reduction in orders from, Home Depot, Wal*Mart, Kmart or any other significant customer could have a material adverse effect on our business and our financial results, as could customer disputes regarding</w:t>
      </w:r>
    </w:p>
    <w:p>
      <w:pPr>
        <w:sectPr>
          <w:pgSz w:w="11900" w:h="16838" w:orient="portrait"/>
          <w:cols w:equalWidth="0" w:num="1">
            <w:col w:w="10219"/>
          </w:cols>
          <w:pgMar w:left="240" w:top="293" w:right="1440" w:bottom="1440" w:gutter="0" w:footer="0" w:header="0"/>
        </w:sectPr>
      </w:pPr>
    </w:p>
    <w:p>
      <w:pPr>
        <w:spacing w:after="0" w:line="173"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3" w:right="1440" w:bottom="1440" w:gutter="0" w:footer="0" w:header="0"/>
          <w:type w:val="continuous"/>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12</w:t>
      </w:r>
    </w:p>
    <w:p>
      <w:pPr>
        <w:spacing w:after="0" w:line="18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6"/>
          <w:szCs w:val="16"/>
          <w:color w:val="auto"/>
        </w:rPr>
        <w:t>shipments, fees, merchandise condition or related matters. Our inability to collect accounts receivable from any of these customers could also have a material adverse effect.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MONSANTO WERE TO TERMINATE THE MARKETING AGREEMENT FOR CONSUMER ROUNDUP(R)</w:t>
      </w:r>
    </w:p>
    <w:p>
      <w:pPr>
        <w:spacing w:after="0"/>
        <w:rPr>
          <w:sz w:val="20"/>
          <w:szCs w:val="20"/>
          <w:color w:val="auto"/>
        </w:rPr>
      </w:pPr>
      <w:r>
        <w:rPr>
          <w:rFonts w:ascii="Courier New" w:cs="Courier New" w:eastAsia="Courier New" w:hAnsi="Courier New"/>
          <w:sz w:val="16"/>
          <w:szCs w:val="16"/>
          <w:color w:val="auto"/>
        </w:rPr>
        <w:t>PRODUCTS, WE WOULD LOSE A SUBSTANTIAL SOURCE OF FUTURE EARNINGS.</w:t>
      </w:r>
    </w:p>
    <w:p>
      <w:pPr>
        <w:spacing w:after="0" w:line="184"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If we were to commit a serious default under the marketing agreement with Monsanto for consumer Roundup(R) products, Monsanto may have the right to terminate the agreement. If Monsanto were to terminate the marketing agreement rightfully, we would not be entitled to any termination fee, and we would lose all, or a significant portion, of the significant source of earnings we believe the marketing agreement provides.</w:t>
      </w:r>
    </w:p>
    <w:p>
      <w:pPr>
        <w:spacing w:after="0" w:line="189" w:lineRule="exact"/>
        <w:rPr>
          <w:sz w:val="20"/>
          <w:szCs w:val="20"/>
          <w:color w:val="auto"/>
        </w:rPr>
      </w:pPr>
    </w:p>
    <w:p>
      <w:pPr>
        <w:ind w:right="2719" w:firstLine="469"/>
        <w:spacing w:after="0" w:line="259" w:lineRule="auto"/>
        <w:rPr>
          <w:sz w:val="20"/>
          <w:szCs w:val="20"/>
          <w:color w:val="auto"/>
        </w:rPr>
      </w:pPr>
      <w:r>
        <w:rPr>
          <w:rFonts w:ascii="Courier New" w:cs="Courier New" w:eastAsia="Courier New" w:hAnsi="Courier New"/>
          <w:sz w:val="15"/>
          <w:szCs w:val="15"/>
          <w:color w:val="auto"/>
        </w:rPr>
        <w:t>Monsanto may also terminate the marketing agreement within a given region, including North America, without paying us a termination fee if sales to end user consumers, as opposed to retailers or distributors, in that region decline:</w:t>
      </w:r>
    </w:p>
    <w:p>
      <w:pPr>
        <w:spacing w:after="0" w:line="166" w:lineRule="exact"/>
        <w:rPr>
          <w:sz w:val="20"/>
          <w:szCs w:val="20"/>
          <w:color w:val="auto"/>
        </w:rPr>
      </w:pPr>
    </w:p>
    <w:p>
      <w:pPr>
        <w:ind w:left="660" w:hanging="195"/>
        <w:spacing w:after="0"/>
        <w:tabs>
          <w:tab w:leader="none" w:pos="6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 a cumulative three fiscal year period; or</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more than 5% for each of two consecutive fiscal years.</w:t>
      </w:r>
    </w:p>
    <w:p>
      <w:pPr>
        <w:spacing w:after="0" w:line="185" w:lineRule="exact"/>
        <w:rPr>
          <w:sz w:val="20"/>
          <w:szCs w:val="20"/>
          <w:color w:val="auto"/>
        </w:rPr>
      </w:pPr>
    </w:p>
    <w:p>
      <w:pPr>
        <w:ind w:right="3099" w:firstLine="469"/>
        <w:spacing w:after="0" w:line="257" w:lineRule="auto"/>
        <w:rPr>
          <w:sz w:val="20"/>
          <w:szCs w:val="20"/>
          <w:color w:val="auto"/>
        </w:rPr>
      </w:pPr>
      <w:r>
        <w:rPr>
          <w:rFonts w:ascii="Courier New" w:cs="Courier New" w:eastAsia="Courier New" w:hAnsi="Courier New"/>
          <w:sz w:val="15"/>
          <w:szCs w:val="15"/>
          <w:color w:val="auto"/>
        </w:rPr>
        <w:t>Monsanto may not terminate the marketing agreement, however, if we can demonstrate that the sales decline was caused by a severe decline in general economic conditions or a severe decline in the lawn and garden market in the region rather than by our failure to perform our duties under the agreement.</w:t>
      </w:r>
    </w:p>
    <w:p>
      <w:pPr>
        <w:spacing w:after="0" w:line="174"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THE EXPIRATION OF PATENTS RELATING TO ROUNDUP(R) AND THE SCOTTS TURF BUILDER(R) LINE OF PRODUCTS COULD SUBSTANTIALLY INCREASE OUR COMPETITION IN THE UNITED STATES.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Glyphosate, the active ingredient in Roundup(R), is covered by a patent in the United States which expires in September 2000. Sales in the United States may decline as a result of increased competition after the U.S. patent expires. Any decline in sales would adversely affect our net commission under the marketing agreement for consumer Roundup(R) products and, therefore, our financial results. A sales decline could also trigger Monsanto's regional termination right under the marketing agreement. For fiscal 1999, our commission under the Roundup marketing agreement constituted approximately 26% of our income before income taxes.</w:t>
      </w:r>
    </w:p>
    <w:p>
      <w:pPr>
        <w:spacing w:after="0" w:line="186"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Our methylene-urea product composition patent, which covers Scotts Turf Builder(R), Scotts Turf Builder(R) Plus 2(TM) with Weed Control and Scotts Turf Builder(R) with Halts(R) Crabgrass Preventer, is due to expire in July 2001 and could also result in increased competition. Any decline in sales of Turf Builder(R) products after the expiration of the methylene-urea product composition patent could adversely affect our financial results. For fiscal 1999, sales of products utilizing our methylene-urea product composition patent accounted for approximately 18% of our total sales.</w:t>
      </w:r>
    </w:p>
    <w:p>
      <w:pPr>
        <w:spacing w:after="0" w:line="185"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THE INTERESTS OF THE FORMER MIRACLE-GRO SHAREHOLDERS COULD CONFLICT WITH THOSE OF OUR OTHER SHAREHOLDERS OR THE HOLDERS OF THE NOTES.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former shareholders of Stern's Miracle-Gro Products, Inc., through the Hagedorn Partnership, L.P., beneficially own approximately 42% of the outstanding common shares of Scotts on a fully diluted basis. The former Miracle-Gro shareholders have sufficient voting power to significantly control the election of directors and the approval of other actions requiring the approval of our shareholders. The interests of the former Miracle-Gro shareholders could conflict with those of our other shareholders or the holders of the notes.</w:t>
      </w:r>
    </w:p>
    <w:p>
      <w:pPr>
        <w:spacing w:after="0" w:line="185"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OUR HISTORICAL SEASONALITY COULD IMPAIR OUR ABILITY TO MAKE INTEREST PAYMENTS ON THE NOTES.</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Because our products are used primarily in the spring and summer, our business is highly seasonal. For the past two fiscal years, approximately 70% to 75% of our sales have occurred in the combined second and third fiscal quarters. Our working capital needs and our borrowings peak near the end of our first fiscal quarter because we are generating fewer revenues while incurring expenditures in preparation for the spring selling season. If cash on hand and revenues are insufficient to cover payments due on the notes at a time</w:t>
      </w:r>
    </w:p>
    <w:p>
      <w:pPr>
        <w:sectPr>
          <w:pgSz w:w="11900" w:h="16838" w:orient="portrait"/>
          <w:cols w:equalWidth="0" w:num="1">
            <w:col w:w="10219"/>
          </w:cols>
          <w:pgMar w:left="240" w:top="293" w:right="1440" w:bottom="1440" w:gutter="0" w:footer="0" w:header="0"/>
        </w:sectPr>
      </w:pP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3" w:right="1440" w:bottom="1440" w:gutter="0" w:footer="0" w:header="0"/>
          <w:type w:val="continuous"/>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13</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when we are unable to draw on our credit facility, it could adversely affect our ability to make interest payments as required by the notes. Adverse weather conditions could heighten this risk.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ADVERSE WEATHER CONDITIONS COULD ADVERSELY IMPACT OUR FINANCIAL RESULTS.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Weather conditions in North America and Europe have a significant impact on the timing of sales in the spring selling season and overall annual sales. Periods of wet weather can slow fertilizer sales, while periods of dry, hot weather can decrease pesticide sales. In addition, an abnormally cold spring throughout North America and/or Europe could adversely affect both fertilizer and pesticides sales and, therefore, our financial results.</w:t>
      </w:r>
    </w:p>
    <w:p>
      <w:pPr>
        <w:spacing w:after="0" w:line="189"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6"/>
          <w:szCs w:val="16"/>
          <w:color w:val="auto"/>
        </w:rPr>
        <w:t>PUBLIC PERCEPTIONS THAT THE PRODUCTS WE PRODUCE AND MARKET ARE NOT SAFE COULD SIGNIFICANTLY REDUCE OUR SALES.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manufacture and market a number of complex chemical products, such as fertilizers, herbicides and pesticides, bearing one of our brands. On occasion, customers allege that some of these products fail to perform up to expectations or cause damage or injury to individuals or property. Public perception that our products are not safe, whether justified or not, could impair our reputation, damage our brand names and materially adversely affect our business by reducing our sales.</w:t>
      </w:r>
    </w:p>
    <w:p>
      <w:pPr>
        <w:spacing w:after="0" w:line="185"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COMPLIANCE WITH ENVIRONMENTAL AND OTHER PUBLIC HEALTH REGULATIONS COULD INCREASE OUR COST OF DOING BUSINESS.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Local, state, federal and foreign laws and regulations relating to environmental matters affect us in several ways. All products containing pesticides must be registered with the U.S. Environmental Protection Agency and, in many cases, with similar state and/or foreign agencies before they can be sold. The inability to obtain or the cancellation of any registration could have an adverse effect on us. The severity of the effect would depend on which products were involved, whether another product could be substituted and whether our competitors were similarly affected. We attempt to anticipate regulatory developments and maintain registrations of, and access to, substitute chemicals. We may not always be able to avoid or minimize these risks.</w:t>
      </w:r>
    </w:p>
    <w:p>
      <w:pPr>
        <w:spacing w:after="0" w:line="17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Food Quality Protection Act, enacted by the U.S. Congress in August 1996, establishes a standard for food-use pesticides, which is that a reasonable certainty of no harm will result from the cumulative effect of pesticide exposures. Under this act, the U.S. Environmental Protection Agency is evaluating the cumulative risks from dietary and non-dietary exposures to pesticides. The pesticides in our products, which are also used on foods, will be evaluated by the U.S. Environmental Protection Agency as part of this non-dietary exposure risk assessment. It is possible that the U.S. Environmental Protection Agency may decide that a pesticide we use in our products would be limited or made unavailable. We cannot predict the outcome or severity of the effect of the U.S. Environmental Protection Agency's evaluation.</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Regulations regarding the use of some pesticide and fertilizer products may include requirements that only certified or professional users may apply the products or that the products be used only in specified locations. Users may be required to post notices on properties to which products have been or will be applied and may be required to notify individuals in the vicinity that products will be applied in the future. The use of some ingredients has been banned. Even if we are able to comply with all applicable regulations and obtain all necessary registrations, we cannot be sure that our products, particularly pesticide products, will not cause injury to the environment or to people under all circumstances. The costs of compliance, remediation or products liability have adversely affected our operating results in the past and could materially affect our future quarterly or annual operating results.</w:t>
      </w:r>
    </w:p>
    <w:p>
      <w:pPr>
        <w:spacing w:after="0" w:line="188"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5"/>
          <w:szCs w:val="15"/>
          <w:color w:val="auto"/>
        </w:rPr>
        <w:t>The harvesting of peat for our organics business has come under increasing regulatory and environmental scrutiny. In the United States, state regulations frequently require us to limit our harvesting and to restore the property to its intended residual use. In some locations we have been required to create water retention ponds to control the sediment content of discharged water. In the United Kingdom, our peat extraction efforts are also the subject of legislation. Since July 1990, we have been involved in litigation with the Philadelphia</w:t>
      </w:r>
    </w:p>
    <w:p>
      <w:pPr>
        <w:ind w:left="3660"/>
        <w:spacing w:after="0" w:line="238" w:lineRule="auto"/>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93"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14</w:t>
      </w:r>
    </w:p>
    <w:p>
      <w:pPr>
        <w:spacing w:after="0" w:line="185" w:lineRule="exact"/>
        <w:rPr>
          <w:sz w:val="20"/>
          <w:szCs w:val="20"/>
          <w:color w:val="auto"/>
        </w:rPr>
      </w:pPr>
    </w:p>
    <w:p>
      <w:pPr>
        <w:ind w:right="2899"/>
        <w:spacing w:after="0" w:line="238" w:lineRule="auto"/>
        <w:rPr>
          <w:sz w:val="20"/>
          <w:szCs w:val="20"/>
          <w:color w:val="auto"/>
        </w:rPr>
      </w:pPr>
      <w:r>
        <w:rPr>
          <w:rFonts w:ascii="Courier New" w:cs="Courier New" w:eastAsia="Courier New" w:hAnsi="Courier New"/>
          <w:sz w:val="16"/>
          <w:szCs w:val="16"/>
          <w:color w:val="auto"/>
        </w:rPr>
        <w:t>District of the U.S. Army Corps of Engineers involving our peat harvesting operations at Hyponex's Lafayette, New Jersey facility. The Corps of Engineers is seeking a permanent injunction against harvesting and civil penalties in an unspecified amount. While we are unable to predict the outcome of the negotiations on this matter, we have accrued for our estimate of the probable loss. If the ultimate settlement of this proceeding differs significantly from the amount we have accrued, it could materially impact our results of operations, financial position or cash flows.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addition to the regulations already described, local, state, federal and foreign agencies regulate the disposal, handling and storage of waste and air and water discharges from our facilities. In June 1997, the Ohio Environmental Protection Agency gave us formal notice of an enforcement action concerning our old, decommissioned wastewater treatment plants that had once operated at our Marysville facility. The Ohio EPA action alleges potential surface water violations relating to possible historical sediment contamination, inadequate treatment capabilities at our existing and currently permitted wastewater treatment plants and the need for corrective action under the Resource Conservation Recovery Act. We are continuing to meet with the Ohio EPA and the Ohio Attorney General's Office to negotiate an amicable resolution of these issues. While we are currently unable to predict the ultimate outcome of this matter, as of September 30, 1999, we estimate that the range of possible loss that could be incurred in connection with this matter is $2 million to $10 million.</w:t>
      </w:r>
    </w:p>
    <w:p>
      <w:pPr>
        <w:spacing w:after="0" w:line="190"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During fiscal 1999, we made approximately $1.1 million in environmental capital expenditures and $5.9 million in other environmental expenses, compared with approximately $0.7 million in environmental capital expenditures and $3.1 million in other environmental expenses in fiscal 1998. We anticipate that environmental capital expenditures and other environmental expenses for fiscal 2000 will not differ significantly from those incurred in fiscal 1999. If we are required to significantly increase our actual capital expenditures and other environmental expenses, it could adversely affect our financial results.</w:t>
      </w:r>
    </w:p>
    <w:p>
      <w:pPr>
        <w:spacing w:after="0" w:line="173" w:lineRule="exact"/>
        <w:rPr>
          <w:sz w:val="20"/>
          <w:szCs w:val="20"/>
          <w:color w:val="auto"/>
        </w:rPr>
      </w:pPr>
    </w:p>
    <w:p>
      <w:pPr>
        <w:ind w:right="3379"/>
        <w:spacing w:after="0" w:line="237" w:lineRule="auto"/>
        <w:rPr>
          <w:sz w:val="20"/>
          <w:szCs w:val="20"/>
          <w:color w:val="auto"/>
        </w:rPr>
      </w:pPr>
      <w:r>
        <w:rPr>
          <w:rFonts w:ascii="Courier New" w:cs="Courier New" w:eastAsia="Courier New" w:hAnsi="Courier New"/>
          <w:sz w:val="16"/>
          <w:szCs w:val="16"/>
          <w:color w:val="auto"/>
        </w:rPr>
        <w:t>OUR SIGNIFICANT INTERNATIONAL OPERATIONS MAKE US MORE SUSCEPTIBLE TO FLUCTUATIONS IN CURRENCY EXCHANGE RATES AND TO THE COSTS OF INTERNATIONAL REGULATION.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currently operate manufacturing, sales and service facilities outside of North America, particularly in the United Kingdom, Germany and France. Our international operations have increased with the acquisitions of Levington, Miracle Garden, Ortho and Rhone-Poulenc Jardin and with the marketing agreement for consumer Roundup(R) products. In fiscal 1999, international sales accounted for approximately 24% of our total sales. Accordingly, we are exposed to risks associated with operations in foreign countries, including:</w:t>
      </w:r>
    </w:p>
    <w:p>
      <w:pPr>
        <w:spacing w:after="0" w:line="180" w:lineRule="exact"/>
        <w:rPr>
          <w:sz w:val="20"/>
          <w:szCs w:val="20"/>
          <w:color w:val="auto"/>
        </w:rPr>
      </w:pPr>
    </w:p>
    <w:p>
      <w:pPr>
        <w:ind w:left="660" w:hanging="195"/>
        <w:spacing w:after="0"/>
        <w:tabs>
          <w:tab w:leader="none" w:pos="6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fluctuations in currency exchange rates;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the conversion of foreign currencies into U.S. dollars;</w:t>
      </w:r>
    </w:p>
    <w:p>
      <w:pPr>
        <w:spacing w:after="0" w:line="184" w:lineRule="exact"/>
        <w:rPr>
          <w:rFonts w:ascii="Courier New" w:cs="Courier New" w:eastAsia="Courier New" w:hAnsi="Courier New"/>
          <w:sz w:val="16"/>
          <w:szCs w:val="16"/>
          <w:color w:val="auto"/>
        </w:rPr>
      </w:pPr>
    </w:p>
    <w:p>
      <w:pPr>
        <w:ind w:right="2819" w:firstLine="465"/>
        <w:spacing w:after="0" w:line="236" w:lineRule="auto"/>
        <w:tabs>
          <w:tab w:leader="none" w:pos="65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the remittance of dividends and other payments by foreign subsidiaries;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costs of compliance with local regulations; and</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historically, higher rates of inflation than in the United States.</w:t>
      </w:r>
    </w:p>
    <w:p>
      <w:pPr>
        <w:spacing w:after="0" w:line="185"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The costs related to our international operations could adversely affect our operations and financial results in the future.</w:t>
      </w:r>
    </w:p>
    <w:p>
      <w:pPr>
        <w:spacing w:after="0" w:line="185"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YOUR RIGHT TO RECEIVE PAYMENTS ON THE NOTES COULD BE ADVERSELY AFFECTED IF ANY OF OUR NON-GUARANTOR SUBSIDIARIES DECLARES BANKRUPTCY, LIQUIDATES OR REORGANIZES.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Some but not all of our subsidiaries will guarantee the notes. In the event of a bankruptcy, liquidation or reorganization of any of the non-guarantor subsidiaries, holders of their indebtedness and their trade creditors will generally be entitled to payment of their claims from the assets of those subsidiaries before any assets are made available for distribution to us. The non-guarantor subsidiaries generated approximately 24.6% of our consolidated revenues in the year ended September 30, 1999 and held approximately 29.7% of our consolidated assets as of September 30, 1999.</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3" w:right="1440" w:bottom="1440" w:gutter="0" w:footer="0" w:header="0"/>
          <w:type w:val="continuous"/>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15</w:t>
      </w:r>
    </w:p>
    <w:p>
      <w:pPr>
        <w:spacing w:after="0" w:line="185" w:lineRule="exact"/>
        <w:rPr>
          <w:sz w:val="20"/>
          <w:szCs w:val="20"/>
          <w:color w:val="auto"/>
        </w:rPr>
      </w:pPr>
    </w:p>
    <w:p>
      <w:pPr>
        <w:ind w:right="3099"/>
        <w:spacing w:after="0" w:line="263" w:lineRule="auto"/>
        <w:rPr>
          <w:sz w:val="20"/>
          <w:szCs w:val="20"/>
          <w:color w:val="auto"/>
        </w:rPr>
      </w:pPr>
      <w:r>
        <w:rPr>
          <w:rFonts w:ascii="Courier New" w:cs="Courier New" w:eastAsia="Courier New" w:hAnsi="Courier New"/>
          <w:sz w:val="15"/>
          <w:szCs w:val="15"/>
          <w:color w:val="auto"/>
        </w:rPr>
        <w:t>WE COULD EXPERIENCE DIFFICULTIES WITH OUR IMPLEMENTATION OF SAP SOFTWARE FOR ENTERPRISE RESOURCE PLANNING THAT COULD ADVERSELY AFFECT OUR OPERATIONS.</w:t>
      </w:r>
    </w:p>
    <w:p>
      <w:pPr>
        <w:spacing w:after="0" w:line="16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Our implementation of SAP software for enterprise resource planning is in progress and is currently being utilized to provide information to three of our business groups. While the implementation has not created business interruption to this point, there can be no assurance that we will not experience difficulties in the remainder of the implementation process over the next several years.</w:t>
      </w:r>
    </w:p>
    <w:p>
      <w:pPr>
        <w:spacing w:after="0" w:line="189"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WE MAY NOT HAVE THE ABILITY TO RAISE THE FUNDS NECESSARY TO FINANCE THE CHANGE OF CONTROL OFFER REQUIRED BY THE INDENTURE.</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Upon the occurrence of specific kinds of change of control events, we will be required to offer to repurchase all outstanding notes. It is possible that we will not have sufficient funds at the time of the change of control to make the required repurchase of notes or that restrictions in our credit facility will not allow repurchases. In addition, important corporate events, including leveraged recapitalizations that would increase the level of our indebtedness, would not constitute a "Change of Control" under the indenture. Therefore, if an event occurs that does not constitute a "Change of Control," we will not be required to make a repurchase offer, and you may be required to continue to hold your notes despite the event. See "Description of Notes -- Repurchase at the Option of Holders."</w:t>
      </w:r>
    </w:p>
    <w:p>
      <w:pPr>
        <w:spacing w:after="0" w:line="187"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FEDERAL AND STATE STATUTES ALLOW COURTS, UNDER SPECIFIC CIRCUMSTANCES, TO VOID THE NOTES AND THE GUARANTEES AND REQUIRE NOTEHOLDERS TO RETURN PAYMENTS RECEIVED FROM SCOTTS OR THE SUBSIDIARY GUARANTORS.</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Under the federal bankruptcy law and comparable provisions of state fraudulent transfer laws, the notes and the subsidiary guarantees could be voided. Alternatively, claims in respect of the notes or the subsidiary guarantees could be subordinated to all other debts of Scotts or any subsidiary guarantor. Either of these events could occur if Scotts or the subsidiary guarantor, at the time it incurred the indebtedness evidenced by the notes or its subsidiary guarantee received less than reasonably equivalent value or fair consideration for the incurrence of the indebtedness, and:</w:t>
      </w:r>
    </w:p>
    <w:p>
      <w:pPr>
        <w:spacing w:after="0" w:line="173" w:lineRule="exact"/>
        <w:rPr>
          <w:sz w:val="20"/>
          <w:szCs w:val="20"/>
          <w:color w:val="auto"/>
        </w:rPr>
      </w:pPr>
    </w:p>
    <w:p>
      <w:pPr>
        <w:ind w:left="660" w:right="2999" w:hanging="195"/>
        <w:spacing w:after="0" w:line="236" w:lineRule="auto"/>
        <w:tabs>
          <w:tab w:leader="none" w:pos="6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 insolvent or rendered insolvent by reason of the incurrence of the indebtedness; or</w:t>
      </w:r>
    </w:p>
    <w:p>
      <w:pPr>
        <w:spacing w:after="0" w:line="184" w:lineRule="exact"/>
        <w:rPr>
          <w:rFonts w:ascii="Courier New" w:cs="Courier New" w:eastAsia="Courier New" w:hAnsi="Courier New"/>
          <w:sz w:val="16"/>
          <w:szCs w:val="16"/>
          <w:color w:val="auto"/>
        </w:rPr>
      </w:pPr>
    </w:p>
    <w:p>
      <w:pPr>
        <w:ind w:left="660" w:right="2999" w:hanging="195"/>
        <w:spacing w:after="0" w:line="237" w:lineRule="auto"/>
        <w:tabs>
          <w:tab w:leader="none" w:pos="6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 engaged in a business or transaction for which Scotts' or the subsidiary guarantor's remaining assets constituted unreasonably small capital; or</w:t>
      </w:r>
    </w:p>
    <w:p>
      <w:pPr>
        <w:spacing w:after="0" w:line="184" w:lineRule="exact"/>
        <w:rPr>
          <w:rFonts w:ascii="Courier New" w:cs="Courier New" w:eastAsia="Courier New" w:hAnsi="Courier New"/>
          <w:sz w:val="16"/>
          <w:szCs w:val="16"/>
          <w:color w:val="auto"/>
        </w:rPr>
      </w:pPr>
    </w:p>
    <w:p>
      <w:pPr>
        <w:ind w:left="660" w:right="3179" w:hanging="195"/>
        <w:spacing w:after="0" w:line="236" w:lineRule="auto"/>
        <w:tabs>
          <w:tab w:leader="none" w:pos="6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intended to incur, or believed that it would incur, debts beyond its ability to pay as they mature.</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In addition, any payment by Scotts or any subsidiary guarantor under the notes or a subsidiary guarantee could be voided and required to be returned to Scotts or the subsidiary guarantor, or to a fund for the benefit of the creditors of Scotts or the subsidiary guarantor.</w:t>
      </w:r>
    </w:p>
    <w:p>
      <w:pPr>
        <w:spacing w:after="0" w:line="186"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measures of insolvency for purposes of these fraudulent transfer laws vary depending upon the law applied in any proceeding to determine whether a fraudulent transfer has occurred. Generally, however, Scotts or a subsidiary guarantor would be considered insolvent if:</w:t>
      </w:r>
    </w:p>
    <w:p>
      <w:pPr>
        <w:spacing w:after="0" w:line="186" w:lineRule="exact"/>
        <w:rPr>
          <w:sz w:val="20"/>
          <w:szCs w:val="20"/>
          <w:color w:val="auto"/>
        </w:rPr>
      </w:pPr>
    </w:p>
    <w:p>
      <w:pPr>
        <w:ind w:left="660" w:right="2719" w:hanging="195"/>
        <w:spacing w:after="0" w:line="236" w:lineRule="auto"/>
        <w:tabs>
          <w:tab w:leader="none" w:pos="6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 its debts, including contingent liabilities, were greater than the fair salable value of all of its assets; or</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present fair salable value of its assets were less than the amount that would be required to pay its probable liability on its existing debts, including contingent liabilities, as they become absolute and mature; or</w:t>
      </w:r>
    </w:p>
    <w:p>
      <w:pPr>
        <w:spacing w:after="0" w:line="180"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could not pay its debts as they become due.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 CANNOT BE SURE THAT AN ACTIVE TRADING MARKET WILL DEVELOP FOR THE NOTES.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notes are a new issue of securities with no established trading market and will not be listed on any securities exchange. We understand that Salomon Smith Barney is currently making a market in the original notes. However, they may cease their market-making at any time. In addition, the liquidity of the trading</w:t>
      </w:r>
    </w:p>
    <w:p>
      <w:pPr>
        <w:sectPr>
          <w:pgSz w:w="11900" w:h="16838" w:orient="portrait"/>
          <w:cols w:equalWidth="0" w:num="1">
            <w:col w:w="10219"/>
          </w:cols>
          <w:pgMar w:left="240" w:top="293" w:right="1440" w:bottom="1440" w:gutter="0" w:footer="0" w:header="0"/>
        </w:sectPr>
      </w:pPr>
    </w:p>
    <w:p>
      <w:pPr>
        <w:spacing w:after="0" w:line="187"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3" w:right="1440" w:bottom="1440" w:gutter="0" w:footer="0" w:header="0"/>
          <w:type w:val="continuous"/>
        </w:sectPr>
      </w:pPr>
    </w:p>
    <w:bookmarkStart w:id="16" w:name="page17"/>
    <w:bookmarkEnd w:id="16"/>
    <w:p>
      <w:pPr>
        <w:spacing w:after="0" w:line="7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16</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market in the notes, and the market price quoted for the notes, may be adversely affected by changes in the overall market for high yield securities and by changes in our financial performance or prospects or in the prospects for companies in our industry generally. As a result, you cannot be sure that an active trading market will develop for the notes.</w:t>
      </w:r>
    </w:p>
    <w:p>
      <w:pPr>
        <w:spacing w:after="0" w:line="182"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RECENT DEVELOPMENTS</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 OF NORTH AMERICAN PROFESSIONAL TURF BUSINESS</w:t>
      </w:r>
    </w:p>
    <w:p>
      <w:pPr>
        <w:spacing w:after="0" w:line="200" w:lineRule="exact"/>
        <w:rPr>
          <w:sz w:val="20"/>
          <w:szCs w:val="20"/>
          <w:color w:val="auto"/>
        </w:rPr>
      </w:pPr>
    </w:p>
    <w:p>
      <w:pPr>
        <w:spacing w:after="0" w:line="34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On May 31, 2000, Scotts sold its North American Professional Turf business to The Andersons, Inc. and The Nu-Gro Corporation. Scotts has not publicly disclosed the consideration, but the transaction will result in a gain of approximately $4 million in fiscal 2000.</w:t>
      </w:r>
    </w:p>
    <w:p>
      <w:pPr>
        <w:spacing w:after="0" w:line="200" w:lineRule="exact"/>
        <w:rPr>
          <w:sz w:val="20"/>
          <w:szCs w:val="20"/>
          <w:color w:val="auto"/>
        </w:rPr>
      </w:pPr>
    </w:p>
    <w:p>
      <w:pPr>
        <w:spacing w:after="0" w:line="347"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In connection with the transaction, Scotts will retain the professional horticulture and the turf seed segments of its North American Professional Business Group. In addition to their ongoing value, these segments are strategically important to Scotts' efforts to create and market value-added seeds and plants through biotechnology.</w:t>
      </w:r>
    </w:p>
    <w:p>
      <w:pPr>
        <w:spacing w:after="0" w:line="200" w:lineRule="exact"/>
        <w:rPr>
          <w:sz w:val="20"/>
          <w:szCs w:val="20"/>
          <w:color w:val="auto"/>
        </w:rPr>
      </w:pPr>
    </w:p>
    <w:p>
      <w:pPr>
        <w:spacing w:after="0" w:line="348"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Under the Professional Turf sales agreement, The Andersons acquired the rights in the U.S. only to the Pro-Turf(R), Contec(TM), AccuPro(TM) and other professional turf brands and their associated distribution network and product inventories. Nu-Gro acquired the same brands and their associated distribution network and inventories in Canada. The Scotts(R) brand name is not part of this transaction, other than for certain transitional uses.</w:t>
      </w:r>
    </w:p>
    <w:p>
      <w:pPr>
        <w:spacing w:after="0" w:line="200" w:lineRule="exact"/>
        <w:rPr>
          <w:sz w:val="20"/>
          <w:szCs w:val="20"/>
          <w:color w:val="auto"/>
        </w:rPr>
      </w:pPr>
    </w:p>
    <w:p>
      <w:pPr>
        <w:spacing w:after="0" w:line="34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transaction also includes a supply agreement under which Scotts will use its proprietary manufacturing processes to produce a value-added professional turf products for The Andersons and Nu-Gro for the U.S. and Canada, respectively.</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RECALL OF ROUNDUP(R) PULL 'N SPRAY PRODUCTS</w:t>
      </w:r>
    </w:p>
    <w:p>
      <w:pPr>
        <w:spacing w:after="0" w:line="200" w:lineRule="exact"/>
        <w:rPr>
          <w:sz w:val="20"/>
          <w:szCs w:val="20"/>
          <w:color w:val="auto"/>
        </w:rPr>
      </w:pPr>
    </w:p>
    <w:p>
      <w:pPr>
        <w:spacing w:after="0" w:line="34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Scotts has recently become aware of consumer complaints relating to the dispensing system for two pesticide products, one of which is marketed through the agency agreement with Monsanto. Scotts has brought the situation to the attention of the appropriate governmental regulatory agencies and its retail partners. It is currently initiating the following courses of action:</w:t>
      </w:r>
    </w:p>
    <w:p>
      <w:pPr>
        <w:spacing w:after="0" w:line="200" w:lineRule="exact"/>
        <w:rPr>
          <w:sz w:val="20"/>
          <w:szCs w:val="20"/>
          <w:color w:val="auto"/>
        </w:rPr>
      </w:pPr>
    </w:p>
    <w:p>
      <w:pPr>
        <w:spacing w:after="0" w:line="348" w:lineRule="exact"/>
        <w:rPr>
          <w:sz w:val="20"/>
          <w:szCs w:val="20"/>
          <w:color w:val="auto"/>
        </w:rPr>
      </w:pPr>
    </w:p>
    <w:p>
      <w:pPr>
        <w:ind w:left="660" w:right="2999" w:hanging="195"/>
        <w:spacing w:after="0" w:line="236" w:lineRule="auto"/>
        <w:tabs>
          <w:tab w:leader="none" w:pos="6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relabeling products currently in inventory and at retailers to enhance instructions on the proper use of the dispensing system;</w:t>
      </w:r>
    </w:p>
    <w:p>
      <w:pPr>
        <w:spacing w:after="0" w:line="200" w:lineRule="exact"/>
        <w:rPr>
          <w:rFonts w:ascii="Courier New" w:cs="Courier New" w:eastAsia="Courier New" w:hAnsi="Courier New"/>
          <w:sz w:val="16"/>
          <w:szCs w:val="16"/>
          <w:color w:val="auto"/>
        </w:rPr>
      </w:pPr>
    </w:p>
    <w:p>
      <w:pPr>
        <w:spacing w:after="0" w:line="340"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making adjustments to the dispensing system for those products; and</w:t>
      </w:r>
    </w:p>
    <w:p>
      <w:pPr>
        <w:spacing w:after="0" w:line="200" w:lineRule="exact"/>
        <w:rPr>
          <w:rFonts w:ascii="Courier New" w:cs="Courier New" w:eastAsia="Courier New" w:hAnsi="Courier New"/>
          <w:sz w:val="16"/>
          <w:szCs w:val="16"/>
          <w:color w:val="auto"/>
        </w:rPr>
      </w:pPr>
    </w:p>
    <w:p>
      <w:pPr>
        <w:spacing w:after="0" w:line="340"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implementing voluntary return programs.</w:t>
      </w:r>
    </w:p>
    <w:p>
      <w:pPr>
        <w:spacing w:after="0" w:line="200" w:lineRule="exact"/>
        <w:rPr>
          <w:sz w:val="20"/>
          <w:szCs w:val="20"/>
          <w:color w:val="auto"/>
        </w:rPr>
      </w:pPr>
    </w:p>
    <w:p>
      <w:pPr>
        <w:spacing w:after="0" w:line="345"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Scotts is evaluating the possible costs associated with these courses of action but, as of this date, is uncertain as to the ultimate cost. It is also uncertain what portion of the final costs will be borne by Scotts because of possible recourse under the agency agreement, possible insurance recoveries and potential recourse from third party manufacturers. Scotts anticipates that any costs that it will bear will be incurred in the third and fourth quarters of fiscal 2000.</w:t>
      </w:r>
    </w:p>
    <w:p>
      <w:pPr>
        <w:spacing w:after="0" w:line="350"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RATIO OF EARNINGS TO FIXED CHARGES</w:t>
      </w:r>
    </w:p>
    <w:p>
      <w:pPr>
        <w:spacing w:after="0" w:line="18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The following table sets forth our ratio of earnings to fixed charges for each of the periods shown:</w:t>
      </w:r>
    </w:p>
    <w:p>
      <w:pPr>
        <w:sectPr>
          <w:pgSz w:w="11900" w:h="16909" w:orient="portrait"/>
          <w:cols w:equalWidth="0" w:num="1">
            <w:col w:w="10219"/>
          </w:cols>
          <w:pgMar w:left="240" w:top="29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left="3940"/>
        <w:spacing w:after="0"/>
        <w:rPr>
          <w:sz w:val="20"/>
          <w:szCs w:val="20"/>
          <w:color w:val="auto"/>
        </w:rPr>
      </w:pPr>
      <w:r>
        <w:rPr>
          <w:rFonts w:ascii="Courier New" w:cs="Courier New" w:eastAsia="Courier New" w:hAnsi="Courier New"/>
          <w:sz w:val="16"/>
          <w:szCs w:val="16"/>
          <w:color w:val="auto"/>
        </w:rPr>
        <w:t>YEAR ENDED SEPTEMBER 30,</w:t>
      </w:r>
    </w:p>
    <w:p>
      <w:pPr>
        <w:spacing w:after="0" w:line="4" w:lineRule="exact"/>
        <w:rPr>
          <w:sz w:val="20"/>
          <w:szCs w:val="20"/>
          <w:color w:val="auto"/>
        </w:rPr>
      </w:pPr>
    </w:p>
    <w:p>
      <w:pPr>
        <w:jc w:val="center"/>
        <w:ind w:left="39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left="3940"/>
        <w:spacing w:after="0"/>
        <w:tabs>
          <w:tab w:leader="none" w:pos="340" w:val="left"/>
          <w:tab w:leader="none" w:pos="360" w:val="left"/>
          <w:tab w:leader="none" w:pos="340" w:val="left"/>
          <w:tab w:leader="none" w:pos="360" w:val="left"/>
        </w:tabs>
        <w:rPr>
          <w:sz w:val="20"/>
          <w:szCs w:val="20"/>
          <w:color w:val="auto"/>
        </w:rPr>
      </w:pPr>
      <w:r>
        <w:rPr>
          <w:rFonts w:ascii="Courier New" w:cs="Courier New" w:eastAsia="Courier New" w:hAnsi="Courier New"/>
          <w:sz w:val="16"/>
          <w:szCs w:val="16"/>
          <w:color w:val="auto"/>
        </w:rPr>
        <w:t>1995</w:t>
      </w:r>
      <w:r>
        <w:rPr>
          <w:sz w:val="20"/>
          <w:szCs w:val="20"/>
          <w:color w:val="auto"/>
        </w:rPr>
        <w:tab/>
      </w:r>
      <w:r>
        <w:rPr>
          <w:rFonts w:ascii="Courier New" w:cs="Courier New" w:eastAsia="Courier New" w:hAnsi="Courier New"/>
          <w:sz w:val="16"/>
          <w:szCs w:val="16"/>
          <w:color w:val="auto"/>
        </w:rPr>
        <w:t>1996</w:t>
      </w:r>
      <w:r>
        <w:rPr>
          <w:sz w:val="20"/>
          <w:szCs w:val="20"/>
          <w:color w:val="auto"/>
        </w:rPr>
        <w:tab/>
      </w:r>
      <w:r>
        <w:rPr>
          <w:rFonts w:ascii="Courier New" w:cs="Courier New" w:eastAsia="Courier New" w:hAnsi="Courier New"/>
          <w:sz w:val="16"/>
          <w:szCs w:val="16"/>
          <w:color w:val="auto"/>
        </w:rPr>
        <w:t>1997</w:t>
      </w:r>
      <w:r>
        <w:rPr>
          <w:sz w:val="20"/>
          <w:szCs w:val="20"/>
          <w:color w:val="auto"/>
        </w:rPr>
        <w:tab/>
      </w:r>
      <w:r>
        <w:rPr>
          <w:rFonts w:ascii="Courier New" w:cs="Courier New" w:eastAsia="Courier New" w:hAnsi="Courier New"/>
          <w:sz w:val="16"/>
          <w:szCs w:val="16"/>
          <w:color w:val="auto"/>
        </w:rPr>
        <w:t>1998</w:t>
      </w:r>
      <w:r>
        <w:rPr>
          <w:sz w:val="20"/>
          <w:szCs w:val="20"/>
          <w:color w:val="auto"/>
        </w:rPr>
        <w:tab/>
      </w:r>
      <w:r>
        <w:rPr>
          <w:rFonts w:ascii="Courier New" w:cs="Courier New" w:eastAsia="Courier New" w:hAnsi="Courier New"/>
          <w:sz w:val="15"/>
          <w:szCs w:val="15"/>
          <w:color w:val="auto"/>
        </w:rPr>
        <w:t>1999</w:t>
      </w:r>
    </w:p>
    <w:p>
      <w:pPr>
        <w:jc w:val="center"/>
        <w:ind w:left="3940"/>
        <w:spacing w:after="0"/>
        <w:tabs>
          <w:tab w:leader="none" w:pos="340" w:val="left"/>
          <w:tab w:leader="none" w:pos="360" w:val="left"/>
          <w:tab w:leader="none" w:pos="340" w:val="left"/>
          <w:tab w:leader="none" w:pos="3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19"/>
        <w:spacing w:after="0"/>
        <w:rPr>
          <w:sz w:val="20"/>
          <w:szCs w:val="20"/>
          <w:color w:val="auto"/>
        </w:rPr>
      </w:pPr>
      <w:r>
        <w:rPr>
          <w:rFonts w:ascii="Courier New" w:cs="Courier New" w:eastAsia="Courier New" w:hAnsi="Courier New"/>
          <w:sz w:val="15"/>
          <w:szCs w:val="15"/>
          <w:color w:val="auto"/>
        </w:rPr>
        <w:t>SIX MONTH ENDED</w:t>
      </w:r>
    </w:p>
    <w:p>
      <w:pPr>
        <w:spacing w:after="0" w:line="5" w:lineRule="exact"/>
        <w:rPr>
          <w:sz w:val="20"/>
          <w:szCs w:val="20"/>
          <w:color w:val="auto"/>
        </w:rPr>
      </w:pPr>
    </w:p>
    <w:p>
      <w:pPr>
        <w:jc w:val="center"/>
        <w:ind w:right="1119"/>
        <w:spacing w:after="0"/>
        <w:rPr>
          <w:sz w:val="20"/>
          <w:szCs w:val="20"/>
          <w:color w:val="auto"/>
        </w:rPr>
      </w:pPr>
      <w:r>
        <w:rPr>
          <w:rFonts w:ascii="Courier New" w:cs="Courier New" w:eastAsia="Courier New" w:hAnsi="Courier New"/>
          <w:sz w:val="16"/>
          <w:szCs w:val="16"/>
          <w:color w:val="auto"/>
        </w:rPr>
        <w:t>APRIL 1, 2000</w:t>
      </w:r>
    </w:p>
    <w:p>
      <w:pPr>
        <w:spacing w:after="0" w:line="4" w:lineRule="exact"/>
        <w:rPr>
          <w:sz w:val="20"/>
          <w:szCs w:val="20"/>
          <w:color w:val="auto"/>
        </w:rPr>
      </w:pPr>
    </w:p>
    <w:p>
      <w:pPr>
        <w:jc w:val="center"/>
        <w:ind w:right="1119"/>
        <w:spacing w:after="0"/>
        <w:rPr>
          <w:sz w:val="20"/>
          <w:szCs w:val="20"/>
          <w:color w:val="auto"/>
        </w:rPr>
      </w:pPr>
      <w:r>
        <w:rPr>
          <w:rFonts w:ascii="Courier New" w:cs="Courier New" w:eastAsia="Courier New" w:hAnsi="Courier New"/>
          <w:sz w:val="15"/>
          <w:szCs w:val="15"/>
          <w:color w:val="auto"/>
        </w:rPr>
        <w:t>---------------</w:t>
      </w:r>
    </w:p>
    <w:p>
      <w:pPr>
        <w:sectPr>
          <w:pgSz w:w="11900" w:h="16909" w:orient="portrait"/>
          <w:cols w:equalWidth="0" w:num="2">
            <w:col w:w="7320" w:space="360"/>
            <w:col w:w="2539"/>
          </w:cols>
          <w:pgMar w:left="240" w:top="293" w:right="1440" w:bottom="0" w:gutter="0" w:footer="0" w:header="0"/>
          <w:type w:val="continuous"/>
        </w:sectPr>
      </w:pPr>
    </w:p>
    <w:bookmarkStart w:id="17" w:name="page18"/>
    <w:bookmarkEnd w:id="17"/>
    <w:p>
      <w:pPr>
        <w:spacing w:after="0"/>
        <w:tabs>
          <w:tab w:leader="none" w:pos="3920" w:val="left"/>
          <w:tab w:leader="none" w:pos="4660" w:val="left"/>
          <w:tab w:leader="none" w:pos="5420" w:val="left"/>
          <w:tab w:leader="none" w:pos="6160" w:val="left"/>
          <w:tab w:leader="none" w:pos="6920" w:val="left"/>
          <w:tab w:leader="none" w:pos="8240" w:val="left"/>
        </w:tabs>
        <w:rPr>
          <w:sz w:val="20"/>
          <w:szCs w:val="20"/>
          <w:color w:val="auto"/>
        </w:rPr>
      </w:pPr>
      <w:r>
        <w:rPr>
          <w:rFonts w:ascii="Courier New" w:cs="Courier New" w:eastAsia="Courier New" w:hAnsi="Courier New"/>
          <w:sz w:val="16"/>
          <w:szCs w:val="16"/>
          <w:color w:val="auto"/>
        </w:rPr>
        <w:t>Ratio of earnings to fixed charges......</w:t>
        <w:tab/>
        <w:t>2.2x</w:t>
      </w:r>
      <w:r>
        <w:rPr>
          <w:sz w:val="20"/>
          <w:szCs w:val="20"/>
          <w:color w:val="auto"/>
        </w:rPr>
        <w:tab/>
      </w:r>
      <w:r>
        <w:rPr>
          <w:rFonts w:ascii="Courier New" w:cs="Courier New" w:eastAsia="Courier New" w:hAnsi="Courier New"/>
          <w:sz w:val="16"/>
          <w:szCs w:val="16"/>
          <w:color w:val="auto"/>
        </w:rPr>
        <w:t>1.0x</w:t>
      </w:r>
      <w:r>
        <w:rPr>
          <w:sz w:val="20"/>
          <w:szCs w:val="20"/>
          <w:color w:val="auto"/>
        </w:rPr>
        <w:tab/>
      </w:r>
      <w:r>
        <w:rPr>
          <w:rFonts w:ascii="Courier New" w:cs="Courier New" w:eastAsia="Courier New" w:hAnsi="Courier New"/>
          <w:sz w:val="16"/>
          <w:szCs w:val="16"/>
          <w:color w:val="auto"/>
        </w:rPr>
        <w:t>3.3x</w:t>
      </w:r>
      <w:r>
        <w:rPr>
          <w:sz w:val="20"/>
          <w:szCs w:val="20"/>
          <w:color w:val="auto"/>
        </w:rPr>
        <w:tab/>
      </w:r>
      <w:r>
        <w:rPr>
          <w:rFonts w:ascii="Courier New" w:cs="Courier New" w:eastAsia="Courier New" w:hAnsi="Courier New"/>
          <w:sz w:val="16"/>
          <w:szCs w:val="16"/>
          <w:color w:val="auto"/>
        </w:rPr>
        <w:t>2.6x</w:t>
      </w:r>
      <w:r>
        <w:rPr>
          <w:sz w:val="20"/>
          <w:szCs w:val="20"/>
          <w:color w:val="auto"/>
        </w:rPr>
        <w:tab/>
      </w:r>
      <w:r>
        <w:rPr>
          <w:rFonts w:ascii="Courier New" w:cs="Courier New" w:eastAsia="Courier New" w:hAnsi="Courier New"/>
          <w:sz w:val="16"/>
          <w:szCs w:val="16"/>
          <w:color w:val="auto"/>
        </w:rPr>
        <w:t>2.3x</w:t>
      </w:r>
      <w:r>
        <w:rPr>
          <w:sz w:val="20"/>
          <w:szCs w:val="20"/>
          <w:color w:val="auto"/>
        </w:rPr>
        <w:tab/>
      </w:r>
      <w:r>
        <w:rPr>
          <w:rFonts w:ascii="Courier New" w:cs="Courier New" w:eastAsia="Courier New" w:hAnsi="Courier New"/>
          <w:sz w:val="15"/>
          <w:szCs w:val="15"/>
          <w:color w:val="auto"/>
        </w:rPr>
        <w:t>2.1x</w:t>
      </w:r>
    </w:p>
    <w:p>
      <w:pPr>
        <w:sectPr>
          <w:pgSz w:w="11900" w:h="16838" w:orient="portrait"/>
          <w:cols w:equalWidth="0" w:num="1">
            <w:col w:w="10219"/>
          </w:cols>
          <w:pgMar w:left="240" w:top="317"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317" w:right="1440" w:bottom="1440" w:gutter="0" w:footer="0" w:header="0"/>
          <w:type w:val="continuous"/>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17</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USE OF PROCEEDS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We will not receive any proceeds from the issuance of these notes. The gross proceeds from the offering of the original notes, together with borrowings under our credit facility of approximately $100 million, were used:</w:t>
      </w:r>
    </w:p>
    <w:p>
      <w:pPr>
        <w:spacing w:after="0" w:line="185" w:lineRule="exact"/>
        <w:rPr>
          <w:sz w:val="20"/>
          <w:szCs w:val="20"/>
          <w:color w:val="auto"/>
        </w:rPr>
      </w:pPr>
    </w:p>
    <w:p>
      <w:pPr>
        <w:ind w:left="660" w:right="3279" w:hanging="195"/>
        <w:spacing w:after="0" w:line="237" w:lineRule="auto"/>
        <w:tabs>
          <w:tab w:leader="none" w:pos="6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fund the payment of $300.0 million to Monsanto for the Ortho acquisition, excluding the amount of any normalized working capital adjustment;</w:t>
      </w:r>
    </w:p>
    <w:p>
      <w:pPr>
        <w:spacing w:after="0" w:line="184" w:lineRule="exact"/>
        <w:rPr>
          <w:rFonts w:ascii="Courier New" w:cs="Courier New" w:eastAsia="Courier New" w:hAnsi="Courier New"/>
          <w:sz w:val="16"/>
          <w:szCs w:val="16"/>
          <w:color w:val="auto"/>
        </w:rPr>
      </w:pPr>
    </w:p>
    <w:p>
      <w:pPr>
        <w:jc w:val="both"/>
        <w:ind w:left="660" w:right="2899" w:hanging="195"/>
        <w:spacing w:after="0" w:line="237" w:lineRule="auto"/>
        <w:tabs>
          <w:tab w:leader="none" w:pos="6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repurchase our then outstanding 9 7/8% Senior Subordinated Notes Due 2004 for $108.7 million, including tender premium and accrued interest; and</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pay fees and expenses of approximately $21 million in connection with our recent acquisitions and the offering of the original notes.</w:t>
      </w:r>
    </w:p>
    <w:p>
      <w:pPr>
        <w:spacing w:after="0" w:line="180"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CAPITALIZATION</w:t>
      </w:r>
    </w:p>
    <w:p>
      <w:pPr>
        <w:spacing w:after="0" w:line="36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following table sets forth the capitalization of Scotts at April 1,</w:t>
      </w:r>
    </w:p>
    <w:p>
      <w:pPr>
        <w:spacing w:after="0"/>
        <w:rPr>
          <w:sz w:val="20"/>
          <w:szCs w:val="20"/>
          <w:color w:val="auto"/>
        </w:rPr>
      </w:pPr>
      <w:r>
        <w:rPr>
          <w:rFonts w:ascii="Courier New" w:cs="Courier New" w:eastAsia="Courier New" w:hAnsi="Courier New"/>
          <w:sz w:val="16"/>
          <w:szCs w:val="16"/>
          <w:color w:val="auto"/>
        </w:rPr>
        <w:t>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60" w:type="dxa"/>
            <w:vAlign w:val="bottom"/>
          </w:tcPr>
          <w:p>
            <w:pPr>
              <w:spacing w:after="0"/>
              <w:rPr>
                <w:sz w:val="15"/>
                <w:szCs w:val="15"/>
                <w:color w:val="auto"/>
              </w:rPr>
            </w:pPr>
          </w:p>
        </w:tc>
        <w:tc>
          <w:tcPr>
            <w:tcW w:w="33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AS OF</w:t>
            </w:r>
          </w:p>
        </w:tc>
      </w:tr>
      <w:tr>
        <w:trPr>
          <w:trHeight w:val="180"/>
        </w:trPr>
        <w:tc>
          <w:tcPr>
            <w:tcW w:w="3660" w:type="dxa"/>
            <w:vAlign w:val="bottom"/>
          </w:tcPr>
          <w:p>
            <w:pPr>
              <w:spacing w:after="0"/>
              <w:rPr>
                <w:sz w:val="15"/>
                <w:szCs w:val="15"/>
                <w:color w:val="auto"/>
              </w:rPr>
            </w:pPr>
          </w:p>
        </w:tc>
        <w:tc>
          <w:tcPr>
            <w:tcW w:w="3380" w:type="dxa"/>
            <w:vAlign w:val="bottom"/>
          </w:tcPr>
          <w:p>
            <w:pPr>
              <w:jc w:val="right"/>
              <w:spacing w:after="0"/>
              <w:rPr>
                <w:sz w:val="20"/>
                <w:szCs w:val="20"/>
                <w:color w:val="auto"/>
              </w:rPr>
            </w:pPr>
            <w:r>
              <w:rPr>
                <w:rFonts w:ascii="Courier New" w:cs="Courier New" w:eastAsia="Courier New" w:hAnsi="Courier New"/>
                <w:sz w:val="16"/>
                <w:szCs w:val="16"/>
                <w:color w:val="auto"/>
              </w:rPr>
              <w:t>APRIL 1, 2000</w:t>
            </w:r>
          </w:p>
        </w:tc>
      </w:tr>
      <w:tr>
        <w:trPr>
          <w:trHeight w:val="180"/>
        </w:trPr>
        <w:tc>
          <w:tcPr>
            <w:tcW w:w="3660" w:type="dxa"/>
            <w:vAlign w:val="bottom"/>
          </w:tcPr>
          <w:p>
            <w:pPr>
              <w:spacing w:after="0"/>
              <w:rPr>
                <w:sz w:val="15"/>
                <w:szCs w:val="15"/>
                <w:color w:val="auto"/>
              </w:rPr>
            </w:pPr>
          </w:p>
        </w:tc>
        <w:tc>
          <w:tcPr>
            <w:tcW w:w="3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spacing w:after="0"/>
              <w:rPr>
                <w:sz w:val="15"/>
                <w:szCs w:val="15"/>
                <w:color w:val="auto"/>
              </w:rPr>
            </w:pPr>
          </w:p>
        </w:tc>
        <w:tc>
          <w:tcPr>
            <w:tcW w:w="3380" w:type="dxa"/>
            <w:vAlign w:val="bottom"/>
          </w:tcPr>
          <w:p>
            <w:pPr>
              <w:jc w:val="right"/>
              <w:spacing w:after="0"/>
              <w:rPr>
                <w:sz w:val="20"/>
                <w:szCs w:val="20"/>
                <w:color w:val="auto"/>
              </w:rPr>
            </w:pPr>
            <w:r>
              <w:rPr>
                <w:rFonts w:ascii="Courier New" w:cs="Courier New" w:eastAsia="Courier New" w:hAnsi="Courier New"/>
                <w:sz w:val="16"/>
                <w:szCs w:val="16"/>
                <w:color w:val="auto"/>
              </w:rPr>
              <w:t>(IN MILLIONS)</w:t>
            </w:r>
          </w:p>
        </w:tc>
      </w:tr>
      <w:tr>
        <w:trPr>
          <w:trHeight w:val="361"/>
        </w:trPr>
        <w:tc>
          <w:tcPr>
            <w:tcW w:w="3660" w:type="dxa"/>
            <w:vAlign w:val="bottom"/>
          </w:tcPr>
          <w:p>
            <w:pPr>
              <w:jc w:val="right"/>
              <w:ind w:right="487"/>
              <w:spacing w:after="0"/>
              <w:rPr>
                <w:sz w:val="20"/>
                <w:szCs w:val="20"/>
                <w:color w:val="auto"/>
              </w:rPr>
            </w:pPr>
            <w:r>
              <w:rPr>
                <w:rFonts w:ascii="Courier New" w:cs="Courier New" w:eastAsia="Courier New" w:hAnsi="Courier New"/>
                <w:sz w:val="16"/>
                <w:szCs w:val="16"/>
                <w:color w:val="auto"/>
                <w:w w:val="97"/>
              </w:rPr>
              <w:t>Debt (including current portion):</w:t>
            </w:r>
          </w:p>
        </w:tc>
        <w:tc>
          <w:tcPr>
            <w:tcW w:w="3380" w:type="dxa"/>
            <w:vAlign w:val="bottom"/>
          </w:tcPr>
          <w:p>
            <w:pPr>
              <w:spacing w:after="0"/>
              <w:rPr>
                <w:sz w:val="24"/>
                <w:szCs w:val="24"/>
                <w:color w:val="auto"/>
              </w:rPr>
            </w:pPr>
          </w:p>
        </w:tc>
      </w:tr>
      <w:tr>
        <w:trPr>
          <w:trHeight w:val="180"/>
        </w:trPr>
        <w:tc>
          <w:tcPr>
            <w:tcW w:w="3660" w:type="dxa"/>
            <w:vAlign w:val="bottom"/>
          </w:tcPr>
          <w:p>
            <w:pPr>
              <w:jc w:val="right"/>
              <w:ind w:right="1907"/>
              <w:spacing w:after="0"/>
              <w:rPr>
                <w:sz w:val="20"/>
                <w:szCs w:val="20"/>
                <w:color w:val="auto"/>
              </w:rPr>
            </w:pPr>
            <w:r>
              <w:rPr>
                <w:rFonts w:ascii="Courier New" w:cs="Courier New" w:eastAsia="Courier New" w:hAnsi="Courier New"/>
                <w:sz w:val="16"/>
                <w:szCs w:val="16"/>
                <w:color w:val="auto"/>
              </w:rPr>
              <w:t>Credit facility:</w:t>
            </w:r>
          </w:p>
        </w:tc>
        <w:tc>
          <w:tcPr>
            <w:tcW w:w="3380" w:type="dxa"/>
            <w:vAlign w:val="bottom"/>
          </w:tcPr>
          <w:p>
            <w:pPr>
              <w:spacing w:after="0"/>
              <w:rPr>
                <w:sz w:val="15"/>
                <w:szCs w:val="15"/>
                <w:color w:val="auto"/>
              </w:rPr>
            </w:pPr>
          </w:p>
        </w:tc>
      </w:tr>
      <w:tr>
        <w:trPr>
          <w:trHeight w:val="180"/>
        </w:trPr>
        <w:tc>
          <w:tcPr>
            <w:tcW w:w="3660" w:type="dxa"/>
            <w:vAlign w:val="bottom"/>
          </w:tcPr>
          <w:p>
            <w:pPr>
              <w:jc w:val="right"/>
              <w:spacing w:after="0"/>
              <w:rPr>
                <w:sz w:val="20"/>
                <w:szCs w:val="20"/>
                <w:color w:val="auto"/>
              </w:rPr>
            </w:pPr>
            <w:r>
              <w:rPr>
                <w:rFonts w:ascii="Courier New" w:cs="Courier New" w:eastAsia="Courier New" w:hAnsi="Courier New"/>
                <w:sz w:val="15"/>
                <w:szCs w:val="15"/>
                <w:color w:val="auto"/>
                <w:w w:val="73"/>
              </w:rPr>
              <w:t>Revolving credit facility..............................</w:t>
            </w:r>
          </w:p>
        </w:tc>
        <w:tc>
          <w:tcPr>
            <w:tcW w:w="33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$ 349.5</w:t>
            </w:r>
          </w:p>
        </w:tc>
      </w:tr>
      <w:tr>
        <w:trPr>
          <w:trHeight w:val="180"/>
        </w:trPr>
        <w:tc>
          <w:tcPr>
            <w:tcW w:w="3660" w:type="dxa"/>
            <w:vAlign w:val="bottom"/>
          </w:tcPr>
          <w:p>
            <w:pPr>
              <w:jc w:val="right"/>
              <w:spacing w:after="0"/>
              <w:rPr>
                <w:sz w:val="20"/>
                <w:szCs w:val="20"/>
                <w:color w:val="auto"/>
              </w:rPr>
            </w:pPr>
            <w:r>
              <w:rPr>
                <w:rFonts w:ascii="Courier New" w:cs="Courier New" w:eastAsia="Courier New" w:hAnsi="Courier New"/>
                <w:sz w:val="15"/>
                <w:szCs w:val="15"/>
                <w:color w:val="auto"/>
                <w:w w:val="73"/>
              </w:rPr>
              <w:t>Term loans.............................................</w:t>
            </w:r>
          </w:p>
        </w:tc>
        <w:tc>
          <w:tcPr>
            <w:tcW w:w="33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481.4</w:t>
            </w:r>
          </w:p>
        </w:tc>
      </w:tr>
      <w:tr>
        <w:trPr>
          <w:trHeight w:val="180"/>
        </w:trPr>
        <w:tc>
          <w:tcPr>
            <w:tcW w:w="3660" w:type="dxa"/>
            <w:vAlign w:val="bottom"/>
          </w:tcPr>
          <w:p>
            <w:pPr>
              <w:jc w:val="right"/>
              <w:spacing w:after="0"/>
              <w:rPr>
                <w:sz w:val="20"/>
                <w:szCs w:val="20"/>
                <w:color w:val="auto"/>
              </w:rPr>
            </w:pPr>
            <w:r>
              <w:rPr>
                <w:rFonts w:ascii="Courier New" w:cs="Courier New" w:eastAsia="Courier New" w:hAnsi="Courier New"/>
                <w:sz w:val="13"/>
                <w:szCs w:val="13"/>
                <w:color w:val="auto"/>
                <w:w w:val="80"/>
              </w:rPr>
              <w:t>8.625% senior subordinated notes..........................</w:t>
            </w:r>
          </w:p>
        </w:tc>
        <w:tc>
          <w:tcPr>
            <w:tcW w:w="33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318.6</w:t>
            </w:r>
          </w:p>
        </w:tc>
      </w:tr>
      <w:tr>
        <w:trPr>
          <w:trHeight w:val="180"/>
        </w:trPr>
        <w:tc>
          <w:tcPr>
            <w:tcW w:w="3660" w:type="dxa"/>
            <w:vAlign w:val="bottom"/>
          </w:tcPr>
          <w:p>
            <w:pPr>
              <w:jc w:val="right"/>
              <w:spacing w:after="0"/>
              <w:rPr>
                <w:sz w:val="20"/>
                <w:szCs w:val="20"/>
                <w:color w:val="auto"/>
              </w:rPr>
            </w:pPr>
            <w:r>
              <w:rPr>
                <w:rFonts w:ascii="Courier New" w:cs="Courier New" w:eastAsia="Courier New" w:hAnsi="Courier New"/>
                <w:sz w:val="13"/>
                <w:szCs w:val="13"/>
                <w:color w:val="auto"/>
                <w:w w:val="80"/>
              </w:rPr>
              <w:t>Other debt................................................</w:t>
            </w:r>
          </w:p>
        </w:tc>
        <w:tc>
          <w:tcPr>
            <w:tcW w:w="33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48.4</w:t>
            </w:r>
          </w:p>
        </w:tc>
      </w:tr>
      <w:tr>
        <w:trPr>
          <w:trHeight w:val="180"/>
        </w:trPr>
        <w:tc>
          <w:tcPr>
            <w:tcW w:w="3660" w:type="dxa"/>
            <w:vAlign w:val="bottom"/>
          </w:tcPr>
          <w:p>
            <w:pPr>
              <w:spacing w:after="0"/>
              <w:rPr>
                <w:sz w:val="15"/>
                <w:szCs w:val="15"/>
                <w:color w:val="auto"/>
              </w:rPr>
            </w:pPr>
          </w:p>
        </w:tc>
        <w:tc>
          <w:tcPr>
            <w:tcW w:w="33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jc w:val="right"/>
              <w:spacing w:after="0"/>
              <w:rPr>
                <w:sz w:val="20"/>
                <w:szCs w:val="20"/>
                <w:color w:val="auto"/>
              </w:rPr>
            </w:pPr>
            <w:r>
              <w:rPr>
                <w:rFonts w:ascii="Courier New" w:cs="Courier New" w:eastAsia="Courier New" w:hAnsi="Courier New"/>
                <w:sz w:val="16"/>
                <w:szCs w:val="16"/>
                <w:color w:val="auto"/>
                <w:w w:val="71"/>
              </w:rPr>
              <w:t>Total debt...........................................</w:t>
            </w:r>
          </w:p>
        </w:tc>
        <w:tc>
          <w:tcPr>
            <w:tcW w:w="33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1,197.9</w:t>
            </w:r>
          </w:p>
        </w:tc>
      </w:tr>
      <w:tr>
        <w:trPr>
          <w:trHeight w:val="180"/>
        </w:trPr>
        <w:tc>
          <w:tcPr>
            <w:tcW w:w="3660" w:type="dxa"/>
            <w:vAlign w:val="bottom"/>
          </w:tcPr>
          <w:p>
            <w:pPr>
              <w:jc w:val="right"/>
              <w:spacing w:after="0"/>
              <w:rPr>
                <w:sz w:val="20"/>
                <w:szCs w:val="20"/>
                <w:color w:val="auto"/>
              </w:rPr>
            </w:pPr>
            <w:r>
              <w:rPr>
                <w:rFonts w:ascii="Courier New" w:cs="Courier New" w:eastAsia="Courier New" w:hAnsi="Courier New"/>
                <w:sz w:val="13"/>
                <w:szCs w:val="13"/>
                <w:color w:val="auto"/>
                <w:w w:val="77"/>
              </w:rPr>
              <w:t>Shareholders' equity........................................</w:t>
            </w:r>
          </w:p>
        </w:tc>
        <w:tc>
          <w:tcPr>
            <w:tcW w:w="33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442.5</w:t>
            </w:r>
          </w:p>
        </w:tc>
      </w:tr>
      <w:tr>
        <w:trPr>
          <w:trHeight w:val="180"/>
        </w:trPr>
        <w:tc>
          <w:tcPr>
            <w:tcW w:w="3660" w:type="dxa"/>
            <w:vAlign w:val="bottom"/>
          </w:tcPr>
          <w:p>
            <w:pPr>
              <w:spacing w:after="0"/>
              <w:rPr>
                <w:sz w:val="15"/>
                <w:szCs w:val="15"/>
                <w:color w:val="auto"/>
              </w:rPr>
            </w:pPr>
          </w:p>
        </w:tc>
        <w:tc>
          <w:tcPr>
            <w:tcW w:w="33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jc w:val="right"/>
              <w:spacing w:after="0"/>
              <w:rPr>
                <w:sz w:val="20"/>
                <w:szCs w:val="20"/>
                <w:color w:val="auto"/>
              </w:rPr>
            </w:pPr>
            <w:r>
              <w:rPr>
                <w:rFonts w:ascii="Courier New" w:cs="Courier New" w:eastAsia="Courier New" w:hAnsi="Courier New"/>
                <w:sz w:val="16"/>
                <w:szCs w:val="16"/>
                <w:color w:val="auto"/>
                <w:w w:val="71"/>
              </w:rPr>
              <w:t>Total capitalization.................................</w:t>
            </w:r>
          </w:p>
        </w:tc>
        <w:tc>
          <w:tcPr>
            <w:tcW w:w="33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1,640.4</w:t>
            </w:r>
          </w:p>
        </w:tc>
      </w:tr>
      <w:tr>
        <w:trPr>
          <w:trHeight w:val="180"/>
        </w:trPr>
        <w:tc>
          <w:tcPr>
            <w:tcW w:w="3660" w:type="dxa"/>
            <w:vAlign w:val="bottom"/>
          </w:tcPr>
          <w:p>
            <w:pPr>
              <w:spacing w:after="0"/>
              <w:rPr>
                <w:sz w:val="15"/>
                <w:szCs w:val="15"/>
                <w:color w:val="auto"/>
              </w:rPr>
            </w:pPr>
          </w:p>
        </w:tc>
        <w:tc>
          <w:tcPr>
            <w:tcW w:w="33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w:t>
            </w:r>
          </w:p>
        </w:tc>
      </w:tr>
      <w:tr>
        <w:trPr>
          <w:trHeight w:val="721"/>
        </w:trPr>
        <w:tc>
          <w:tcPr>
            <w:tcW w:w="3660" w:type="dxa"/>
            <w:vAlign w:val="bottom"/>
          </w:tcPr>
          <w:p>
            <w:pPr>
              <w:spacing w:after="0"/>
              <w:rPr>
                <w:sz w:val="24"/>
                <w:szCs w:val="24"/>
                <w:color w:val="auto"/>
              </w:rPr>
            </w:pPr>
          </w:p>
        </w:tc>
        <w:tc>
          <w:tcPr>
            <w:tcW w:w="3380" w:type="dxa"/>
            <w:vAlign w:val="bottom"/>
          </w:tcPr>
          <w:p>
            <w:pPr>
              <w:jc w:val="right"/>
              <w:ind w:right="3122"/>
              <w:spacing w:after="0"/>
              <w:rPr>
                <w:sz w:val="20"/>
                <w:szCs w:val="20"/>
                <w:color w:val="auto"/>
              </w:rPr>
            </w:pPr>
            <w:r>
              <w:rPr>
                <w:rFonts w:ascii="Courier New" w:cs="Courier New" w:eastAsia="Courier New" w:hAnsi="Courier New"/>
                <w:sz w:val="16"/>
                <w:szCs w:val="16"/>
                <w:color w:val="auto"/>
                <w:w w:val="83"/>
              </w:rPr>
              <w:t>16</w:t>
            </w:r>
          </w:p>
        </w:tc>
      </w:tr>
    </w:tbl>
    <w:p>
      <w:pPr>
        <w:sectPr>
          <w:pgSz w:w="11900" w:h="16838" w:orient="portrait"/>
          <w:cols w:equalWidth="0" w:num="1">
            <w:col w:w="10219"/>
          </w:cols>
          <w:pgMar w:left="240" w:top="293"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18</w:t>
      </w:r>
    </w:p>
    <w:p>
      <w:pPr>
        <w:spacing w:after="0" w:line="179" w:lineRule="exact"/>
        <w:rPr>
          <w:sz w:val="20"/>
          <w:szCs w:val="20"/>
          <w:color w:val="auto"/>
        </w:rPr>
      </w:pPr>
    </w:p>
    <w:p>
      <w:pPr>
        <w:jc w:val="center"/>
        <w:ind w:right="2820"/>
        <w:spacing w:after="0"/>
        <w:rPr>
          <w:sz w:val="20"/>
          <w:szCs w:val="20"/>
          <w:color w:val="auto"/>
        </w:rPr>
      </w:pPr>
      <w:r>
        <w:rPr>
          <w:rFonts w:ascii="Courier New" w:cs="Courier New" w:eastAsia="Courier New" w:hAnsi="Courier New"/>
          <w:sz w:val="16"/>
          <w:szCs w:val="16"/>
          <w:color w:val="auto"/>
        </w:rPr>
        <w:t>SELECTED CONSOLIDATED FINANCIAL DATA</w:t>
      </w:r>
    </w:p>
    <w:p>
      <w:pPr>
        <w:spacing w:after="0" w:line="185" w:lineRule="exact"/>
        <w:rPr>
          <w:sz w:val="20"/>
          <w:szCs w:val="20"/>
          <w:color w:val="auto"/>
        </w:rPr>
      </w:pPr>
    </w:p>
    <w:p>
      <w:pPr>
        <w:ind w:right="2920" w:firstLine="469"/>
        <w:spacing w:after="0" w:line="238" w:lineRule="auto"/>
        <w:rPr>
          <w:sz w:val="20"/>
          <w:szCs w:val="20"/>
          <w:color w:val="auto"/>
        </w:rPr>
      </w:pPr>
      <w:r>
        <w:rPr>
          <w:rFonts w:ascii="Courier New" w:cs="Courier New" w:eastAsia="Courier New" w:hAnsi="Courier New"/>
          <w:sz w:val="16"/>
          <w:szCs w:val="16"/>
          <w:color w:val="auto"/>
        </w:rPr>
        <w:t>We have derived the historical financial data included in the following summary financial data from our audited consolidated financial statements which we are incorporating in this prospectus. You should read the following information in conjunction with our consolidated financial statements and the associated notes, and the information contained in "Management's Discussion and Analysis of Financial Condition and Results of Operations," all of which are 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3"/>
          </w:tcPr>
          <w:p>
            <w:pPr>
              <w:jc w:val="right"/>
              <w:ind w:right="122"/>
              <w:spacing w:after="0"/>
              <w:rPr>
                <w:sz w:val="20"/>
                <w:szCs w:val="20"/>
                <w:color w:val="auto"/>
              </w:rPr>
            </w:pPr>
            <w:r>
              <w:rPr>
                <w:rFonts w:ascii="Courier New" w:cs="Courier New" w:eastAsia="Courier New" w:hAnsi="Courier New"/>
                <w:sz w:val="16"/>
                <w:szCs w:val="16"/>
                <w:color w:val="auto"/>
                <w:w w:val="96"/>
              </w:rPr>
              <w:t>SIX MONTHS ENDED</w:t>
            </w:r>
          </w:p>
        </w:tc>
      </w:tr>
      <w:tr>
        <w:trPr>
          <w:trHeight w:val="180"/>
        </w:trPr>
        <w:tc>
          <w:tcPr>
            <w:tcW w:w="3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580" w:type="dxa"/>
            <w:vAlign w:val="bottom"/>
            <w:gridSpan w:val="4"/>
          </w:tcPr>
          <w:p>
            <w:pPr>
              <w:jc w:val="right"/>
              <w:ind w:right="62"/>
              <w:spacing w:after="0"/>
              <w:rPr>
                <w:sz w:val="20"/>
                <w:szCs w:val="20"/>
                <w:color w:val="auto"/>
              </w:rPr>
            </w:pPr>
            <w:r>
              <w:rPr>
                <w:rFonts w:ascii="Courier New" w:cs="Courier New" w:eastAsia="Courier New" w:hAnsi="Courier New"/>
                <w:sz w:val="16"/>
                <w:szCs w:val="16"/>
                <w:color w:val="auto"/>
              </w:rPr>
              <w:t>YEAR ENDED SEPTEMBER 30,</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80" w:type="dxa"/>
            <w:vAlign w:val="bottom"/>
            <w:gridSpan w:val="4"/>
          </w:tcPr>
          <w:p>
            <w:pPr>
              <w:ind w:left="100"/>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3840" w:type="dxa"/>
            <w:vAlign w:val="bottom"/>
          </w:tcPr>
          <w:p>
            <w:pPr>
              <w:spacing w:after="0"/>
              <w:rPr>
                <w:sz w:val="15"/>
                <w:szCs w:val="15"/>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6"/>
              </w:rPr>
              <w:t>----------------------------------------------</w:t>
            </w: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APRIL 3,</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APRIL 1,</w:t>
            </w:r>
          </w:p>
        </w:tc>
      </w:tr>
      <w:tr>
        <w:trPr>
          <w:trHeight w:val="180"/>
        </w:trPr>
        <w:tc>
          <w:tcPr>
            <w:tcW w:w="3840" w:type="dxa"/>
            <w:vAlign w:val="bottom"/>
          </w:tcPr>
          <w:p>
            <w:pPr>
              <w:spacing w:after="0"/>
              <w:rPr>
                <w:sz w:val="15"/>
                <w:szCs w:val="15"/>
                <w:color w:val="auto"/>
              </w:rPr>
            </w:pPr>
          </w:p>
        </w:tc>
        <w:tc>
          <w:tcPr>
            <w:tcW w:w="940" w:type="dxa"/>
            <w:vAlign w:val="bottom"/>
          </w:tcPr>
          <w:p>
            <w:pPr>
              <w:jc w:val="right"/>
              <w:ind w:right="303"/>
              <w:spacing w:after="0"/>
              <w:rPr>
                <w:sz w:val="20"/>
                <w:szCs w:val="20"/>
                <w:color w:val="auto"/>
              </w:rPr>
            </w:pPr>
            <w:r>
              <w:rPr>
                <w:rFonts w:ascii="Courier New" w:cs="Courier New" w:eastAsia="Courier New" w:hAnsi="Courier New"/>
                <w:sz w:val="16"/>
                <w:szCs w:val="16"/>
                <w:color w:val="auto"/>
              </w:rPr>
              <w:t>1995</w:t>
            </w:r>
          </w:p>
        </w:tc>
        <w:tc>
          <w:tcPr>
            <w:tcW w:w="76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1996</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5"/>
                <w:szCs w:val="15"/>
                <w:color w:val="auto"/>
              </w:rPr>
            </w:pPr>
          </w:p>
        </w:tc>
        <w:tc>
          <w:tcPr>
            <w:tcW w:w="8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1998</w:t>
            </w:r>
          </w:p>
        </w:tc>
        <w:tc>
          <w:tcPr>
            <w:tcW w:w="240" w:type="dxa"/>
            <w:vAlign w:val="bottom"/>
          </w:tcPr>
          <w:p>
            <w:pPr>
              <w:spacing w:after="0"/>
              <w:rPr>
                <w:sz w:val="15"/>
                <w:szCs w:val="15"/>
                <w:color w:val="auto"/>
              </w:rPr>
            </w:pP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1999</w:t>
            </w:r>
          </w:p>
        </w:tc>
        <w:tc>
          <w:tcPr>
            <w:tcW w:w="180" w:type="dxa"/>
            <w:vAlign w:val="bottom"/>
          </w:tcPr>
          <w:p>
            <w:pPr>
              <w:spacing w:after="0"/>
              <w:rPr>
                <w:sz w:val="15"/>
                <w:szCs w:val="15"/>
                <w:color w:val="auto"/>
              </w:rPr>
            </w:pPr>
          </w:p>
        </w:tc>
        <w:tc>
          <w:tcPr>
            <w:tcW w:w="8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1999</w:t>
            </w:r>
          </w:p>
        </w:tc>
        <w:tc>
          <w:tcPr>
            <w:tcW w:w="280" w:type="dxa"/>
            <w:vAlign w:val="bottom"/>
          </w:tcPr>
          <w:p>
            <w:pPr>
              <w:spacing w:after="0"/>
              <w:rPr>
                <w:sz w:val="15"/>
                <w:szCs w:val="15"/>
                <w:color w:val="auto"/>
              </w:rPr>
            </w:pPr>
          </w:p>
        </w:tc>
        <w:tc>
          <w:tcPr>
            <w:tcW w:w="6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2000</w:t>
            </w:r>
          </w:p>
        </w:tc>
      </w:tr>
      <w:tr>
        <w:trPr>
          <w:trHeight w:val="180"/>
        </w:trPr>
        <w:tc>
          <w:tcPr>
            <w:tcW w:w="384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3"/>
              </w:rPr>
              <w:t>------</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3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(DOLLARS</w:t>
            </w:r>
          </w:p>
        </w:tc>
        <w:tc>
          <w:tcPr>
            <w:tcW w:w="11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7"/>
              </w:rPr>
              <w:t>IN MILLIONS)</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61"/>
        </w:trPr>
        <w:tc>
          <w:tcPr>
            <w:tcW w:w="3840" w:type="dxa"/>
            <w:vAlign w:val="bottom"/>
          </w:tcPr>
          <w:p>
            <w:pPr>
              <w:spacing w:after="0"/>
              <w:rPr>
                <w:sz w:val="20"/>
                <w:szCs w:val="20"/>
                <w:color w:val="auto"/>
              </w:rPr>
            </w:pPr>
            <w:r>
              <w:rPr>
                <w:rFonts w:ascii="Courier New" w:cs="Courier New" w:eastAsia="Courier New" w:hAnsi="Courier New"/>
                <w:sz w:val="16"/>
                <w:szCs w:val="16"/>
                <w:color w:val="auto"/>
              </w:rPr>
              <w:t>OPERATING DATA:</w:t>
            </w: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0"/>
        </w:trPr>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w w:val="99"/>
              </w:rPr>
              <w:t>Sales.................................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$731.1</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3"/>
              </w:rPr>
              <w:t>$750.4</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$899.3</w:t>
            </w:r>
          </w:p>
        </w:tc>
        <w:tc>
          <w:tcPr>
            <w:tcW w:w="9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$1,113.0</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$1,648.3</w:t>
            </w:r>
          </w:p>
        </w:tc>
        <w:tc>
          <w:tcPr>
            <w:tcW w:w="9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$ 815.9</w:t>
            </w:r>
          </w:p>
        </w:tc>
        <w:tc>
          <w:tcPr>
            <w:tcW w:w="9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$ 912.3</w:t>
            </w:r>
          </w:p>
        </w:tc>
      </w:tr>
      <w:tr>
        <w:trPr>
          <w:trHeight w:val="180"/>
        </w:trPr>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w w:val="99"/>
              </w:rPr>
              <w:t>Cost of sales.........................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498.8</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512.4</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573.6</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715.0</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989.1</w:t>
            </w:r>
          </w:p>
        </w:tc>
        <w:tc>
          <w:tcPr>
            <w:tcW w:w="18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482.3</w:t>
            </w:r>
          </w:p>
        </w:tc>
        <w:tc>
          <w:tcPr>
            <w:tcW w:w="280" w:type="dxa"/>
            <w:vAlign w:val="bottom"/>
          </w:tcPr>
          <w:p>
            <w:pPr>
              <w:spacing w:after="0"/>
              <w:rPr>
                <w:sz w:val="15"/>
                <w:szCs w:val="15"/>
                <w:color w:val="auto"/>
              </w:rPr>
            </w:pPr>
          </w:p>
        </w:tc>
        <w:tc>
          <w:tcPr>
            <w:tcW w:w="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525.3</w:t>
            </w:r>
          </w:p>
        </w:tc>
      </w:tr>
      <w:tr>
        <w:trPr>
          <w:trHeight w:val="180"/>
        </w:trPr>
        <w:tc>
          <w:tcPr>
            <w:tcW w:w="384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3"/>
              </w:rPr>
              <w:t>------</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Gross profit........................</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232.3</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238.0</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325.7</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398.0</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659.2</w:t>
            </w:r>
          </w:p>
        </w:tc>
        <w:tc>
          <w:tcPr>
            <w:tcW w:w="18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333.6</w:t>
            </w:r>
          </w:p>
        </w:tc>
        <w:tc>
          <w:tcPr>
            <w:tcW w:w="280" w:type="dxa"/>
            <w:vAlign w:val="bottom"/>
          </w:tcPr>
          <w:p>
            <w:pPr>
              <w:spacing w:after="0"/>
              <w:rPr>
                <w:sz w:val="15"/>
                <w:szCs w:val="15"/>
                <w:color w:val="auto"/>
              </w:rPr>
            </w:pPr>
          </w:p>
        </w:tc>
        <w:tc>
          <w:tcPr>
            <w:tcW w:w="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387.0</w:t>
            </w:r>
          </w:p>
        </w:tc>
      </w:tr>
      <w:tr>
        <w:trPr>
          <w:trHeight w:val="180"/>
        </w:trPr>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Net commission earned from Roundup(R)</w:t>
            </w: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3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agency agreement....................</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28.7</w:t>
            </w:r>
          </w:p>
        </w:tc>
        <w:tc>
          <w:tcPr>
            <w:tcW w:w="18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16.8</w:t>
            </w:r>
          </w:p>
        </w:tc>
        <w:tc>
          <w:tcPr>
            <w:tcW w:w="280" w:type="dxa"/>
            <w:vAlign w:val="bottom"/>
          </w:tcPr>
          <w:p>
            <w:pPr>
              <w:spacing w:after="0"/>
              <w:rPr>
                <w:sz w:val="15"/>
                <w:szCs w:val="15"/>
                <w:color w:val="auto"/>
              </w:rPr>
            </w:pPr>
          </w:p>
        </w:tc>
        <w:tc>
          <w:tcPr>
            <w:tcW w:w="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5.9</w:t>
            </w:r>
          </w:p>
        </w:tc>
      </w:tr>
      <w:tr>
        <w:trPr>
          <w:trHeight w:val="180"/>
        </w:trPr>
        <w:tc>
          <w:tcPr>
            <w:tcW w:w="3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Advertising and promotion.............</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64.5</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69.2</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83.9</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104.4</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189.0</w:t>
            </w:r>
          </w:p>
        </w:tc>
        <w:tc>
          <w:tcPr>
            <w:tcW w:w="18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102.7</w:t>
            </w:r>
          </w:p>
        </w:tc>
        <w:tc>
          <w:tcPr>
            <w:tcW w:w="280" w:type="dxa"/>
            <w:vAlign w:val="bottom"/>
          </w:tcPr>
          <w:p>
            <w:pPr>
              <w:spacing w:after="0"/>
              <w:rPr>
                <w:sz w:val="15"/>
                <w:szCs w:val="15"/>
                <w:color w:val="auto"/>
              </w:rPr>
            </w:pPr>
          </w:p>
        </w:tc>
        <w:tc>
          <w:tcPr>
            <w:tcW w:w="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121.9</w:t>
            </w:r>
          </w:p>
        </w:tc>
      </w:tr>
      <w:tr>
        <w:trPr>
          <w:trHeight w:val="180"/>
        </w:trPr>
        <w:tc>
          <w:tcPr>
            <w:tcW w:w="3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Selling, general and administrative...</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105.3</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116.6</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131.6</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169.9</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281.2</w:t>
            </w:r>
          </w:p>
        </w:tc>
        <w:tc>
          <w:tcPr>
            <w:tcW w:w="18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126.4</w:t>
            </w:r>
          </w:p>
        </w:tc>
        <w:tc>
          <w:tcPr>
            <w:tcW w:w="280" w:type="dxa"/>
            <w:vAlign w:val="bottom"/>
          </w:tcPr>
          <w:p>
            <w:pPr>
              <w:spacing w:after="0"/>
              <w:rPr>
                <w:sz w:val="15"/>
                <w:szCs w:val="15"/>
                <w:color w:val="auto"/>
              </w:rPr>
            </w:pPr>
          </w:p>
        </w:tc>
        <w:tc>
          <w:tcPr>
            <w:tcW w:w="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153.1</w:t>
            </w:r>
          </w:p>
        </w:tc>
      </w:tr>
      <w:tr>
        <w:trPr>
          <w:trHeight w:val="180"/>
        </w:trPr>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Amortization of goodwill and other</w:t>
            </w: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3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intangibles.........................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6.0</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8.8</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10.2</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12.9</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23.8</w:t>
            </w:r>
          </w:p>
        </w:tc>
        <w:tc>
          <w:tcPr>
            <w:tcW w:w="18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9.4</w:t>
            </w:r>
          </w:p>
        </w:tc>
        <w:tc>
          <w:tcPr>
            <w:tcW w:w="280" w:type="dxa"/>
            <w:vAlign w:val="bottom"/>
          </w:tcPr>
          <w:p>
            <w:pPr>
              <w:spacing w:after="0"/>
              <w:rPr>
                <w:sz w:val="15"/>
                <w:szCs w:val="15"/>
                <w:color w:val="auto"/>
              </w:rPr>
            </w:pPr>
          </w:p>
        </w:tc>
        <w:tc>
          <w:tcPr>
            <w:tcW w:w="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13.0</w:t>
            </w:r>
          </w:p>
        </w:tc>
      </w:tr>
      <w:tr>
        <w:trPr>
          <w:trHeight w:val="180"/>
        </w:trPr>
        <w:tc>
          <w:tcPr>
            <w:tcW w:w="3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Restructuring and other charges.......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17.7</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15.4</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w:t>
            </w:r>
          </w:p>
        </w:tc>
        <w:tc>
          <w:tcPr>
            <w:tcW w:w="18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1.4</w:t>
            </w:r>
          </w:p>
        </w:tc>
        <w:tc>
          <w:tcPr>
            <w:tcW w:w="280" w:type="dxa"/>
            <w:vAlign w:val="bottom"/>
          </w:tcPr>
          <w:p>
            <w:pPr>
              <w:spacing w:after="0"/>
              <w:rPr>
                <w:sz w:val="15"/>
                <w:szCs w:val="15"/>
                <w:color w:val="auto"/>
              </w:rPr>
            </w:pPr>
          </w:p>
        </w:tc>
        <w:tc>
          <w:tcPr>
            <w:tcW w:w="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Other expense (income), net...........</w:t>
            </w:r>
          </w:p>
        </w:tc>
        <w:tc>
          <w:tcPr>
            <w:tcW w:w="94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(4.4)</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(0.6)</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5.2</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w:t>
            </w:r>
          </w:p>
        </w:tc>
        <w:tc>
          <w:tcPr>
            <w:tcW w:w="24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(3.6)</w:t>
            </w:r>
          </w:p>
        </w:tc>
        <w:tc>
          <w:tcPr>
            <w:tcW w:w="18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0.3</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0"/>
        </w:trPr>
        <w:tc>
          <w:tcPr>
            <w:tcW w:w="384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3"/>
              </w:rPr>
              <w:t>------</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Income (loss) from operations.........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60.9</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26.3</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94.8</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94.1</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196.1</w:t>
            </w:r>
          </w:p>
        </w:tc>
        <w:tc>
          <w:tcPr>
            <w:tcW w:w="18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110.2</w:t>
            </w:r>
          </w:p>
        </w:tc>
        <w:tc>
          <w:tcPr>
            <w:tcW w:w="280" w:type="dxa"/>
            <w:vAlign w:val="bottom"/>
          </w:tcPr>
          <w:p>
            <w:pPr>
              <w:spacing w:after="0"/>
              <w:rPr>
                <w:sz w:val="15"/>
                <w:szCs w:val="15"/>
                <w:color w:val="auto"/>
              </w:rPr>
            </w:pPr>
          </w:p>
        </w:tc>
        <w:tc>
          <w:tcPr>
            <w:tcW w:w="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106.8</w:t>
            </w:r>
          </w:p>
        </w:tc>
      </w:tr>
      <w:tr>
        <w:trPr>
          <w:trHeight w:val="180"/>
        </w:trPr>
        <w:tc>
          <w:tcPr>
            <w:tcW w:w="3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Interest expense......................</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24.6</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25.0</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25.2</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32.2</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79.1</w:t>
            </w:r>
          </w:p>
        </w:tc>
        <w:tc>
          <w:tcPr>
            <w:tcW w:w="18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34.4</w:t>
            </w:r>
          </w:p>
        </w:tc>
        <w:tc>
          <w:tcPr>
            <w:tcW w:w="280" w:type="dxa"/>
            <w:vAlign w:val="bottom"/>
          </w:tcPr>
          <w:p>
            <w:pPr>
              <w:spacing w:after="0"/>
              <w:rPr>
                <w:sz w:val="15"/>
                <w:szCs w:val="15"/>
                <w:color w:val="auto"/>
              </w:rPr>
            </w:pPr>
          </w:p>
        </w:tc>
        <w:tc>
          <w:tcPr>
            <w:tcW w:w="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49.6</w:t>
            </w:r>
          </w:p>
        </w:tc>
      </w:tr>
      <w:tr>
        <w:trPr>
          <w:trHeight w:val="180"/>
        </w:trPr>
        <w:tc>
          <w:tcPr>
            <w:tcW w:w="384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3"/>
              </w:rPr>
              <w:t>------</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Income (loss) before income taxes.....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36.3</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1.3</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69.6</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61.9</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117.0</w:t>
            </w:r>
          </w:p>
        </w:tc>
        <w:tc>
          <w:tcPr>
            <w:tcW w:w="18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75.8</w:t>
            </w:r>
          </w:p>
        </w:tc>
        <w:tc>
          <w:tcPr>
            <w:tcW w:w="280" w:type="dxa"/>
            <w:vAlign w:val="bottom"/>
          </w:tcPr>
          <w:p>
            <w:pPr>
              <w:spacing w:after="0"/>
              <w:rPr>
                <w:sz w:val="15"/>
                <w:szCs w:val="15"/>
                <w:color w:val="auto"/>
              </w:rPr>
            </w:pPr>
          </w:p>
        </w:tc>
        <w:tc>
          <w:tcPr>
            <w:tcW w:w="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57.2</w:t>
            </w:r>
          </w:p>
        </w:tc>
      </w:tr>
      <w:tr>
        <w:trPr>
          <w:trHeight w:val="180"/>
        </w:trPr>
        <w:tc>
          <w:tcPr>
            <w:tcW w:w="3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Income taxes..........................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13.9</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3.8</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30.1</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24.9</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47.9</w:t>
            </w:r>
          </w:p>
        </w:tc>
        <w:tc>
          <w:tcPr>
            <w:tcW w:w="18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31.1</w:t>
            </w:r>
          </w:p>
        </w:tc>
        <w:tc>
          <w:tcPr>
            <w:tcW w:w="280" w:type="dxa"/>
            <w:vAlign w:val="bottom"/>
          </w:tcPr>
          <w:p>
            <w:pPr>
              <w:spacing w:after="0"/>
              <w:rPr>
                <w:sz w:val="15"/>
                <w:szCs w:val="15"/>
                <w:color w:val="auto"/>
              </w:rPr>
            </w:pPr>
          </w:p>
        </w:tc>
        <w:tc>
          <w:tcPr>
            <w:tcW w:w="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23.2</w:t>
            </w:r>
          </w:p>
        </w:tc>
      </w:tr>
      <w:tr>
        <w:trPr>
          <w:trHeight w:val="180"/>
        </w:trPr>
        <w:tc>
          <w:tcPr>
            <w:tcW w:w="384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3"/>
              </w:rPr>
              <w:t>------</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Net income (loss) before extraordinary</w:t>
            </w: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3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item................................</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22.4</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(2.5)</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39.5</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37.0</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69.1</w:t>
            </w:r>
          </w:p>
        </w:tc>
        <w:tc>
          <w:tcPr>
            <w:tcW w:w="18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44.7</w:t>
            </w:r>
          </w:p>
        </w:tc>
        <w:tc>
          <w:tcPr>
            <w:tcW w:w="280" w:type="dxa"/>
            <w:vAlign w:val="bottom"/>
          </w:tcPr>
          <w:p>
            <w:pPr>
              <w:spacing w:after="0"/>
              <w:rPr>
                <w:sz w:val="15"/>
                <w:szCs w:val="15"/>
                <w:color w:val="auto"/>
              </w:rPr>
            </w:pPr>
          </w:p>
        </w:tc>
        <w:tc>
          <w:tcPr>
            <w:tcW w:w="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34.0</w:t>
            </w:r>
          </w:p>
        </w:tc>
      </w:tr>
      <w:tr>
        <w:trPr>
          <w:trHeight w:val="180"/>
        </w:trPr>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Extraordinary loss on early</w:t>
            </w: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3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extinguishment to debt, net.........</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0.7</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5.9</w:t>
            </w:r>
          </w:p>
        </w:tc>
        <w:tc>
          <w:tcPr>
            <w:tcW w:w="18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5.8</w:t>
            </w:r>
          </w:p>
        </w:tc>
        <w:tc>
          <w:tcPr>
            <w:tcW w:w="280" w:type="dxa"/>
            <w:vAlign w:val="bottom"/>
          </w:tcPr>
          <w:p>
            <w:pPr>
              <w:spacing w:after="0"/>
              <w:rPr>
                <w:sz w:val="15"/>
                <w:szCs w:val="15"/>
                <w:color w:val="auto"/>
              </w:rPr>
            </w:pPr>
          </w:p>
        </w:tc>
        <w:tc>
          <w:tcPr>
            <w:tcW w:w="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3"/>
              </w:rPr>
              <w:t>------</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Net income (loss).....................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$ 18.8</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 (2.5)</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$ 39.5</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36.3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63.2</w:t>
            </w:r>
          </w:p>
        </w:tc>
        <w:tc>
          <w:tcPr>
            <w:tcW w:w="180" w:type="dxa"/>
            <w:vAlign w:val="bottom"/>
          </w:tcPr>
          <w:p>
            <w:pPr>
              <w:ind w:left="100"/>
              <w:spacing w:after="0"/>
              <w:rPr>
                <w:sz w:val="20"/>
                <w:szCs w:val="20"/>
                <w:color w:val="auto"/>
              </w:rPr>
            </w:pPr>
            <w:r>
              <w:rPr>
                <w:rFonts w:ascii="Courier New" w:cs="Courier New" w:eastAsia="Courier New" w:hAnsi="Courier New"/>
                <w:sz w:val="13"/>
                <w:szCs w:val="13"/>
                <w:color w:val="auto"/>
                <w:w w:val="76"/>
              </w:rPr>
              <w:t>$</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38.9</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34.0</w:t>
            </w:r>
          </w:p>
        </w:tc>
      </w:tr>
      <w:tr>
        <w:trPr>
          <w:trHeight w:val="180"/>
        </w:trPr>
        <w:tc>
          <w:tcPr>
            <w:tcW w:w="3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Preferred stock dividends.............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  3.6</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3"/>
              </w:rPr>
              <w:t>$  9.8</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9.8</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9.7</w:t>
            </w:r>
          </w:p>
        </w:tc>
        <w:tc>
          <w:tcPr>
            <w:tcW w:w="180" w:type="dxa"/>
            <w:vAlign w:val="bottom"/>
          </w:tcPr>
          <w:p>
            <w:pPr>
              <w:ind w:left="100"/>
              <w:spacing w:after="0"/>
              <w:rPr>
                <w:sz w:val="20"/>
                <w:szCs w:val="20"/>
                <w:color w:val="auto"/>
              </w:rPr>
            </w:pPr>
            <w:r>
              <w:rPr>
                <w:rFonts w:ascii="Courier New" w:cs="Courier New" w:eastAsia="Courier New" w:hAnsi="Courier New"/>
                <w:sz w:val="13"/>
                <w:szCs w:val="13"/>
                <w:color w:val="auto"/>
                <w:w w:val="76"/>
              </w:rPr>
              <w:t>$</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4.9</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6.4</w:t>
            </w:r>
          </w:p>
        </w:tc>
      </w:tr>
      <w:tr>
        <w:trPr>
          <w:trHeight w:val="180"/>
        </w:trPr>
        <w:tc>
          <w:tcPr>
            <w:tcW w:w="384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3"/>
              </w:rPr>
              <w:t>------</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Income (loss) applicable to common</w:t>
            </w: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3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shareholders........................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$ 18.8</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$(12.3)</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$ 29.7</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26.5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53.5</w:t>
            </w:r>
          </w:p>
        </w:tc>
        <w:tc>
          <w:tcPr>
            <w:tcW w:w="180" w:type="dxa"/>
            <w:vAlign w:val="bottom"/>
          </w:tcPr>
          <w:p>
            <w:pPr>
              <w:ind w:left="100"/>
              <w:spacing w:after="0"/>
              <w:rPr>
                <w:sz w:val="20"/>
                <w:szCs w:val="20"/>
                <w:color w:val="auto"/>
              </w:rPr>
            </w:pPr>
            <w:r>
              <w:rPr>
                <w:rFonts w:ascii="Courier New" w:cs="Courier New" w:eastAsia="Courier New" w:hAnsi="Courier New"/>
                <w:sz w:val="13"/>
                <w:szCs w:val="13"/>
                <w:color w:val="auto"/>
                <w:w w:val="76"/>
              </w:rPr>
              <w:t>$</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34.0</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27.6</w:t>
            </w:r>
          </w:p>
        </w:tc>
      </w:tr>
      <w:tr>
        <w:trPr>
          <w:trHeight w:val="180"/>
        </w:trPr>
        <w:tc>
          <w:tcPr>
            <w:tcW w:w="384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3"/>
              </w:rPr>
              <w:t>======</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PER SHARE DATA:</w:t>
            </w: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3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Basic earnings (loss) per common share</w:t>
            </w: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3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before extraordinary items..........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$ 1.01</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$(0.65)</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$ 1.60</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1.46</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3.25</w:t>
            </w:r>
          </w:p>
        </w:tc>
        <w:tc>
          <w:tcPr>
            <w:tcW w:w="180" w:type="dxa"/>
            <w:vAlign w:val="bottom"/>
          </w:tcPr>
          <w:p>
            <w:pPr>
              <w:ind w:left="100"/>
              <w:spacing w:after="0"/>
              <w:rPr>
                <w:sz w:val="20"/>
                <w:szCs w:val="20"/>
                <w:color w:val="auto"/>
              </w:rPr>
            </w:pPr>
            <w:r>
              <w:rPr>
                <w:rFonts w:ascii="Courier New" w:cs="Courier New" w:eastAsia="Courier New" w:hAnsi="Courier New"/>
                <w:sz w:val="13"/>
                <w:szCs w:val="13"/>
                <w:color w:val="auto"/>
                <w:w w:val="76"/>
              </w:rPr>
              <w:t>$</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2.17</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0.99</w:t>
            </w:r>
          </w:p>
        </w:tc>
      </w:tr>
      <w:tr>
        <w:trPr>
          <w:trHeight w:val="180"/>
        </w:trPr>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Basic earnings (loss) per common</w:t>
            </w: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3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share...............................</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1.01</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(0.65)</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1.60</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1.42</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2.93</w:t>
            </w:r>
          </w:p>
        </w:tc>
        <w:tc>
          <w:tcPr>
            <w:tcW w:w="18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1.85</w:t>
            </w:r>
          </w:p>
        </w:tc>
        <w:tc>
          <w:tcPr>
            <w:tcW w:w="280" w:type="dxa"/>
            <w:vAlign w:val="bottom"/>
          </w:tcPr>
          <w:p>
            <w:pPr>
              <w:spacing w:after="0"/>
              <w:rPr>
                <w:sz w:val="15"/>
                <w:szCs w:val="15"/>
                <w:color w:val="auto"/>
              </w:rPr>
            </w:pPr>
          </w:p>
        </w:tc>
        <w:tc>
          <w:tcPr>
            <w:tcW w:w="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0.99</w:t>
            </w:r>
          </w:p>
        </w:tc>
      </w:tr>
      <w:tr>
        <w:trPr>
          <w:trHeight w:val="180"/>
        </w:trPr>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Diluted earnings (loss) per common</w:t>
            </w: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3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share before extraordinary items....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0.99</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(0.65)</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1.35</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1.22</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2.27</w:t>
            </w:r>
          </w:p>
        </w:tc>
        <w:tc>
          <w:tcPr>
            <w:tcW w:w="18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1.48</w:t>
            </w:r>
          </w:p>
        </w:tc>
        <w:tc>
          <w:tcPr>
            <w:tcW w:w="280" w:type="dxa"/>
            <w:vAlign w:val="bottom"/>
          </w:tcPr>
          <w:p>
            <w:pPr>
              <w:spacing w:after="0"/>
              <w:rPr>
                <w:sz w:val="15"/>
                <w:szCs w:val="15"/>
                <w:color w:val="auto"/>
              </w:rPr>
            </w:pPr>
          </w:p>
        </w:tc>
        <w:tc>
          <w:tcPr>
            <w:tcW w:w="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0.93</w:t>
            </w:r>
          </w:p>
        </w:tc>
      </w:tr>
      <w:tr>
        <w:trPr>
          <w:trHeight w:val="180"/>
        </w:trPr>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Diluted earnings (loss) per common</w:t>
            </w: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3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share...............................</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0.99</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(0.65)</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1.35</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1.20</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2.08</w:t>
            </w:r>
          </w:p>
        </w:tc>
        <w:tc>
          <w:tcPr>
            <w:tcW w:w="18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1.29</w:t>
            </w:r>
          </w:p>
        </w:tc>
        <w:tc>
          <w:tcPr>
            <w:tcW w:w="280" w:type="dxa"/>
            <w:vAlign w:val="bottom"/>
          </w:tcPr>
          <w:p>
            <w:pPr>
              <w:spacing w:after="0"/>
              <w:rPr>
                <w:sz w:val="15"/>
                <w:szCs w:val="15"/>
                <w:color w:val="auto"/>
              </w:rPr>
            </w:pPr>
          </w:p>
        </w:tc>
        <w:tc>
          <w:tcPr>
            <w:tcW w:w="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0.93</w:t>
            </w:r>
          </w:p>
        </w:tc>
      </w:tr>
      <w:tr>
        <w:trPr>
          <w:trHeight w:val="361"/>
        </w:trPr>
        <w:tc>
          <w:tcPr>
            <w:tcW w:w="3840" w:type="dxa"/>
            <w:vAlign w:val="bottom"/>
          </w:tcPr>
          <w:p>
            <w:pPr>
              <w:spacing w:after="0"/>
              <w:rPr>
                <w:sz w:val="20"/>
                <w:szCs w:val="20"/>
                <w:color w:val="auto"/>
              </w:rPr>
            </w:pPr>
            <w:r>
              <w:rPr>
                <w:rFonts w:ascii="Courier New" w:cs="Courier New" w:eastAsia="Courier New" w:hAnsi="Courier New"/>
                <w:sz w:val="16"/>
                <w:szCs w:val="16"/>
                <w:color w:val="auto"/>
              </w:rPr>
              <w:t>BALANCE SHEET DATA (END OF PERIOD):</w:t>
            </w: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0"/>
        </w:trPr>
        <w:tc>
          <w:tcPr>
            <w:tcW w:w="3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Working capital.......................</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$227.0</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3"/>
              </w:rPr>
              <w:t>$181.1</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$146.5</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135.3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274.8</w:t>
            </w:r>
          </w:p>
        </w:tc>
        <w:tc>
          <w:tcPr>
            <w:tcW w:w="9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$ 405.1</w:t>
            </w:r>
          </w:p>
        </w:tc>
        <w:tc>
          <w:tcPr>
            <w:tcW w:w="9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$ 381.9</w:t>
            </w:r>
          </w:p>
        </w:tc>
      </w:tr>
      <w:tr>
        <w:trPr>
          <w:trHeight w:val="180"/>
        </w:trPr>
        <w:tc>
          <w:tcPr>
            <w:tcW w:w="3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Total assets..........................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809.0</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731.7</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787.6</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1,035.2</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1,769.6</w:t>
            </w:r>
          </w:p>
        </w:tc>
        <w:tc>
          <w:tcPr>
            <w:tcW w:w="9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2,105.9</w:t>
            </w:r>
          </w:p>
        </w:tc>
        <w:tc>
          <w:tcPr>
            <w:tcW w:w="9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2,272.3</w:t>
            </w:r>
          </w:p>
        </w:tc>
      </w:tr>
      <w:tr>
        <w:trPr>
          <w:trHeight w:val="180"/>
        </w:trPr>
        <w:tc>
          <w:tcPr>
            <w:tcW w:w="3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Total debt............................</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272.5</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225.3</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221.3</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372.5</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950.0</w:t>
            </w:r>
          </w:p>
        </w:tc>
        <w:tc>
          <w:tcPr>
            <w:tcW w:w="9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1,216.9</w:t>
            </w:r>
          </w:p>
        </w:tc>
        <w:tc>
          <w:tcPr>
            <w:tcW w:w="9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1,197.9</w:t>
            </w:r>
          </w:p>
        </w:tc>
      </w:tr>
      <w:tr>
        <w:trPr>
          <w:trHeight w:val="180"/>
        </w:trPr>
        <w:tc>
          <w:tcPr>
            <w:tcW w:w="3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Shareholders' equity..................</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380.8</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364.3</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389.2</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403.9</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443.3</w:t>
            </w:r>
          </w:p>
        </w:tc>
        <w:tc>
          <w:tcPr>
            <w:tcW w:w="18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431.7</w:t>
            </w:r>
          </w:p>
        </w:tc>
        <w:tc>
          <w:tcPr>
            <w:tcW w:w="280" w:type="dxa"/>
            <w:vAlign w:val="bottom"/>
          </w:tcPr>
          <w:p>
            <w:pPr>
              <w:spacing w:after="0"/>
              <w:rPr>
                <w:sz w:val="15"/>
                <w:szCs w:val="15"/>
                <w:color w:val="auto"/>
              </w:rPr>
            </w:pPr>
          </w:p>
        </w:tc>
        <w:tc>
          <w:tcPr>
            <w:tcW w:w="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442.5</w:t>
            </w: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560" w:right="3380" w:hanging="559"/>
        <w:spacing w:after="0" w:line="236" w:lineRule="auto"/>
        <w:tabs>
          <w:tab w:leader="none" w:pos="540" w:val="left"/>
        </w:tabs>
        <w:rPr>
          <w:sz w:val="20"/>
          <w:szCs w:val="20"/>
          <w:color w:val="auto"/>
        </w:rPr>
      </w:pPr>
      <w:r>
        <w:rPr>
          <w:rFonts w:ascii="Courier New" w:cs="Courier New" w:eastAsia="Courier New" w:hAnsi="Courier New"/>
          <w:sz w:val="16"/>
          <w:szCs w:val="16"/>
          <w:color w:val="auto"/>
        </w:rPr>
        <w:t>NOTE:</w:t>
        <w:tab/>
        <w:t>Prior year presentations have been changed to conform to fiscal 1999 presentation; these changes did not impact net income.</w:t>
      </w:r>
    </w:p>
    <w:p>
      <w:pPr>
        <w:sectPr>
          <w:pgSz w:w="11900" w:h="16838" w:orient="portrait"/>
          <w:cols w:equalWidth="0" w:num="1">
            <w:col w:w="10320"/>
          </w:cols>
          <w:pgMar w:left="240" w:top="293" w:right="1339"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320"/>
          </w:cols>
          <w:pgMar w:left="240" w:top="293" w:right="1339" w:bottom="1440" w:gutter="0" w:footer="0" w:header="0"/>
          <w:type w:val="continuous"/>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19</w:t>
      </w:r>
    </w:p>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THE EXCHANGE OFFER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We are offering the holders of original notes the opportunity to exchange their original notes for new notes.</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We will use reasonable efforts to complete the exchange offer within 30 business days after the date on which the registration statement of which this prospectus is a part is declared effective by the Commission.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RESTRICTIONS ON TRANSFER OF THE ORIGINAL NOTES</w:t>
      </w:r>
    </w:p>
    <w:p>
      <w:pPr>
        <w:spacing w:after="0" w:line="185"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The original notes may be offered, sold or otherwise transferred only in $500,000 minimums and only:</w:t>
      </w:r>
    </w:p>
    <w:p>
      <w:pPr>
        <w:spacing w:after="0" w:line="180" w:lineRule="exact"/>
        <w:rPr>
          <w:sz w:val="20"/>
          <w:szCs w:val="20"/>
          <w:color w:val="auto"/>
        </w:rPr>
      </w:pPr>
    </w:p>
    <w:p>
      <w:pPr>
        <w:ind w:left="940" w:hanging="193"/>
        <w:spacing w:after="0"/>
        <w:tabs>
          <w:tab w:leader="none" w:pos="9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Scotts;</w:t>
      </w:r>
    </w:p>
    <w:p>
      <w:pPr>
        <w:spacing w:after="0" w:line="184" w:lineRule="exact"/>
        <w:rPr>
          <w:rFonts w:ascii="Courier New" w:cs="Courier New" w:eastAsia="Courier New" w:hAnsi="Courier New"/>
          <w:sz w:val="16"/>
          <w:szCs w:val="16"/>
          <w:color w:val="auto"/>
        </w:rPr>
      </w:pPr>
    </w:p>
    <w:p>
      <w:pPr>
        <w:ind w:left="940" w:right="2719" w:hanging="193"/>
        <w:spacing w:after="0" w:line="236" w:lineRule="auto"/>
        <w:tabs>
          <w:tab w:leader="none" w:pos="9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a registration statement which has been declared effective under the Securities Act;</w:t>
      </w:r>
    </w:p>
    <w:p>
      <w:pPr>
        <w:spacing w:after="0" w:line="184" w:lineRule="exact"/>
        <w:rPr>
          <w:rFonts w:ascii="Courier New" w:cs="Courier New" w:eastAsia="Courier New" w:hAnsi="Courier New"/>
          <w:sz w:val="16"/>
          <w:szCs w:val="16"/>
          <w:color w:val="auto"/>
        </w:rPr>
      </w:pPr>
    </w:p>
    <w:p>
      <w:pPr>
        <w:ind w:left="940" w:right="3099" w:hanging="193"/>
        <w:spacing w:after="0" w:line="256" w:lineRule="auto"/>
        <w:tabs>
          <w:tab w:leader="none" w:pos="9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so long as they are eligible for resale under Rule 144A, to a person the owner reasonably believes is a qualified institutional buyer purchasing for its own account or for the account of another qualified institutional buyer to whom notice is given that the transfer is being made in reliance to Rule 144A;</w:t>
      </w:r>
    </w:p>
    <w:p>
      <w:pPr>
        <w:spacing w:after="0" w:line="176" w:lineRule="exact"/>
        <w:rPr>
          <w:rFonts w:ascii="Courier New" w:cs="Courier New" w:eastAsia="Courier New" w:hAnsi="Courier New"/>
          <w:sz w:val="15"/>
          <w:szCs w:val="15"/>
          <w:color w:val="auto"/>
        </w:rPr>
      </w:pPr>
    </w:p>
    <w:p>
      <w:pPr>
        <w:ind w:left="940" w:right="2899" w:hanging="193"/>
        <w:spacing w:after="0" w:line="236" w:lineRule="auto"/>
        <w:tabs>
          <w:tab w:leader="none" w:pos="9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 purchaser that is able to represent, and represents in writing, that:</w:t>
      </w:r>
    </w:p>
    <w:p>
      <w:pPr>
        <w:spacing w:after="0" w:line="179" w:lineRule="exact"/>
        <w:rPr>
          <w:rFonts w:ascii="Courier New" w:cs="Courier New" w:eastAsia="Courier New" w:hAnsi="Courier New"/>
          <w:sz w:val="16"/>
          <w:szCs w:val="16"/>
          <w:color w:val="auto"/>
        </w:rPr>
      </w:pPr>
    </w:p>
    <w:p>
      <w:pPr>
        <w:ind w:left="1220" w:hanging="192"/>
        <w:spacing w:after="0"/>
        <w:tabs>
          <w:tab w:leader="none" w:pos="122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an "accredited investor" within the meaning of subparagraph</w:t>
      </w:r>
    </w:p>
    <w:p>
      <w:pPr>
        <w:spacing w:after="0" w:line="4" w:lineRule="exact"/>
        <w:rPr>
          <w:rFonts w:ascii="Courier New" w:cs="Courier New" w:eastAsia="Courier New" w:hAnsi="Courier New"/>
          <w:sz w:val="16"/>
          <w:szCs w:val="16"/>
          <w:color w:val="auto"/>
        </w:rPr>
      </w:pPr>
    </w:p>
    <w:p>
      <w:pPr>
        <w:ind w:left="1220" w:right="34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 (2), (3) or (7) of paragraph (a) of Rule 501 under the Securities Act,</w:t>
      </w:r>
    </w:p>
    <w:p>
      <w:pPr>
        <w:spacing w:after="0" w:line="184" w:lineRule="exact"/>
        <w:rPr>
          <w:rFonts w:ascii="Courier New" w:cs="Courier New" w:eastAsia="Courier New" w:hAnsi="Courier New"/>
          <w:sz w:val="16"/>
          <w:szCs w:val="16"/>
          <w:color w:val="auto"/>
        </w:rPr>
      </w:pPr>
    </w:p>
    <w:p>
      <w:pPr>
        <w:ind w:left="1220" w:right="2719" w:hanging="192"/>
        <w:spacing w:after="0" w:line="236" w:lineRule="auto"/>
        <w:tabs>
          <w:tab w:leader="none" w:pos="122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acquiring the notes for its own account or for the account of another accredited investor, and</w:t>
      </w:r>
    </w:p>
    <w:p>
      <w:pPr>
        <w:spacing w:after="0" w:line="184" w:lineRule="exact"/>
        <w:rPr>
          <w:rFonts w:ascii="Courier New" w:cs="Courier New" w:eastAsia="Courier New" w:hAnsi="Courier New"/>
          <w:sz w:val="16"/>
          <w:szCs w:val="16"/>
          <w:color w:val="auto"/>
        </w:rPr>
      </w:pPr>
    </w:p>
    <w:p>
      <w:pPr>
        <w:ind w:left="1220" w:right="3279" w:hanging="192"/>
        <w:spacing w:after="0" w:line="236" w:lineRule="auto"/>
        <w:tabs>
          <w:tab w:leader="none" w:pos="122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acquiring the notes for investment purposes and not for distribution in violation of the Securities Act;</w:t>
      </w:r>
    </w:p>
    <w:p>
      <w:pPr>
        <w:spacing w:after="0" w:line="184" w:lineRule="exact"/>
        <w:rPr>
          <w:rFonts w:ascii="Courier New" w:cs="Courier New" w:eastAsia="Courier New" w:hAnsi="Courier New"/>
          <w:sz w:val="16"/>
          <w:szCs w:val="16"/>
          <w:color w:val="auto"/>
        </w:rPr>
      </w:pPr>
    </w:p>
    <w:p>
      <w:pPr>
        <w:ind w:left="940" w:right="2819" w:hanging="193"/>
        <w:spacing w:after="0" w:line="236" w:lineRule="auto"/>
        <w:tabs>
          <w:tab w:leader="none" w:pos="9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an offshore transaction under Rule 903 or Rule 904 of Regulation S under the Securities Act; or</w:t>
      </w:r>
    </w:p>
    <w:p>
      <w:pPr>
        <w:spacing w:after="0" w:line="184" w:lineRule="exact"/>
        <w:rPr>
          <w:rFonts w:ascii="Courier New" w:cs="Courier New" w:eastAsia="Courier New" w:hAnsi="Courier New"/>
          <w:sz w:val="16"/>
          <w:szCs w:val="16"/>
          <w:color w:val="auto"/>
        </w:rPr>
      </w:pPr>
    </w:p>
    <w:p>
      <w:pPr>
        <w:ind w:left="940" w:right="3659" w:hanging="193"/>
        <w:spacing w:after="0" w:line="236" w:lineRule="auto"/>
        <w:tabs>
          <w:tab w:leader="none" w:pos="9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to any other available exemption from the registration requirements of the Securities Act.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Prior to any offer, sale or other transfer of original notes to an accredited investor or pursuant to any other available exemption, the issuer and the trustee under the indenture may require the delivery of an opinion of counsel, certifications and/or other information satisfactory to each of them.</w:t>
      </w:r>
    </w:p>
    <w:p>
      <w:pPr>
        <w:spacing w:after="0" w:line="186"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We may be required to file a second registration statement, known as a shelf registration statement, with the Commission to cover periodic resales of original notes in the following circumstances:</w:t>
      </w:r>
    </w:p>
    <w:p>
      <w:pPr>
        <w:spacing w:after="0" w:line="185" w:lineRule="exact"/>
        <w:rPr>
          <w:sz w:val="20"/>
          <w:szCs w:val="20"/>
          <w:color w:val="auto"/>
        </w:rPr>
      </w:pPr>
    </w:p>
    <w:p>
      <w:pPr>
        <w:ind w:left="940" w:right="2899" w:hanging="193"/>
        <w:spacing w:after="0" w:line="236" w:lineRule="auto"/>
        <w:tabs>
          <w:tab w:leader="none" w:pos="9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are not permitted to complete the exchange offer because it is not permitted by applicable law or Commission policy; or</w:t>
      </w:r>
    </w:p>
    <w:p>
      <w:pPr>
        <w:spacing w:after="0" w:line="184" w:lineRule="exact"/>
        <w:rPr>
          <w:rFonts w:ascii="Courier New" w:cs="Courier New" w:eastAsia="Courier New" w:hAnsi="Courier New"/>
          <w:sz w:val="16"/>
          <w:szCs w:val="16"/>
          <w:color w:val="auto"/>
        </w:rPr>
      </w:pPr>
    </w:p>
    <w:p>
      <w:pPr>
        <w:ind w:left="940" w:right="2899" w:hanging="193"/>
        <w:spacing w:after="0" w:line="236" w:lineRule="auto"/>
        <w:tabs>
          <w:tab w:leader="none" w:pos="9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holder of original notes notifies us before the 20th business day after the consummation of the exchange offer, that:</w:t>
      </w:r>
    </w:p>
    <w:p>
      <w:pPr>
        <w:spacing w:after="0" w:line="184" w:lineRule="exact"/>
        <w:rPr>
          <w:rFonts w:ascii="Courier New" w:cs="Courier New" w:eastAsia="Courier New" w:hAnsi="Courier New"/>
          <w:sz w:val="16"/>
          <w:szCs w:val="16"/>
          <w:color w:val="auto"/>
        </w:rPr>
      </w:pPr>
    </w:p>
    <w:p>
      <w:pPr>
        <w:ind w:left="1220" w:right="3099" w:hanging="192"/>
        <w:spacing w:after="0" w:line="236" w:lineRule="auto"/>
        <w:tabs>
          <w:tab w:leader="none" w:pos="122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due to a change in law or policy, the holder is not entitled to participate in the exchange offer;</w:t>
      </w:r>
    </w:p>
    <w:p>
      <w:pPr>
        <w:spacing w:after="0" w:line="184" w:lineRule="exact"/>
        <w:rPr>
          <w:rFonts w:ascii="Courier New" w:cs="Courier New" w:eastAsia="Courier New" w:hAnsi="Courier New"/>
          <w:sz w:val="16"/>
          <w:szCs w:val="16"/>
          <w:color w:val="auto"/>
        </w:rPr>
      </w:pPr>
    </w:p>
    <w:p>
      <w:pPr>
        <w:ind w:left="1220" w:right="2899" w:hanging="192"/>
        <w:spacing w:after="0" w:line="237" w:lineRule="auto"/>
        <w:tabs>
          <w:tab w:leader="none" w:pos="122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due to a change in law or policy, the holder may not resell the notes acquired by it in the exchange offer to the public without delivering a prospectus and this prospectus is not appropriate or available for a resale by the holder; or</w:t>
      </w:r>
    </w:p>
    <w:p>
      <w:pPr>
        <w:spacing w:after="0" w:line="185" w:lineRule="exact"/>
        <w:rPr>
          <w:rFonts w:ascii="Courier New" w:cs="Courier New" w:eastAsia="Courier New" w:hAnsi="Courier New"/>
          <w:sz w:val="16"/>
          <w:szCs w:val="16"/>
          <w:color w:val="auto"/>
        </w:rPr>
      </w:pPr>
    </w:p>
    <w:p>
      <w:pPr>
        <w:ind w:left="1220" w:right="3179" w:hanging="192"/>
        <w:spacing w:after="0" w:line="236" w:lineRule="auto"/>
        <w:tabs>
          <w:tab w:leader="none" w:pos="122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is a broker-dealer and owns original notes acquired directly from us or one of our affiliates.</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3" w:right="1440" w:bottom="1440" w:gutter="0" w:footer="0" w:header="0"/>
          <w:type w:val="continuous"/>
        </w:sectPr>
      </w:pPr>
    </w:p>
    <w:bookmarkStart w:id="21" w:name="page22"/>
    <w:bookmarkEnd w:id="21"/>
    <w:p>
      <w:pPr>
        <w:ind w:left="280"/>
        <w:spacing w:after="0"/>
        <w:rPr>
          <w:sz w:val="20"/>
          <w:szCs w:val="20"/>
          <w:color w:val="auto"/>
        </w:rPr>
      </w:pPr>
      <w:r>
        <w:rPr>
          <w:rFonts w:ascii="Courier New" w:cs="Courier New" w:eastAsia="Courier New" w:hAnsi="Courier New"/>
          <w:sz w:val="16"/>
          <w:szCs w:val="16"/>
          <w:color w:val="auto"/>
        </w:rPr>
        <w:t>20</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If we are required to file a shelf registration statement, we will do so within 30 days after the filing obligation arises. We will use our reasonable best efforts to cause the shelf registration statement to be declared effective by the Commission within 90 days after the filing obligation arises. We also will use our reasonable best efforts to keep any shelf registration statement continuously effective, supplemented and amended until the earlier of:</w:t>
      </w:r>
    </w:p>
    <w:p>
      <w:pPr>
        <w:spacing w:after="0" w:line="170" w:lineRule="exact"/>
        <w:rPr>
          <w:sz w:val="20"/>
          <w:szCs w:val="20"/>
          <w:color w:val="auto"/>
        </w:rPr>
      </w:pPr>
    </w:p>
    <w:p>
      <w:pPr>
        <w:ind w:left="660" w:hanging="195"/>
        <w:spacing w:after="0"/>
        <w:tabs>
          <w:tab w:leader="none" w:pos="6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January 21, 2001, or</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all notes covered by the shelf registration statement have been sold.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TRANSFERABILITY OF NOTES RECEIVED IN THE EXCHANGE OFFER</w:t>
      </w:r>
    </w:p>
    <w:p>
      <w:pPr>
        <w:spacing w:after="0" w:line="185" w:lineRule="exact"/>
        <w:rPr>
          <w:sz w:val="20"/>
          <w:szCs w:val="20"/>
          <w:color w:val="auto"/>
        </w:rPr>
      </w:pPr>
    </w:p>
    <w:p>
      <w:pPr>
        <w:ind w:right="3279" w:firstLine="469"/>
        <w:spacing w:after="0" w:line="236" w:lineRule="auto"/>
        <w:rPr>
          <w:sz w:val="20"/>
          <w:szCs w:val="20"/>
          <w:color w:val="auto"/>
        </w:rPr>
      </w:pPr>
      <w:r>
        <w:rPr>
          <w:rFonts w:ascii="Courier New" w:cs="Courier New" w:eastAsia="Courier New" w:hAnsi="Courier New"/>
          <w:sz w:val="16"/>
          <w:szCs w:val="16"/>
          <w:color w:val="auto"/>
        </w:rPr>
        <w:t>Each holder who wishes to receive notes in the exchange offer will be required to make the following representations:</w:t>
      </w:r>
    </w:p>
    <w:p>
      <w:pPr>
        <w:spacing w:after="0" w:line="185" w:lineRule="exact"/>
        <w:rPr>
          <w:sz w:val="20"/>
          <w:szCs w:val="20"/>
          <w:color w:val="auto"/>
        </w:rPr>
      </w:pPr>
    </w:p>
    <w:p>
      <w:pPr>
        <w:ind w:left="660" w:right="3659" w:hanging="195"/>
        <w:spacing w:after="0" w:line="236" w:lineRule="auto"/>
        <w:tabs>
          <w:tab w:leader="none" w:pos="6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is not an "affiliate," as defined in Rule 405 of the Securities Act, of Scotts;</w:t>
      </w:r>
    </w:p>
    <w:p>
      <w:pPr>
        <w:spacing w:after="0" w:line="184" w:lineRule="exact"/>
        <w:rPr>
          <w:rFonts w:ascii="Courier New" w:cs="Courier New" w:eastAsia="Courier New" w:hAnsi="Courier New"/>
          <w:sz w:val="16"/>
          <w:szCs w:val="16"/>
          <w:color w:val="auto"/>
        </w:rPr>
      </w:pPr>
    </w:p>
    <w:p>
      <w:pPr>
        <w:jc w:val="both"/>
        <w:ind w:left="660" w:right="2819" w:hanging="195"/>
        <w:spacing w:after="0" w:line="237" w:lineRule="auto"/>
        <w:tabs>
          <w:tab w:leader="none" w:pos="6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notes received by the holder in the exchange offer are being acquired in the ordinary course of its business, for its own account, for investment and not for distribution;</w:t>
      </w:r>
    </w:p>
    <w:p>
      <w:pPr>
        <w:spacing w:after="0" w:line="184" w:lineRule="exact"/>
        <w:rPr>
          <w:rFonts w:ascii="Courier New" w:cs="Courier New" w:eastAsia="Courier New" w:hAnsi="Courier New"/>
          <w:sz w:val="16"/>
          <w:szCs w:val="16"/>
          <w:color w:val="auto"/>
        </w:rPr>
      </w:pPr>
    </w:p>
    <w:p>
      <w:pPr>
        <w:ind w:left="660" w:right="3479" w:hanging="195"/>
        <w:spacing w:after="0" w:line="236" w:lineRule="auto"/>
        <w:tabs>
          <w:tab w:leader="none" w:pos="6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has no arrangement or understanding with any person to participate in the distribution of the notes;</w:t>
      </w:r>
    </w:p>
    <w:p>
      <w:pPr>
        <w:spacing w:after="0" w:line="184" w:lineRule="exact"/>
        <w:rPr>
          <w:rFonts w:ascii="Courier New" w:cs="Courier New" w:eastAsia="Courier New" w:hAnsi="Courier New"/>
          <w:sz w:val="16"/>
          <w:szCs w:val="16"/>
          <w:color w:val="auto"/>
        </w:rPr>
      </w:pPr>
    </w:p>
    <w:p>
      <w:pPr>
        <w:ind w:left="660" w:right="3099" w:hanging="195"/>
        <w:spacing w:after="0" w:line="236" w:lineRule="auto"/>
        <w:tabs>
          <w:tab w:leader="none" w:pos="6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holder is not a broker-dealer, it is not engaged, and does not intend to engage, in the distribution of the notes;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holder is a broker-dealer:</w:t>
      </w:r>
    </w:p>
    <w:p>
      <w:pPr>
        <w:spacing w:after="0" w:line="179" w:lineRule="exact"/>
        <w:rPr>
          <w:rFonts w:ascii="Courier New" w:cs="Courier New" w:eastAsia="Courier New" w:hAnsi="Courier New"/>
          <w:sz w:val="16"/>
          <w:szCs w:val="16"/>
          <w:color w:val="auto"/>
        </w:rPr>
      </w:pPr>
    </w:p>
    <w:p>
      <w:pPr>
        <w:ind w:left="1400" w:hanging="184"/>
        <w:spacing w:after="0"/>
        <w:tabs>
          <w:tab w:leader="none" w:pos="140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original notes are held by it as a nominee, or</w:t>
      </w:r>
    </w:p>
    <w:p>
      <w:pPr>
        <w:spacing w:after="0" w:line="184" w:lineRule="exact"/>
        <w:rPr>
          <w:rFonts w:ascii="Courier New" w:cs="Courier New" w:eastAsia="Courier New" w:hAnsi="Courier New"/>
          <w:sz w:val="16"/>
          <w:szCs w:val="16"/>
          <w:color w:val="auto"/>
        </w:rPr>
      </w:pPr>
    </w:p>
    <w:p>
      <w:pPr>
        <w:ind w:left="1400" w:right="2819" w:hanging="184"/>
        <w:spacing w:after="0" w:line="237" w:lineRule="auto"/>
        <w:tabs>
          <w:tab w:leader="none" w:pos="140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original notes were acquired by it for its own account as a result of market-making activities or other trading activities and it will deliver a copy of this prospectus in connection with any resale.</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Based on no-action letters issued by the staff of the Commission to third parties, if the holder can make these representations, we believe the notes acquired in exchange for the original notes will be freely transferable, except notes acquired by:</w:t>
      </w:r>
    </w:p>
    <w:p>
      <w:pPr>
        <w:spacing w:after="0" w:line="186" w:lineRule="exact"/>
        <w:rPr>
          <w:sz w:val="20"/>
          <w:szCs w:val="20"/>
          <w:color w:val="auto"/>
        </w:rPr>
      </w:pPr>
    </w:p>
    <w:p>
      <w:pPr>
        <w:ind w:left="660" w:right="3179" w:hanging="195"/>
        <w:spacing w:after="0" w:line="237" w:lineRule="auto"/>
        <w:tabs>
          <w:tab w:leader="none" w:pos="6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broker-dealers that purchased original notes directly from Scotts to resell under Rule 144A or any other available exemption under the Securities Act, and</w:t>
      </w:r>
    </w:p>
    <w:p>
      <w:pPr>
        <w:spacing w:after="0" w:line="184" w:lineRule="exact"/>
        <w:rPr>
          <w:rFonts w:ascii="Courier New" w:cs="Courier New" w:eastAsia="Courier New" w:hAnsi="Courier New"/>
          <w:sz w:val="16"/>
          <w:szCs w:val="16"/>
          <w:color w:val="auto"/>
        </w:rPr>
      </w:pPr>
    </w:p>
    <w:p>
      <w:pPr>
        <w:ind w:left="660" w:right="2999" w:hanging="195"/>
        <w:spacing w:after="0" w:line="237" w:lineRule="auto"/>
        <w:tabs>
          <w:tab w:leader="none" w:pos="6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"affiliates" of Scotts within the meaning of Rule 405 under the Securities Act unless they comply with the registration and prospectus delivery requirements of the Securities Act.</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 the event our belief is inaccurate, holders of notes issued in the exchange offer who transfer the notes in violation of the prospectus delivery provisions of the Securities Act and without an exemption from registration may incur liability under the Securities Act. We do not assume or indemnify holders against liability under the Securities Act.</w:t>
      </w:r>
    </w:p>
    <w:p>
      <w:pPr>
        <w:spacing w:after="0" w:line="18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Affiliates of Scotts and broker-dealers that purchased original notes directly from Scotts in the original offering must comply with the registration and prospectus delivery requirements of the Securities Act in connection with any sale or transfer of the notes, unless the sale or transfer is made under an exemption from these requirements.</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Commission has taken the position that this prospectus, as it may be amended or supplemented from time to time, may be used by a broker-dealer to fulfill its prospectus delivery requirements in connection with resales of notes received in exchange for original notes acquired by the broker-dealer for its own account as a result of market-making activities or other trading activities. Therefore, we have agreed that during the period required by the Securities Act, we will provide broker-dealers copies of this prospectus. However, the Commission has recently proposed that its interpretations referred to above be repealed. We</w:t>
      </w:r>
    </w:p>
    <w:p>
      <w:pPr>
        <w:sectPr>
          <w:pgSz w:w="11900" w:h="16838" w:orient="portrait"/>
          <w:cols w:equalWidth="0" w:num="1">
            <w:col w:w="10219"/>
          </w:cols>
          <w:pgMar w:left="240" w:top="293" w:right="1440" w:bottom="1440" w:gutter="0" w:footer="0" w:header="0"/>
        </w:sectPr>
      </w:pPr>
    </w:p>
    <w:p>
      <w:pPr>
        <w:spacing w:after="0" w:line="18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3" w:right="1440" w:bottom="1440" w:gutter="0" w:footer="0" w:header="0"/>
          <w:type w:val="continuous"/>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21</w:t>
      </w:r>
    </w:p>
    <w:p>
      <w:pPr>
        <w:spacing w:after="0" w:line="185"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cannot predict whether the Commission will act on this proposal prior to the completion of this exchange offer. If those interpretations are repealed prior to completion of this exchange offer, these broker-dealers will not be able to receive exchange notes in the exchange offer. Rather, as described above, we and the guarantor subsidiaries will be required to register the original notes on a new registration statement in connection with resales by holders of the notes.</w:t>
      </w:r>
    </w:p>
    <w:p>
      <w:pPr>
        <w:spacing w:after="0" w:line="17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 broker-dealer that delivers a prospectus to purchasers in connection with resales will be subject to the civil liability provisions of the Securities Act. In addition, it will be bound by the provisions of the registration rights agreement, including the indemnification rights and obligations. Although a broker-dealer may be an "underwriter" within the meaning of the Securities Act, the letter of transmittal states that a broker-dealer will not be deemed to be admitting it is an "underwriter" by its execution of the letter and its delivery of a prospectus.</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All resales must be made in compliance with applicable state securities or "blue sky" laws. Compliance may require that:</w:t>
      </w:r>
    </w:p>
    <w:p>
      <w:pPr>
        <w:spacing w:after="0" w:line="185" w:lineRule="exact"/>
        <w:rPr>
          <w:sz w:val="20"/>
          <w:szCs w:val="20"/>
          <w:color w:val="auto"/>
        </w:rPr>
      </w:pPr>
    </w:p>
    <w:p>
      <w:pPr>
        <w:ind w:left="660" w:right="2999" w:hanging="195"/>
        <w:spacing w:after="0" w:line="236" w:lineRule="auto"/>
        <w:tabs>
          <w:tab w:leader="none" w:pos="6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issued in the exchange offer be registered or qualified in a particular state,</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resales be made by or through a licensed broker-dealer, and/or</w:t>
      </w:r>
    </w:p>
    <w:p>
      <w:pPr>
        <w:spacing w:after="0" w:line="184" w:lineRule="exact"/>
        <w:rPr>
          <w:rFonts w:ascii="Courier New" w:cs="Courier New" w:eastAsia="Courier New" w:hAnsi="Courier New"/>
          <w:sz w:val="16"/>
          <w:szCs w:val="16"/>
          <w:color w:val="auto"/>
        </w:rPr>
      </w:pPr>
    </w:p>
    <w:p>
      <w:pPr>
        <w:ind w:left="660" w:right="3179" w:hanging="195"/>
        <w:spacing w:after="0" w:line="236" w:lineRule="auto"/>
        <w:tabs>
          <w:tab w:leader="none" w:pos="6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make representations in addition to those listed above as required by applicable state law.</w:t>
      </w:r>
    </w:p>
    <w:p>
      <w:pPr>
        <w:spacing w:after="0" w:line="185" w:lineRule="exact"/>
        <w:rPr>
          <w:sz w:val="20"/>
          <w:szCs w:val="20"/>
          <w:color w:val="auto"/>
        </w:rPr>
      </w:pPr>
    </w:p>
    <w:p>
      <w:pPr>
        <w:ind w:right="3759" w:firstLine="469"/>
        <w:spacing w:after="0" w:line="236" w:lineRule="auto"/>
        <w:rPr>
          <w:sz w:val="20"/>
          <w:szCs w:val="20"/>
          <w:color w:val="auto"/>
        </w:rPr>
      </w:pPr>
      <w:r>
        <w:rPr>
          <w:rFonts w:ascii="Courier New" w:cs="Courier New" w:eastAsia="Courier New" w:hAnsi="Courier New"/>
          <w:sz w:val="16"/>
          <w:szCs w:val="16"/>
          <w:color w:val="auto"/>
        </w:rPr>
        <w:t>We assume no responsibility with regard to compliance with these requirements.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CONSEQUENCES OF FAILURE TO EXCHANGE</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Original notes which are not exchanged in the exchange offer and are not included in a resale prospectus may be offered and sold only as described above under "-- Restrictions on Transfer of the Original Notes." These restrictions will continue until:</w:t>
      </w:r>
    </w:p>
    <w:p>
      <w:pPr>
        <w:spacing w:after="0" w:line="181" w:lineRule="exact"/>
        <w:rPr>
          <w:sz w:val="20"/>
          <w:szCs w:val="20"/>
          <w:color w:val="auto"/>
        </w:rPr>
      </w:pPr>
    </w:p>
    <w:p>
      <w:pPr>
        <w:ind w:left="660" w:hanging="195"/>
        <w:spacing w:after="0"/>
        <w:tabs>
          <w:tab w:leader="none" w:pos="6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later of:</w:t>
      </w:r>
    </w:p>
    <w:p>
      <w:pPr>
        <w:spacing w:after="0" w:line="179" w:lineRule="exact"/>
        <w:rPr>
          <w:rFonts w:ascii="Courier New" w:cs="Courier New" w:eastAsia="Courier New" w:hAnsi="Courier New"/>
          <w:sz w:val="16"/>
          <w:szCs w:val="16"/>
          <w:color w:val="auto"/>
        </w:rPr>
      </w:pPr>
    </w:p>
    <w:p>
      <w:pPr>
        <w:ind w:left="1120" w:hanging="186"/>
        <w:spacing w:after="0"/>
        <w:tabs>
          <w:tab w:leader="none" w:pos="112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January 21, 2001, or</w:t>
      </w:r>
    </w:p>
    <w:p>
      <w:pPr>
        <w:spacing w:after="0" w:line="184" w:lineRule="exact"/>
        <w:rPr>
          <w:rFonts w:ascii="Courier New" w:cs="Courier New" w:eastAsia="Courier New" w:hAnsi="Courier New"/>
          <w:sz w:val="16"/>
          <w:szCs w:val="16"/>
          <w:color w:val="auto"/>
        </w:rPr>
      </w:pPr>
    </w:p>
    <w:p>
      <w:pPr>
        <w:ind w:left="1120" w:right="2999" w:hanging="186"/>
        <w:spacing w:after="0" w:line="236" w:lineRule="auto"/>
        <w:tabs>
          <w:tab w:leader="none" w:pos="112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second anniversary of the last date that Scotts or one of its affiliates owned the note;</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on which an original note has been effectively registered under the Securities Act and disposed of in accordance with a shelf registration statement; or</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on which an original note is distributed to the public pursuant to Rule 144 under the Securities Act.</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We may seek to acquire untendered original notes, to the extent permitted by applicable law, in open market or privately negotiated transactions, through subsequent exchange offers or otherwise. We have no present plans to acquire any original notes that are not tendered in the exchange offer or to file a registration statement to permit resales of any untendered original notes.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TERMS OF THE EXCHANGE OFFER</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the terms and conditions in this prospectus and in the letter of transmittal, we will accept any and all original notes validly tendered and not withdrawn prior to the expiration date. We will issue $1,000 principal amount of notes in exchange for each $1,000 principal amount of original notes accepted in the exchange offer. Holders may tender some or all of their original notes. Original notes may be tendered only in integral multiples of $1,000 principal amount.</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The form and terms of the notes to be issued in the exchange offer are the same as the form and terms of the original notes, except that:</w:t>
      </w:r>
    </w:p>
    <w:p>
      <w:pPr>
        <w:spacing w:after="0" w:line="185" w:lineRule="exact"/>
        <w:rPr>
          <w:sz w:val="20"/>
          <w:szCs w:val="20"/>
          <w:color w:val="auto"/>
        </w:rPr>
      </w:pPr>
    </w:p>
    <w:p>
      <w:pPr>
        <w:ind w:left="660" w:right="2899" w:hanging="195"/>
        <w:spacing w:after="0" w:line="237" w:lineRule="auto"/>
        <w:tabs>
          <w:tab w:leader="none" w:pos="6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to be issued in the exchange offer have been registered under the Securities Act and, therefore, will not bear legends restricting their transfer; and</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3" w:right="1440" w:bottom="1440" w:gutter="0" w:footer="0" w:header="0"/>
          <w:type w:val="continuous"/>
        </w:sectPr>
      </w:pPr>
    </w:p>
    <w:bookmarkStart w:id="23" w:name="page24"/>
    <w:bookmarkEnd w:id="23"/>
    <w:p>
      <w:pPr>
        <w:ind w:left="280"/>
        <w:spacing w:after="0"/>
        <w:rPr>
          <w:sz w:val="20"/>
          <w:szCs w:val="20"/>
          <w:color w:val="auto"/>
        </w:rPr>
      </w:pPr>
      <w:r>
        <w:rPr>
          <w:rFonts w:ascii="Courier New" w:cs="Courier New" w:eastAsia="Courier New" w:hAnsi="Courier New"/>
          <w:sz w:val="16"/>
          <w:szCs w:val="16"/>
          <w:color w:val="auto"/>
        </w:rPr>
        <w:t>22</w:t>
      </w:r>
    </w:p>
    <w:p>
      <w:pPr>
        <w:spacing w:after="0" w:line="185" w:lineRule="exact"/>
        <w:rPr>
          <w:sz w:val="20"/>
          <w:szCs w:val="20"/>
          <w:color w:val="auto"/>
        </w:rPr>
      </w:pPr>
    </w:p>
    <w:p>
      <w:pPr>
        <w:jc w:val="both"/>
        <w:ind w:left="660" w:right="2719" w:hanging="195"/>
        <w:spacing w:after="0" w:line="237" w:lineRule="auto"/>
        <w:tabs>
          <w:tab w:leader="none" w:pos="6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notes issued in the exchange offer will not be entitled to rights under the registration rights agreement, except under very limited circumstances.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notes to be issued in the exchange offer will evidence the same debt as the original notes which they replace and will be issued under, and be entitled to the benefits of, the same indenture.</w:t>
      </w:r>
    </w:p>
    <w:p>
      <w:pPr>
        <w:spacing w:after="0" w:line="180"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6"/>
          <w:szCs w:val="16"/>
          <w:color w:val="auto"/>
        </w:rPr>
        <w:t>Solely for reasons of administration, Scotts has fixed the close of</w:t>
      </w:r>
    </w:p>
    <w:p>
      <w:pPr>
        <w:spacing w:after="0" w:line="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business on , 2000, as the record date for the exchange offer for purposes of determining the persons to whom this prospectus and the letter of transmittal will be mailed initially. Only a registered holder of original notes, or the holder's legal representative or attorney-in-fact, as reflected on the records of the trustee under the indenture may participate in the exchange offer. There will be no fixed record date for determining registered holders of the original notes entitled to participate in the exchange offer.</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Holders of the original notes do not have any appraisal or dissenters' rights under the General Corporation Law of Ohio or under the indenture because of the exchange offer. Scotts intends to comply with the applicable requirements of the Exchange Act and the rules and regulations of the Commission in conducting the exchange offer.</w:t>
      </w:r>
    </w:p>
    <w:p>
      <w:pPr>
        <w:spacing w:after="0" w:line="187" w:lineRule="exact"/>
        <w:rPr>
          <w:sz w:val="20"/>
          <w:szCs w:val="20"/>
          <w:color w:val="auto"/>
        </w:rPr>
      </w:pPr>
    </w:p>
    <w:p>
      <w:pPr>
        <w:ind w:right="2899" w:firstLine="469"/>
        <w:spacing w:after="0" w:line="257" w:lineRule="auto"/>
        <w:rPr>
          <w:sz w:val="20"/>
          <w:szCs w:val="20"/>
          <w:color w:val="auto"/>
        </w:rPr>
      </w:pPr>
      <w:r>
        <w:rPr>
          <w:rFonts w:ascii="Courier New" w:cs="Courier New" w:eastAsia="Courier New" w:hAnsi="Courier New"/>
          <w:sz w:val="15"/>
          <w:szCs w:val="15"/>
          <w:color w:val="auto"/>
        </w:rPr>
        <w:t>Scotts will be deemed to have accepted validly tendered original notes when, as and if it has given oral or written notice of acceptance to the exchange agent. The exchange agent will act as agent for the tendering holders of the original notes for purposes of receiving notes in the exchange offer.</w:t>
      </w:r>
    </w:p>
    <w:p>
      <w:pPr>
        <w:spacing w:after="0" w:line="174" w:lineRule="exact"/>
        <w:rPr>
          <w:sz w:val="20"/>
          <w:szCs w:val="20"/>
          <w:color w:val="auto"/>
        </w:rPr>
      </w:pPr>
    </w:p>
    <w:p>
      <w:pPr>
        <w:ind w:right="2819" w:firstLine="469"/>
        <w:spacing w:after="0" w:line="259" w:lineRule="auto"/>
        <w:rPr>
          <w:sz w:val="20"/>
          <w:szCs w:val="20"/>
          <w:color w:val="auto"/>
        </w:rPr>
      </w:pPr>
      <w:r>
        <w:rPr>
          <w:rFonts w:ascii="Courier New" w:cs="Courier New" w:eastAsia="Courier New" w:hAnsi="Courier New"/>
          <w:sz w:val="15"/>
          <w:szCs w:val="15"/>
          <w:color w:val="auto"/>
        </w:rPr>
        <w:t>If any tendered original notes are not accepted for exchange, certificates for any unaccepted original notes will be returned without expense to the tendering holder as promptly as practicable after the expiration date.</w:t>
      </w:r>
    </w:p>
    <w:p>
      <w:pPr>
        <w:spacing w:after="0" w:line="171"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Holders who tender original notes in the exchange offer will not be required to pay brokerage commissions or fees or, except as described in the letter of transmittal, transfer taxes. We will pay all charges and expenses, other than applicable taxes, in connection with the exchange offer. See "-- Fees and Expenses."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EXPIRATION DATE; EXTENSION; AMENDMENTS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exchange offer will expire at, and the expiration date will be, 5:00</w:t>
      </w:r>
    </w:p>
    <w:p>
      <w:pPr>
        <w:spacing w:after="0" w:line="4"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p.m., New York City time on , 2000. We may extend the exchange offer, in which case the expiration date will be the latest date and time to which it is extended.</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In order to extend the exchange offer, we must notify the exchange agent and make a public announcement of the extension prior to 9:00 a.m., New York City time, on the next business day after the previously scheduled expiration date.</w:t>
      </w:r>
    </w:p>
    <w:p>
      <w:pPr>
        <w:spacing w:after="0" w:line="18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We reserve the right, in our sole discretion:</w:t>
      </w:r>
    </w:p>
    <w:p>
      <w:pPr>
        <w:spacing w:after="0" w:line="179" w:lineRule="exact"/>
        <w:rPr>
          <w:sz w:val="20"/>
          <w:szCs w:val="20"/>
          <w:color w:val="auto"/>
        </w:rPr>
      </w:pPr>
    </w:p>
    <w:p>
      <w:pPr>
        <w:ind w:left="940" w:hanging="193"/>
        <w:spacing w:after="0"/>
        <w:tabs>
          <w:tab w:leader="none" w:pos="9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delay accepting any original notes,</w:t>
      </w:r>
    </w:p>
    <w:p>
      <w:pPr>
        <w:spacing w:after="0" w:line="179" w:lineRule="exact"/>
        <w:rPr>
          <w:rFonts w:ascii="Courier New" w:cs="Courier New" w:eastAsia="Courier New" w:hAnsi="Courier New"/>
          <w:sz w:val="16"/>
          <w:szCs w:val="16"/>
          <w:color w:val="auto"/>
        </w:rPr>
      </w:pPr>
    </w:p>
    <w:p>
      <w:pPr>
        <w:ind w:left="940" w:hanging="193"/>
        <w:spacing w:after="0"/>
        <w:tabs>
          <w:tab w:leader="none" w:pos="9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extend the exchange offer,</w:t>
      </w:r>
    </w:p>
    <w:p>
      <w:pPr>
        <w:spacing w:after="0" w:line="179" w:lineRule="exact"/>
        <w:rPr>
          <w:rFonts w:ascii="Courier New" w:cs="Courier New" w:eastAsia="Courier New" w:hAnsi="Courier New"/>
          <w:sz w:val="16"/>
          <w:szCs w:val="16"/>
          <w:color w:val="auto"/>
        </w:rPr>
      </w:pPr>
    </w:p>
    <w:p>
      <w:pPr>
        <w:ind w:left="940" w:hanging="193"/>
        <w:spacing w:after="0"/>
        <w:tabs>
          <w:tab w:leader="none" w:pos="9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terminate the exchange offer if the condition described</w:t>
      </w:r>
    </w:p>
    <w:p>
      <w:pPr>
        <w:spacing w:after="0" w:line="4" w:lineRule="exact"/>
        <w:rPr>
          <w:rFonts w:ascii="Courier New" w:cs="Courier New" w:eastAsia="Courier New" w:hAnsi="Courier New"/>
          <w:sz w:val="16"/>
          <w:szCs w:val="16"/>
          <w:color w:val="auto"/>
        </w:rPr>
      </w:pPr>
    </w:p>
    <w:p>
      <w:pPr>
        <w:ind w:left="940"/>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under "-- Condition of the Exchange Offer" has not been satisfied, or</w:t>
      </w:r>
    </w:p>
    <w:p>
      <w:pPr>
        <w:spacing w:after="0" w:line="185" w:lineRule="exact"/>
        <w:rPr>
          <w:rFonts w:ascii="Courier New" w:cs="Courier New" w:eastAsia="Courier New" w:hAnsi="Courier New"/>
          <w:sz w:val="16"/>
          <w:szCs w:val="16"/>
          <w:color w:val="auto"/>
        </w:rPr>
      </w:pPr>
    </w:p>
    <w:p>
      <w:pPr>
        <w:ind w:left="940" w:hanging="193"/>
        <w:spacing w:after="0"/>
        <w:tabs>
          <w:tab w:leader="none" w:pos="9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amend the terms of the exchange offer in any manner.</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must give oral or written notice of any delay, extension or termination to the exchange agent. Any delay, extension, termination or amendment will be followed as promptly as practicable by a public announcement. We do not have an obligation to publish, advertise or otherwise communicate a delay, extension, termination or amendment, other than by making a timely release to the Dow Jones News Service. If, however, we determine that any amendment constitutes a material change, we will promptly file a post-effective amendment with the Commission and distribute a prospectus to the registered holders of the original notes describing the amendment. If the exchange offer is scheduled to expire during the five to ten business</w:t>
      </w:r>
    </w:p>
    <w:p>
      <w:pPr>
        <w:sectPr>
          <w:pgSz w:w="11900" w:h="16838" w:orient="portrait"/>
          <w:cols w:equalWidth="0" w:num="1">
            <w:col w:w="10219"/>
          </w:cols>
          <w:pgMar w:left="240" w:top="293" w:right="1440" w:bottom="1440" w:gutter="0" w:footer="0" w:header="0"/>
        </w:sectPr>
      </w:pPr>
    </w:p>
    <w:p>
      <w:pPr>
        <w:spacing w:after="0" w:line="187"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3" w:right="1440" w:bottom="1440" w:gutter="0" w:footer="0" w:header="0"/>
          <w:type w:val="continuous"/>
        </w:sectPr>
      </w:pPr>
    </w:p>
    <w:bookmarkStart w:id="24" w:name="page25"/>
    <w:bookmarkEnd w:id="24"/>
    <w:p>
      <w:pPr>
        <w:ind w:left="280"/>
        <w:spacing w:after="0"/>
        <w:rPr>
          <w:sz w:val="20"/>
          <w:szCs w:val="20"/>
          <w:color w:val="auto"/>
        </w:rPr>
      </w:pPr>
      <w:r>
        <w:rPr>
          <w:rFonts w:ascii="Courier New" w:cs="Courier New" w:eastAsia="Courier New" w:hAnsi="Courier New"/>
          <w:sz w:val="16"/>
          <w:szCs w:val="16"/>
          <w:color w:val="auto"/>
        </w:rPr>
        <w:t>23</w:t>
      </w:r>
    </w:p>
    <w:p>
      <w:pPr>
        <w:spacing w:after="0" w:line="185" w:lineRule="exact"/>
        <w:rPr>
          <w:sz w:val="20"/>
          <w:szCs w:val="20"/>
          <w:color w:val="auto"/>
        </w:rPr>
      </w:pPr>
    </w:p>
    <w:p>
      <w:pPr>
        <w:ind w:right="2819"/>
        <w:spacing w:after="0" w:line="259" w:lineRule="auto"/>
        <w:rPr>
          <w:sz w:val="20"/>
          <w:szCs w:val="20"/>
          <w:color w:val="auto"/>
        </w:rPr>
      </w:pPr>
      <w:r>
        <w:rPr>
          <w:rFonts w:ascii="Courier New" w:cs="Courier New" w:eastAsia="Courier New" w:hAnsi="Courier New"/>
          <w:sz w:val="15"/>
          <w:szCs w:val="15"/>
          <w:color w:val="auto"/>
        </w:rPr>
        <w:t>day period following a material amendment, it will be extended for a period of five to ten business days, as required by law, depending on the significance of the amendment and the manner of disclosure to the registered holders.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PROCEDURES FOR TENDERING</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Only a registered holder may tender original notes in the exchange offer.</w:t>
      </w:r>
    </w:p>
    <w:p>
      <w:pPr>
        <w:spacing w:after="0"/>
        <w:rPr>
          <w:sz w:val="20"/>
          <w:szCs w:val="20"/>
          <w:color w:val="auto"/>
        </w:rPr>
      </w:pPr>
      <w:r>
        <w:rPr>
          <w:rFonts w:ascii="Courier New" w:cs="Courier New" w:eastAsia="Courier New" w:hAnsi="Courier New"/>
          <w:sz w:val="16"/>
          <w:szCs w:val="16"/>
          <w:color w:val="auto"/>
        </w:rPr>
        <w:t>To tender in the exchange offer, the holder must:</w:t>
      </w:r>
    </w:p>
    <w:p>
      <w:pPr>
        <w:spacing w:after="0" w:line="179" w:lineRule="exact"/>
        <w:rPr>
          <w:sz w:val="20"/>
          <w:szCs w:val="20"/>
          <w:color w:val="auto"/>
        </w:rPr>
      </w:pPr>
    </w:p>
    <w:p>
      <w:pPr>
        <w:ind w:left="660" w:hanging="195"/>
        <w:spacing w:after="0"/>
        <w:tabs>
          <w:tab w:leader="none" w:pos="6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complete, sign and date the letter of transmittal;</w:t>
      </w:r>
    </w:p>
    <w:p>
      <w:pPr>
        <w:spacing w:after="0" w:line="184"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the signatures guaranteed if required by the letter of transmittal;</w:t>
      </w:r>
    </w:p>
    <w:p>
      <w:pPr>
        <w:spacing w:after="0" w:line="190" w:lineRule="exact"/>
        <w:rPr>
          <w:rFonts w:ascii="Courier New" w:cs="Courier New" w:eastAsia="Courier New" w:hAnsi="Courier New"/>
          <w:sz w:val="15"/>
          <w:szCs w:val="15"/>
          <w:color w:val="auto"/>
        </w:rPr>
      </w:pPr>
    </w:p>
    <w:p>
      <w:pPr>
        <w:ind w:left="660" w:right="3279" w:hanging="195"/>
        <w:spacing w:after="0" w:line="236" w:lineRule="auto"/>
        <w:tabs>
          <w:tab w:leader="none" w:pos="6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mail or otherwise deliver the letter of transmittal to the exchange agent; and</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w:t>
      </w:r>
    </w:p>
    <w:p>
      <w:pPr>
        <w:spacing w:after="0" w:line="184" w:lineRule="exact"/>
        <w:rPr>
          <w:rFonts w:ascii="Courier New" w:cs="Courier New" w:eastAsia="Courier New" w:hAnsi="Courier New"/>
          <w:sz w:val="16"/>
          <w:szCs w:val="16"/>
          <w:color w:val="auto"/>
        </w:rPr>
      </w:pPr>
    </w:p>
    <w:p>
      <w:pPr>
        <w:ind w:left="1120" w:right="2999" w:hanging="186"/>
        <w:spacing w:after="0" w:line="236" w:lineRule="auto"/>
        <w:tabs>
          <w:tab w:leader="none" w:pos="112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certificates for the original notes to the exchange agent with the letter of transmittal;</w:t>
      </w:r>
    </w:p>
    <w:p>
      <w:pPr>
        <w:spacing w:after="0" w:line="184" w:lineRule="exact"/>
        <w:rPr>
          <w:rFonts w:ascii="Courier New" w:cs="Courier New" w:eastAsia="Courier New" w:hAnsi="Courier New"/>
          <w:sz w:val="16"/>
          <w:szCs w:val="16"/>
          <w:color w:val="auto"/>
        </w:rPr>
      </w:pPr>
    </w:p>
    <w:p>
      <w:pPr>
        <w:jc w:val="both"/>
        <w:ind w:left="1120" w:right="2819" w:hanging="186"/>
        <w:spacing w:after="0" w:line="237" w:lineRule="auto"/>
        <w:tabs>
          <w:tab w:leader="none" w:pos="112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to the exchange agent a timely confirmation of a book-entry transfer of the original notes into the exchange agent's account at The Depository Trust Company, as described below; or</w:t>
      </w:r>
    </w:p>
    <w:p>
      <w:pPr>
        <w:spacing w:after="0" w:line="179" w:lineRule="exact"/>
        <w:rPr>
          <w:rFonts w:ascii="Courier New" w:cs="Courier New" w:eastAsia="Courier New" w:hAnsi="Courier New"/>
          <w:sz w:val="16"/>
          <w:szCs w:val="16"/>
          <w:color w:val="auto"/>
        </w:rPr>
      </w:pPr>
    </w:p>
    <w:p>
      <w:pPr>
        <w:ind w:left="1120" w:hanging="186"/>
        <w:spacing w:after="0"/>
        <w:tabs>
          <w:tab w:leader="none" w:pos="112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comply with the guaranteed delivery procedures described below.</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To be tendered effectively, the letter of transmittal and all other required documents must be received by the exchange agent at the address set forth below under "-- Exchange Agent" prior to the expiration date.</w:t>
      </w:r>
    </w:p>
    <w:p>
      <w:pPr>
        <w:spacing w:after="0" w:line="185" w:lineRule="exact"/>
        <w:rPr>
          <w:sz w:val="20"/>
          <w:szCs w:val="20"/>
          <w:color w:val="auto"/>
        </w:rPr>
      </w:pPr>
    </w:p>
    <w:p>
      <w:pPr>
        <w:ind w:right="2719" w:firstLine="469"/>
        <w:spacing w:after="0" w:line="263" w:lineRule="auto"/>
        <w:rPr>
          <w:sz w:val="20"/>
          <w:szCs w:val="20"/>
          <w:color w:val="auto"/>
        </w:rPr>
      </w:pPr>
      <w:r>
        <w:rPr>
          <w:rFonts w:ascii="Courier New" w:cs="Courier New" w:eastAsia="Courier New" w:hAnsi="Courier New"/>
          <w:sz w:val="15"/>
          <w:szCs w:val="15"/>
          <w:color w:val="auto"/>
        </w:rPr>
        <w:t>The tender by a holder will constitute an agreement between the holder and us on the terms and conditions in this prospectus and the letter of transmittal.</w:t>
      </w:r>
    </w:p>
    <w:p>
      <w:pPr>
        <w:spacing w:after="0" w:line="169"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THE METHOD OF DELIVERY OF THE ORIGINAL NOTES AND THE LETTER OF TRANSMITTAL AND ALL OTHER DOCUMENTS TO BE DELIVERED TO THE EXCHANGE AGENT IS AT THE ELECTION AND RISK OF THE HOLDER. INSTEAD OF DELIVERY BY MAIL, IT IS RECOMMENDED THAT HOLDERS USE AN OVERNIGHT OR HAND DELIVERY SERVICE. IN ALL CASES, SUFFICIENT TIME SHOULD BE ALLOWED TO ASSURE DELIVERY TO THE EXCHANGE AGENT BEFORE THE APPLICABLE EXPIRATION DATE. NO LETTER OF TRANSMITTAL OR ORIGINAL NOTES SHOULD BE SENT TO SCOTTS. HOLDERS MAY REQUEST THEIR RESPECTIVE BROKERS, DEALERS, COMMERCIAL BANKS, TRUST COMPANIES OR NOMINEES TO EFFECT THE ABOVE TRANSACTIONS FOR THEM.</w:t>
      </w:r>
    </w:p>
    <w:p>
      <w:pPr>
        <w:spacing w:after="0" w:line="173"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Any beneficial owner whose original notes are registered in the name of a broker, dealer, commercial bank, trust company or other nominee and who wishes to tender should contact the registered holder promptly and instruct the registered holder to tender on the beneficial owner's behalf. If the beneficial owner wishes to tender on the owner's behalf, the owner must, prior to completing and executing the letter of transmittal and delivering the owner's original notes, either make appropriate arrangements to register ownership of the original notes in the beneficial owner's name or obtain a properly completed bond power from the registered holder. The transfer of registered ownership may take considerable time.</w:t>
      </w:r>
    </w:p>
    <w:p>
      <w:pPr>
        <w:spacing w:after="0" w:line="187"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Signatures on a letter of transmittal or a notice of withdrawal must be guaranteed by an eligible institution unless the original notes tendered with the letter of transmittal are tendered:</w:t>
      </w:r>
    </w:p>
    <w:p>
      <w:pPr>
        <w:spacing w:after="0" w:line="185" w:lineRule="exact"/>
        <w:rPr>
          <w:sz w:val="20"/>
          <w:szCs w:val="20"/>
          <w:color w:val="auto"/>
        </w:rPr>
      </w:pPr>
    </w:p>
    <w:p>
      <w:pPr>
        <w:ind w:left="660" w:right="3099" w:hanging="195"/>
        <w:spacing w:after="0" w:line="236" w:lineRule="auto"/>
        <w:tabs>
          <w:tab w:leader="none" w:pos="6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 registered holder who has not completed the box on the letter of transmittal entitled "Special Delivery Instructions," or</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account of an eligible institution.</w:t>
      </w:r>
    </w:p>
    <w:p>
      <w:pPr>
        <w:spacing w:after="0" w:line="185" w:lineRule="exact"/>
        <w:rPr>
          <w:sz w:val="20"/>
          <w:szCs w:val="20"/>
          <w:color w:val="auto"/>
        </w:rPr>
      </w:pPr>
    </w:p>
    <w:p>
      <w:pPr>
        <w:ind w:right="3099" w:firstLine="469"/>
        <w:spacing w:after="0" w:line="263" w:lineRule="auto"/>
        <w:rPr>
          <w:sz w:val="20"/>
          <w:szCs w:val="20"/>
          <w:color w:val="auto"/>
        </w:rPr>
      </w:pPr>
      <w:r>
        <w:rPr>
          <w:rFonts w:ascii="Courier New" w:cs="Courier New" w:eastAsia="Courier New" w:hAnsi="Courier New"/>
          <w:sz w:val="15"/>
          <w:szCs w:val="15"/>
          <w:color w:val="auto"/>
        </w:rPr>
        <w:t>An eligible institution is any participant in a recognized signature guarantee program within the meaning of Rule 17Ad-15 under the Exchange Act.</w:t>
      </w:r>
    </w:p>
    <w:p>
      <w:pPr>
        <w:spacing w:after="0" w:line="169"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If a letter of transmittal is signed by a person other than the registered holder of any original notes listed on the letter of transmittal, the notes must be endorsed or accompanied by a properly completed bond power, signed by the registered holder, with signature guaranteed by an eligible institution.</w:t>
      </w:r>
    </w:p>
    <w:p>
      <w:pPr>
        <w:sectPr>
          <w:pgSz w:w="11900" w:h="16838" w:orient="portrait"/>
          <w:cols w:equalWidth="0" w:num="1">
            <w:col w:w="10219"/>
          </w:cols>
          <w:pgMar w:left="240" w:top="293" w:right="1440" w:bottom="1440" w:gutter="0" w:footer="0" w:header="0"/>
        </w:sectPr>
      </w:pP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93" w:right="1440" w:bottom="1440" w:gutter="0" w:footer="0" w:header="0"/>
          <w:type w:val="continuous"/>
        </w:sectPr>
      </w:pPr>
    </w:p>
    <w:bookmarkStart w:id="25" w:name="page26"/>
    <w:bookmarkEnd w:id="25"/>
    <w:p>
      <w:pPr>
        <w:ind w:left="280"/>
        <w:spacing w:after="0"/>
        <w:rPr>
          <w:sz w:val="20"/>
          <w:szCs w:val="20"/>
          <w:color w:val="auto"/>
        </w:rPr>
      </w:pPr>
      <w:r>
        <w:rPr>
          <w:rFonts w:ascii="Courier New" w:cs="Courier New" w:eastAsia="Courier New" w:hAnsi="Courier New"/>
          <w:sz w:val="16"/>
          <w:szCs w:val="16"/>
          <w:color w:val="auto"/>
        </w:rPr>
        <w:t>24</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If a letter of transmittal or any original notes or bond powers are signed by trustees, executors, administrators, guardians, attorneys-in-fact, officers of corporations or others acting in a fiduciary or representative capacity, the signatories should indicate their status when signing. In addition, evidence of their authority to sign satisfactory to Scotts must be submitted with the letter of transmittal.</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All questions as to the validity, form, eligibility, time of receipt, acceptance and withdrawal of tendered original notes will be determined by us in our sole discretion. Our determination will be final and binding. We reserve the absolute right to reject any and all original notes not properly tendered or any original notes the acceptance of which would, in the opinion of our counsel, be unlawful. We also reserve the right to waive any defects, irregularities or conditions of tender as to particular original notes. Unless waived, any defects or irregularities in connection with tenders of original notes must be cured within the time set by us. Although we intend to notify holders of defects or irregularities in their tenders, neither we, the exchange agent nor any other person will incur any liability for failing to give notice. Tenders of original notes will not be deemed to have been made until all defects or irregularities have been cured or waived.</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Any original notes received by the exchange agent that are not validly tendered and as to which the defects or irregularities have not been cured or waived will be returned to the tendering holder. If original notes are submitted in a principal amount greater than the principal amount of original notes being tendered by the tendering holder, the unaccepted or non-exchanged original notes will be returned to the tendering holders. In the case of original notes tendered by book-entry transfer into the exchange agent's account at DTC as described below, unaccepted or non-exchanged original notes will be credited to an account maintained with DTC. Unless otherwise provided in the letter of transmittal, returns will be made as soon as practicable following the applicable expiration date.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BOOK-ENTRY TRANSFER</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exchange agent will establish an account at The Depository Trust Company for purposes of the exchange offer. Any financial institution that is a participant in DTC's system may make book-entry delivery of original notes by causing DTC to transfer the original notes into the exchange agent's account with DTC. Although original notes may be delivered by book-entry transfer at DTC, you must also:</w:t>
      </w:r>
    </w:p>
    <w:p>
      <w:pPr>
        <w:spacing w:after="0" w:line="189" w:lineRule="exact"/>
        <w:rPr>
          <w:sz w:val="20"/>
          <w:szCs w:val="20"/>
          <w:color w:val="auto"/>
        </w:rPr>
      </w:pPr>
    </w:p>
    <w:p>
      <w:pPr>
        <w:ind w:left="660" w:right="2719" w:hanging="195"/>
        <w:spacing w:after="0" w:line="259" w:lineRule="auto"/>
        <w:tabs>
          <w:tab w:leader="none" w:pos="6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the letter of transmittal, with any required signature guarantees and any other documents, to the exchange agent at the address set forth below under "-- Exchange Agent" on or prior to the expiration date, or</w:t>
      </w:r>
    </w:p>
    <w:p>
      <w:pPr>
        <w:spacing w:after="0" w:line="166" w:lineRule="exact"/>
        <w:rPr>
          <w:rFonts w:ascii="Courier New" w:cs="Courier New" w:eastAsia="Courier New" w:hAnsi="Courier New"/>
          <w:sz w:val="15"/>
          <w:szCs w:val="15"/>
          <w:color w:val="auto"/>
        </w:rPr>
      </w:pPr>
    </w:p>
    <w:p>
      <w:pPr>
        <w:ind w:left="660" w:hanging="195"/>
        <w:spacing w:after="0"/>
        <w:tabs>
          <w:tab w:leader="none" w:pos="66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comply with the guaranteed delivery procedures described below.</w:t>
      </w:r>
    </w:p>
    <w:p>
      <w:pPr>
        <w:spacing w:after="0" w:line="179"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GUARANTEED DELIVERY PROCEDURES</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If you wish to tender original notes but your notes are not immediately available, or you cannot deliver the notes, the letter of transmittal or any other required documents to the exchange agent prior to the applicable expiration date, you may effect a tender if:</w:t>
      </w:r>
    </w:p>
    <w:p>
      <w:pPr>
        <w:spacing w:after="0" w:line="181" w:lineRule="exact"/>
        <w:rPr>
          <w:sz w:val="20"/>
          <w:szCs w:val="20"/>
          <w:color w:val="auto"/>
        </w:rPr>
      </w:pPr>
    </w:p>
    <w:p>
      <w:pPr>
        <w:ind w:left="660" w:hanging="195"/>
        <w:spacing w:after="0"/>
        <w:tabs>
          <w:tab w:leader="none" w:pos="6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tender is made through an eligible institution;</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expiration date, the eligible institution delivers a properly completed and duly executed notice of guaranteed delivery to the exchange agent:</w:t>
      </w:r>
    </w:p>
    <w:p>
      <w:pPr>
        <w:spacing w:after="0" w:line="184" w:lineRule="exact"/>
        <w:rPr>
          <w:rFonts w:ascii="Courier New" w:cs="Courier New" w:eastAsia="Courier New" w:hAnsi="Courier New"/>
          <w:sz w:val="16"/>
          <w:szCs w:val="16"/>
          <w:color w:val="auto"/>
        </w:rPr>
      </w:pPr>
    </w:p>
    <w:p>
      <w:pPr>
        <w:jc w:val="both"/>
        <w:ind w:left="1120" w:right="3179" w:hanging="186"/>
        <w:spacing w:after="0" w:line="237" w:lineRule="auto"/>
        <w:tabs>
          <w:tab w:leader="none" w:pos="112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setting forth the name and address of the holder, the principal amount of the original notes being tendered and the certificate number(s) of the original notes;</w:t>
      </w:r>
    </w:p>
    <w:p>
      <w:pPr>
        <w:spacing w:after="0" w:line="184" w:lineRule="exact"/>
        <w:rPr>
          <w:rFonts w:ascii="Courier New" w:cs="Courier New" w:eastAsia="Courier New" w:hAnsi="Courier New"/>
          <w:sz w:val="16"/>
          <w:szCs w:val="16"/>
          <w:color w:val="auto"/>
        </w:rPr>
      </w:pPr>
    </w:p>
    <w:p>
      <w:pPr>
        <w:ind w:left="1120" w:right="3179" w:hanging="186"/>
        <w:spacing w:after="0" w:line="236" w:lineRule="auto"/>
        <w:tabs>
          <w:tab w:leader="none" w:pos="112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stating that the tender is being made by means of the notice of guaranteed delivery; and</w:t>
      </w:r>
    </w:p>
    <w:p>
      <w:pPr>
        <w:spacing w:after="0" w:line="184" w:lineRule="exact"/>
        <w:rPr>
          <w:rFonts w:ascii="Courier New" w:cs="Courier New" w:eastAsia="Courier New" w:hAnsi="Courier New"/>
          <w:sz w:val="16"/>
          <w:szCs w:val="16"/>
          <w:color w:val="auto"/>
        </w:rPr>
      </w:pPr>
    </w:p>
    <w:p>
      <w:pPr>
        <w:ind w:left="1120" w:right="2719" w:hanging="186"/>
        <w:spacing w:after="0" w:line="237" w:lineRule="auto"/>
        <w:tabs>
          <w:tab w:leader="none" w:pos="112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guaranteeing that, within five business days after the applicable expiration date, the letter of transmittal, certificate(s) representing the original notes or a book-entry confirmation and any other documents required by the letter of transmittal will be delivered to the exchange agent; and</w:t>
      </w:r>
    </w:p>
    <w:p>
      <w:pPr>
        <w:spacing w:after="0" w:line="187"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properly completed and executed letter of transmittal, certificate(s)</w:t>
      </w:r>
    </w:p>
    <w:p>
      <w:pPr>
        <w:spacing w:after="0" w:line="10" w:lineRule="exact"/>
        <w:rPr>
          <w:sz w:val="20"/>
          <w:szCs w:val="20"/>
          <w:color w:val="auto"/>
        </w:rPr>
      </w:pPr>
    </w:p>
    <w:p>
      <w:pPr>
        <w:ind w:left="660" w:right="2719"/>
        <w:spacing w:after="0" w:line="236" w:lineRule="auto"/>
        <w:rPr>
          <w:sz w:val="20"/>
          <w:szCs w:val="20"/>
          <w:color w:val="auto"/>
        </w:rPr>
      </w:pPr>
      <w:r>
        <w:rPr>
          <w:rFonts w:ascii="Courier New" w:cs="Courier New" w:eastAsia="Courier New" w:hAnsi="Courier New"/>
          <w:sz w:val="16"/>
          <w:szCs w:val="16"/>
          <w:color w:val="auto"/>
        </w:rPr>
        <w:t>representing all tendered original notes in proper form for transfer or a book-entry confirmation and all other documents</w:t>
      </w:r>
    </w:p>
    <w:p>
      <w:pPr>
        <w:ind w:left="366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293"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6"/>
          <w:szCs w:val="16"/>
          <w:color w:val="auto"/>
        </w:rPr>
        <w:t>25</w:t>
      </w:r>
    </w:p>
    <w:p>
      <w:pPr>
        <w:spacing w:after="0" w:line="185" w:lineRule="exact"/>
        <w:rPr>
          <w:sz w:val="20"/>
          <w:szCs w:val="20"/>
          <w:color w:val="auto"/>
        </w:rPr>
      </w:pPr>
    </w:p>
    <w:p>
      <w:pPr>
        <w:ind w:left="660" w:right="2819"/>
        <w:spacing w:after="0" w:line="236" w:lineRule="auto"/>
        <w:rPr>
          <w:sz w:val="20"/>
          <w:szCs w:val="20"/>
          <w:color w:val="auto"/>
        </w:rPr>
      </w:pPr>
      <w:r>
        <w:rPr>
          <w:rFonts w:ascii="Courier New" w:cs="Courier New" w:eastAsia="Courier New" w:hAnsi="Courier New"/>
          <w:sz w:val="16"/>
          <w:szCs w:val="16"/>
          <w:color w:val="auto"/>
        </w:rPr>
        <w:t>required by the letter of transmittal are received by the exchange agent within five business days after the applicable expiration date.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WITHDRAWAL OF TENDERS</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Except as otherwise provided in this prospectus, tenders of original notes may be withdrawn at any time prior to the expiration date.</w:t>
      </w:r>
    </w:p>
    <w:p>
      <w:pPr>
        <w:spacing w:after="0" w:line="185"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To be effective, a written or facsimile transmission notice of withdrawal must be received by the exchange agent at its address prior to the expiration date. Any notice of withdrawal must:</w:t>
      </w:r>
    </w:p>
    <w:p>
      <w:pPr>
        <w:spacing w:after="0" w:line="185" w:lineRule="exact"/>
        <w:rPr>
          <w:sz w:val="20"/>
          <w:szCs w:val="20"/>
          <w:color w:val="auto"/>
        </w:rPr>
      </w:pPr>
    </w:p>
    <w:p>
      <w:pPr>
        <w:ind w:left="660" w:right="3099" w:hanging="195"/>
        <w:spacing w:after="0" w:line="236" w:lineRule="auto"/>
        <w:tabs>
          <w:tab w:leader="none" w:pos="6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specify the name of the person who deposited the original notes to be withdrawn;</w:t>
      </w:r>
    </w:p>
    <w:p>
      <w:pPr>
        <w:spacing w:after="0" w:line="184" w:lineRule="exact"/>
        <w:rPr>
          <w:rFonts w:ascii="Courier New" w:cs="Courier New" w:eastAsia="Courier New" w:hAnsi="Courier New"/>
          <w:sz w:val="16"/>
          <w:szCs w:val="16"/>
          <w:color w:val="auto"/>
        </w:rPr>
      </w:pPr>
    </w:p>
    <w:p>
      <w:pPr>
        <w:ind w:left="660" w:right="2999" w:hanging="195"/>
        <w:spacing w:after="0" w:line="236" w:lineRule="auto"/>
        <w:tabs>
          <w:tab w:leader="none" w:pos="6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identify the original notes to be withdrawn, including the certificate number(s) and aggregate principal amount; and</w:t>
      </w:r>
    </w:p>
    <w:p>
      <w:pPr>
        <w:spacing w:after="0" w:line="184" w:lineRule="exact"/>
        <w:rPr>
          <w:rFonts w:ascii="Courier New" w:cs="Courier New" w:eastAsia="Courier New" w:hAnsi="Courier New"/>
          <w:sz w:val="16"/>
          <w:szCs w:val="16"/>
          <w:color w:val="auto"/>
        </w:rPr>
      </w:pPr>
    </w:p>
    <w:p>
      <w:pPr>
        <w:ind w:left="660" w:right="2899" w:hanging="195"/>
        <w:spacing w:after="0" w:line="237" w:lineRule="auto"/>
        <w:tabs>
          <w:tab w:leader="none" w:pos="6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 signed by the holder in the same manner as the original signature on the applicable letter of transmittal, including any required signature guarantees.</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We will determine all questions as to the validity, form, eligibility and time of receipt of notices of withdrawal in our sole discretion. Our determination will be final and binding on all parties.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Any original notes that are withdrawn will be deemed not to have been validly tendered. No notes will be issued in the exchange offer unless the original notes that were withdrawn are retendered. Properly withdrawn original notes may be retendered by following one of the procedures described above under "-- Procedures for Tendering" at any time prior to the expiration date.</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Any original notes which have been validly withdrawn will be returned to the holder, unless otherwise provided in the letter of transmittal, without cost to the holder:</w:t>
      </w:r>
    </w:p>
    <w:p>
      <w:pPr>
        <w:spacing w:after="0" w:line="180" w:lineRule="exact"/>
        <w:rPr>
          <w:sz w:val="20"/>
          <w:szCs w:val="20"/>
          <w:color w:val="auto"/>
        </w:rPr>
      </w:pPr>
    </w:p>
    <w:p>
      <w:pPr>
        <w:ind w:left="660" w:hanging="195"/>
        <w:spacing w:after="0"/>
        <w:tabs>
          <w:tab w:leader="none" w:pos="6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possible following the expiration date or,</w:t>
      </w:r>
    </w:p>
    <w:p>
      <w:pPr>
        <w:spacing w:after="0" w:line="184"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requested in the notice of withdrawal, promptly after receipt of the notice of withdrawal.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 OF THE EXCHANGE OFFER</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exchange offer is subject to the condition that neither the offer nor any exchange by a holder violates any applicable law or interpretation of the staff of the Commission. If a change in Commission policy raises a substantial question as to whether the exchange offer is permitted by applicable federal law, we will seek a no-action letter or other decision from the Commission allowing us to consummate the exchange offer.</w:t>
      </w:r>
    </w:p>
    <w:p>
      <w:pPr>
        <w:spacing w:after="0" w:line="189" w:lineRule="exact"/>
        <w:rPr>
          <w:sz w:val="20"/>
          <w:szCs w:val="20"/>
          <w:color w:val="auto"/>
        </w:rPr>
      </w:pPr>
    </w:p>
    <w:p>
      <w:pPr>
        <w:ind w:right="3179" w:firstLine="469"/>
        <w:spacing w:after="0" w:line="236" w:lineRule="auto"/>
        <w:rPr>
          <w:sz w:val="20"/>
          <w:szCs w:val="20"/>
          <w:color w:val="auto"/>
        </w:rPr>
      </w:pPr>
      <w:r>
        <w:rPr>
          <w:rFonts w:ascii="Courier New" w:cs="Courier New" w:eastAsia="Courier New" w:hAnsi="Courier New"/>
          <w:sz w:val="16"/>
          <w:szCs w:val="16"/>
          <w:color w:val="auto"/>
        </w:rPr>
        <w:t>If we determine that the exchange offer is not permitted by applicable federal law, we may:</w:t>
      </w:r>
    </w:p>
    <w:p>
      <w:pPr>
        <w:spacing w:after="0" w:line="185" w:lineRule="exact"/>
        <w:rPr>
          <w:sz w:val="20"/>
          <w:szCs w:val="20"/>
          <w:color w:val="auto"/>
        </w:rPr>
      </w:pPr>
    </w:p>
    <w:p>
      <w:pPr>
        <w:ind w:left="940" w:right="2899" w:hanging="193"/>
        <w:spacing w:after="0" w:line="236" w:lineRule="auto"/>
        <w:tabs>
          <w:tab w:leader="none" w:pos="9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terminate the exchange offer and return any original notes that have been tendered;</w:t>
      </w:r>
    </w:p>
    <w:p>
      <w:pPr>
        <w:spacing w:after="0" w:line="184" w:lineRule="exact"/>
        <w:rPr>
          <w:rFonts w:ascii="Courier New" w:cs="Courier New" w:eastAsia="Courier New" w:hAnsi="Courier New"/>
          <w:sz w:val="16"/>
          <w:szCs w:val="16"/>
          <w:color w:val="auto"/>
        </w:rPr>
      </w:pPr>
    </w:p>
    <w:p>
      <w:pPr>
        <w:ind w:left="940" w:right="2719" w:hanging="193"/>
        <w:spacing w:after="0" w:line="236" w:lineRule="auto"/>
        <w:tabs>
          <w:tab w:leader="none" w:pos="9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extend the exchange offer and retain all original notes tendered prior to the new expiration date that are not withdrawn; or</w:t>
      </w:r>
    </w:p>
    <w:p>
      <w:pPr>
        <w:spacing w:after="0" w:line="184" w:lineRule="exact"/>
        <w:rPr>
          <w:rFonts w:ascii="Courier New" w:cs="Courier New" w:eastAsia="Courier New" w:hAnsi="Courier New"/>
          <w:sz w:val="16"/>
          <w:szCs w:val="16"/>
          <w:color w:val="auto"/>
        </w:rPr>
      </w:pPr>
    </w:p>
    <w:p>
      <w:pPr>
        <w:jc w:val="both"/>
        <w:ind w:left="940" w:right="3479" w:hanging="193"/>
        <w:spacing w:after="0" w:line="263" w:lineRule="auto"/>
        <w:tabs>
          <w:tab w:leader="none" w:pos="9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our right to terminate the exchange offer and accept all properly tendered original notes that have not been withdrawn.</w:t>
      </w:r>
    </w:p>
    <w:p>
      <w:pPr>
        <w:spacing w:after="0" w:line="169"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If we determine our waiver of our right to terminate constitutes a material change in the exchange offer, we will promptly file a post-effective amendment with the Commission and distribute a prospectus supplement to the registered holders of the original notes. If the exchange offer is scheduled to expire during the five to ten business day period following the waiver, we will extend it for a period of five to ten business days depending on the significance of the waiver and the manner of disclosure to the registered holders.</w:t>
      </w:r>
    </w:p>
    <w:p>
      <w:pPr>
        <w:spacing w:after="0" w:line="16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293"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6"/>
          <w:szCs w:val="16"/>
          <w:color w:val="auto"/>
        </w:rPr>
        <w:t>26</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AGENT</w:t>
      </w:r>
    </w:p>
    <w:p>
      <w:pPr>
        <w:spacing w:after="0" w:line="185" w:lineRule="exact"/>
        <w:rPr>
          <w:sz w:val="20"/>
          <w:szCs w:val="20"/>
          <w:color w:val="auto"/>
        </w:rPr>
      </w:pPr>
    </w:p>
    <w:p>
      <w:pPr>
        <w:ind w:right="2899" w:firstLine="469"/>
        <w:spacing w:after="0" w:line="257" w:lineRule="auto"/>
        <w:rPr>
          <w:sz w:val="20"/>
          <w:szCs w:val="20"/>
          <w:color w:val="auto"/>
        </w:rPr>
      </w:pPr>
      <w:r>
        <w:rPr>
          <w:rFonts w:ascii="Courier New" w:cs="Courier New" w:eastAsia="Courier New" w:hAnsi="Courier New"/>
          <w:sz w:val="15"/>
          <w:szCs w:val="15"/>
          <w:color w:val="auto"/>
        </w:rPr>
        <w:t>State Street Bank and Trust Company has been appointed the exchange agent for the exchange offer. Questions, requests for assistance and requests for additional copies of this prospectus, the letter of transmittal or other documents should be directed to the exchange agent addressed as follows:</w:t>
      </w:r>
    </w:p>
    <w:p>
      <w:pPr>
        <w:spacing w:after="0" w:line="16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By Registered or Certified Mail or Hand or Overnight Delivery:</w:t>
      </w:r>
    </w:p>
    <w:p>
      <w:pPr>
        <w:spacing w:after="0" w:line="179"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State Street Bank and Trust Company</w:t>
      </w:r>
    </w:p>
    <w:p>
      <w:pPr>
        <w:ind w:left="740"/>
        <w:spacing w:after="0"/>
        <w:rPr>
          <w:sz w:val="20"/>
          <w:szCs w:val="20"/>
          <w:color w:val="auto"/>
        </w:rPr>
      </w:pPr>
      <w:r>
        <w:rPr>
          <w:rFonts w:ascii="Courier New" w:cs="Courier New" w:eastAsia="Courier New" w:hAnsi="Courier New"/>
          <w:sz w:val="16"/>
          <w:szCs w:val="16"/>
          <w:color w:val="auto"/>
        </w:rPr>
        <w:t>Two International Place</w:t>
      </w:r>
    </w:p>
    <w:p>
      <w:pPr>
        <w:ind w:left="740"/>
        <w:spacing w:after="0" w:line="237" w:lineRule="auto"/>
        <w:rPr>
          <w:sz w:val="20"/>
          <w:szCs w:val="20"/>
          <w:color w:val="auto"/>
        </w:rPr>
      </w:pPr>
      <w:r>
        <w:rPr>
          <w:rFonts w:ascii="Courier New" w:cs="Courier New" w:eastAsia="Courier New" w:hAnsi="Courier New"/>
          <w:sz w:val="16"/>
          <w:szCs w:val="16"/>
          <w:color w:val="auto"/>
        </w:rPr>
        <w:t>Fourth Floor</w:t>
      </w:r>
    </w:p>
    <w:p>
      <w:pPr>
        <w:ind w:left="740"/>
        <w:spacing w:after="0"/>
        <w:rPr>
          <w:sz w:val="20"/>
          <w:szCs w:val="20"/>
          <w:color w:val="auto"/>
        </w:rPr>
      </w:pPr>
      <w:r>
        <w:rPr>
          <w:rFonts w:ascii="Courier New" w:cs="Courier New" w:eastAsia="Courier New" w:hAnsi="Courier New"/>
          <w:sz w:val="16"/>
          <w:szCs w:val="16"/>
          <w:color w:val="auto"/>
        </w:rPr>
        <w:t>Boston, MA 02110</w:t>
      </w:r>
    </w:p>
    <w:p>
      <w:pPr>
        <w:ind w:left="740"/>
        <w:spacing w:after="0" w:line="238" w:lineRule="auto"/>
        <w:tabs>
          <w:tab w:leader="none" w:pos="3160"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6"/>
          <w:szCs w:val="16"/>
          <w:color w:val="auto"/>
        </w:rPr>
        <w:t>, Corporate Trust Department</w:t>
      </w:r>
    </w:p>
    <w:p>
      <w:pPr>
        <w:spacing w:after="0" w:line="180"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Facsimile Transmissions: 617-664-3290</w:t>
      </w:r>
    </w:p>
    <w:p>
      <w:pPr>
        <w:ind w:left="660"/>
        <w:spacing w:after="0"/>
        <w:rPr>
          <w:sz w:val="20"/>
          <w:szCs w:val="20"/>
          <w:color w:val="auto"/>
        </w:rPr>
      </w:pPr>
      <w:r>
        <w:rPr>
          <w:rFonts w:ascii="Courier New" w:cs="Courier New" w:eastAsia="Courier New" w:hAnsi="Courier New"/>
          <w:sz w:val="16"/>
          <w:szCs w:val="16"/>
          <w:color w:val="auto"/>
        </w:rPr>
        <w:t>Confirm by Telephone: 617-664-5587</w:t>
      </w:r>
    </w:p>
    <w:p>
      <w:pPr>
        <w:ind w:left="660"/>
        <w:spacing w:after="0" w:line="237" w:lineRule="auto"/>
        <w:rPr>
          <w:sz w:val="20"/>
          <w:szCs w:val="20"/>
          <w:color w:val="auto"/>
        </w:rPr>
      </w:pPr>
      <w:r>
        <w:rPr>
          <w:rFonts w:ascii="Courier New" w:cs="Courier New" w:eastAsia="Courier New" w:hAnsi="Courier New"/>
          <w:sz w:val="16"/>
          <w:szCs w:val="16"/>
          <w:color w:val="auto"/>
        </w:rPr>
        <w:t>(ELIGIBLE INSTITUTIONS ONLY)</w:t>
      </w:r>
    </w:p>
    <w:p>
      <w:pPr>
        <w:spacing w:after="0" w:line="185" w:lineRule="exact"/>
        <w:rPr>
          <w:sz w:val="20"/>
          <w:szCs w:val="20"/>
          <w:color w:val="auto"/>
        </w:rPr>
      </w:pPr>
    </w:p>
    <w:p>
      <w:pPr>
        <w:ind w:right="3099" w:firstLine="469"/>
        <w:spacing w:after="0" w:line="236" w:lineRule="auto"/>
        <w:rPr>
          <w:sz w:val="20"/>
          <w:szCs w:val="20"/>
          <w:color w:val="auto"/>
        </w:rPr>
      </w:pPr>
      <w:r>
        <w:rPr>
          <w:rFonts w:ascii="Courier New" w:cs="Courier New" w:eastAsia="Courier New" w:hAnsi="Courier New"/>
          <w:sz w:val="16"/>
          <w:szCs w:val="16"/>
          <w:color w:val="auto"/>
        </w:rPr>
        <w:t>Delivery to any other address or facsimile number will not constitute a valid delivery.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FEES AND EXPENSES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We will pay the expenses of soliciting tenders. The principal solicitation is being made by mail. Additional solicitation may be made by telegraph, telephone or in person by officers and regular employees of Scotts and its affiliates.</w:t>
      </w:r>
    </w:p>
    <w:p>
      <w:pPr>
        <w:spacing w:after="0" w:line="186"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We have not retained any dealer-manager in connection with the exchange offer. No payments will be made to brokers, dealers or others soliciting acceptance of the exchange offer.</w:t>
      </w:r>
    </w:p>
    <w:p>
      <w:pPr>
        <w:spacing w:after="0" w:line="185" w:lineRule="exact"/>
        <w:rPr>
          <w:sz w:val="20"/>
          <w:szCs w:val="20"/>
          <w:color w:val="auto"/>
        </w:rPr>
      </w:pPr>
    </w:p>
    <w:p>
      <w:pPr>
        <w:ind w:right="3099" w:firstLine="469"/>
        <w:spacing w:after="0" w:line="236" w:lineRule="auto"/>
        <w:rPr>
          <w:sz w:val="20"/>
          <w:szCs w:val="20"/>
          <w:color w:val="auto"/>
        </w:rPr>
      </w:pPr>
      <w:r>
        <w:rPr>
          <w:rFonts w:ascii="Courier New" w:cs="Courier New" w:eastAsia="Courier New" w:hAnsi="Courier New"/>
          <w:sz w:val="16"/>
          <w:szCs w:val="16"/>
          <w:color w:val="auto"/>
        </w:rPr>
        <w:t>We will pay reasonable and customary fees to the exchange agent for its service and will reimburse its reasonable out-of-pocket expenses.</w:t>
      </w:r>
    </w:p>
    <w:p>
      <w:pPr>
        <w:spacing w:after="0" w:line="185"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We will pay all cash expenses incurred in connection with the exchange offer, which we estimate will be $250,000. Expenses will include fees and expenses of the exchange agent and the trustee under the indenture, accounting and legal fees and printing costs. We will also pay transfer taxes, if any, applicable to the exchange of the original notes in the exchange offer.</w:t>
      </w:r>
    </w:p>
    <w:p>
      <w:pPr>
        <w:spacing w:after="0" w:line="176"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If a transfer tax is imposed on the registered holder or any other person for any reason other than the exchange of the original notes in the exchange offer, the tendering holder must pay the transfer tax. The amount of this transfer tax will be billed directly to the tendering holder unless the holder submits with the letter of transmittal either:</w:t>
      </w:r>
    </w:p>
    <w:p>
      <w:pPr>
        <w:spacing w:after="0" w:line="182" w:lineRule="exact"/>
        <w:rPr>
          <w:sz w:val="20"/>
          <w:szCs w:val="20"/>
          <w:color w:val="auto"/>
        </w:rPr>
      </w:pPr>
    </w:p>
    <w:p>
      <w:pPr>
        <w:ind w:left="660" w:hanging="195"/>
        <w:spacing w:after="0"/>
        <w:tabs>
          <w:tab w:leader="none" w:pos="6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satisfactory evidence of payment of the transfer tax, or</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evidence of an exemption from the transfer tax.</w:t>
      </w:r>
    </w:p>
    <w:p>
      <w:pPr>
        <w:spacing w:after="0" w:line="179"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 TREATMENT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carrying values of the original notes are not expected to be materially different from the fair value of the notes issued in the exchange offer; accordingly, no gain or loss for accounting purposes will be recognized. The expenses of the exchange offer will be amortized over the term of the notes issued in the exchange offer.</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293"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6"/>
          <w:szCs w:val="16"/>
          <w:color w:val="auto"/>
        </w:rPr>
        <w:t>27</w:t>
      </w:r>
    </w:p>
    <w:p>
      <w:pPr>
        <w:spacing w:after="0" w:line="179"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DESCRIPTION OF SENIOR CREDIT FACILITY</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following description is a summary of material provisions of Scotts senior credit facility. It does not restate the credit facility in its entirety. We urge you to read the New Credit Facility because it, and not this description, define the terms of our other material outstanding indebtedness. Copies of the senior credit facility are available as set forth under "Where You Can Find More Information."</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December 4, 1998, Scotts and most of our subsidiaries entered into a new credit facility, which is senior to the notes. This senior credit facility establishes aggregate financing for Scotts and the subsidiaries that are parties of up to $1.025 billion. The credit financing under the senior credit facility is provided by a lending syndicate group consisting of approximately thirty lenders worldwide, with The Chase Manhattan Bank serving as Administrative Agent.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OF ADDITIONAL CREDIT AVAILABLE</w:t>
      </w:r>
    </w:p>
    <w:p>
      <w:pPr>
        <w:spacing w:after="0" w:line="36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senior credit facility provides for aggregate total senior secured credit financing in the principal amount of up to $1.025 billion, consisting of term loan facilities in the aggregate amount of $525 million, and a revolving credit facility in the amount of $500 million. As of May 27, 2000, there were $469.5 million of term loans outstanding and $150.0 million outstanding under the revolving credit facility.</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SPECIFIC CREDIT FACILITIES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term loan portion of the senior credit facility consists of three tranches. The Tranche A term loans consist of an aggregate approximate principal amount equal to $265 million, which is divided into three sub-tranches of French Francs, German Deutschemarks and British Pounds Sterling. The Tranche A term loans are to be repaid in quarterly principal installments over a 6 1/2 year period. The Tranche B term loans consist of an aggregate principal amount equal to $140 million, which is to be repaid in nominal quarterly installments for the first 6 1/2 years and in substantial quarterly installments in the final year. The Tranche C term loans consist of an aggregate principal amount equal to $120 million, which is to be repaid in nominal quarterly installments for the first 7 1/2 years and in substantial quarterly installments in the final year.</w:t>
      </w:r>
    </w:p>
    <w:p>
      <w:pPr>
        <w:spacing w:after="0" w:line="179"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The $500 million revolving credit portion of the senior facility is available on a revolving basis for a term of 6 1/2 years. A portion of the revolving credit facility not to exceed $100 million is available for the issuance of letters of credit. In addition, a portion of the revolving credit facility not to exceed $225 million is available for borrowing in optional currencies, including German Deutschemarks, British Pound Sterling, French Francs, Belgian Francs, Italian Lira and other foreign currencies. However, no more than $120 million of this $225 million may be outstanding in foreign currencies other than British Pounds Sterling.</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Scotts is required to reduce the outstanding principal amount of all revolving credit loans to no more than $150 million for at least 30 consecutive days during each calendar year.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PREPAYMENTS</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Scotts may prepay the term loans at any time, subject to the applicable prepayment fees. However, optional prepayments of the term loans may not be reborrowed.</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Scotts is required to make mandatory prepayments out of the net proceeds of any sale or issuance of equity, the incurrence of additional senior indebtedness and any sale or other disposition of more than a de minimis amount of assets. In addition Scotts is required to make mandatory prepayments out of a portion of excess cash flow.</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w:t>
      </w:r>
    </w:p>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Interest rates for the revolving credit facility and the term loans vary depending upon Scotts' leverage ratio and on the interest rate option selected by Scotts. As of May 27, 2000, the weighted average interest rate for the senior credit facility was 8.91%.</w:t>
      </w:r>
    </w:p>
    <w:p>
      <w:pPr>
        <w:sectPr>
          <w:pgSz w:w="11900" w:h="16838" w:orient="portrait"/>
          <w:cols w:equalWidth="0" w:num="1">
            <w:col w:w="10219"/>
          </w:cols>
          <w:pgMar w:left="240" w:top="293" w:right="1440" w:bottom="1440" w:gutter="0" w:footer="0" w:header="0"/>
        </w:sectPr>
      </w:pPr>
    </w:p>
    <w:p>
      <w:pPr>
        <w:spacing w:after="0" w:line="36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93" w:right="1440" w:bottom="1440" w:gutter="0" w:footer="0" w:header="0"/>
          <w:type w:val="continuous"/>
        </w:sectPr>
      </w:pPr>
    </w:p>
    <w:bookmarkStart w:id="29" w:name="page30"/>
    <w:bookmarkEnd w:id="29"/>
    <w:p>
      <w:pPr>
        <w:ind w:left="280"/>
        <w:spacing w:after="0"/>
        <w:rPr>
          <w:sz w:val="20"/>
          <w:szCs w:val="20"/>
          <w:color w:val="auto"/>
        </w:rPr>
      </w:pPr>
      <w:r>
        <w:rPr>
          <w:rFonts w:ascii="Courier New" w:cs="Courier New" w:eastAsia="Courier New" w:hAnsi="Courier New"/>
          <w:sz w:val="16"/>
          <w:szCs w:val="16"/>
          <w:color w:val="auto"/>
        </w:rPr>
        <w:t>28</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GUARANTIES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Scotts has guaranteed the performance of its subsidiaries under the senior credit facility. Additionally, most of Scotts domestic direct and indirect subsidiaries and some of Scotts direct foreign subsidiaries have guaranteed Scotts' performance under the senior credit facility.</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COLLATERAL</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Scotts and all of its domestic subsidiaries pledged substantially all of their personal property assets to secure the indebtedness and obligations under the senior credit facility. Additionally, Scotts and its domestic subsidiaries pledged any real property assets having a value in excess of $500,000, as well as substantially all of their intellectual property assets. Scotts and its direct and indirect subsidiaries also pledged primarily all of the stock which they owned in their own subsidiaries, unless the pledge was limited by the laws of a foreign country or would have resulted in adverse tax consequences to Scotts.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COVENANTS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senior credit facility contains standard negative covenants, including covenants which impose limitations on the ability of Scotts to, among other things:</w:t>
      </w:r>
    </w:p>
    <w:p>
      <w:pPr>
        <w:spacing w:after="0" w:line="360" w:lineRule="exact"/>
        <w:rPr>
          <w:sz w:val="20"/>
          <w:szCs w:val="20"/>
          <w:color w:val="auto"/>
        </w:rPr>
      </w:pPr>
    </w:p>
    <w:p>
      <w:pPr>
        <w:ind w:left="660" w:hanging="195"/>
        <w:spacing w:after="0"/>
        <w:tabs>
          <w:tab w:leader="none" w:pos="6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liens on property, or incur contingent obligations;</w:t>
      </w:r>
    </w:p>
    <w:p>
      <w:pPr>
        <w:spacing w:after="0" w:line="200" w:lineRule="exact"/>
        <w:rPr>
          <w:rFonts w:ascii="Courier New" w:cs="Courier New" w:eastAsia="Courier New" w:hAnsi="Courier New"/>
          <w:sz w:val="16"/>
          <w:szCs w:val="16"/>
          <w:color w:val="auto"/>
        </w:rPr>
      </w:pPr>
    </w:p>
    <w:p>
      <w:pPr>
        <w:spacing w:after="0" w:line="340"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all or substantially all of their assets; or</w:t>
      </w:r>
    </w:p>
    <w:p>
      <w:pPr>
        <w:spacing w:after="0" w:line="364" w:lineRule="exact"/>
        <w:rPr>
          <w:rFonts w:ascii="Courier New" w:cs="Courier New" w:eastAsia="Courier New" w:hAnsi="Courier New"/>
          <w:sz w:val="16"/>
          <w:szCs w:val="16"/>
          <w:color w:val="auto"/>
        </w:rPr>
      </w:pPr>
    </w:p>
    <w:p>
      <w:pPr>
        <w:ind w:left="660" w:right="3839" w:hanging="195"/>
        <w:spacing w:after="0" w:line="236" w:lineRule="auto"/>
        <w:tabs>
          <w:tab w:leader="none" w:pos="6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fundamental changes, investments, loans, advances or acquisitions in excess of $100 million.</w:t>
      </w:r>
    </w:p>
    <w:p>
      <w:pPr>
        <w:spacing w:after="0" w:line="36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The senior credit facility also contains financial covenants consisting of the maintenance of:</w:t>
      </w:r>
    </w:p>
    <w:p>
      <w:pPr>
        <w:spacing w:after="0" w:line="200" w:lineRule="exact"/>
        <w:rPr>
          <w:sz w:val="20"/>
          <w:szCs w:val="20"/>
          <w:color w:val="auto"/>
        </w:rPr>
      </w:pPr>
    </w:p>
    <w:p>
      <w:pPr>
        <w:spacing w:after="0" w:line="345" w:lineRule="exact"/>
        <w:rPr>
          <w:sz w:val="20"/>
          <w:szCs w:val="20"/>
          <w:color w:val="auto"/>
        </w:rPr>
      </w:pPr>
    </w:p>
    <w:p>
      <w:pPr>
        <w:ind w:left="660" w:right="2719" w:hanging="195"/>
        <w:spacing w:after="0" w:line="237" w:lineRule="auto"/>
        <w:tabs>
          <w:tab w:leader="none" w:pos="6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specified leverage ratio of less than 4.75 to 1 decreasing to 4.25 to 1 on December 30, 2000 and decreasing periodically thereafter to 2.00 to 1 from December 31, 2004 on;</w:t>
      </w:r>
    </w:p>
    <w:p>
      <w:pPr>
        <w:spacing w:after="0" w:line="200" w:lineRule="exact"/>
        <w:rPr>
          <w:rFonts w:ascii="Courier New" w:cs="Courier New" w:eastAsia="Courier New" w:hAnsi="Courier New"/>
          <w:sz w:val="16"/>
          <w:szCs w:val="16"/>
          <w:color w:val="auto"/>
        </w:rPr>
      </w:pPr>
    </w:p>
    <w:p>
      <w:pPr>
        <w:spacing w:after="0" w:line="345"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specified consolidated net worth equal on the last day of each fiscal quarter to at least $340 million plus 50% of cumulative consolidated net income from December 31, 1998; and</w:t>
      </w:r>
    </w:p>
    <w:p>
      <w:pPr>
        <w:spacing w:after="0" w:line="200" w:lineRule="exact"/>
        <w:rPr>
          <w:rFonts w:ascii="Courier New" w:cs="Courier New" w:eastAsia="Courier New" w:hAnsi="Courier New"/>
          <w:sz w:val="16"/>
          <w:szCs w:val="16"/>
          <w:color w:val="auto"/>
        </w:rPr>
      </w:pPr>
    </w:p>
    <w:p>
      <w:pPr>
        <w:spacing w:after="0" w:line="345" w:lineRule="exact"/>
        <w:rPr>
          <w:rFonts w:ascii="Courier New" w:cs="Courier New" w:eastAsia="Courier New" w:hAnsi="Courier New"/>
          <w:sz w:val="16"/>
          <w:szCs w:val="16"/>
          <w:color w:val="auto"/>
        </w:rPr>
      </w:pPr>
    </w:p>
    <w:p>
      <w:pPr>
        <w:jc w:val="both"/>
        <w:ind w:left="660" w:right="2819" w:hanging="195"/>
        <w:spacing w:after="0" w:line="237" w:lineRule="auto"/>
        <w:tabs>
          <w:tab w:leader="none" w:pos="6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interest coverage ratio of at least 2.25 to 1 increasing to 2.50 to 1 on December 31, 2000 and increasing periodically thereafter to 4.00 to 1 from December 30, 2004 on.</w:t>
      </w:r>
    </w:p>
    <w:p>
      <w:pPr>
        <w:spacing w:after="0" w:line="36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DESCRIPTION OF NOTES</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You can find the definitions of capitalized terms used in this description in quotation marks under the subheading "Definitions."</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Scott issued the original notes, and will issue the notes to be delivered in the exchange offer, under the indenture dated as of January 21, 1999 among itself, the subsidiary guarantors and State Street Bank and Trust Company, as trustee. The terms of the notes include those stated in the indenture and those made part of the indenture by reference to the Trust Indenture Act.</w:t>
      </w:r>
    </w:p>
    <w:p>
      <w:pPr>
        <w:spacing w:after="0" w:line="176"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following description is a summary of the material provisions of the indenture and the registration rights agreement. It does not restate those agreements in their entirety. We urge you to read the indenture and the registration rights agreement because they, and not this description, define your rights as holders of these notes. Copies of the indenture and the registration rights agreement are available as set forth below under "Where You Can Find More Information."</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93" w:right="1440" w:bottom="1440" w:gutter="0" w:footer="0" w:header="0"/>
          <w:type w:val="continuous"/>
        </w:sectPr>
      </w:pPr>
    </w:p>
    <w:bookmarkStart w:id="30" w:name="page31"/>
    <w:bookmarkEnd w:id="30"/>
    <w:p>
      <w:pPr>
        <w:ind w:left="280"/>
        <w:spacing w:after="0"/>
        <w:rPr>
          <w:sz w:val="20"/>
          <w:szCs w:val="20"/>
          <w:color w:val="auto"/>
        </w:rPr>
      </w:pPr>
      <w:r>
        <w:rPr>
          <w:rFonts w:ascii="Courier New" w:cs="Courier New" w:eastAsia="Courier New" w:hAnsi="Courier New"/>
          <w:sz w:val="16"/>
          <w:szCs w:val="16"/>
          <w:color w:val="auto"/>
        </w:rPr>
        <w:t>29</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The Notes</w:t>
      </w:r>
    </w:p>
    <w:p>
      <w:pPr>
        <w:spacing w:after="0" w:line="185"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Both the original notes and the notes issued in the exchange offer evidence the same debt and will be entitled to the benefits of the indenture. They will be treated as a single class of debt securities. The terms of the notes issued in the exchange offer will be the same as the original notes, except that:</w:t>
      </w:r>
    </w:p>
    <w:p>
      <w:pPr>
        <w:spacing w:after="0" w:line="174" w:lineRule="exact"/>
        <w:rPr>
          <w:sz w:val="20"/>
          <w:szCs w:val="20"/>
          <w:color w:val="auto"/>
        </w:rPr>
      </w:pPr>
    </w:p>
    <w:p>
      <w:pPr>
        <w:ind w:left="660" w:right="3279" w:hanging="195"/>
        <w:spacing w:after="0" w:line="236" w:lineRule="auto"/>
        <w:tabs>
          <w:tab w:leader="none" w:pos="66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exchange notes will be registered under the Securities Act and, therefore, will not bear legends restricting transfer; and</w:t>
      </w:r>
    </w:p>
    <w:p>
      <w:pPr>
        <w:spacing w:after="0" w:line="184" w:lineRule="exact"/>
        <w:rPr>
          <w:rFonts w:ascii="Courier New" w:cs="Courier New" w:eastAsia="Courier New" w:hAnsi="Courier New"/>
          <w:sz w:val="16"/>
          <w:szCs w:val="16"/>
          <w:color w:val="auto"/>
        </w:rPr>
      </w:pPr>
    </w:p>
    <w:p>
      <w:pPr>
        <w:ind w:left="660" w:right="3759" w:hanging="195"/>
        <w:spacing w:after="0" w:line="236" w:lineRule="auto"/>
        <w:tabs>
          <w:tab w:leader="none" w:pos="66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exchange notes will not be entitled to the benefits of the registration rights agreement.</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Holders of original notes who do not exchange their original notes in the exchange offer will vote together with holders of the exchange notes for all relevant purposes under the indenture.</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All of the notes:</w:t>
      </w:r>
    </w:p>
    <w:p>
      <w:pPr>
        <w:spacing w:after="0" w:line="179" w:lineRule="exact"/>
        <w:rPr>
          <w:sz w:val="20"/>
          <w:szCs w:val="20"/>
          <w:color w:val="auto"/>
        </w:rPr>
      </w:pPr>
    </w:p>
    <w:p>
      <w:pPr>
        <w:ind w:left="660" w:hanging="195"/>
        <w:spacing w:after="0"/>
        <w:tabs>
          <w:tab w:leader="none" w:pos="6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general obligations of Scotts;</w:t>
      </w:r>
    </w:p>
    <w:p>
      <w:pPr>
        <w:spacing w:after="0" w:line="184" w:lineRule="exact"/>
        <w:rPr>
          <w:rFonts w:ascii="Courier New" w:cs="Courier New" w:eastAsia="Courier New" w:hAnsi="Courier New"/>
          <w:sz w:val="16"/>
          <w:szCs w:val="16"/>
          <w:color w:val="auto"/>
        </w:rPr>
      </w:pPr>
    </w:p>
    <w:p>
      <w:pPr>
        <w:ind w:left="660" w:right="3279" w:hanging="195"/>
        <w:spacing w:after="0" w:line="236" w:lineRule="auto"/>
        <w:tabs>
          <w:tab w:leader="none" w:pos="6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subordinated in right of payment to all our existing and future senior debt; and</w:t>
      </w:r>
    </w:p>
    <w:p>
      <w:pPr>
        <w:spacing w:after="0" w:line="184" w:lineRule="exact"/>
        <w:rPr>
          <w:rFonts w:ascii="Courier New" w:cs="Courier New" w:eastAsia="Courier New" w:hAnsi="Courier New"/>
          <w:sz w:val="16"/>
          <w:szCs w:val="16"/>
          <w:color w:val="auto"/>
        </w:rPr>
      </w:pPr>
    </w:p>
    <w:p>
      <w:pPr>
        <w:ind w:left="660" w:right="3559" w:hanging="195"/>
        <w:spacing w:after="0" w:line="236" w:lineRule="auto"/>
        <w:tabs>
          <w:tab w:leader="none" w:pos="6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senior in right of payment to any future junior subordinated indebtedness we may incur.</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The Guarantees</w:t>
      </w:r>
    </w:p>
    <w:p>
      <w:pPr>
        <w:spacing w:after="0" w:line="185" w:lineRule="exact"/>
        <w:rPr>
          <w:sz w:val="20"/>
          <w:szCs w:val="20"/>
          <w:color w:val="auto"/>
        </w:rPr>
      </w:pPr>
    </w:p>
    <w:p>
      <w:pPr>
        <w:jc w:val="both"/>
        <w:ind w:right="3099" w:firstLine="469"/>
        <w:spacing w:after="0" w:line="263" w:lineRule="auto"/>
        <w:rPr>
          <w:sz w:val="20"/>
          <w:szCs w:val="20"/>
          <w:color w:val="auto"/>
        </w:rPr>
      </w:pPr>
      <w:r>
        <w:rPr>
          <w:rFonts w:ascii="Courier New" w:cs="Courier New" w:eastAsia="Courier New" w:hAnsi="Courier New"/>
          <w:sz w:val="15"/>
          <w:szCs w:val="15"/>
          <w:color w:val="auto"/>
        </w:rPr>
        <w:t>These notes will be guaranteed by all of our existing and future wholly owned domestic subsidiaries, except any that are designated as unrestricted.</w:t>
      </w:r>
    </w:p>
    <w:p>
      <w:pPr>
        <w:spacing w:after="0" w:line="169" w:lineRule="exact"/>
        <w:rPr>
          <w:sz w:val="20"/>
          <w:szCs w:val="20"/>
          <w:color w:val="auto"/>
        </w:rPr>
      </w:pPr>
    </w:p>
    <w:p>
      <w:pPr>
        <w:ind w:right="3659" w:firstLine="469"/>
        <w:spacing w:after="0" w:line="236" w:lineRule="auto"/>
        <w:rPr>
          <w:sz w:val="20"/>
          <w:szCs w:val="20"/>
          <w:color w:val="auto"/>
        </w:rPr>
      </w:pPr>
      <w:r>
        <w:rPr>
          <w:rFonts w:ascii="Courier New" w:cs="Courier New" w:eastAsia="Courier New" w:hAnsi="Courier New"/>
          <w:sz w:val="16"/>
          <w:szCs w:val="16"/>
          <w:color w:val="auto"/>
        </w:rPr>
        <w:t>As of the date of this prospectus, the following subsidiaries are guarantors of the notes:</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Scotts' Miracle-Gro Products, Inc.</w:t>
      </w:r>
    </w:p>
    <w:p>
      <w:pPr>
        <w:ind w:left="840"/>
        <w:spacing w:after="0"/>
        <w:rPr>
          <w:sz w:val="20"/>
          <w:szCs w:val="20"/>
          <w:color w:val="auto"/>
        </w:rPr>
      </w:pPr>
      <w:r>
        <w:rPr>
          <w:rFonts w:ascii="Courier New" w:cs="Courier New" w:eastAsia="Courier New" w:hAnsi="Courier New"/>
          <w:sz w:val="16"/>
          <w:szCs w:val="16"/>
          <w:color w:val="auto"/>
        </w:rPr>
        <w:t>Miracle-Gro Lawn Products, Inc.</w:t>
      </w:r>
    </w:p>
    <w:p>
      <w:pPr>
        <w:ind w:left="840"/>
        <w:spacing w:after="0" w:line="237" w:lineRule="auto"/>
        <w:rPr>
          <w:sz w:val="20"/>
          <w:szCs w:val="20"/>
          <w:color w:val="auto"/>
        </w:rPr>
      </w:pPr>
      <w:r>
        <w:rPr>
          <w:rFonts w:ascii="Courier New" w:cs="Courier New" w:eastAsia="Courier New" w:hAnsi="Courier New"/>
          <w:sz w:val="16"/>
          <w:szCs w:val="16"/>
          <w:color w:val="auto"/>
        </w:rPr>
        <w:t>Miracle-Gro Products Ltd.</w:t>
      </w:r>
    </w:p>
    <w:p>
      <w:pPr>
        <w:ind w:left="840"/>
        <w:spacing w:after="0"/>
        <w:rPr>
          <w:sz w:val="20"/>
          <w:szCs w:val="20"/>
          <w:color w:val="auto"/>
        </w:rPr>
      </w:pPr>
      <w:r>
        <w:rPr>
          <w:rFonts w:ascii="Courier New" w:cs="Courier New" w:eastAsia="Courier New" w:hAnsi="Courier New"/>
          <w:sz w:val="16"/>
          <w:szCs w:val="16"/>
          <w:color w:val="auto"/>
        </w:rPr>
        <w:t>OMS Investments, Inc.</w:t>
      </w:r>
    </w:p>
    <w:p>
      <w:pPr>
        <w:ind w:left="840"/>
        <w:spacing w:after="0" w:line="238" w:lineRule="auto"/>
        <w:rPr>
          <w:sz w:val="20"/>
          <w:szCs w:val="20"/>
          <w:color w:val="auto"/>
        </w:rPr>
      </w:pPr>
      <w:r>
        <w:rPr>
          <w:rFonts w:ascii="Courier New" w:cs="Courier New" w:eastAsia="Courier New" w:hAnsi="Courier New"/>
          <w:sz w:val="16"/>
          <w:szCs w:val="16"/>
          <w:color w:val="auto"/>
        </w:rPr>
        <w:t>Old Fort Financial Corp.</w:t>
      </w:r>
    </w:p>
    <w:p>
      <w:pPr>
        <w:ind w:left="840"/>
        <w:spacing w:after="0"/>
        <w:rPr>
          <w:sz w:val="20"/>
          <w:szCs w:val="20"/>
          <w:color w:val="auto"/>
        </w:rPr>
      </w:pPr>
      <w:r>
        <w:rPr>
          <w:rFonts w:ascii="Courier New" w:cs="Courier New" w:eastAsia="Courier New" w:hAnsi="Courier New"/>
          <w:sz w:val="16"/>
          <w:szCs w:val="16"/>
          <w:color w:val="auto"/>
        </w:rPr>
        <w:t>Hyponex Corporation</w:t>
      </w:r>
    </w:p>
    <w:p>
      <w:pPr>
        <w:ind w:left="840"/>
        <w:spacing w:after="0" w:line="238" w:lineRule="auto"/>
        <w:rPr>
          <w:sz w:val="20"/>
          <w:szCs w:val="20"/>
          <w:color w:val="auto"/>
        </w:rPr>
      </w:pPr>
      <w:r>
        <w:rPr>
          <w:rFonts w:ascii="Courier New" w:cs="Courier New" w:eastAsia="Courier New" w:hAnsi="Courier New"/>
          <w:sz w:val="16"/>
          <w:szCs w:val="16"/>
          <w:color w:val="auto"/>
        </w:rPr>
        <w:t>EarthGro, Inc.</w:t>
      </w:r>
    </w:p>
    <w:p>
      <w:pPr>
        <w:ind w:left="840"/>
        <w:spacing w:after="0"/>
        <w:rPr>
          <w:sz w:val="20"/>
          <w:szCs w:val="20"/>
          <w:color w:val="auto"/>
        </w:rPr>
      </w:pPr>
      <w:r>
        <w:rPr>
          <w:rFonts w:ascii="Courier New" w:cs="Courier New" w:eastAsia="Courier New" w:hAnsi="Courier New"/>
          <w:sz w:val="16"/>
          <w:szCs w:val="16"/>
          <w:color w:val="auto"/>
        </w:rPr>
        <w:t>Scotts Products Co.</w:t>
      </w:r>
    </w:p>
    <w:p>
      <w:pPr>
        <w:ind w:left="840"/>
        <w:spacing w:after="0" w:line="237" w:lineRule="auto"/>
        <w:rPr>
          <w:sz w:val="20"/>
          <w:szCs w:val="20"/>
          <w:color w:val="auto"/>
        </w:rPr>
      </w:pPr>
      <w:r>
        <w:rPr>
          <w:rFonts w:ascii="Courier New" w:cs="Courier New" w:eastAsia="Courier New" w:hAnsi="Courier New"/>
          <w:sz w:val="16"/>
          <w:szCs w:val="16"/>
          <w:color w:val="auto"/>
        </w:rPr>
        <w:t>Scotts Professional Products Co.</w:t>
      </w:r>
    </w:p>
    <w:p>
      <w:pPr>
        <w:ind w:left="840"/>
        <w:spacing w:after="0"/>
        <w:rPr>
          <w:sz w:val="20"/>
          <w:szCs w:val="20"/>
          <w:color w:val="auto"/>
        </w:rPr>
      </w:pPr>
      <w:r>
        <w:rPr>
          <w:rFonts w:ascii="Courier New" w:cs="Courier New" w:eastAsia="Courier New" w:hAnsi="Courier New"/>
          <w:sz w:val="16"/>
          <w:szCs w:val="16"/>
          <w:color w:val="auto"/>
        </w:rPr>
        <w:t>Republic Tool &amp; Manufacturing Corp.</w:t>
      </w:r>
    </w:p>
    <w:p>
      <w:pPr>
        <w:ind w:left="840"/>
        <w:spacing w:after="0" w:line="238" w:lineRule="auto"/>
        <w:rPr>
          <w:sz w:val="20"/>
          <w:szCs w:val="20"/>
          <w:color w:val="auto"/>
        </w:rPr>
      </w:pPr>
      <w:r>
        <w:rPr>
          <w:rFonts w:ascii="Courier New" w:cs="Courier New" w:eastAsia="Courier New" w:hAnsi="Courier New"/>
          <w:sz w:val="16"/>
          <w:szCs w:val="16"/>
          <w:color w:val="auto"/>
        </w:rPr>
        <w:t>Scotts-Sierra Horticultural Products Company</w:t>
      </w:r>
    </w:p>
    <w:p>
      <w:pPr>
        <w:ind w:left="840"/>
        <w:spacing w:after="0"/>
        <w:rPr>
          <w:sz w:val="20"/>
          <w:szCs w:val="20"/>
          <w:color w:val="auto"/>
        </w:rPr>
      </w:pPr>
      <w:r>
        <w:rPr>
          <w:rFonts w:ascii="Courier New" w:cs="Courier New" w:eastAsia="Courier New" w:hAnsi="Courier New"/>
          <w:sz w:val="16"/>
          <w:szCs w:val="16"/>
          <w:color w:val="auto"/>
        </w:rPr>
        <w:t>Scotts-Sierra Crop Protection Company</w:t>
      </w:r>
    </w:p>
    <w:p>
      <w:pPr>
        <w:ind w:left="840"/>
        <w:spacing w:after="0" w:line="238" w:lineRule="auto"/>
        <w:rPr>
          <w:sz w:val="20"/>
          <w:szCs w:val="20"/>
          <w:color w:val="auto"/>
        </w:rPr>
      </w:pPr>
      <w:r>
        <w:rPr>
          <w:rFonts w:ascii="Courier New" w:cs="Courier New" w:eastAsia="Courier New" w:hAnsi="Courier New"/>
          <w:sz w:val="16"/>
          <w:szCs w:val="16"/>
          <w:color w:val="auto"/>
        </w:rPr>
        <w:t>Scotts-Sierra Investments, Inc.</w:t>
      </w:r>
    </w:p>
    <w:p>
      <w:pPr>
        <w:ind w:left="840"/>
        <w:spacing w:after="0"/>
        <w:rPr>
          <w:sz w:val="20"/>
          <w:szCs w:val="20"/>
          <w:color w:val="auto"/>
        </w:rPr>
      </w:pPr>
      <w:r>
        <w:rPr>
          <w:rFonts w:ascii="Courier New" w:cs="Courier New" w:eastAsia="Courier New" w:hAnsi="Courier New"/>
          <w:sz w:val="16"/>
          <w:szCs w:val="16"/>
          <w:color w:val="auto"/>
        </w:rPr>
        <w:t>Swiss Farms Products, Inc.</w:t>
      </w:r>
    </w:p>
    <w:p>
      <w:pPr>
        <w:spacing w:after="0" w:line="184"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These subsidiaries that are guaranteeing the notes constitute our primary domestic subsidiaries. The assets of the Ortho business that we acquired from Monsanto are held by Scotts and by some of the guarantor subsidiaries, as well as by some of our foreign subsidiaries. There is not a separate subsidiary for the Ortho assets. None of our foreign subsidiaries is a guarantor of the notes, and none is required to be under the indenture.</w:t>
      </w:r>
    </w:p>
    <w:p>
      <w:pPr>
        <w:spacing w:after="0" w:line="189" w:lineRule="exact"/>
        <w:rPr>
          <w:sz w:val="20"/>
          <w:szCs w:val="20"/>
          <w:color w:val="auto"/>
        </w:rPr>
      </w:pPr>
    </w:p>
    <w:p>
      <w:pPr>
        <w:ind w:right="2999" w:firstLine="469"/>
        <w:spacing w:after="0" w:line="238" w:lineRule="auto"/>
        <w:rPr>
          <w:sz w:val="20"/>
          <w:szCs w:val="20"/>
          <w:color w:val="auto"/>
        </w:rPr>
      </w:pPr>
      <w:r>
        <w:rPr>
          <w:rFonts w:ascii="Courier New" w:cs="Courier New" w:eastAsia="Courier New" w:hAnsi="Courier New"/>
          <w:sz w:val="16"/>
          <w:szCs w:val="16"/>
          <w:color w:val="auto"/>
        </w:rPr>
        <w:t>We have not designated any of our domestic, wholly-owned subsidiaries as unrestricted, but we are permitted to do so under the indenture. Unrestricted subsidiaries are not subject to many of the restrictive covenants in the indenture and are ignored for purposes of calculating some of the relevant financial ratios in the covenants. If we designate any subsidiaries as unrestricted, they will cease to guarantee the notes. We have no present intention to do so.</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293"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6"/>
          <w:szCs w:val="16"/>
          <w:color w:val="auto"/>
        </w:rPr>
        <w:t>30</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guarantees:</w:t>
      </w:r>
    </w:p>
    <w:p>
      <w:pPr>
        <w:spacing w:after="0" w:line="179" w:lineRule="exact"/>
        <w:rPr>
          <w:sz w:val="20"/>
          <w:szCs w:val="20"/>
          <w:color w:val="auto"/>
        </w:rPr>
      </w:pPr>
    </w:p>
    <w:p>
      <w:pPr>
        <w:ind w:left="660" w:hanging="195"/>
        <w:spacing w:after="0"/>
        <w:tabs>
          <w:tab w:leader="none" w:pos="6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general obligations of each guarantor;</w:t>
      </w:r>
    </w:p>
    <w:p>
      <w:pPr>
        <w:spacing w:after="0" w:line="184" w:lineRule="exact"/>
        <w:rPr>
          <w:rFonts w:ascii="Courier New" w:cs="Courier New" w:eastAsia="Courier New" w:hAnsi="Courier New"/>
          <w:sz w:val="16"/>
          <w:szCs w:val="16"/>
          <w:color w:val="auto"/>
        </w:rPr>
      </w:pPr>
    </w:p>
    <w:p>
      <w:pPr>
        <w:ind w:left="660" w:right="2999" w:hanging="195"/>
        <w:spacing w:after="0" w:line="236" w:lineRule="auto"/>
        <w:tabs>
          <w:tab w:leader="none" w:pos="6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subordinated in right of payment to all existing and future senior debt of each guarantor; and</w:t>
      </w:r>
    </w:p>
    <w:p>
      <w:pPr>
        <w:spacing w:after="0" w:line="184" w:lineRule="exact"/>
        <w:rPr>
          <w:rFonts w:ascii="Courier New" w:cs="Courier New" w:eastAsia="Courier New" w:hAnsi="Courier New"/>
          <w:sz w:val="16"/>
          <w:szCs w:val="16"/>
          <w:color w:val="auto"/>
        </w:rPr>
      </w:pPr>
    </w:p>
    <w:p>
      <w:pPr>
        <w:ind w:left="660" w:right="3559" w:hanging="195"/>
        <w:spacing w:after="0" w:line="236" w:lineRule="auto"/>
        <w:tabs>
          <w:tab w:leader="none" w:pos="6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senior in right of payment to any future junior subordinated indebtedness of each guarantor.</w:t>
      </w:r>
    </w:p>
    <w:p>
      <w:pPr>
        <w:spacing w:after="0" w:line="185"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Not all of our restricted subsidiaries guarantee the notes. In particular, our foreign subsidiaries are not guarantors. In the event of a bankruptcy, liquidation or reorganization of any of these non-guarantor subsidiaries, these non-guarantor subsidiaries will pay the holders of their debt and their trade creditors before they will be able to distribute any of their assets to us. The non-guarantor subsidiaries generated approximately 24.6% of our consolidated revenues for the year ended September 30, 1999 and held approximately 29.7% of our consolidated assets as of September 30, 1999. See note 22 to our consolidated financial statements that we have are incorporated in this prospectus for more detail about the division of our consolidated revenues and assets between our guarantor and non-guarantor subsidiaries.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MATURITY AND INTEREST</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indenture provides that we may issue notes with a maximum aggregate principal amount of up to $400 million, of which $330 million is represented by the notes. The notes are issued only in denominations of $1,000 and integral multiples of $1,000. The notes will mature on January 15, 2009.</w:t>
      </w:r>
    </w:p>
    <w:p>
      <w:pPr>
        <w:spacing w:after="0" w:line="186"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Interest on the notes accrues at the rate of 8.625% per annum and is payable semi-annually in arrears on January 15 and July 15, commencing on July 15, 1999. We will make each interest payment to the holders of record of the notes on the immediately preceding January 1 and July 1.</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Interest on the notes will accrue from the date of original issuance or, if interest has already been paid, from the date it was most recently paid. Interest will be computed on the basis of a 360-day year comprised of twelve 30-day months.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METHODS OF RECEIVING PAYMENTS ON THE NOTES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a holder has given us wire transfer instructions, we will make all principal, premium and interest and liquidated damages, if any, payments on the notes owned by the holder in accordance with those instructions. All other payments on these notes will be made at the office or agency of the paying agent and registrar within the City and State of New York unless we elect to make interest payments by check mailed to the holders at their address set forth in the register of holders.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PAYING AGENT AND REGISTRAR FOR THE NOTES</w:t>
      </w:r>
    </w:p>
    <w:p>
      <w:pPr>
        <w:spacing w:after="0" w:line="185" w:lineRule="exact"/>
        <w:rPr>
          <w:sz w:val="20"/>
          <w:szCs w:val="20"/>
          <w:color w:val="auto"/>
        </w:rPr>
      </w:pPr>
    </w:p>
    <w:p>
      <w:pPr>
        <w:ind w:right="2819" w:firstLine="469"/>
        <w:spacing w:after="0" w:line="259" w:lineRule="auto"/>
        <w:rPr>
          <w:sz w:val="20"/>
          <w:szCs w:val="20"/>
          <w:color w:val="auto"/>
        </w:rPr>
      </w:pPr>
      <w:r>
        <w:rPr>
          <w:rFonts w:ascii="Courier New" w:cs="Courier New" w:eastAsia="Courier New" w:hAnsi="Courier New"/>
          <w:sz w:val="15"/>
          <w:szCs w:val="15"/>
          <w:color w:val="auto"/>
        </w:rPr>
        <w:t>The trustee is currently the paying agent and registrar. We may change the paying agent or registrar without prior notice to the holders of the notes. Scotts or any of our subsidiaries may act as paying agent or registrar.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AND EXCHANGE</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A holder may transfer or exchange notes in accordance with the indenture. The registrar and the trustee may require a holder to furnish appropriate endorsements and transfer documents, and we may require a holder to pay any taxes and fees required by law or permitted by the indenture.</w:t>
      </w:r>
    </w:p>
    <w:p>
      <w:pPr>
        <w:spacing w:after="0" w:line="186"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The registered holder of a note will be treated as the owner of it for all purposes.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 GUARANTEES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subsidiary guarantors jointly and severally guarantee our obligations under the notes. Each subsidiary guarantee is subordinated to the prior payment in full of all senior debt of that subsidiary guarantor. The obligations of each subsidiary guarantor under its subsidiary guarantee are limited as necessary to prevent that subsidiary guarantee from being a fraudulent conveyance under applicable law.</w:t>
      </w:r>
    </w:p>
    <w:p>
      <w:pPr>
        <w:sectPr>
          <w:pgSz w:w="11900" w:h="16838" w:orient="portrait"/>
          <w:cols w:equalWidth="0" w:num="1">
            <w:col w:w="10219"/>
          </w:cols>
          <w:pgMar w:left="240" w:top="293" w:right="1440" w:bottom="1440" w:gutter="0" w:footer="0" w:header="0"/>
        </w:sectPr>
      </w:pP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93" w:right="1440" w:bottom="1440" w:gutter="0" w:footer="0" w:header="0"/>
          <w:type w:val="continuous"/>
        </w:sectPr>
      </w:pPr>
    </w:p>
    <w:bookmarkStart w:id="32" w:name="page33"/>
    <w:bookmarkEnd w:id="32"/>
    <w:p>
      <w:pPr>
        <w:ind w:left="280"/>
        <w:spacing w:after="0"/>
        <w:rPr>
          <w:sz w:val="20"/>
          <w:szCs w:val="20"/>
          <w:color w:val="auto"/>
        </w:rPr>
      </w:pPr>
      <w:r>
        <w:rPr>
          <w:rFonts w:ascii="Courier New" w:cs="Courier New" w:eastAsia="Courier New" w:hAnsi="Courier New"/>
          <w:sz w:val="16"/>
          <w:szCs w:val="16"/>
          <w:color w:val="auto"/>
        </w:rPr>
        <w:t>31</w:t>
      </w:r>
    </w:p>
    <w:p>
      <w:pPr>
        <w:spacing w:after="0" w:line="185" w:lineRule="exact"/>
        <w:rPr>
          <w:sz w:val="20"/>
          <w:szCs w:val="20"/>
          <w:color w:val="auto"/>
        </w:rPr>
      </w:pPr>
    </w:p>
    <w:p>
      <w:pPr>
        <w:ind w:right="3279" w:firstLine="469"/>
        <w:spacing w:after="0" w:line="237" w:lineRule="auto"/>
        <w:rPr>
          <w:sz w:val="20"/>
          <w:szCs w:val="20"/>
          <w:color w:val="auto"/>
        </w:rPr>
      </w:pPr>
      <w:r>
        <w:rPr>
          <w:rFonts w:ascii="Courier New" w:cs="Courier New" w:eastAsia="Courier New" w:hAnsi="Courier New"/>
          <w:sz w:val="16"/>
          <w:szCs w:val="16"/>
          <w:color w:val="auto"/>
        </w:rPr>
        <w:t>A subsidiary guarantor may not sell or otherwise dispose of all or substantially all of its assets, or consolidate with or merge with or into another person unless:</w:t>
      </w:r>
    </w:p>
    <w:p>
      <w:pPr>
        <w:spacing w:after="0" w:line="185" w:lineRule="exact"/>
        <w:rPr>
          <w:sz w:val="20"/>
          <w:szCs w:val="20"/>
          <w:color w:val="auto"/>
        </w:rPr>
      </w:pPr>
    </w:p>
    <w:p>
      <w:pPr>
        <w:ind w:left="660" w:right="2819" w:hanging="195"/>
        <w:spacing w:after="0" w:line="236" w:lineRule="auto"/>
        <w:tabs>
          <w:tab w:leader="none" w:pos="6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giving effect to that transaction, no default or event of default exists under the indenture; and</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w:t>
      </w:r>
    </w:p>
    <w:p>
      <w:pPr>
        <w:spacing w:after="0" w:line="184" w:lineRule="exact"/>
        <w:rPr>
          <w:rFonts w:ascii="Courier New" w:cs="Courier New" w:eastAsia="Courier New" w:hAnsi="Courier New"/>
          <w:sz w:val="16"/>
          <w:szCs w:val="16"/>
          <w:color w:val="auto"/>
        </w:rPr>
      </w:pPr>
    </w:p>
    <w:p>
      <w:pPr>
        <w:ind w:left="940" w:right="2819" w:hanging="193"/>
        <w:spacing w:after="0" w:line="237" w:lineRule="auto"/>
        <w:tabs>
          <w:tab w:leader="none" w:pos="940"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 acquiring the property in the sale or disposition or the person formed by or surviving the consolidation or merger assumes all the obligations of that subsidiary guarantor under its subsidiary guarantee; or</w:t>
      </w:r>
    </w:p>
    <w:p>
      <w:pPr>
        <w:spacing w:after="0" w:line="185" w:lineRule="exact"/>
        <w:rPr>
          <w:rFonts w:ascii="Courier New" w:cs="Courier New" w:eastAsia="Courier New" w:hAnsi="Courier New"/>
          <w:sz w:val="16"/>
          <w:szCs w:val="16"/>
          <w:color w:val="auto"/>
        </w:rPr>
      </w:pPr>
    </w:p>
    <w:p>
      <w:pPr>
        <w:ind w:left="940" w:right="3279" w:hanging="193"/>
        <w:spacing w:after="0" w:line="236" w:lineRule="auto"/>
        <w:tabs>
          <w:tab w:leader="none" w:pos="940"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 proceeds of the sale or other disposition are applied as dictated by the indenture.</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subsidiary guarantee of a subsidiary guarantor will be released:</w:t>
      </w:r>
    </w:p>
    <w:p>
      <w:pPr>
        <w:spacing w:after="0" w:line="185" w:lineRule="exact"/>
        <w:rPr>
          <w:sz w:val="20"/>
          <w:szCs w:val="20"/>
          <w:color w:val="auto"/>
        </w:rPr>
      </w:pPr>
    </w:p>
    <w:p>
      <w:pPr>
        <w:ind w:left="660" w:right="2819" w:hanging="195"/>
        <w:spacing w:after="0" w:line="257" w:lineRule="auto"/>
        <w:tabs>
          <w:tab w:leader="none" w:pos="6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sale or other disposition of all or substantially all of the assets of that subsidiary guarantor, including by way of merger or consolidation, so long as we apply the net proceeds of that sale or other disposition as dictated by the indenture; or</w:t>
      </w:r>
    </w:p>
    <w:p>
      <w:pPr>
        <w:spacing w:after="0" w:line="174" w:lineRule="exact"/>
        <w:rPr>
          <w:rFonts w:ascii="Courier New" w:cs="Courier New" w:eastAsia="Courier New" w:hAnsi="Courier New"/>
          <w:sz w:val="15"/>
          <w:szCs w:val="15"/>
          <w:color w:val="auto"/>
        </w:rPr>
      </w:pPr>
    </w:p>
    <w:p>
      <w:pPr>
        <w:ind w:left="660" w:right="2819" w:hanging="195"/>
        <w:spacing w:after="0" w:line="237" w:lineRule="auto"/>
        <w:tabs>
          <w:tab w:leader="none" w:pos="66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any sale of all of the capital stock of a subsidiary guarantor, so long as we apply the net proceeds of that sale as dictated by the indenture; or</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designate any restricted subsidiary that is a subsidiary guarantor as an unrestricted subsidiary.</w:t>
      </w:r>
    </w:p>
    <w:p>
      <w:pPr>
        <w:spacing w:after="0" w:line="185" w:lineRule="exact"/>
        <w:rPr>
          <w:sz w:val="20"/>
          <w:szCs w:val="20"/>
          <w:color w:val="auto"/>
        </w:rPr>
      </w:pPr>
    </w:p>
    <w:p>
      <w:pPr>
        <w:ind w:right="2819" w:firstLine="469"/>
        <w:spacing w:after="0" w:line="259" w:lineRule="auto"/>
        <w:rPr>
          <w:sz w:val="20"/>
          <w:szCs w:val="20"/>
          <w:color w:val="auto"/>
        </w:rPr>
      </w:pPr>
      <w:r>
        <w:rPr>
          <w:rFonts w:ascii="Courier New" w:cs="Courier New" w:eastAsia="Courier New" w:hAnsi="Courier New"/>
          <w:sz w:val="15"/>
          <w:szCs w:val="15"/>
          <w:color w:val="auto"/>
        </w:rPr>
        <w:t>The indenture, however, does not prevent one subsidiary guarantor from selling or otherwise disposing of all or substantially all of its assets to, or consolidating with or merging into, Scotts or another subsidiary guarantor.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SUBORDINATION</w:t>
      </w:r>
    </w:p>
    <w:p>
      <w:pPr>
        <w:spacing w:after="0" w:line="185"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The payment of principal, premium, interest and liquidated damages, if any, on the notes will be subordinated to the prior payment in full of all our senior debt.</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holders of senior debt will be entitled to receive payment in full of all obligations due in respect of their senior debt before the holders of notes will be entitled to receive any payment on the notes in the event of any distribution to our creditors in any of the following circumstances:</w:t>
      </w:r>
    </w:p>
    <w:p>
      <w:pPr>
        <w:spacing w:after="0" w:line="181" w:lineRule="exact"/>
        <w:rPr>
          <w:sz w:val="20"/>
          <w:szCs w:val="20"/>
          <w:color w:val="auto"/>
        </w:rPr>
      </w:pPr>
    </w:p>
    <w:p>
      <w:pPr>
        <w:ind w:left="660" w:hanging="195"/>
        <w:spacing w:after="0"/>
        <w:tabs>
          <w:tab w:leader="none" w:pos="6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liquidation or dissolution of Scotts;</w:t>
      </w:r>
    </w:p>
    <w:p>
      <w:pPr>
        <w:spacing w:after="0" w:line="184" w:lineRule="exact"/>
        <w:rPr>
          <w:rFonts w:ascii="Courier New" w:cs="Courier New" w:eastAsia="Courier New" w:hAnsi="Courier New"/>
          <w:sz w:val="16"/>
          <w:szCs w:val="16"/>
          <w:color w:val="auto"/>
        </w:rPr>
      </w:pPr>
    </w:p>
    <w:p>
      <w:pPr>
        <w:ind w:left="660" w:right="3479" w:hanging="195"/>
        <w:spacing w:after="0" w:line="236" w:lineRule="auto"/>
        <w:tabs>
          <w:tab w:leader="none" w:pos="6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bankruptcy, reorganization, insolvency, receivership or similar proceeding;</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assignment for the benefit of our creditors; or</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marshaling of our assets and liabilities.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We also may not make any payment on the notes if:</w:t>
      </w:r>
    </w:p>
    <w:p>
      <w:pPr>
        <w:spacing w:after="0" w:line="185" w:lineRule="exact"/>
        <w:rPr>
          <w:sz w:val="20"/>
          <w:szCs w:val="20"/>
          <w:color w:val="auto"/>
        </w:rPr>
      </w:pPr>
    </w:p>
    <w:p>
      <w:pPr>
        <w:ind w:left="660" w:right="2999" w:hanging="195"/>
        <w:spacing w:after="0" w:line="236" w:lineRule="auto"/>
        <w:tabs>
          <w:tab w:leader="none" w:pos="66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payment default occurs and is continuing beyond any applicable grace period under:</w:t>
      </w:r>
    </w:p>
    <w:p>
      <w:pPr>
        <w:spacing w:after="0" w:line="179" w:lineRule="exact"/>
        <w:rPr>
          <w:rFonts w:ascii="Courier New" w:cs="Courier New" w:eastAsia="Courier New" w:hAnsi="Courier New"/>
          <w:sz w:val="16"/>
          <w:szCs w:val="16"/>
          <w:color w:val="auto"/>
        </w:rPr>
      </w:pPr>
    </w:p>
    <w:p>
      <w:pPr>
        <w:ind w:left="940" w:hanging="193"/>
        <w:spacing w:after="0"/>
        <w:tabs>
          <w:tab w:leader="none" w:pos="940"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credit facility, or</w:t>
      </w:r>
    </w:p>
    <w:p>
      <w:pPr>
        <w:spacing w:after="0" w:line="179" w:lineRule="exact"/>
        <w:rPr>
          <w:rFonts w:ascii="Courier New" w:cs="Courier New" w:eastAsia="Courier New" w:hAnsi="Courier New"/>
          <w:sz w:val="16"/>
          <w:szCs w:val="16"/>
          <w:color w:val="auto"/>
        </w:rPr>
      </w:pPr>
    </w:p>
    <w:p>
      <w:pPr>
        <w:ind w:left="940" w:hanging="193"/>
        <w:spacing w:after="0"/>
        <w:tabs>
          <w:tab w:leader="none" w:pos="940"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senior debt of greater than $10 million that we designate; or</w:t>
      </w:r>
    </w:p>
    <w:p>
      <w:pPr>
        <w:spacing w:after="0" w:line="184" w:lineRule="exact"/>
        <w:rPr>
          <w:rFonts w:ascii="Courier New" w:cs="Courier New" w:eastAsia="Courier New" w:hAnsi="Courier New"/>
          <w:sz w:val="16"/>
          <w:szCs w:val="16"/>
          <w:color w:val="auto"/>
        </w:rPr>
      </w:pPr>
    </w:p>
    <w:p>
      <w:pPr>
        <w:ind w:left="660" w:right="2899" w:hanging="195"/>
        <w:spacing w:after="0" w:line="237" w:lineRule="auto"/>
        <w:tabs>
          <w:tab w:leader="none" w:pos="66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default occurs and is continuing under our credit facility or the designated senior debt described above that permits the holders of the indebtedness to accelerate its maturity and the trustee receives a notice of the default under the indenture.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These events are known as payment blockages.</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93" w:right="1440" w:bottom="1440" w:gutter="0" w:footer="0" w:header="0"/>
          <w:type w:val="continuous"/>
        </w:sectPr>
      </w:pPr>
    </w:p>
    <w:bookmarkStart w:id="33" w:name="page34"/>
    <w:bookmarkEnd w:id="33"/>
    <w:p>
      <w:pPr>
        <w:ind w:left="280"/>
        <w:spacing w:after="0"/>
        <w:rPr>
          <w:sz w:val="20"/>
          <w:szCs w:val="20"/>
          <w:color w:val="auto"/>
        </w:rPr>
      </w:pPr>
      <w:r>
        <w:rPr>
          <w:rFonts w:ascii="Courier New" w:cs="Courier New" w:eastAsia="Courier New" w:hAnsi="Courier New"/>
          <w:sz w:val="16"/>
          <w:szCs w:val="16"/>
          <w:color w:val="auto"/>
        </w:rPr>
        <w:t>32</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Payments on the notes will be resumed:</w:t>
      </w:r>
    </w:p>
    <w:p>
      <w:pPr>
        <w:spacing w:after="0" w:line="185" w:lineRule="exact"/>
        <w:rPr>
          <w:sz w:val="20"/>
          <w:szCs w:val="20"/>
          <w:color w:val="auto"/>
        </w:rPr>
      </w:pPr>
    </w:p>
    <w:p>
      <w:pPr>
        <w:ind w:left="660" w:right="3179" w:hanging="195"/>
        <w:spacing w:after="0" w:line="236" w:lineRule="auto"/>
        <w:tabs>
          <w:tab w:leader="none" w:pos="66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payment default, as soon as the default is cured or waived; and</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of a nonpayment default, on the earlier of the date on which the nonpayment default is cured or waived or 179 days after the date on which the applicable notice of a payment blockage is received, unless the maturity of the indebtedness leading to the payment blockage has been accelerated.</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 new notice of a payment blockage may be delivered unless and until:</w:t>
      </w:r>
    </w:p>
    <w:p>
      <w:pPr>
        <w:spacing w:after="0" w:line="185" w:lineRule="exact"/>
        <w:rPr>
          <w:sz w:val="20"/>
          <w:szCs w:val="20"/>
          <w:color w:val="auto"/>
        </w:rPr>
      </w:pPr>
    </w:p>
    <w:p>
      <w:pPr>
        <w:ind w:left="660" w:right="2999" w:hanging="195"/>
        <w:spacing w:after="0" w:line="236" w:lineRule="auto"/>
        <w:tabs>
          <w:tab w:leader="none" w:pos="6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360 days have elapsed since the effectiveness of the immediately prior notice of a payment blockage; and</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scheduled payments of principal, premium and interest and liquidated damages, if any, on the notes that have come due have been paid in full in cash.</w:t>
      </w:r>
    </w:p>
    <w:p>
      <w:pPr>
        <w:spacing w:after="0" w:line="185"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No nonpayment default that existed or was continuing on the date of delivery of any notice of a payment blockage to the trustee may be the basis for a subsequent notice of a payment blockage unless the default leading to the notice shall have been cured or waived for a period of not less than 180 days.</w:t>
      </w:r>
    </w:p>
    <w:p>
      <w:pPr>
        <w:spacing w:after="0" w:line="174" w:lineRule="exact"/>
        <w:rPr>
          <w:sz w:val="20"/>
          <w:szCs w:val="20"/>
          <w:color w:val="auto"/>
        </w:rPr>
      </w:pPr>
    </w:p>
    <w:p>
      <w:pPr>
        <w:ind w:right="2999" w:firstLine="469"/>
        <w:spacing w:after="0" w:line="263" w:lineRule="auto"/>
        <w:rPr>
          <w:sz w:val="20"/>
          <w:szCs w:val="20"/>
          <w:color w:val="auto"/>
        </w:rPr>
      </w:pPr>
      <w:r>
        <w:rPr>
          <w:rFonts w:ascii="Courier New" w:cs="Courier New" w:eastAsia="Courier New" w:hAnsi="Courier New"/>
          <w:sz w:val="15"/>
          <w:szCs w:val="15"/>
          <w:color w:val="auto"/>
        </w:rPr>
        <w:t>Scotts must promptly notify holders of our senior debt if payment of the notes is accelerated because of an event of default under the indenture.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As a result</w:t>
            </w: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w w:val="98"/>
              </w:rPr>
              <w:t>of the subordination provisions described above,</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in</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the event</w:t>
            </w:r>
          </w:p>
        </w:tc>
      </w:tr>
      <w:tr>
        <w:trPr>
          <w:trHeight w:val="180"/>
        </w:trPr>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w w:val="96"/>
              </w:rPr>
              <w:t>of a bankruptcy,</w:t>
            </w: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w w:val="98"/>
              </w:rPr>
              <w:t>liquidation or reorganization of Scotts, holders</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w w:val="96"/>
              </w:rPr>
              <w:t>these notes</w:t>
            </w:r>
          </w:p>
        </w:tc>
      </w:tr>
      <w:tr>
        <w:trPr>
          <w:trHeight w:val="180"/>
        </w:trPr>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w w:val="96"/>
              </w:rPr>
              <w:t>may recover less</w:t>
            </w:r>
          </w:p>
        </w:tc>
        <w:tc>
          <w:tcPr>
            <w:tcW w:w="596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ratably than creditors who are holders of our senior debt.</w:t>
            </w: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OPTIONAL REDEMPTION</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During the first 36 months after January 21, 1999, we may on any one or more occasions redeem up to 35% of the aggregate principal amount of notes originally issued under the indenture at a redemption price of 108.625% of the principal amount thereof, plus accrued and unpaid interest and liquidated damages, if any, to the redemption date, with the net cash proceeds of one or more public equity offerings, so long as:</w:t>
      </w:r>
    </w:p>
    <w:p>
      <w:pPr>
        <w:spacing w:after="0" w:line="189" w:lineRule="exact"/>
        <w:rPr>
          <w:sz w:val="20"/>
          <w:szCs w:val="20"/>
          <w:color w:val="auto"/>
        </w:rPr>
      </w:pPr>
    </w:p>
    <w:p>
      <w:pPr>
        <w:ind w:left="660" w:right="3379" w:hanging="195"/>
        <w:spacing w:after="0" w:line="263" w:lineRule="auto"/>
        <w:tabs>
          <w:tab w:leader="none" w:pos="6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65% of the notes remain outstanding immediately after the occurrence of the redemption, excluding any notes held by us; and</w:t>
      </w:r>
    </w:p>
    <w:p>
      <w:pPr>
        <w:spacing w:after="0" w:line="168" w:lineRule="exact"/>
        <w:rPr>
          <w:rFonts w:ascii="Courier New" w:cs="Courier New" w:eastAsia="Courier New" w:hAnsi="Courier New"/>
          <w:sz w:val="15"/>
          <w:szCs w:val="15"/>
          <w:color w:val="auto"/>
        </w:rPr>
      </w:pPr>
    </w:p>
    <w:p>
      <w:pPr>
        <w:ind w:left="660" w:right="2999" w:hanging="195"/>
        <w:spacing w:after="0" w:line="236" w:lineRule="auto"/>
        <w:tabs>
          <w:tab w:leader="none" w:pos="66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occurs within 90 days of the date of the closing of the public equity offering.</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Otherwise, the notes will not be redeemable prior to January 15, 2004.</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After January 15, 2004, we may redeem all or a part of these notes by giving at least 30 but no more than 60 days' notice. The redemption price will be equal to the percentage of principal amount shown in the following table plus accrued and unpaid interest and liquidated damages, if any, to the applicable redemption date:</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20" w:type="dxa"/>
            <w:vAlign w:val="bottom"/>
          </w:tcPr>
          <w:p>
            <w:pPr>
              <w:spacing w:after="0"/>
              <w:rPr>
                <w:sz w:val="20"/>
                <w:szCs w:val="20"/>
                <w:color w:val="auto"/>
              </w:rPr>
            </w:pPr>
            <w:r>
              <w:rPr>
                <w:rFonts w:ascii="Courier New" w:cs="Courier New" w:eastAsia="Courier New" w:hAnsi="Courier New"/>
                <w:sz w:val="16"/>
                <w:szCs w:val="16"/>
                <w:color w:val="auto"/>
              </w:rPr>
              <w:t>YEAR</w:t>
            </w:r>
          </w:p>
        </w:tc>
        <w:tc>
          <w:tcPr>
            <w:tcW w:w="3800" w:type="dxa"/>
            <w:vAlign w:val="bottom"/>
          </w:tcPr>
          <w:p>
            <w:pPr>
              <w:spacing w:after="0"/>
              <w:rPr>
                <w:sz w:val="15"/>
                <w:szCs w:val="15"/>
                <w:color w:val="auto"/>
              </w:rPr>
            </w:pPr>
          </w:p>
        </w:tc>
        <w:tc>
          <w:tcPr>
            <w:tcW w:w="13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PERCENTAGE</w:t>
            </w:r>
          </w:p>
        </w:tc>
      </w:tr>
      <w:tr>
        <w:trPr>
          <w:trHeight w:val="180"/>
        </w:trPr>
        <w:tc>
          <w:tcPr>
            <w:tcW w:w="20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8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From January 15, 2004 through January 14, 2005..............</w:t>
            </w:r>
          </w:p>
        </w:tc>
        <w:tc>
          <w:tcPr>
            <w:tcW w:w="13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104.313%</w:t>
            </w:r>
          </w:p>
        </w:tc>
      </w:tr>
      <w:tr>
        <w:trPr>
          <w:trHeight w:val="180"/>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From January 15, 2005 through January 14, 2006..............</w:t>
            </w:r>
          </w:p>
        </w:tc>
        <w:tc>
          <w:tcPr>
            <w:tcW w:w="13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102.875%</w:t>
            </w:r>
          </w:p>
        </w:tc>
      </w:tr>
      <w:tr>
        <w:trPr>
          <w:trHeight w:val="180"/>
        </w:trPr>
        <w:tc>
          <w:tcPr>
            <w:tcW w:w="2020" w:type="dxa"/>
            <w:vAlign w:val="bottom"/>
          </w:tcPr>
          <w:p>
            <w:pPr>
              <w:spacing w:after="0"/>
              <w:rPr>
                <w:sz w:val="20"/>
                <w:szCs w:val="20"/>
                <w:color w:val="auto"/>
              </w:rPr>
            </w:pPr>
            <w:r>
              <w:rPr>
                <w:rFonts w:ascii="Courier New" w:cs="Courier New" w:eastAsia="Courier New" w:hAnsi="Courier New"/>
                <w:sz w:val="16"/>
                <w:szCs w:val="16"/>
                <w:color w:val="auto"/>
                <w:w w:val="99"/>
              </w:rPr>
              <w:t>From January 15, 2006</w:t>
            </w:r>
          </w:p>
        </w:tc>
        <w:tc>
          <w:tcPr>
            <w:tcW w:w="3800" w:type="dxa"/>
            <w:vAlign w:val="bottom"/>
          </w:tcPr>
          <w:p>
            <w:pPr>
              <w:ind w:left="40"/>
              <w:spacing w:after="0"/>
              <w:rPr>
                <w:sz w:val="20"/>
                <w:szCs w:val="20"/>
                <w:color w:val="auto"/>
              </w:rPr>
            </w:pPr>
            <w:r>
              <w:rPr>
                <w:rFonts w:ascii="Courier New" w:cs="Courier New" w:eastAsia="Courier New" w:hAnsi="Courier New"/>
                <w:sz w:val="16"/>
                <w:szCs w:val="16"/>
                <w:color w:val="auto"/>
              </w:rPr>
              <w:t>through January 14, 2007..............</w:t>
            </w:r>
          </w:p>
        </w:tc>
        <w:tc>
          <w:tcPr>
            <w:tcW w:w="13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101.438%</w:t>
            </w:r>
          </w:p>
        </w:tc>
      </w:tr>
      <w:tr>
        <w:trPr>
          <w:trHeight w:val="180"/>
        </w:trPr>
        <w:tc>
          <w:tcPr>
            <w:tcW w:w="2020" w:type="dxa"/>
            <w:vAlign w:val="bottom"/>
          </w:tcPr>
          <w:p>
            <w:pPr>
              <w:spacing w:after="0"/>
              <w:rPr>
                <w:sz w:val="20"/>
                <w:szCs w:val="20"/>
                <w:color w:val="auto"/>
              </w:rPr>
            </w:pPr>
            <w:r>
              <w:rPr>
                <w:rFonts w:ascii="Courier New" w:cs="Courier New" w:eastAsia="Courier New" w:hAnsi="Courier New"/>
                <w:sz w:val="16"/>
                <w:szCs w:val="16"/>
                <w:color w:val="auto"/>
                <w:w w:val="99"/>
              </w:rPr>
              <w:t>From January 15, 2007</w:t>
            </w:r>
          </w:p>
        </w:tc>
        <w:tc>
          <w:tcPr>
            <w:tcW w:w="3800" w:type="dxa"/>
            <w:vAlign w:val="bottom"/>
          </w:tcPr>
          <w:p>
            <w:pPr>
              <w:ind w:left="40"/>
              <w:spacing w:after="0"/>
              <w:rPr>
                <w:sz w:val="20"/>
                <w:szCs w:val="20"/>
                <w:color w:val="auto"/>
              </w:rPr>
            </w:pPr>
            <w:r>
              <w:rPr>
                <w:rFonts w:ascii="Courier New" w:cs="Courier New" w:eastAsia="Courier New" w:hAnsi="Courier New"/>
                <w:sz w:val="16"/>
                <w:szCs w:val="16"/>
                <w:color w:val="auto"/>
              </w:rPr>
              <w:t>and thereafter........................</w:t>
            </w:r>
          </w:p>
        </w:tc>
        <w:tc>
          <w:tcPr>
            <w:tcW w:w="13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100.00%</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MANDATORY REDEMPTION</w:t>
      </w:r>
    </w:p>
    <w:p>
      <w:pPr>
        <w:spacing w:after="0" w:line="185" w:lineRule="exact"/>
        <w:rPr>
          <w:sz w:val="20"/>
          <w:szCs w:val="20"/>
          <w:color w:val="auto"/>
        </w:rPr>
      </w:pPr>
    </w:p>
    <w:p>
      <w:pPr>
        <w:jc w:val="both"/>
        <w:ind w:right="3099" w:firstLine="469"/>
        <w:spacing w:after="0" w:line="236" w:lineRule="auto"/>
        <w:rPr>
          <w:sz w:val="20"/>
          <w:szCs w:val="20"/>
          <w:color w:val="auto"/>
        </w:rPr>
      </w:pPr>
      <w:r>
        <w:rPr>
          <w:rFonts w:ascii="Courier New" w:cs="Courier New" w:eastAsia="Courier New" w:hAnsi="Courier New"/>
          <w:sz w:val="16"/>
          <w:szCs w:val="16"/>
          <w:color w:val="auto"/>
        </w:rPr>
        <w:t>The indenture does not provide for mandatory redemption or sinking fund payments.</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93" w:right="1440" w:bottom="1440" w:gutter="0" w:footer="0" w:header="0"/>
          <w:type w:val="continuous"/>
        </w:sectPr>
      </w:pPr>
    </w:p>
    <w:bookmarkStart w:id="34" w:name="page35"/>
    <w:bookmarkEnd w:id="34"/>
    <w:p>
      <w:pPr>
        <w:ind w:left="280"/>
        <w:spacing w:after="0"/>
        <w:rPr>
          <w:sz w:val="20"/>
          <w:szCs w:val="20"/>
          <w:color w:val="auto"/>
        </w:rPr>
      </w:pPr>
      <w:r>
        <w:rPr>
          <w:rFonts w:ascii="Courier New" w:cs="Courier New" w:eastAsia="Courier New" w:hAnsi="Courier New"/>
          <w:sz w:val="16"/>
          <w:szCs w:val="16"/>
          <w:color w:val="auto"/>
        </w:rPr>
        <w:t>33</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REPURCHASE AT THE OPTION OF HOLDERS</w:t>
      </w:r>
    </w:p>
    <w:p>
      <w:pPr>
        <w:spacing w:after="0" w:line="17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Change of Control</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a "Change of Control" occurs, each holder of notes will have the right to require us to repurchase all or any part, in multiples of $1,000, of that holder's notes at an offer price in cash equal to 101% of the aggregate principal amount of notes repurchased plus accrued and unpaid interest and liquidated damages, if any, to the date of purchase. Within 30 days following any "Change of Control," we will mail a notice to each holder describing the transaction or transactions that constitute the "Change of Control" and offering to repurchase notes on the date specified in the notice. We will comply with the requirements of Rule 14e-1 under the Exchange Act and any other securities laws and regulations thereunder to the extent such laws and regulations are applicable in connection with the repurchase of the notes as a result of a "Change of Control."</w:t>
      </w:r>
    </w:p>
    <w:p>
      <w:pPr>
        <w:spacing w:after="0" w:line="188"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In connection with any offer upon a "Change in Control," we will, to the extent lawful:</w:t>
      </w:r>
    </w:p>
    <w:p>
      <w:pPr>
        <w:spacing w:after="0" w:line="180" w:lineRule="exact"/>
        <w:rPr>
          <w:sz w:val="20"/>
          <w:szCs w:val="20"/>
          <w:color w:val="auto"/>
        </w:rPr>
      </w:pPr>
    </w:p>
    <w:p>
      <w:pPr>
        <w:ind w:left="660" w:hanging="195"/>
        <w:spacing w:after="0"/>
        <w:tabs>
          <w:tab w:leader="none" w:pos="6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 for payment all notes or portions thereof properly tendered;</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deposit with the paying agent an amount equal to the required payment in respect of all notes or portions thereof so tendered; and</w:t>
      </w:r>
    </w:p>
    <w:p>
      <w:pPr>
        <w:spacing w:after="0" w:line="184" w:lineRule="exact"/>
        <w:rPr>
          <w:rFonts w:ascii="Courier New" w:cs="Courier New" w:eastAsia="Courier New" w:hAnsi="Courier New"/>
          <w:sz w:val="16"/>
          <w:szCs w:val="16"/>
          <w:color w:val="auto"/>
        </w:rPr>
      </w:pPr>
    </w:p>
    <w:p>
      <w:pPr>
        <w:ind w:left="660" w:right="3099" w:hanging="195"/>
        <w:spacing w:after="0" w:line="236" w:lineRule="auto"/>
        <w:tabs>
          <w:tab w:leader="none" w:pos="6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or cause to be delivered to the trustee the notes so accepted together with the applicable officers certificate.</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paying agent will promptly mail to each holder of notes tendered the applicable payment for the notes tendered. The trustee also will promptly authenticate and mail, or cause to be transferred by book entry, to each holder a new note equal in principal amount to any unpurchased portion of the notes surrendered, if any.</w:t>
      </w:r>
    </w:p>
    <w:p>
      <w:pPr>
        <w:spacing w:after="0" w:line="187"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Prior to complying with any of the provisions of this "Change of Control" covenant, but in any event within 90 days following a "Change of Control," we must either repay all outstanding senior debt or obtain the requisite consents, if any, under all agreements governing outstanding senior debt to permit the repurchase of notes required by this covenant. We will publicly announce the results of the offer to repurchase on or as soon as practicable after the payment date.</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provisions described above that require us to make an offer to repurchase following a "Change of Control" will be applicable regardless of whether or not any other provisions of the indenture are applicable. The indenture does not contain any other provisions that permit the holders of the notes to require us to repurchase or redeem the notes in the event of a takeover, recapitalization or similar transaction.</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Our outstanding senior debt currently prohibits us from purchasing any notes under any circumstances, and also contains separate change of control events that would constitute a default under the agreements governing the senior debt. Any future credit agreements or other agreements relating to senior debt may contain similar restrictions and provisions. In the event a "Change of Control" occurs at a time when we are prohibited from purchasing notes, we could seek the consent of our senior lenders to the purchase of notes or could attempt to refinance the borrowings that contain the prohibition. If we do not obtain a consent or repay the borrowings that contain the prohibitions, we will be unable to complete the repurchase of the tendered notes, which would constitute an event of default under the indenture and would, in turn, likely constitute a default under our senior debt. In these circumstances, the subordination provisions in the indenture would likely restrict payments to the holders of notes.</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We will not be required to make a repurchase offer upon a "Change of Control" if a third party makes the repurchase offer in the manner, at the times and otherwise in compliance with the requirements set forth in the indenture and purchases all notes validly tendered and not withdrawn under the repurchase offer.</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definition of "Change of Control" includes a phrase relating to the sale, lease, transfer, conveyance or other disposition of "all or substantially all" of the assets of Scotts and its subsidiaries taken as a whole. Although there is a limited body of case law interpreting the phrase "substantially all," there is no precise established definition of the phrase under applicable law. Accordingly, the ability of a holder of notes to</w:t>
      </w:r>
    </w:p>
    <w:p>
      <w:pPr>
        <w:sectPr>
          <w:pgSz w:w="11900" w:h="16838" w:orient="portrait"/>
          <w:cols w:equalWidth="0" w:num="1">
            <w:col w:w="10219"/>
          </w:cols>
          <w:pgMar w:left="240" w:top="293" w:right="1440" w:bottom="1440" w:gutter="0" w:footer="0" w:header="0"/>
        </w:sectPr>
      </w:pPr>
    </w:p>
    <w:p>
      <w:pPr>
        <w:spacing w:after="0" w:line="189"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93" w:right="1440" w:bottom="1440" w:gutter="0" w:footer="0" w:header="0"/>
          <w:type w:val="continuous"/>
        </w:sectPr>
      </w:pPr>
    </w:p>
    <w:bookmarkStart w:id="35" w:name="page36"/>
    <w:bookmarkEnd w:id="35"/>
    <w:p>
      <w:pPr>
        <w:ind w:left="280"/>
        <w:spacing w:after="0"/>
        <w:rPr>
          <w:sz w:val="20"/>
          <w:szCs w:val="20"/>
          <w:color w:val="auto"/>
        </w:rPr>
      </w:pPr>
      <w:r>
        <w:rPr>
          <w:rFonts w:ascii="Courier New" w:cs="Courier New" w:eastAsia="Courier New" w:hAnsi="Courier New"/>
          <w:sz w:val="16"/>
          <w:szCs w:val="16"/>
          <w:color w:val="auto"/>
        </w:rPr>
        <w:t>34</w:t>
      </w:r>
    </w:p>
    <w:p>
      <w:pPr>
        <w:spacing w:after="0" w:line="185" w:lineRule="exact"/>
        <w:rPr>
          <w:sz w:val="20"/>
          <w:szCs w:val="20"/>
          <w:color w:val="auto"/>
        </w:rPr>
      </w:pPr>
    </w:p>
    <w:p>
      <w:pPr>
        <w:ind w:right="2719"/>
        <w:spacing w:after="0" w:line="259" w:lineRule="auto"/>
        <w:rPr>
          <w:sz w:val="20"/>
          <w:szCs w:val="20"/>
          <w:color w:val="auto"/>
        </w:rPr>
      </w:pPr>
      <w:r>
        <w:rPr>
          <w:rFonts w:ascii="Courier New" w:cs="Courier New" w:eastAsia="Courier New" w:hAnsi="Courier New"/>
          <w:sz w:val="15"/>
          <w:szCs w:val="15"/>
          <w:color w:val="auto"/>
        </w:rPr>
        <w:t>require Scotts to repurchase notes as a result of a sale, lease, transfer, conveyance or other disposition of less than all of the assets of the Scotts and its subsidiaries taken as a whole to another person or group may be uncertain.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ASSET SALES</w:t>
      </w:r>
    </w:p>
    <w:p>
      <w:pPr>
        <w:spacing w:after="0" w:line="185"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Scotts will not, and will not permit any of its restricted subsidiaries to, consummate an "Asset Sale" unless:</w:t>
      </w:r>
    </w:p>
    <w:p>
      <w:pPr>
        <w:spacing w:after="0" w:line="185" w:lineRule="exact"/>
        <w:rPr>
          <w:sz w:val="20"/>
          <w:szCs w:val="20"/>
          <w:color w:val="auto"/>
        </w:rPr>
      </w:pPr>
    </w:p>
    <w:p>
      <w:pPr>
        <w:ind w:left="660" w:right="2719" w:hanging="195"/>
        <w:spacing w:after="0" w:line="237" w:lineRule="auto"/>
        <w:tabs>
          <w:tab w:leader="none" w:pos="66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Scotts or the subsidiary receives consideration at the time of the "Asset Sale" at least equal to the fair market value of the assets or equity interests issued or sold or otherwise disposed of, as determined in good faith by Scotts' Board of Directors; and</w:t>
      </w:r>
    </w:p>
    <w:p>
      <w:pPr>
        <w:spacing w:after="0" w:line="180"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w:t>
      </w:r>
    </w:p>
    <w:p>
      <w:pPr>
        <w:spacing w:after="0" w:line="184" w:lineRule="exact"/>
        <w:rPr>
          <w:rFonts w:ascii="Courier New" w:cs="Courier New" w:eastAsia="Courier New" w:hAnsi="Courier New"/>
          <w:sz w:val="16"/>
          <w:szCs w:val="16"/>
          <w:color w:val="auto"/>
        </w:rPr>
      </w:pPr>
    </w:p>
    <w:p>
      <w:pPr>
        <w:ind w:left="1400" w:right="2719" w:hanging="184"/>
        <w:spacing w:after="0" w:line="263" w:lineRule="auto"/>
        <w:tabs>
          <w:tab w:leader="none" w:pos="140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or the subsidiary issues equity interests as consideration or transfers assets in a tax-deferred exchange; or</w:t>
      </w:r>
    </w:p>
    <w:p>
      <w:pPr>
        <w:spacing w:after="0" w:line="168" w:lineRule="exact"/>
        <w:rPr>
          <w:rFonts w:ascii="Courier New" w:cs="Courier New" w:eastAsia="Courier New" w:hAnsi="Courier New"/>
          <w:sz w:val="15"/>
          <w:szCs w:val="15"/>
          <w:color w:val="auto"/>
        </w:rPr>
      </w:pPr>
    </w:p>
    <w:p>
      <w:pPr>
        <w:ind w:left="1400" w:right="2819" w:hanging="184"/>
        <w:spacing w:after="0" w:line="259" w:lineRule="auto"/>
        <w:tabs>
          <w:tab w:leader="none" w:pos="140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75% of the consideration received by Scotts or the subsidiary is in the form of cash or cash equivalents, including assumed liabilities that are subordinate to the notes.</w:t>
      </w:r>
    </w:p>
    <w:p>
      <w:pPr>
        <w:spacing w:after="0" w:line="171"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Within 360 days after the receipt of any net proceeds from an "Asset Sale,"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may apply the net proceeds:</w:t>
      </w:r>
    </w:p>
    <w:p>
      <w:pPr>
        <w:spacing w:after="0" w:line="185" w:lineRule="exact"/>
        <w:rPr>
          <w:sz w:val="20"/>
          <w:szCs w:val="20"/>
          <w:color w:val="auto"/>
        </w:rPr>
      </w:pPr>
    </w:p>
    <w:p>
      <w:pPr>
        <w:ind w:left="660" w:right="2719" w:hanging="195"/>
        <w:spacing w:after="0" w:line="236" w:lineRule="auto"/>
        <w:tabs>
          <w:tab w:leader="none" w:pos="6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repay senior debt, and to make a corresponding commitment reduction if the senior debt is revolving;</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acquire a related business;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a capital expenditure; and/or</w:t>
      </w:r>
    </w:p>
    <w:p>
      <w:pPr>
        <w:spacing w:after="0" w:line="184" w:lineRule="exact"/>
        <w:rPr>
          <w:rFonts w:ascii="Courier New" w:cs="Courier New" w:eastAsia="Courier New" w:hAnsi="Courier New"/>
          <w:sz w:val="16"/>
          <w:szCs w:val="16"/>
          <w:color w:val="auto"/>
        </w:rPr>
      </w:pPr>
    </w:p>
    <w:p>
      <w:pPr>
        <w:ind w:left="660" w:right="3559" w:hanging="195"/>
        <w:spacing w:after="0" w:line="236" w:lineRule="auto"/>
        <w:tabs>
          <w:tab w:leader="none" w:pos="6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acquire other long-term assets that are used or useful to our businesses.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Any net proceeds from "Asset Sales" that are not applied or invested as provided above will constitute excess proceeds. When the aggregate amount of excess proceeds exceeds $10.0 million, we are required to make an offer to repurchase as much of the notes and any similarly situated indebtedness as we can out of the excess proceeds. The offer price in this type of repurchase offer will be equal to 100% of the principal amount plus accrued and unpaid interest and liquidated damages, if any, to the date of purchase, and will be payable in cash. If the amount of the excess proceeds exceeds the purchase price of the notes and similarly situated indebtedness, we may use the remaining excess proceeds for any purpose not otherwise prohibited by the indenture. If the aggregate principal amount of notes and other similarly situated indebtedness tendered exceeds the amount of excess proceeds, the trustee will select the notes and other indebtedness to be purchased on a pro rata basis. Upon completion of each asset sale repurchase offer, the amount of excess proceeds shall be reset at zero.</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SELECTION AND NOTICE</w:t>
      </w:r>
    </w:p>
    <w:p>
      <w:pPr>
        <w:spacing w:after="0" w:line="18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If less than all of the notes are to be redeemed at any time, the trustee will select notes for redemption as follows:</w:t>
      </w:r>
    </w:p>
    <w:p>
      <w:pPr>
        <w:spacing w:after="0" w:line="185" w:lineRule="exact"/>
        <w:rPr>
          <w:sz w:val="20"/>
          <w:szCs w:val="20"/>
          <w:color w:val="auto"/>
        </w:rPr>
      </w:pPr>
    </w:p>
    <w:p>
      <w:pPr>
        <w:ind w:left="660" w:right="2819" w:hanging="195"/>
        <w:spacing w:after="0" w:line="263" w:lineRule="auto"/>
        <w:tabs>
          <w:tab w:leader="none" w:pos="66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notes are listed, in compliance with the requirements of the principal national securities exchange on which the notes are listed; or</w:t>
      </w:r>
    </w:p>
    <w:p>
      <w:pPr>
        <w:spacing w:after="0" w:line="168" w:lineRule="exact"/>
        <w:rPr>
          <w:rFonts w:ascii="Courier New" w:cs="Courier New" w:eastAsia="Courier New" w:hAnsi="Courier New"/>
          <w:sz w:val="15"/>
          <w:szCs w:val="15"/>
          <w:color w:val="auto"/>
        </w:rPr>
      </w:pPr>
    </w:p>
    <w:p>
      <w:pPr>
        <w:ind w:left="660" w:right="2999" w:hanging="195"/>
        <w:spacing w:after="0" w:line="236" w:lineRule="auto"/>
        <w:tabs>
          <w:tab w:leader="none" w:pos="66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notes are not listed, on a pro rata basis, by lot or by another method that the trustee deems fair and appropriate.</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Notices of redemption will be mailed by first class mail at least 30 but not more than 60 days before the redemption date to each holder of notes to be redeemed at its registered address. Notices of redemption may not be conditional.</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293"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6"/>
          <w:szCs w:val="16"/>
          <w:color w:val="auto"/>
        </w:rPr>
        <w:t>35</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any note is to be redeemed in part only, the notice of redemption that relates to that note should state the portion of the principal amount to be redeemed. A new note in principal amount equal to the unredeemed portion will be issued in the name of the holder upon cancellation of the original note. Notes called for redemption become due on the date fixed for redemption. On and after the redemption date, interest ceases to accrue on notes or portions of them called for redemption.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COVENANTS</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Restricted Payments</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Generally, we have agreed that we will not, and will not permit any of our restricted subsidiaries to, directly or indirectly:</w:t>
      </w:r>
    </w:p>
    <w:p>
      <w:pPr>
        <w:spacing w:after="0" w:line="185" w:lineRule="exact"/>
        <w:rPr>
          <w:sz w:val="20"/>
          <w:szCs w:val="20"/>
          <w:color w:val="auto"/>
        </w:rPr>
      </w:pPr>
    </w:p>
    <w:p>
      <w:pPr>
        <w:ind w:left="660" w:right="3559" w:hanging="195"/>
        <w:spacing w:after="0" w:line="237" w:lineRule="auto"/>
        <w:tabs>
          <w:tab w:leader="none" w:pos="66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or pay any dividend or make any other similar payment or distribution to our stockholders, other than stock dividends or distributions;</w:t>
      </w:r>
    </w:p>
    <w:p>
      <w:pPr>
        <w:spacing w:after="0" w:line="184" w:lineRule="exact"/>
        <w:rPr>
          <w:rFonts w:ascii="Courier New" w:cs="Courier New" w:eastAsia="Courier New" w:hAnsi="Courier New"/>
          <w:sz w:val="16"/>
          <w:szCs w:val="16"/>
          <w:color w:val="auto"/>
        </w:rPr>
      </w:pPr>
    </w:p>
    <w:p>
      <w:pPr>
        <w:ind w:left="660" w:right="3099" w:hanging="195"/>
        <w:spacing w:after="0" w:line="263" w:lineRule="auto"/>
        <w:tabs>
          <w:tab w:leader="none" w:pos="6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redeem or otherwise acquire or retire for value any capital stock held by persons other than Scotts or a restricted subsidiary;</w:t>
      </w:r>
    </w:p>
    <w:p>
      <w:pPr>
        <w:spacing w:after="0" w:line="168" w:lineRule="exact"/>
        <w:rPr>
          <w:rFonts w:ascii="Courier New" w:cs="Courier New" w:eastAsia="Courier New" w:hAnsi="Courier New"/>
          <w:sz w:val="15"/>
          <w:szCs w:val="15"/>
          <w:color w:val="auto"/>
        </w:rPr>
      </w:pPr>
    </w:p>
    <w:p>
      <w:pPr>
        <w:ind w:left="660" w:right="2899" w:hanging="195"/>
        <w:spacing w:after="0" w:line="237" w:lineRule="auto"/>
        <w:tabs>
          <w:tab w:leader="none" w:pos="66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down, purchase, redeem, defease or otherwise acquire or retire for value any indebtedness that is subordinated to the notes or the subsidiary guarantees, except a payment of interest or principal at the stated maturity of the subordinated indebtedness; or</w:t>
      </w:r>
    </w:p>
    <w:p>
      <w:pPr>
        <w:spacing w:after="0" w:line="180"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restricted investment.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indenture refers to all of these payments or expenditures as restricted payments. We may make a restricted payment if, upon giving effect to the restricted payment, the following conditions are met:</w:t>
      </w:r>
    </w:p>
    <w:p>
      <w:pPr>
        <w:spacing w:after="0" w:line="185" w:lineRule="exact"/>
        <w:rPr>
          <w:sz w:val="20"/>
          <w:szCs w:val="20"/>
          <w:color w:val="auto"/>
        </w:rPr>
      </w:pPr>
    </w:p>
    <w:p>
      <w:pPr>
        <w:ind w:left="660" w:right="2899" w:hanging="195"/>
        <w:spacing w:after="0" w:line="236" w:lineRule="auto"/>
        <w:tabs>
          <w:tab w:leader="none" w:pos="6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existing defaults or events of default under the indenture and the restricted payment would not trigger one; and</w:t>
      </w:r>
    </w:p>
    <w:p>
      <w:pPr>
        <w:spacing w:after="0" w:line="184" w:lineRule="exact"/>
        <w:rPr>
          <w:rFonts w:ascii="Courier New" w:cs="Courier New" w:eastAsia="Courier New" w:hAnsi="Courier New"/>
          <w:sz w:val="16"/>
          <w:szCs w:val="16"/>
          <w:color w:val="auto"/>
        </w:rPr>
      </w:pPr>
    </w:p>
    <w:p>
      <w:pPr>
        <w:ind w:left="660" w:right="2899" w:hanging="195"/>
        <w:spacing w:after="0" w:line="237" w:lineRule="auto"/>
        <w:tabs>
          <w:tab w:leader="none" w:pos="6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assuming the restricted payment had actually been made at the beginning of the applicable four-quarter period, we still could have incurred at least $1.00 of additional indebtedness under the fixed charge coverage ratio test described below under the caption " -- Incurrence of Indebtedness and Issuance of Preferred Stock"; and</w:t>
      </w:r>
    </w:p>
    <w:p>
      <w:pPr>
        <w:spacing w:after="0" w:line="187" w:lineRule="exact"/>
        <w:rPr>
          <w:rFonts w:ascii="Courier New" w:cs="Courier New" w:eastAsia="Courier New" w:hAnsi="Courier New"/>
          <w:sz w:val="16"/>
          <w:szCs w:val="16"/>
          <w:color w:val="auto"/>
        </w:rPr>
      </w:pPr>
    </w:p>
    <w:p>
      <w:pPr>
        <w:ind w:left="660" w:right="2899" w:hanging="195"/>
        <w:spacing w:after="0" w:line="237" w:lineRule="auto"/>
        <w:tabs>
          <w:tab w:leader="none" w:pos="6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restricted payment, together with the aggregate amount of all other restricted payments not otherwise permitted by the indenture, is less than the sum of:</w:t>
      </w:r>
    </w:p>
    <w:p>
      <w:pPr>
        <w:spacing w:after="0" w:line="184" w:lineRule="exact"/>
        <w:rPr>
          <w:rFonts w:ascii="Courier New" w:cs="Courier New" w:eastAsia="Courier New" w:hAnsi="Courier New"/>
          <w:sz w:val="16"/>
          <w:szCs w:val="16"/>
          <w:color w:val="auto"/>
        </w:rPr>
      </w:pPr>
    </w:p>
    <w:p>
      <w:pPr>
        <w:ind w:left="1400" w:right="2819" w:hanging="184"/>
        <w:spacing w:after="0" w:line="237" w:lineRule="auto"/>
        <w:tabs>
          <w:tab w:leader="none" w:pos="1400"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50% of our "Consolidated Net Income" for the period from January 3, 1999 to the end of our most recently ended fiscal quarter for which internal financial statements are available at the time of the restricted payment. If "Consolidated Net Income" for this period is a deficit, 100% of the deficit will be added instead; plus</w:t>
      </w:r>
    </w:p>
    <w:p>
      <w:pPr>
        <w:spacing w:after="0" w:line="188" w:lineRule="exact"/>
        <w:rPr>
          <w:rFonts w:ascii="Courier New" w:cs="Courier New" w:eastAsia="Courier New" w:hAnsi="Courier New"/>
          <w:sz w:val="16"/>
          <w:szCs w:val="16"/>
          <w:color w:val="auto"/>
        </w:rPr>
      </w:pPr>
    </w:p>
    <w:p>
      <w:pPr>
        <w:ind w:left="1400" w:right="2719" w:hanging="184"/>
        <w:spacing w:after="0" w:line="237" w:lineRule="auto"/>
        <w:tabs>
          <w:tab w:leader="none" w:pos="1400"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 of the aggregate net cash proceeds from most contributions to capital or sales of capital stock that occur after January 21, 1999; plus</w:t>
      </w:r>
    </w:p>
    <w:p>
      <w:pPr>
        <w:spacing w:after="0" w:line="184" w:lineRule="exact"/>
        <w:rPr>
          <w:rFonts w:ascii="Courier New" w:cs="Courier New" w:eastAsia="Courier New" w:hAnsi="Courier New"/>
          <w:sz w:val="16"/>
          <w:szCs w:val="16"/>
          <w:color w:val="auto"/>
        </w:rPr>
      </w:pPr>
    </w:p>
    <w:p>
      <w:pPr>
        <w:ind w:left="1400" w:right="2819" w:hanging="184"/>
        <w:spacing w:after="0" w:line="237" w:lineRule="auto"/>
        <w:tabs>
          <w:tab w:leader="none" w:pos="1400"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received upon the liquidation of restricted investments valued at the lesser of the cash received and the initial amount of the restricted investment; plus</w:t>
      </w:r>
    </w:p>
    <w:p>
      <w:pPr>
        <w:spacing w:after="0" w:line="179" w:lineRule="exact"/>
        <w:rPr>
          <w:rFonts w:ascii="Courier New" w:cs="Courier New" w:eastAsia="Courier New" w:hAnsi="Courier New"/>
          <w:sz w:val="16"/>
          <w:szCs w:val="16"/>
          <w:color w:val="auto"/>
        </w:rPr>
      </w:pPr>
    </w:p>
    <w:p>
      <w:pPr>
        <w:ind w:left="1400" w:hanging="184"/>
        <w:spacing w:after="0"/>
        <w:tabs>
          <w:tab w:leader="none" w:pos="1400"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$25 million.</w:t>
      </w:r>
    </w:p>
    <w:p>
      <w:pPr>
        <w:spacing w:after="0" w:line="185" w:lineRule="exact"/>
        <w:rPr>
          <w:sz w:val="20"/>
          <w:szCs w:val="20"/>
          <w:color w:val="auto"/>
        </w:rPr>
      </w:pPr>
    </w:p>
    <w:p>
      <w:pPr>
        <w:jc w:val="both"/>
        <w:ind w:right="2819" w:firstLine="469"/>
        <w:spacing w:after="0" w:line="237" w:lineRule="auto"/>
        <w:rPr>
          <w:sz w:val="20"/>
          <w:szCs w:val="20"/>
          <w:color w:val="auto"/>
        </w:rPr>
      </w:pPr>
      <w:r>
        <w:rPr>
          <w:rFonts w:ascii="Courier New" w:cs="Courier New" w:eastAsia="Courier New" w:hAnsi="Courier New"/>
          <w:sz w:val="16"/>
          <w:szCs w:val="16"/>
          <w:color w:val="auto"/>
        </w:rPr>
        <w:t>In addition, as long as there are no existing defaults under the indenture and none would be caused by a restricted payment we may also make the following restricted payments:</w:t>
      </w:r>
    </w:p>
    <w:p>
      <w:pPr>
        <w:spacing w:after="0" w:line="185" w:lineRule="exact"/>
        <w:rPr>
          <w:sz w:val="20"/>
          <w:szCs w:val="20"/>
          <w:color w:val="auto"/>
        </w:rPr>
      </w:pPr>
    </w:p>
    <w:p>
      <w:pPr>
        <w:ind w:left="660" w:right="2719" w:hanging="195"/>
        <w:spacing w:after="0" w:line="237" w:lineRule="auto"/>
        <w:tabs>
          <w:tab w:leader="none" w:pos="66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 of any dividend within 60 days after the date of declaration, if at the date of declaration the payment would have complied with the provisions of the indenture;</w:t>
      </w:r>
    </w:p>
    <w:p>
      <w:pPr>
        <w:spacing w:after="0" w:line="184" w:lineRule="exact"/>
        <w:rPr>
          <w:rFonts w:ascii="Courier New" w:cs="Courier New" w:eastAsia="Courier New" w:hAnsi="Courier New"/>
          <w:sz w:val="16"/>
          <w:szCs w:val="16"/>
          <w:color w:val="auto"/>
        </w:rPr>
      </w:pPr>
    </w:p>
    <w:p>
      <w:pPr>
        <w:ind w:left="660" w:right="2819" w:hanging="195"/>
        <w:spacing w:after="0" w:line="263" w:lineRule="auto"/>
        <w:tabs>
          <w:tab w:leader="none" w:pos="6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repurchase, retirement, defeasance or other acquisition of our 9 7/8% Senior Subordinated Notes due 2004 or of any of the notes;</w:t>
      </w:r>
    </w:p>
    <w:p>
      <w:pPr>
        <w:sectPr>
          <w:pgSz w:w="11900" w:h="16838" w:orient="portrait"/>
          <w:cols w:equalWidth="0" w:num="1">
            <w:col w:w="10219"/>
          </w:cols>
          <w:pgMar w:left="240" w:top="293" w:right="1440" w:bottom="1440" w:gutter="0" w:footer="0" w:header="0"/>
        </w:sectPr>
      </w:pPr>
    </w:p>
    <w:p>
      <w:pPr>
        <w:spacing w:after="0" w:line="169"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93" w:right="1440" w:bottom="1440" w:gutter="0" w:footer="0" w:header="0"/>
          <w:type w:val="continuous"/>
        </w:sectPr>
      </w:pPr>
    </w:p>
    <w:bookmarkStart w:id="37" w:name="page38"/>
    <w:bookmarkEnd w:id="37"/>
    <w:p>
      <w:pPr>
        <w:ind w:left="280"/>
        <w:spacing w:after="0"/>
        <w:rPr>
          <w:sz w:val="20"/>
          <w:szCs w:val="20"/>
          <w:color w:val="auto"/>
        </w:rPr>
      </w:pPr>
      <w:r>
        <w:rPr>
          <w:rFonts w:ascii="Courier New" w:cs="Courier New" w:eastAsia="Courier New" w:hAnsi="Courier New"/>
          <w:sz w:val="16"/>
          <w:szCs w:val="16"/>
          <w:color w:val="auto"/>
        </w:rPr>
        <w:t>36</w:t>
      </w:r>
    </w:p>
    <w:p>
      <w:pPr>
        <w:spacing w:after="0" w:line="185" w:lineRule="exact"/>
        <w:rPr>
          <w:sz w:val="20"/>
          <w:szCs w:val="20"/>
          <w:color w:val="auto"/>
        </w:rPr>
      </w:pPr>
    </w:p>
    <w:p>
      <w:pPr>
        <w:ind w:left="660" w:right="2719" w:hanging="195"/>
        <w:spacing w:after="0" w:line="238" w:lineRule="auto"/>
        <w:tabs>
          <w:tab w:leader="none" w:pos="6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repurchase, retirement, defeasance or other acquisition of any subordinated indebtedness or capital stock in exchange for, or out of the net cash proceeds of the substantially concurrent sale of, capital stock, provided that the amount of the net cash proceeds that are utilized for any redemption, repurchase, retirement, defeasance or other acquisition will not also count toward the calculation of the sum in the preceding paragraph;</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repurchase, retirement, defeasance or other acquisition of subordinated indebtedness or short-lived or mandatorily redeemable capital stock with the net cash proceeds from an incurrence of permitted refinancing indebtedness;</w:t>
      </w:r>
    </w:p>
    <w:p>
      <w:pPr>
        <w:spacing w:after="0" w:line="185" w:lineRule="exact"/>
        <w:rPr>
          <w:rFonts w:ascii="Courier New" w:cs="Courier New" w:eastAsia="Courier New" w:hAnsi="Courier New"/>
          <w:sz w:val="16"/>
          <w:szCs w:val="16"/>
          <w:color w:val="auto"/>
        </w:rPr>
      </w:pPr>
    </w:p>
    <w:p>
      <w:pPr>
        <w:ind w:left="660" w:right="3479" w:hanging="195"/>
        <w:spacing w:after="0" w:line="236" w:lineRule="auto"/>
        <w:tabs>
          <w:tab w:leader="none" w:pos="6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 of any dividend to holders of our Class A Convertible Preferred Stock; and</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repurchase, redemption or other acquisition or retirement for value of up to $5.0 million in any 12 month period of any capital stock held by members of management under a subscription agreement or stock option agreement.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INCURRENCE OF INDEBTEDNESS AND ISSUANCE OF PREFERRED STOCK</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We have agreed that we will not and will not permit any of our restricted subsidiaries to, directly or indirectly, incur or otherwise become liable for any indebtedness or issue any short-lived or mandatorily redeemable capital stock, unless the following condition has been met. The condition is that at the time of issuance or incurrence the "Fixed Charge Coverage Ratio" for the most recently ended four full fiscal quarters for which internal financial statements are available immediately preceding the date of incurrence or issuance would have been at least 2.0 to 1.0. For purposes of calculating the ratio we will assume that the additional indebtedness had been incurred or the capital stock had been issued at the beginning of the applicable four-quarter period.</w:t>
      </w:r>
    </w:p>
    <w:p>
      <w:pPr>
        <w:spacing w:after="0" w:line="179"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Whether or not we can meet the "Fixed Charge Coverage Ratio" the following incurrences are permitted:</w:t>
      </w:r>
    </w:p>
    <w:p>
      <w:pPr>
        <w:spacing w:after="0" w:line="185" w:lineRule="exact"/>
        <w:rPr>
          <w:sz w:val="20"/>
          <w:szCs w:val="20"/>
          <w:color w:val="auto"/>
        </w:rPr>
      </w:pPr>
    </w:p>
    <w:p>
      <w:pPr>
        <w:ind w:left="660" w:right="2899" w:hanging="195"/>
        <w:spacing w:after="0" w:line="237" w:lineRule="auto"/>
        <w:tabs>
          <w:tab w:leader="none" w:pos="66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of indebtedness and letters of credit under our credit facility in an aggregate principal amount not to exceed $1.125 billion, less any repayments or commitment reductions as a result of asset sales under the covenant described above under the caption "Repurchase at the Option of Holders -- Asset Sales";</w:t>
      </w:r>
    </w:p>
    <w:p>
      <w:pPr>
        <w:spacing w:after="0" w:line="182"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existing indebtedness as of January 21, 1999;</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of indebtedness under the indenture;</w:t>
      </w:r>
    </w:p>
    <w:p>
      <w:pPr>
        <w:spacing w:after="0" w:line="184" w:lineRule="exact"/>
        <w:rPr>
          <w:rFonts w:ascii="Courier New" w:cs="Courier New" w:eastAsia="Courier New" w:hAnsi="Courier New"/>
          <w:sz w:val="16"/>
          <w:szCs w:val="16"/>
          <w:color w:val="auto"/>
        </w:rPr>
      </w:pPr>
    </w:p>
    <w:p>
      <w:pPr>
        <w:ind w:left="660" w:right="2999" w:hanging="195"/>
        <w:spacing w:after="0" w:line="237" w:lineRule="auto"/>
        <w:tabs>
          <w:tab w:leader="none" w:pos="66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of indebtedness for the purpose of financing all or any part of the purchase price or cost of construction or improvement of property, plant or equipment used in our business, or in a sale and leaseback transaction, in an aggregate principal amount not to exceed $20.0 million at any time outstanding;</w:t>
      </w:r>
    </w:p>
    <w:p>
      <w:pPr>
        <w:spacing w:after="0" w:line="187"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of permitted refinancing indebtedness in exchange for, or the net proceeds of which are used to refund, refinance or replace, indebtedness, other than intercompany indebtedness, that is either existing indebtedness or that was permitted to be incurred by the indenture;</w:t>
      </w:r>
    </w:p>
    <w:p>
      <w:pPr>
        <w:spacing w:after="0" w:line="187" w:lineRule="exact"/>
        <w:rPr>
          <w:rFonts w:ascii="Courier New" w:cs="Courier New" w:eastAsia="Courier New" w:hAnsi="Courier New"/>
          <w:sz w:val="16"/>
          <w:szCs w:val="16"/>
          <w:color w:val="auto"/>
        </w:rPr>
      </w:pPr>
    </w:p>
    <w:p>
      <w:pPr>
        <w:jc w:val="both"/>
        <w:ind w:left="660" w:right="2899" w:hanging="195"/>
        <w:spacing w:after="0" w:line="237" w:lineRule="auto"/>
        <w:tabs>
          <w:tab w:leader="none" w:pos="66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of intercompany indebtedness between or among Scotts and any of its restricted subsidiaries, as long as the following conditions have been met:</w:t>
      </w:r>
    </w:p>
    <w:p>
      <w:pPr>
        <w:spacing w:after="0" w:line="184" w:lineRule="exact"/>
        <w:rPr>
          <w:rFonts w:ascii="Courier New" w:cs="Courier New" w:eastAsia="Courier New" w:hAnsi="Courier New"/>
          <w:sz w:val="16"/>
          <w:szCs w:val="16"/>
          <w:color w:val="auto"/>
        </w:rPr>
      </w:pPr>
    </w:p>
    <w:p>
      <w:pPr>
        <w:ind w:left="1400" w:right="2819" w:hanging="184"/>
        <w:spacing w:after="0" w:line="237" w:lineRule="auto"/>
        <w:tabs>
          <w:tab w:leader="none" w:pos="1400"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indebtedness that is held by a restricted subsidiary that is not a guarantor must be expressly subordinated to the prior payment in full in cash of all obligations under the notes and</w:t>
      </w:r>
    </w:p>
    <w:p>
      <w:pPr>
        <w:spacing w:after="0" w:line="184" w:lineRule="exact"/>
        <w:rPr>
          <w:rFonts w:ascii="Courier New" w:cs="Courier New" w:eastAsia="Courier New" w:hAnsi="Courier New"/>
          <w:sz w:val="16"/>
          <w:szCs w:val="16"/>
          <w:color w:val="auto"/>
        </w:rPr>
      </w:pPr>
    </w:p>
    <w:p>
      <w:pPr>
        <w:ind w:left="1400" w:right="2719" w:hanging="184"/>
        <w:spacing w:after="0" w:line="237" w:lineRule="auto"/>
        <w:tabs>
          <w:tab w:leader="none" w:pos="1400"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intercompany indebtedness is transferred subsequently to a person other than Scotts or a restricted subsidiary, it will be deemed to constitute a new incurrence of indebtedness that must comply with the terms of the indenture;</w:t>
      </w:r>
    </w:p>
    <w:p>
      <w:pPr>
        <w:sectPr>
          <w:pgSz w:w="11900" w:h="16838" w:orient="portrait"/>
          <w:cols w:equalWidth="0" w:num="1">
            <w:col w:w="10219"/>
          </w:cols>
          <w:pgMar w:left="240" w:top="293" w:right="1440" w:bottom="1440" w:gutter="0" w:footer="0" w:header="0"/>
        </w:sectPr>
      </w:pPr>
    </w:p>
    <w:p>
      <w:pPr>
        <w:spacing w:after="0" w:line="18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93" w:right="1440" w:bottom="1440" w:gutter="0" w:footer="0" w:header="0"/>
          <w:type w:val="continuous"/>
        </w:sectPr>
      </w:pPr>
    </w:p>
    <w:bookmarkStart w:id="38" w:name="page39"/>
    <w:bookmarkEnd w:id="38"/>
    <w:p>
      <w:pPr>
        <w:ind w:left="280"/>
        <w:spacing w:after="0"/>
        <w:rPr>
          <w:sz w:val="20"/>
          <w:szCs w:val="20"/>
          <w:color w:val="auto"/>
        </w:rPr>
      </w:pPr>
      <w:r>
        <w:rPr>
          <w:rFonts w:ascii="Courier New" w:cs="Courier New" w:eastAsia="Courier New" w:hAnsi="Courier New"/>
          <w:sz w:val="16"/>
          <w:szCs w:val="16"/>
          <w:color w:val="auto"/>
        </w:rPr>
        <w:t>37</w:t>
      </w:r>
    </w:p>
    <w:p>
      <w:pPr>
        <w:spacing w:after="0" w:line="185" w:lineRule="exact"/>
        <w:rPr>
          <w:sz w:val="20"/>
          <w:szCs w:val="20"/>
          <w:color w:val="auto"/>
        </w:rPr>
      </w:pPr>
    </w:p>
    <w:p>
      <w:pPr>
        <w:ind w:left="660" w:right="2719" w:hanging="195"/>
        <w:spacing w:after="0" w:line="237" w:lineRule="auto"/>
        <w:tabs>
          <w:tab w:leader="none" w:pos="6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by Scotts or any of its restricted subsidiaries of hedging obligations that are incurred for the purpose of fixing or hedging interest rate risk on any floating rate indebtedness that is permitted by the terms of the indenture or exchange rate risk or raw materials price risk;</w:t>
      </w:r>
    </w:p>
    <w:p>
      <w:pPr>
        <w:spacing w:after="0" w:line="187"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guarantee of indebtedness by Scotts or a restricted subsidiary that was otherwise permitted to be incurred;</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195,000 shares of Class A Convertible Preferred Stock outstanding as of the date of the indenture, all of which have since been converted into common shares;</w:t>
      </w:r>
    </w:p>
    <w:p>
      <w:pPr>
        <w:spacing w:after="0" w:line="184" w:lineRule="exact"/>
        <w:rPr>
          <w:rFonts w:ascii="Courier New" w:cs="Courier New" w:eastAsia="Courier New" w:hAnsi="Courier New"/>
          <w:sz w:val="16"/>
          <w:szCs w:val="16"/>
          <w:color w:val="auto"/>
        </w:rPr>
      </w:pPr>
    </w:p>
    <w:p>
      <w:pPr>
        <w:ind w:left="660" w:right="3179" w:hanging="195"/>
        <w:spacing w:after="0" w:line="236" w:lineRule="auto"/>
        <w:tabs>
          <w:tab w:leader="none" w:pos="6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by our foreign subsidiaries of up to $60.0 million of indebtedness at any one time;</w:t>
      </w:r>
    </w:p>
    <w:p>
      <w:pPr>
        <w:spacing w:after="0" w:line="184" w:lineRule="exact"/>
        <w:rPr>
          <w:rFonts w:ascii="Courier New" w:cs="Courier New" w:eastAsia="Courier New" w:hAnsi="Courier New"/>
          <w:sz w:val="16"/>
          <w:szCs w:val="16"/>
          <w:color w:val="auto"/>
        </w:rPr>
      </w:pPr>
    </w:p>
    <w:p>
      <w:pPr>
        <w:ind w:left="660" w:right="2999" w:hanging="195"/>
        <w:spacing w:after="0" w:line="263" w:lineRule="auto"/>
        <w:tabs>
          <w:tab w:leader="none" w:pos="6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of indebtedness by borrowing against our accounts receivables or equipment in qualified securitization transactions; and</w:t>
      </w:r>
    </w:p>
    <w:p>
      <w:pPr>
        <w:spacing w:after="0" w:line="168" w:lineRule="exact"/>
        <w:rPr>
          <w:rFonts w:ascii="Courier New" w:cs="Courier New" w:eastAsia="Courier New" w:hAnsi="Courier New"/>
          <w:sz w:val="15"/>
          <w:szCs w:val="15"/>
          <w:color w:val="auto"/>
        </w:rPr>
      </w:pPr>
    </w:p>
    <w:p>
      <w:pPr>
        <w:ind w:left="660" w:right="2899" w:hanging="195"/>
        <w:spacing w:after="0" w:line="236" w:lineRule="auto"/>
        <w:tabs>
          <w:tab w:leader="none" w:pos="6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by Scotts or any of its restricted subsidiaries of up to $40.0 million additional indebtedness at any one time.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SENIOR SUBORDINATED DEBT</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We have agreed that we will not incur or otherwise become liable for any indebtedness that is subordinate or junior in right of payment to any senior debt and senior in right of payment to the notes. Similarly, none of our subsidiary guarantors will incur or otherwise become liable for any indebtedness that is subordinate or junior in right of payment to any senior debt of the subsidiary guarantor and senior in right of payment to its subsidiary guarantee.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LIENS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We have agreed that we will not directly or indirectly:</w:t>
      </w:r>
    </w:p>
    <w:p>
      <w:pPr>
        <w:spacing w:after="0" w:line="179" w:lineRule="exact"/>
        <w:rPr>
          <w:sz w:val="20"/>
          <w:szCs w:val="20"/>
          <w:color w:val="auto"/>
        </w:rPr>
      </w:pPr>
    </w:p>
    <w:p>
      <w:pPr>
        <w:ind w:left="660" w:hanging="195"/>
        <w:spacing w:after="0"/>
        <w:tabs>
          <w:tab w:leader="none" w:pos="6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 or convey any right to receive income on any of our assets or</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incur or allow to exist any lien of any kind securing indebtedness or trade payables on any of our assets or on any income or profits from the assets except "Permitted Liens,"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unless the notes and the guarantees, as applicable, are either</w:t>
      </w:r>
    </w:p>
    <w:p>
      <w:pPr>
        <w:spacing w:after="0" w:line="185" w:lineRule="exact"/>
        <w:rPr>
          <w:sz w:val="20"/>
          <w:szCs w:val="20"/>
          <w:color w:val="auto"/>
        </w:rPr>
      </w:pPr>
    </w:p>
    <w:p>
      <w:pPr>
        <w:ind w:left="660" w:right="3179" w:hanging="195"/>
        <w:spacing w:after="0" w:line="237" w:lineRule="auto"/>
        <w:tabs>
          <w:tab w:leader="none" w:pos="66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secured by a lien on the property, assets, income or profits that is senior in priority to the lien securing the other subordinated obligations or</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secured by a lien on the property, assets, income or profits to the same extent as the lien securing the other obligations, if the obligations are pari passu in right of payment with the notes.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 AND OTHER PAYMENT RESTRICTIONS AFFECTING SUBSIDIARIES</w:t>
      </w:r>
    </w:p>
    <w:p>
      <w:pPr>
        <w:spacing w:after="0" w:line="18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We have agreed that we will not directly or indirectly impair the ability of any restricted subsidiary to:</w:t>
      </w:r>
    </w:p>
    <w:p>
      <w:pPr>
        <w:spacing w:after="0" w:line="185" w:lineRule="exact"/>
        <w:rPr>
          <w:sz w:val="20"/>
          <w:szCs w:val="20"/>
          <w:color w:val="auto"/>
        </w:rPr>
      </w:pPr>
    </w:p>
    <w:p>
      <w:pPr>
        <w:ind w:left="660" w:right="2719" w:hanging="195"/>
        <w:spacing w:after="0" w:line="237" w:lineRule="auto"/>
        <w:tabs>
          <w:tab w:leader="none" w:pos="66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dividends or make any other distributions to us or any of our restricted subsidiaries, or pay any indebtedness owed to us or any of our restricted subsidiaries;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loans or advances to us or any of our restricted subsidiaries; or</w:t>
      </w:r>
    </w:p>
    <w:p>
      <w:pPr>
        <w:spacing w:after="0" w:line="184"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any of its properties or assets to us or any of our restricted subsidiaries.</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Restrictions in the following will not be affected by this covenant:</w:t>
      </w:r>
    </w:p>
    <w:p>
      <w:pPr>
        <w:spacing w:after="0" w:line="185" w:lineRule="exact"/>
        <w:rPr>
          <w:sz w:val="20"/>
          <w:szCs w:val="20"/>
          <w:color w:val="auto"/>
        </w:rPr>
      </w:pPr>
    </w:p>
    <w:p>
      <w:pPr>
        <w:ind w:left="660" w:right="2719" w:hanging="195"/>
        <w:spacing w:after="0" w:line="237" w:lineRule="auto"/>
        <w:tabs>
          <w:tab w:leader="none" w:pos="66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existing on January 21, 1999 or any refinancings of that existing indebtedness as long as the terms of the refinancing are no more restrictive than these restrictions;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indenture, the notes and the guarantees;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applicable law;</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93" w:right="1440" w:bottom="1440" w:gutter="0" w:footer="0" w:header="0"/>
          <w:type w:val="continuous"/>
        </w:sectPr>
      </w:pPr>
    </w:p>
    <w:bookmarkStart w:id="39" w:name="page40"/>
    <w:bookmarkEnd w:id="39"/>
    <w:p>
      <w:pPr>
        <w:ind w:left="280"/>
        <w:spacing w:after="0"/>
        <w:rPr>
          <w:sz w:val="20"/>
          <w:szCs w:val="20"/>
          <w:color w:val="auto"/>
        </w:rPr>
      </w:pPr>
      <w:r>
        <w:rPr>
          <w:rFonts w:ascii="Courier New" w:cs="Courier New" w:eastAsia="Courier New" w:hAnsi="Courier New"/>
          <w:sz w:val="16"/>
          <w:szCs w:val="16"/>
          <w:color w:val="auto"/>
        </w:rPr>
        <w:t>38</w:t>
      </w:r>
    </w:p>
    <w:p>
      <w:pPr>
        <w:spacing w:after="0" w:line="185" w:lineRule="exact"/>
        <w:rPr>
          <w:sz w:val="20"/>
          <w:szCs w:val="20"/>
          <w:color w:val="auto"/>
        </w:rPr>
      </w:pPr>
    </w:p>
    <w:p>
      <w:pPr>
        <w:ind w:left="660" w:right="2719" w:hanging="195"/>
        <w:spacing w:after="0" w:line="237" w:lineRule="auto"/>
        <w:tabs>
          <w:tab w:leader="none" w:pos="6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existing indebtedness or capital stock of an acquired entity that was not incurred in connection with the acquisition as long as the indebtedness itself could be incurred under the indenture;</w:t>
      </w:r>
    </w:p>
    <w:p>
      <w:pPr>
        <w:spacing w:after="0" w:line="184" w:lineRule="exact"/>
        <w:rPr>
          <w:rFonts w:ascii="Courier New" w:cs="Courier New" w:eastAsia="Courier New" w:hAnsi="Courier New"/>
          <w:sz w:val="16"/>
          <w:szCs w:val="16"/>
          <w:color w:val="auto"/>
        </w:rPr>
      </w:pPr>
    </w:p>
    <w:p>
      <w:pPr>
        <w:ind w:left="660" w:right="2999" w:hanging="195"/>
        <w:spacing w:after="0" w:line="237" w:lineRule="auto"/>
        <w:tabs>
          <w:tab w:leader="none" w:pos="6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customary non-assignment provisions in leases, licenses, contracts and other agreements entered into in the ordinary course of business and consistent with past practices;</w:t>
      </w:r>
    </w:p>
    <w:p>
      <w:pPr>
        <w:spacing w:after="0" w:line="184" w:lineRule="exact"/>
        <w:rPr>
          <w:rFonts w:ascii="Courier New" w:cs="Courier New" w:eastAsia="Courier New" w:hAnsi="Courier New"/>
          <w:sz w:val="16"/>
          <w:szCs w:val="16"/>
          <w:color w:val="auto"/>
        </w:rPr>
      </w:pPr>
    </w:p>
    <w:p>
      <w:pPr>
        <w:ind w:left="660" w:right="2899" w:hanging="195"/>
        <w:spacing w:after="0" w:line="263" w:lineRule="auto"/>
        <w:tabs>
          <w:tab w:leader="none" w:pos="66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money obligations for property acquired in the ordinary course of business that impose normal restrictions on the property acquired;</w:t>
      </w:r>
    </w:p>
    <w:p>
      <w:pPr>
        <w:spacing w:after="0" w:line="168" w:lineRule="exact"/>
        <w:rPr>
          <w:rFonts w:ascii="Courier New" w:cs="Courier New" w:eastAsia="Courier New" w:hAnsi="Courier New"/>
          <w:sz w:val="15"/>
          <w:szCs w:val="15"/>
          <w:color w:val="auto"/>
        </w:rPr>
      </w:pPr>
    </w:p>
    <w:p>
      <w:pPr>
        <w:ind w:left="660" w:right="3179" w:hanging="195"/>
        <w:spacing w:after="0" w:line="237" w:lineRule="auto"/>
        <w:tabs>
          <w:tab w:leader="none" w:pos="6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 for the sale or other disposition of a restricted subsidiary that restricts distributions by the restricted subsidiary pending its sale;</w:t>
      </w:r>
    </w:p>
    <w:p>
      <w:pPr>
        <w:spacing w:after="0" w:line="184" w:lineRule="exact"/>
        <w:rPr>
          <w:rFonts w:ascii="Courier New" w:cs="Courier New" w:eastAsia="Courier New" w:hAnsi="Courier New"/>
          <w:sz w:val="16"/>
          <w:szCs w:val="16"/>
          <w:color w:val="auto"/>
        </w:rPr>
      </w:pPr>
    </w:p>
    <w:p>
      <w:pPr>
        <w:ind w:left="660" w:right="3479" w:hanging="195"/>
        <w:spacing w:after="0" w:line="236" w:lineRule="auto"/>
        <w:tabs>
          <w:tab w:leader="none" w:pos="6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refinanced indebtedness as long as the restrictions governing the refinanced indebtedness are no more restrictive;</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provisions relating to the disposition or distribution of assets or property in joint venture agreements and other similar agreements entered into in the ordinary course of business;</w:t>
      </w:r>
    </w:p>
    <w:p>
      <w:pPr>
        <w:spacing w:after="0" w:line="184" w:lineRule="exact"/>
        <w:rPr>
          <w:rFonts w:ascii="Courier New" w:cs="Courier New" w:eastAsia="Courier New" w:hAnsi="Courier New"/>
          <w:sz w:val="16"/>
          <w:szCs w:val="16"/>
          <w:color w:val="auto"/>
        </w:rPr>
      </w:pPr>
    </w:p>
    <w:p>
      <w:pPr>
        <w:ind w:left="660" w:right="3479" w:hanging="195"/>
        <w:spacing w:after="0" w:line="236" w:lineRule="auto"/>
        <w:tabs>
          <w:tab w:leader="none" w:pos="6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customary provisions under indebtedness of any foreign subsidiary permitted to be incurred under the indenture;</w:t>
      </w:r>
    </w:p>
    <w:p>
      <w:pPr>
        <w:spacing w:after="0" w:line="184" w:lineRule="exact"/>
        <w:rPr>
          <w:rFonts w:ascii="Courier New" w:cs="Courier New" w:eastAsia="Courier New" w:hAnsi="Courier New"/>
          <w:sz w:val="16"/>
          <w:szCs w:val="16"/>
          <w:color w:val="auto"/>
        </w:rPr>
      </w:pPr>
    </w:p>
    <w:p>
      <w:pPr>
        <w:ind w:left="660" w:right="2819" w:hanging="195"/>
        <w:spacing w:after="0" w:line="263" w:lineRule="auto"/>
        <w:tabs>
          <w:tab w:leader="none" w:pos="66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cash or other deposits or net worth imposed by customers under contracts entered into in the ordinary course of business; and</w:t>
      </w:r>
    </w:p>
    <w:p>
      <w:pPr>
        <w:spacing w:after="0" w:line="168" w:lineRule="exact"/>
        <w:rPr>
          <w:rFonts w:ascii="Courier New" w:cs="Courier New" w:eastAsia="Courier New" w:hAnsi="Courier New"/>
          <w:sz w:val="15"/>
          <w:szCs w:val="15"/>
          <w:color w:val="auto"/>
        </w:rPr>
      </w:pPr>
    </w:p>
    <w:p>
      <w:pPr>
        <w:ind w:left="660" w:right="3379" w:hanging="195"/>
        <w:spacing w:after="0" w:line="236" w:lineRule="auto"/>
        <w:tabs>
          <w:tab w:leader="none" w:pos="6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created in connection with a qualified securitization transaction.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MERGER, CONSOLIDATION, OR SALE OF ASSETS</w:t>
      </w:r>
    </w:p>
    <w:p>
      <w:pPr>
        <w:spacing w:after="0" w:line="185" w:lineRule="exact"/>
        <w:rPr>
          <w:sz w:val="20"/>
          <w:szCs w:val="20"/>
          <w:color w:val="auto"/>
        </w:rPr>
      </w:pPr>
    </w:p>
    <w:p>
      <w:pPr>
        <w:ind w:right="2819" w:firstLine="469"/>
        <w:spacing w:after="0" w:line="257" w:lineRule="auto"/>
        <w:rPr>
          <w:sz w:val="20"/>
          <w:szCs w:val="20"/>
          <w:color w:val="auto"/>
        </w:rPr>
      </w:pPr>
      <w:r>
        <w:rPr>
          <w:rFonts w:ascii="Courier New" w:cs="Courier New" w:eastAsia="Courier New" w:hAnsi="Courier New"/>
          <w:sz w:val="15"/>
          <w:szCs w:val="15"/>
          <w:color w:val="auto"/>
        </w:rPr>
        <w:t>We have agreed that we will not directly or indirectly: (1) consolidate or merge with or into another entity (whether or not we are the surviving corporation); or (2) sell, assign, transfer, convey or otherwise dispose of all or substantially all of our properties or assets to another entity; unless:</w:t>
      </w:r>
    </w:p>
    <w:p>
      <w:pPr>
        <w:spacing w:after="0" w:line="174" w:lineRule="exact"/>
        <w:rPr>
          <w:sz w:val="20"/>
          <w:szCs w:val="20"/>
          <w:color w:val="auto"/>
        </w:rPr>
      </w:pPr>
    </w:p>
    <w:p>
      <w:pPr>
        <w:ind w:left="660" w:right="3099" w:hanging="195"/>
        <w:spacing w:after="0" w:line="236" w:lineRule="auto"/>
        <w:tabs>
          <w:tab w:leader="none" w:pos="66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 we are the surviving corporation or the surviving or acquiring entity is a U.S. corporation;</w:t>
      </w:r>
    </w:p>
    <w:p>
      <w:pPr>
        <w:spacing w:after="0" w:line="184" w:lineRule="exact"/>
        <w:rPr>
          <w:rFonts w:ascii="Courier New" w:cs="Courier New" w:eastAsia="Courier New" w:hAnsi="Courier New"/>
          <w:sz w:val="16"/>
          <w:szCs w:val="16"/>
          <w:color w:val="auto"/>
        </w:rPr>
      </w:pPr>
    </w:p>
    <w:p>
      <w:pPr>
        <w:ind w:left="660" w:right="2999" w:hanging="195"/>
        <w:spacing w:after="0" w:line="237" w:lineRule="auto"/>
        <w:tabs>
          <w:tab w:leader="none" w:pos="66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surviving or acquiring entity assumes all of our obligations under the notes, the indenture and the registration rights agreement in agreements reasonably satisfactory to the trustee;</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the transaction no default or event of default exists; and</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in the case of a merger entered into solely for the purpose of reincorporating Scotts or any restricted subsidiary in another jurisdiction, Scotts or the surviving or acquiring entity would have been able to incur at least $1.00 of additional indebtedness under the terms of the indenture after assuming that the transaction and any related financings had previously occurred.</w:t>
      </w:r>
    </w:p>
    <w:p>
      <w:pPr>
        <w:spacing w:after="0" w:line="189"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In addition, we may not, directly or indirectly, lease all or substantially all of our properties or assets, in one or more related transactions, to any other entity. This "Merger, Consolidation, or Sale of Assets" covenant will not apply to a sale, assignment, transfer, conveyance or other disposition of assets between or among Scotts and any of our wholly-owned restricted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TRANSACTIONS WITH AFFILIATES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We have agreed that neither we nor any of our restricted subsidiaries will make any payment to, or enter into purchase or sale agreements or loans with, any of our affiliates, unless:</w:t>
      </w:r>
    </w:p>
    <w:p>
      <w:pPr>
        <w:spacing w:after="0" w:line="185" w:lineRule="exact"/>
        <w:rPr>
          <w:sz w:val="20"/>
          <w:szCs w:val="20"/>
          <w:color w:val="auto"/>
        </w:rPr>
      </w:pPr>
    </w:p>
    <w:p>
      <w:pPr>
        <w:ind w:left="660" w:right="3099" w:hanging="195"/>
        <w:spacing w:after="0" w:line="236" w:lineRule="auto"/>
        <w:tabs>
          <w:tab w:leader="none" w:pos="66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transaction with the affiliate is on no less favorable terms than those that we would have with an unrelated person; and</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deliver to the trustee, either:</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93" w:right="1440" w:bottom="1440" w:gutter="0" w:footer="0" w:header="0"/>
          <w:type w:val="continuous"/>
        </w:sectPr>
      </w:pPr>
    </w:p>
    <w:bookmarkStart w:id="40" w:name="page41"/>
    <w:bookmarkEnd w:id="40"/>
    <w:p>
      <w:pPr>
        <w:ind w:left="280"/>
        <w:spacing w:after="0"/>
        <w:rPr>
          <w:sz w:val="20"/>
          <w:szCs w:val="20"/>
          <w:color w:val="auto"/>
        </w:rPr>
      </w:pPr>
      <w:r>
        <w:rPr>
          <w:rFonts w:ascii="Courier New" w:cs="Courier New" w:eastAsia="Courier New" w:hAnsi="Courier New"/>
          <w:sz w:val="16"/>
          <w:szCs w:val="16"/>
          <w:color w:val="auto"/>
        </w:rPr>
        <w:t>39</w:t>
      </w:r>
    </w:p>
    <w:p>
      <w:pPr>
        <w:spacing w:after="0" w:line="185" w:lineRule="exact"/>
        <w:rPr>
          <w:sz w:val="20"/>
          <w:szCs w:val="20"/>
          <w:color w:val="auto"/>
        </w:rPr>
      </w:pPr>
    </w:p>
    <w:p>
      <w:pPr>
        <w:ind w:left="940" w:right="2719" w:hanging="193"/>
        <w:spacing w:after="0" w:line="237" w:lineRule="auto"/>
        <w:tabs>
          <w:tab w:leader="none" w:pos="94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transaction is larger than $3.0 million, a certified resolution of the Board of Directors stating that the transaction complies with this covenant and that it has been approved by a majority of the disinterested members of the Board of Directors; or</w:t>
      </w:r>
    </w:p>
    <w:p>
      <w:pPr>
        <w:spacing w:after="0" w:line="185" w:lineRule="exact"/>
        <w:rPr>
          <w:rFonts w:ascii="Courier New" w:cs="Courier New" w:eastAsia="Courier New" w:hAnsi="Courier New"/>
          <w:sz w:val="16"/>
          <w:szCs w:val="16"/>
          <w:color w:val="auto"/>
        </w:rPr>
      </w:pPr>
    </w:p>
    <w:p>
      <w:pPr>
        <w:ind w:left="940" w:right="3279" w:hanging="193"/>
        <w:spacing w:after="0" w:line="237" w:lineRule="auto"/>
        <w:tabs>
          <w:tab w:leader="none" w:pos="94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transaction is larger than $10.0 million, a certified resolution and fairness opinion from an accounting, appraisal or investment banking firm of national standing.</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following items are not subject to these restrictions:</w:t>
      </w:r>
    </w:p>
    <w:p>
      <w:pPr>
        <w:spacing w:after="0" w:line="185" w:lineRule="exact"/>
        <w:rPr>
          <w:sz w:val="20"/>
          <w:szCs w:val="20"/>
          <w:color w:val="auto"/>
        </w:rPr>
      </w:pPr>
    </w:p>
    <w:p>
      <w:pPr>
        <w:ind w:left="660" w:right="2719" w:hanging="195"/>
        <w:spacing w:after="0" w:line="237" w:lineRule="auto"/>
        <w:tabs>
          <w:tab w:leader="none" w:pos="6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consulting or similar agreements entered into in the ordinary course of business or any payment of directors' and officers' insurance premiums;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transactions between or among Scotts and the restricted subsidiaries;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reasonable directors fees to non-affiliate directors;</w:t>
      </w:r>
    </w:p>
    <w:p>
      <w:pPr>
        <w:spacing w:after="0" w:line="184"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on or any repurchases of any shares of any series or class of our equity securities;</w:t>
      </w:r>
    </w:p>
    <w:p>
      <w:pPr>
        <w:spacing w:after="0" w:line="184" w:lineRule="exact"/>
        <w:rPr>
          <w:rFonts w:ascii="Courier New" w:cs="Courier New" w:eastAsia="Courier New" w:hAnsi="Courier New"/>
          <w:sz w:val="16"/>
          <w:szCs w:val="16"/>
          <w:color w:val="auto"/>
        </w:rPr>
      </w:pPr>
    </w:p>
    <w:p>
      <w:pPr>
        <w:ind w:left="660" w:right="3659" w:hanging="195"/>
        <w:spacing w:after="0" w:line="236" w:lineRule="auto"/>
        <w:tabs>
          <w:tab w:leader="none" w:pos="6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payments that are permitted by the provisions of the indenture;</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merger between or among Scotts or any of its restricted subsidiaries solely for the purpose of reincorporating in another jurisdiction for tax purposes; and</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transactions in connection with qualified securitization transactions or an industrial revenue bond financing.</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SUBSIDIARY GUARANTEES</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We have agreed that any newly acquired or created wholly owned domestic restricted subsidiary or any new significant, non-wholly owned domestic restricted subsidiary will promptly become a subsidiary guarantor and will deliver appropriate documentation to the trustee.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 AND LEASEBACK TRANSACTIONS</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We have agreed that neither we nor any of our restricted subsidiaries will enter into any sale and leaseback transaction, unless:</w:t>
      </w:r>
    </w:p>
    <w:p>
      <w:pPr>
        <w:spacing w:after="0" w:line="185" w:lineRule="exact"/>
        <w:rPr>
          <w:sz w:val="20"/>
          <w:szCs w:val="20"/>
          <w:color w:val="auto"/>
        </w:rPr>
      </w:pPr>
    </w:p>
    <w:p>
      <w:pPr>
        <w:ind w:left="660" w:right="2819" w:hanging="195"/>
        <w:spacing w:after="0" w:line="237" w:lineRule="auto"/>
        <w:tabs>
          <w:tab w:leader="none" w:pos="66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could have incurred indebtedness in an amount equal to the "Attributable Debt" relating to the sale and leaseback transaction under the indenture and could have incurred a lien to secure the indebtedness under the indenture;</w:t>
      </w:r>
    </w:p>
    <w:p>
      <w:pPr>
        <w:spacing w:after="0" w:line="185"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gross cash proceeds of that sale and leaseback transaction are at least equal to the fair market value of the property that is the subject of the sale and leaseback transaction; and</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transfer of assets in the sale and leaseback transaction is permitted by, and we apply the proceeds of the transaction in compliance with, the terms of the indenture.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PAYMENTS FOR CONSENT</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We have agreed that we will not directly or indirectly pay any holder of notes for any consent, waiver or amendment of any of the terms or provisions of the indenture or the notes unless the consideration is paid to all holders of the notes that consent, waive or agree to amend in the time frame set forth in the solicitation documents relating to the consent, waiver or agreement.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REPORTS</w:t>
      </w:r>
    </w:p>
    <w:p>
      <w:pPr>
        <w:spacing w:after="0" w:line="179"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6"/>
          <w:szCs w:val="16"/>
          <w:color w:val="auto"/>
        </w:rPr>
        <w:t>Whether or not required by the Commission, as long as any notes are</w:t>
      </w:r>
    </w:p>
    <w:p>
      <w:pPr>
        <w:spacing w:after="0"/>
        <w:rPr>
          <w:sz w:val="20"/>
          <w:szCs w:val="20"/>
          <w:color w:val="auto"/>
        </w:rPr>
      </w:pPr>
      <w:r>
        <w:rPr>
          <w:rFonts w:ascii="Courier New" w:cs="Courier New" w:eastAsia="Courier New" w:hAnsi="Courier New"/>
          <w:sz w:val="16"/>
          <w:szCs w:val="16"/>
          <w:color w:val="auto"/>
        </w:rPr>
        <w:t>outstanding, we will furnish to you, within the time periods specified in the</w:t>
      </w:r>
    </w:p>
    <w:p>
      <w:pPr>
        <w:spacing w:after="0" w:line="237" w:lineRule="auto"/>
        <w:rPr>
          <w:sz w:val="20"/>
          <w:szCs w:val="20"/>
          <w:color w:val="auto"/>
        </w:rPr>
      </w:pPr>
      <w:r>
        <w:rPr>
          <w:rFonts w:ascii="Courier New" w:cs="Courier New" w:eastAsia="Courier New" w:hAnsi="Courier New"/>
          <w:sz w:val="16"/>
          <w:szCs w:val="16"/>
          <w:color w:val="auto"/>
        </w:rPr>
        <w:t>Commission's rules and regulations:</w:t>
      </w:r>
    </w:p>
    <w:p>
      <w:pPr>
        <w:spacing w:after="0" w:line="185" w:lineRule="exact"/>
        <w:rPr>
          <w:sz w:val="20"/>
          <w:szCs w:val="20"/>
          <w:color w:val="auto"/>
        </w:rPr>
      </w:pPr>
    </w:p>
    <w:p>
      <w:pPr>
        <w:jc w:val="both"/>
        <w:ind w:left="660" w:right="2819" w:hanging="195"/>
        <w:spacing w:after="0" w:line="263" w:lineRule="auto"/>
        <w:tabs>
          <w:tab w:leader="none" w:pos="66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quarterly and annual financial information that would be required to be contained in a filing with the Commission on Forms 10-Q and 10-K; and</w:t>
      </w:r>
    </w:p>
    <w:p>
      <w:pPr>
        <w:sectPr>
          <w:pgSz w:w="11900" w:h="16838" w:orient="portrait"/>
          <w:cols w:equalWidth="0" w:num="1">
            <w:col w:w="10219"/>
          </w:cols>
          <w:pgMar w:left="240" w:top="293" w:right="1440" w:bottom="1440" w:gutter="0" w:footer="0" w:header="0"/>
        </w:sectPr>
      </w:pPr>
    </w:p>
    <w:p>
      <w:pPr>
        <w:spacing w:after="0" w:line="169"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93" w:right="1440" w:bottom="1440" w:gutter="0" w:footer="0" w:header="0"/>
          <w:type w:val="continuous"/>
        </w:sectPr>
      </w:pPr>
    </w:p>
    <w:bookmarkStart w:id="41" w:name="page42"/>
    <w:bookmarkEnd w:id="41"/>
    <w:p>
      <w:pPr>
        <w:ind w:left="280"/>
        <w:spacing w:after="0"/>
        <w:rPr>
          <w:sz w:val="20"/>
          <w:szCs w:val="20"/>
          <w:color w:val="auto"/>
        </w:rPr>
      </w:pPr>
      <w:r>
        <w:rPr>
          <w:rFonts w:ascii="Courier New" w:cs="Courier New" w:eastAsia="Courier New" w:hAnsi="Courier New"/>
          <w:sz w:val="16"/>
          <w:szCs w:val="16"/>
          <w:color w:val="auto"/>
        </w:rPr>
        <w:t>40</w:t>
      </w:r>
    </w:p>
    <w:p>
      <w:pPr>
        <w:spacing w:after="0" w:line="185" w:lineRule="exact"/>
        <w:rPr>
          <w:sz w:val="20"/>
          <w:szCs w:val="20"/>
          <w:color w:val="auto"/>
        </w:rPr>
      </w:pPr>
    </w:p>
    <w:p>
      <w:pPr>
        <w:ind w:left="660" w:right="3659" w:hanging="195"/>
        <w:spacing w:after="0" w:line="236" w:lineRule="auto"/>
        <w:tabs>
          <w:tab w:leader="none" w:pos="66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current reports that would be required to be filed with the Commission on Form 8-K.</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addition, whether or not required by the Commission, we will file a copy of all of the information and reports referred to above with the Commission for public availability within the time periods specified in the Commission's rules and regulations and make the information available to securities analysts and prospective investors upon request.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EVENTS OF DEFAULT AND REMEDIES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Each of the following is an event of default:</w:t>
      </w:r>
    </w:p>
    <w:p>
      <w:pPr>
        <w:spacing w:after="0" w:line="185" w:lineRule="exact"/>
        <w:rPr>
          <w:sz w:val="20"/>
          <w:szCs w:val="20"/>
          <w:color w:val="auto"/>
        </w:rPr>
      </w:pPr>
    </w:p>
    <w:p>
      <w:pPr>
        <w:ind w:left="660" w:right="2899" w:hanging="195"/>
        <w:spacing w:after="0" w:line="236" w:lineRule="auto"/>
        <w:tabs>
          <w:tab w:leader="none" w:pos="6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fail to pay interest on the notes or liquidated damages within 30 days of the due date for any reason;</w:t>
      </w:r>
    </w:p>
    <w:p>
      <w:pPr>
        <w:spacing w:after="0" w:line="184"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fail to make a payment of the principal of or premium, if any, on the notes when due for any reason;</w:t>
      </w:r>
    </w:p>
    <w:p>
      <w:pPr>
        <w:spacing w:after="0" w:line="184" w:lineRule="exact"/>
        <w:rPr>
          <w:rFonts w:ascii="Courier New" w:cs="Courier New" w:eastAsia="Courier New" w:hAnsi="Courier New"/>
          <w:sz w:val="16"/>
          <w:szCs w:val="16"/>
          <w:color w:val="auto"/>
        </w:rPr>
      </w:pPr>
    </w:p>
    <w:p>
      <w:pPr>
        <w:ind w:left="660" w:right="2719" w:hanging="195"/>
        <w:spacing w:after="0" w:line="256" w:lineRule="auto"/>
        <w:tabs>
          <w:tab w:leader="none" w:pos="66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we fail to comply with the provisions described under the captions "Repurchase at the Option of Holders -- Change of Control," "Repurchase at the Option of Holders -- Asset Sales," "Certain Covenants -- Restricted Payments" or "Certain Covenants -- Incurrence of Indebtedness and Issuance of Preferred Stock" for 30 days after notice of the failure;</w:t>
      </w:r>
    </w:p>
    <w:p>
      <w:pPr>
        <w:spacing w:after="0" w:line="176" w:lineRule="exact"/>
        <w:rPr>
          <w:rFonts w:ascii="Courier New" w:cs="Courier New" w:eastAsia="Courier New" w:hAnsi="Courier New"/>
          <w:sz w:val="15"/>
          <w:szCs w:val="15"/>
          <w:color w:val="auto"/>
        </w:rPr>
      </w:pPr>
    </w:p>
    <w:p>
      <w:pPr>
        <w:ind w:left="660" w:right="2999" w:hanging="195"/>
        <w:spacing w:after="0" w:line="236" w:lineRule="auto"/>
        <w:tabs>
          <w:tab w:leader="none" w:pos="6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fail to comply with any of the other agreements in the indenture for 60 days after notice of the failure;</w:t>
      </w:r>
    </w:p>
    <w:p>
      <w:pPr>
        <w:spacing w:after="0" w:line="184" w:lineRule="exact"/>
        <w:rPr>
          <w:rFonts w:ascii="Courier New" w:cs="Courier New" w:eastAsia="Courier New" w:hAnsi="Courier New"/>
          <w:sz w:val="16"/>
          <w:szCs w:val="16"/>
          <w:color w:val="auto"/>
        </w:rPr>
      </w:pPr>
    </w:p>
    <w:p>
      <w:pPr>
        <w:ind w:left="660" w:right="3099" w:hanging="195"/>
        <w:spacing w:after="0" w:line="236" w:lineRule="auto"/>
        <w:tabs>
          <w:tab w:leader="none" w:pos="6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default under any one or more mortgage, indenture or other debt instrument of more than $10.0 million, if that default:</w:t>
      </w:r>
    </w:p>
    <w:p>
      <w:pPr>
        <w:spacing w:after="0" w:line="184" w:lineRule="exact"/>
        <w:rPr>
          <w:rFonts w:ascii="Courier New" w:cs="Courier New" w:eastAsia="Courier New" w:hAnsi="Courier New"/>
          <w:sz w:val="16"/>
          <w:szCs w:val="16"/>
          <w:color w:val="auto"/>
        </w:rPr>
      </w:pPr>
    </w:p>
    <w:p>
      <w:pPr>
        <w:jc w:val="both"/>
        <w:ind w:left="1400" w:right="2719" w:hanging="184"/>
        <w:spacing w:after="0" w:line="237" w:lineRule="auto"/>
        <w:tabs>
          <w:tab w:leader="none" w:pos="1400"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caused by a failure to pay principal of or premium, if any, or interest on the indebtedness prior to the expiration of the grace period provided in the indebtedness; or</w:t>
      </w:r>
    </w:p>
    <w:p>
      <w:pPr>
        <w:spacing w:after="0" w:line="184" w:lineRule="exact"/>
        <w:rPr>
          <w:rFonts w:ascii="Courier New" w:cs="Courier New" w:eastAsia="Courier New" w:hAnsi="Courier New"/>
          <w:sz w:val="16"/>
          <w:szCs w:val="16"/>
          <w:color w:val="auto"/>
        </w:rPr>
      </w:pPr>
    </w:p>
    <w:p>
      <w:pPr>
        <w:ind w:left="1400" w:right="3179" w:hanging="184"/>
        <w:spacing w:after="0" w:line="236" w:lineRule="auto"/>
        <w:tabs>
          <w:tab w:leader="none" w:pos="1400"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results in the acceleration of the indebtedness prior to its express maturity;</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fail to pay final judgments aggregating in excess of $10.0 million within 60 days, unless the judgments are discharged or stayed within that period;</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guarantees of one or more significant subsidiaries or non-significant subsidiaries that collectively would be significant to us are found by a court to be unenforceable or invalid or if any subsidiary guarantor that is a significant subsidiary or any group of subsidiary guarantors that collectively would be significant denies or disaffirms its obligations under its subsidiary guarantee; and</w:t>
      </w:r>
    </w:p>
    <w:p>
      <w:pPr>
        <w:spacing w:after="0" w:line="188" w:lineRule="exact"/>
        <w:rPr>
          <w:rFonts w:ascii="Courier New" w:cs="Courier New" w:eastAsia="Courier New" w:hAnsi="Courier New"/>
          <w:sz w:val="16"/>
          <w:szCs w:val="16"/>
          <w:color w:val="auto"/>
        </w:rPr>
      </w:pPr>
    </w:p>
    <w:p>
      <w:pPr>
        <w:ind w:left="660" w:right="3099" w:hanging="195"/>
        <w:spacing w:after="0" w:line="236" w:lineRule="auto"/>
        <w:tabs>
          <w:tab w:leader="none" w:pos="6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or any of our significant subsidiaries goes bankrupt or becomes insolvent.</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In the case of an event of default arising from the bankruptcy or insolvency of Scotts, any significant subsidiary or any group of subsidiaries that collectively are significant, all outstanding notes will become due and payable immediately without further action or notice. If any other event of default occurs and is continuing, the trustee or the holders of at least 25% in principal amount of the then outstanding notes may declare all the notes to be due and payable immediately.</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Holders of the notes may not enforce the indenture or the notes except as provided in the indenture. Generally, holders of a majority in principal amount of the then outstanding notes may direct the trustee in its exercise of any trust or power. The trustee may withhold from holders of the notes notice of any continuing default or event of default, except a default or event of default relating to the payment of principal or interest, if it determines that withholding notice is in their interest.</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holders of a majority in aggregate principal amount of the notes then outstanding may on behalf of the holders of all of the notes waive any existing default or event of default and its consequences under the indenture except a continuing default or event of default in the payment of interest on or the principal of the notes.</w:t>
      </w:r>
    </w:p>
    <w:p>
      <w:pPr>
        <w:sectPr>
          <w:pgSz w:w="11900" w:h="16838" w:orient="portrait"/>
          <w:cols w:equalWidth="0" w:num="1">
            <w:col w:w="10219"/>
          </w:cols>
          <w:pgMar w:left="240" w:top="293" w:right="1440" w:bottom="1440" w:gutter="0" w:footer="0" w:header="0"/>
        </w:sectPr>
      </w:pPr>
    </w:p>
    <w:p>
      <w:pPr>
        <w:spacing w:after="0" w:line="187"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93" w:right="1440" w:bottom="1440" w:gutter="0" w:footer="0" w:header="0"/>
          <w:type w:val="continuous"/>
        </w:sectPr>
      </w:pPr>
    </w:p>
    <w:bookmarkStart w:id="42" w:name="page43"/>
    <w:bookmarkEnd w:id="42"/>
    <w:p>
      <w:pPr>
        <w:ind w:left="280"/>
        <w:spacing w:after="0"/>
        <w:rPr>
          <w:sz w:val="20"/>
          <w:szCs w:val="20"/>
          <w:color w:val="auto"/>
        </w:rPr>
      </w:pPr>
      <w:r>
        <w:rPr>
          <w:rFonts w:ascii="Courier New" w:cs="Courier New" w:eastAsia="Courier New" w:hAnsi="Courier New"/>
          <w:sz w:val="16"/>
          <w:szCs w:val="16"/>
          <w:color w:val="auto"/>
        </w:rPr>
        <w:t>41</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the case of any event of default occurring by reason of any willful action or inaction taken or not taken by or on behalf of Scotts with the intention of avoiding payment of the premium that Scotts would have had to pay if we then had elected to redeem the notes under the optional redemption provisions of the indenture, an equivalent premium will also become immediately due and payable to the extent permitted by law upon the acceleration of the notes. If an event of default occurs prior to January 15, 2004, by reason of any willful action or inaction taken or not taken by or on behalf of Scotts with the intention of avoiding the prohibition on redemption of the notes prior to January 15, 2004, then the premium specified in the indenture will also become immediately due and payable to the extent permitted by law upon the acceleration of the notes.</w:t>
      </w:r>
    </w:p>
    <w:p>
      <w:pPr>
        <w:spacing w:after="0" w:line="188" w:lineRule="exact"/>
        <w:rPr>
          <w:sz w:val="20"/>
          <w:szCs w:val="20"/>
          <w:color w:val="auto"/>
        </w:rPr>
      </w:pPr>
    </w:p>
    <w:p>
      <w:pPr>
        <w:jc w:val="both"/>
        <w:ind w:right="2999" w:firstLine="469"/>
        <w:spacing w:after="0" w:line="237" w:lineRule="auto"/>
        <w:rPr>
          <w:sz w:val="20"/>
          <w:szCs w:val="20"/>
          <w:color w:val="auto"/>
        </w:rPr>
      </w:pPr>
      <w:r>
        <w:rPr>
          <w:rFonts w:ascii="Courier New" w:cs="Courier New" w:eastAsia="Courier New" w:hAnsi="Courier New"/>
          <w:sz w:val="16"/>
          <w:szCs w:val="16"/>
          <w:color w:val="auto"/>
        </w:rPr>
        <w:t>We are required to deliver to the trustee annually a statement regarding compliance with the indenture. Upon becoming aware of any default or event of default, we are required to deliver to the trustee a statement specifying the default or event of default.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PERSONAL LIABILITY OF DIRECTORS, OFFICERS, EMPLOYEES AND STOCKHOLDERS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No director, officer, employee, incorporator or stockholder of Scotts or any subsidiary guarantor shall have any liability for any obligations under the notes, the indenture, the subsidiary guarantees, the registration rights agreement agreements or for any claim based on obligations or their creation. Each holder of notes by accepting a note waives and releases all of this liability. The waiver and release are part of the consideration for issuance of the notes. The waiver may not be effective to waive liabilities under the federal securities laws.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DEFEASANCE AND COVENANT DEFEASANCE</w:t>
      </w:r>
    </w:p>
    <w:p>
      <w:pPr>
        <w:spacing w:after="0" w:line="185"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We may at any time elect to have all of our obligations discharged under the notes and the subsidiary guarantees except for:</w:t>
      </w:r>
    </w:p>
    <w:p>
      <w:pPr>
        <w:spacing w:after="0" w:line="185" w:lineRule="exact"/>
        <w:rPr>
          <w:sz w:val="20"/>
          <w:szCs w:val="20"/>
          <w:color w:val="auto"/>
        </w:rPr>
      </w:pPr>
    </w:p>
    <w:p>
      <w:pPr>
        <w:ind w:left="660" w:right="2999" w:hanging="195"/>
        <w:spacing w:after="0" w:line="237" w:lineRule="auto"/>
        <w:tabs>
          <w:tab w:leader="none" w:pos="6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of holders of outstanding notes to receive payments of the principal of, premium, if any, and interest and liquidated damages, if any, on the notes when the payments are due from the trust referred to below;</w:t>
      </w:r>
    </w:p>
    <w:p>
      <w:pPr>
        <w:spacing w:after="0" w:line="185"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obligations concerning issuing temporary notes, registration of notes, mutilated, destroyed, lost or stolen notes and the maintenance of an office or agency for payment and money for security payments held in trust;</w:t>
      </w:r>
    </w:p>
    <w:p>
      <w:pPr>
        <w:spacing w:after="0" w:line="185" w:lineRule="exact"/>
        <w:rPr>
          <w:rFonts w:ascii="Courier New" w:cs="Courier New" w:eastAsia="Courier New" w:hAnsi="Courier New"/>
          <w:sz w:val="16"/>
          <w:szCs w:val="16"/>
          <w:color w:val="auto"/>
        </w:rPr>
      </w:pPr>
    </w:p>
    <w:p>
      <w:pPr>
        <w:ind w:left="660" w:right="2719" w:hanging="195"/>
        <w:spacing w:after="0" w:line="236" w:lineRule="auto"/>
        <w:tabs>
          <w:tab w:leader="none" w:pos="6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powers, trusts, duties and immunities of the trustee, and our related obligations; and</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legal defeasance provisions of the indenture.</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addition, we may at any time elect to have our obligations released under the more onerous covenants that are described in the indenture. Thereafter any omission to comply with those covenants will not constitute a default or event of default.</w:t>
      </w:r>
    </w:p>
    <w:p>
      <w:pPr>
        <w:spacing w:after="0" w:line="18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 order to exercise either type of defeasance described above:</w:t>
      </w:r>
    </w:p>
    <w:p>
      <w:pPr>
        <w:spacing w:after="0" w:line="185" w:lineRule="exact"/>
        <w:rPr>
          <w:sz w:val="20"/>
          <w:szCs w:val="20"/>
          <w:color w:val="auto"/>
        </w:rPr>
      </w:pPr>
    </w:p>
    <w:p>
      <w:pPr>
        <w:ind w:left="660" w:right="3099" w:hanging="195"/>
        <w:spacing w:after="0" w:line="237" w:lineRule="auto"/>
        <w:tabs>
          <w:tab w:leader="none" w:pos="66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must irrevocably deposit with the trustee sufficient cash or non-callable government securities to pay all amounts owing on the outstanding notes through the stated maturity or on the applicable redemption date. We will specify to the trustee whether the notes are being defeased to maturity or to a particular redemption date;</w:t>
      </w:r>
    </w:p>
    <w:p>
      <w:pPr>
        <w:spacing w:after="0" w:line="187" w:lineRule="exact"/>
        <w:rPr>
          <w:rFonts w:ascii="Courier New" w:cs="Courier New" w:eastAsia="Courier New" w:hAnsi="Courier New"/>
          <w:sz w:val="16"/>
          <w:szCs w:val="16"/>
          <w:color w:val="auto"/>
        </w:rPr>
      </w:pPr>
    </w:p>
    <w:p>
      <w:pPr>
        <w:ind w:left="660" w:right="2819" w:hanging="195"/>
        <w:spacing w:after="0" w:line="238" w:lineRule="auto"/>
        <w:tabs>
          <w:tab w:leader="none" w:pos="66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want to completely defease the notes, we must deliver to the trustee an opinion of counsel reasonably acceptable to the trustee confirming that there has been an Internal Revenue Service ruling or a change in the applicable federal income tax law to the effect that the holders of the outstanding notes will not recognize income, gain or loss for federal income tax purposes as a result of the complete defeasance and will be subject to federal income tax on the same amounts, in the same manner and at the same times as would have been the case if the complete defeasance had not occurred;</w:t>
      </w:r>
    </w:p>
    <w:p>
      <w:pPr>
        <w:sectPr>
          <w:pgSz w:w="11900" w:h="16838" w:orient="portrait"/>
          <w:cols w:equalWidth="0" w:num="1">
            <w:col w:w="10219"/>
          </w:cols>
          <w:pgMar w:left="240" w:top="293" w:right="1440" w:bottom="1440" w:gutter="0" w:footer="0" w:header="0"/>
        </w:sectPr>
      </w:pPr>
    </w:p>
    <w:p>
      <w:pPr>
        <w:spacing w:after="0" w:line="18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93" w:right="1440" w:bottom="1440" w:gutter="0" w:footer="0" w:header="0"/>
          <w:type w:val="continuous"/>
        </w:sectPr>
      </w:pPr>
    </w:p>
    <w:bookmarkStart w:id="43" w:name="page44"/>
    <w:bookmarkEnd w:id="43"/>
    <w:p>
      <w:pPr>
        <w:ind w:left="280"/>
        <w:spacing w:after="0"/>
        <w:rPr>
          <w:sz w:val="20"/>
          <w:szCs w:val="20"/>
          <w:color w:val="auto"/>
        </w:rPr>
      </w:pPr>
      <w:r>
        <w:rPr>
          <w:rFonts w:ascii="Courier New" w:cs="Courier New" w:eastAsia="Courier New" w:hAnsi="Courier New"/>
          <w:sz w:val="16"/>
          <w:szCs w:val="16"/>
          <w:color w:val="auto"/>
        </w:rPr>
        <w:t>42</w:t>
      </w:r>
    </w:p>
    <w:p>
      <w:pPr>
        <w:spacing w:after="0" w:line="185" w:lineRule="exact"/>
        <w:rPr>
          <w:sz w:val="20"/>
          <w:szCs w:val="20"/>
          <w:color w:val="auto"/>
        </w:rPr>
      </w:pPr>
    </w:p>
    <w:p>
      <w:pPr>
        <w:ind w:left="660" w:right="2719" w:hanging="195"/>
        <w:spacing w:after="0" w:line="238" w:lineRule="auto"/>
        <w:tabs>
          <w:tab w:leader="none" w:pos="6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merely want to defease the onerous covenants, we must deliver to the trustee an opinion of counsel reasonably acceptable to the trustee confirming that the holders of the outstanding notes will not recognize income, gain or loss for federal income tax purposes as a result of the covenant defeasance and will be subject to federal income tax on the same amounts, in the same manner and at the same times as would have been the case if the covenant defeasance had not occurred;</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or event of default shall have occurred and be continuing either on the date of the deposit or, in the case of bankruptcy or insolvency events, at any time in the period ending on the 91st day after the date of deposit;</w:t>
      </w:r>
    </w:p>
    <w:p>
      <w:pPr>
        <w:spacing w:after="0" w:line="185"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defeasance will not result in a breach or violation of, or constitute a default under, any material agreement or instrument other than the indenture to which we or any of our subsidiaries is a party;</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must deliver to the trustee an opinion of counsel that after the 91st day following the deposit, the trust funds will not be subject to the effect of any bankruptcy, insolvency, reorganization or similar laws affecting creditors' rights generally;</w:t>
      </w:r>
    </w:p>
    <w:p>
      <w:pPr>
        <w:spacing w:after="0" w:line="185"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must deliver to the trustee an officers' certificate stating that the deposit was not made with the intent of preferring the holders of notes over our other creditors or with the intent of defeating, hindering, delaying or defrauding our creditors; and</w:t>
      </w:r>
    </w:p>
    <w:p>
      <w:pPr>
        <w:spacing w:after="0" w:line="185"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must deliver to the trustee an officers' certificate and an opinion of counsel stating that we have complied with all conditions precedent relating to the defeasance.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SUPPLEMENT AND WAIVER</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Without the consent of each holder affected, an amendment or waiver may</w:t>
      </w:r>
    </w:p>
    <w:p>
      <w:pPr>
        <w:spacing w:after="0"/>
        <w:rPr>
          <w:sz w:val="20"/>
          <w:szCs w:val="20"/>
          <w:color w:val="auto"/>
        </w:rPr>
      </w:pPr>
      <w:r>
        <w:rPr>
          <w:rFonts w:ascii="Courier New" w:cs="Courier New" w:eastAsia="Courier New" w:hAnsi="Courier New"/>
          <w:sz w:val="16"/>
          <w:szCs w:val="16"/>
          <w:color w:val="auto"/>
        </w:rPr>
        <w:t>not:</w:t>
      </w:r>
    </w:p>
    <w:p>
      <w:pPr>
        <w:spacing w:after="0" w:line="184" w:lineRule="exact"/>
        <w:rPr>
          <w:sz w:val="20"/>
          <w:szCs w:val="20"/>
          <w:color w:val="auto"/>
        </w:rPr>
      </w:pPr>
    </w:p>
    <w:p>
      <w:pPr>
        <w:ind w:left="660" w:right="3099" w:hanging="195"/>
        <w:spacing w:after="0" w:line="236" w:lineRule="auto"/>
        <w:tabs>
          <w:tab w:leader="none" w:pos="6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principal amount of notes whose holders must consent to an amendment, supplement or waiver;</w:t>
      </w:r>
    </w:p>
    <w:p>
      <w:pPr>
        <w:spacing w:after="0" w:line="184" w:lineRule="exact"/>
        <w:rPr>
          <w:rFonts w:ascii="Courier New" w:cs="Courier New" w:eastAsia="Courier New" w:hAnsi="Courier New"/>
          <w:sz w:val="16"/>
          <w:szCs w:val="16"/>
          <w:color w:val="auto"/>
        </w:rPr>
      </w:pPr>
    </w:p>
    <w:p>
      <w:pPr>
        <w:ind w:left="660" w:right="2719" w:hanging="195"/>
        <w:spacing w:after="0" w:line="259" w:lineRule="auto"/>
        <w:tabs>
          <w:tab w:leader="none" w:pos="66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of or change the maturity date of any note or alter the redemption provisions other than provisions relating to the covenants described above under the caption "Repurchase at the Option of Holders";</w:t>
      </w:r>
    </w:p>
    <w:p>
      <w:pPr>
        <w:spacing w:after="0" w:line="171" w:lineRule="exact"/>
        <w:rPr>
          <w:rFonts w:ascii="Courier New" w:cs="Courier New" w:eastAsia="Courier New" w:hAnsi="Courier New"/>
          <w:sz w:val="15"/>
          <w:szCs w:val="15"/>
          <w:color w:val="auto"/>
        </w:rPr>
      </w:pPr>
    </w:p>
    <w:p>
      <w:pPr>
        <w:ind w:left="660" w:right="3179" w:hanging="195"/>
        <w:spacing w:after="0" w:line="236" w:lineRule="auto"/>
        <w:tabs>
          <w:tab w:leader="none" w:pos="6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rate of or change the time for payment of interest on any note;</w:t>
      </w:r>
    </w:p>
    <w:p>
      <w:pPr>
        <w:spacing w:after="0" w:line="184" w:lineRule="exact"/>
        <w:rPr>
          <w:rFonts w:ascii="Courier New" w:cs="Courier New" w:eastAsia="Courier New" w:hAnsi="Courier New"/>
          <w:sz w:val="16"/>
          <w:szCs w:val="16"/>
          <w:color w:val="auto"/>
        </w:rPr>
      </w:pPr>
    </w:p>
    <w:p>
      <w:pPr>
        <w:ind w:left="660" w:right="2719" w:hanging="195"/>
        <w:spacing w:after="0" w:line="257" w:lineRule="auto"/>
        <w:tabs>
          <w:tab w:leader="none" w:pos="66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a default or event of default in the payment of principal, premium, or interest, except a rescission of acceleration of the notes by the holders of at least a majority in aggregate principal amount of the notes and a waiver of the payment default that resulted from such acceleration;</w:t>
      </w:r>
    </w:p>
    <w:p>
      <w:pPr>
        <w:spacing w:after="0" w:line="169" w:lineRule="exact"/>
        <w:rPr>
          <w:rFonts w:ascii="Courier New" w:cs="Courier New" w:eastAsia="Courier New" w:hAnsi="Courier New"/>
          <w:sz w:val="15"/>
          <w:szCs w:val="15"/>
          <w:color w:val="auto"/>
        </w:rPr>
      </w:pPr>
    </w:p>
    <w:p>
      <w:pPr>
        <w:ind w:left="660" w:hanging="195"/>
        <w:spacing w:after="0"/>
        <w:tabs>
          <w:tab w:leader="none" w:pos="6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note payable in money other than U.S. dollars;</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change in the provisions of the indenture relating to waivers of past defaults or the rights of holders of notes to receive payments of principal, premium, if any, or interest;</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 a redemption payment other than a payment required by one of the covenants described above under the caption "Repurchase at the Option of Holders"; or</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change in the preceding amendment and waiver provisions, except as set forth below.</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In addition, any amendment or waiver relating to subordination that adversely affects the rights of the holders of the notes will require the consent of the holders of at least 75% in aggregate principal amount of notes then outstanding.</w:t>
      </w:r>
    </w:p>
    <w:p>
      <w:pPr>
        <w:spacing w:after="0" w:line="186"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In any event, without the consent of any holder of notes, Scotts and the trustee may amend or supplement the indenture or the notes:</w:t>
      </w:r>
    </w:p>
    <w:p>
      <w:pPr>
        <w:spacing w:after="0" w:line="180" w:lineRule="exact"/>
        <w:rPr>
          <w:sz w:val="20"/>
          <w:szCs w:val="20"/>
          <w:color w:val="auto"/>
        </w:rPr>
      </w:pPr>
    </w:p>
    <w:p>
      <w:pPr>
        <w:ind w:left="660" w:hanging="195"/>
        <w:spacing w:after="0"/>
        <w:tabs>
          <w:tab w:leader="none" w:pos="66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cure any ambiguity, defect or inconsistency;</w:t>
      </w:r>
    </w:p>
    <w:p>
      <w:pPr>
        <w:spacing w:after="0" w:line="184" w:lineRule="exact"/>
        <w:rPr>
          <w:rFonts w:ascii="Courier New" w:cs="Courier New" w:eastAsia="Courier New" w:hAnsi="Courier New"/>
          <w:sz w:val="16"/>
          <w:szCs w:val="16"/>
          <w:color w:val="auto"/>
        </w:rPr>
      </w:pPr>
    </w:p>
    <w:p>
      <w:pPr>
        <w:ind w:left="660" w:right="3479" w:hanging="195"/>
        <w:spacing w:after="0" w:line="236" w:lineRule="auto"/>
        <w:tabs>
          <w:tab w:leader="none" w:pos="66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provide for uncertificated notes in addition to or in place of certificated notes;</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93" w:right="1440" w:bottom="1440" w:gutter="0" w:footer="0" w:header="0"/>
          <w:type w:val="continuous"/>
        </w:sectPr>
      </w:pPr>
    </w:p>
    <w:bookmarkStart w:id="44" w:name="page45"/>
    <w:bookmarkEnd w:id="44"/>
    <w:p>
      <w:pPr>
        <w:ind w:left="284"/>
        <w:spacing w:after="0"/>
        <w:rPr>
          <w:sz w:val="20"/>
          <w:szCs w:val="20"/>
          <w:color w:val="auto"/>
        </w:rPr>
      </w:pPr>
      <w:r>
        <w:rPr>
          <w:rFonts w:ascii="Courier New" w:cs="Courier New" w:eastAsia="Courier New" w:hAnsi="Courier New"/>
          <w:sz w:val="16"/>
          <w:szCs w:val="16"/>
          <w:color w:val="auto"/>
        </w:rPr>
        <w:t>43</w:t>
      </w:r>
    </w:p>
    <w:p>
      <w:pPr>
        <w:spacing w:after="0" w:line="185" w:lineRule="exact"/>
        <w:rPr>
          <w:sz w:val="20"/>
          <w:szCs w:val="20"/>
          <w:color w:val="auto"/>
        </w:rPr>
      </w:pPr>
    </w:p>
    <w:p>
      <w:pPr>
        <w:ind w:left="664" w:right="2719" w:hanging="195"/>
        <w:spacing w:after="0" w:line="237" w:lineRule="auto"/>
        <w:tabs>
          <w:tab w:leader="none" w:pos="664"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provide for the assumption of our obligations to holders of notes in the case of a merger or consolidation or sale of all or substantially all of our assets;</w:t>
      </w:r>
    </w:p>
    <w:p>
      <w:pPr>
        <w:spacing w:after="0" w:line="184" w:lineRule="exact"/>
        <w:rPr>
          <w:rFonts w:ascii="Courier New" w:cs="Courier New" w:eastAsia="Courier New" w:hAnsi="Courier New"/>
          <w:sz w:val="16"/>
          <w:szCs w:val="16"/>
          <w:color w:val="auto"/>
        </w:rPr>
      </w:pPr>
    </w:p>
    <w:p>
      <w:pPr>
        <w:ind w:left="664" w:right="2899" w:hanging="195"/>
        <w:spacing w:after="0" w:line="237" w:lineRule="auto"/>
        <w:tabs>
          <w:tab w:leader="none" w:pos="664"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any change that would provide any additional rights or benefits to the holders of notes or that does not adversely affect the legal rights under the indenture of any holder;</w:t>
      </w:r>
    </w:p>
    <w:p>
      <w:pPr>
        <w:spacing w:after="0" w:line="179" w:lineRule="exact"/>
        <w:rPr>
          <w:rFonts w:ascii="Courier New" w:cs="Courier New" w:eastAsia="Courier New" w:hAnsi="Courier New"/>
          <w:sz w:val="16"/>
          <w:szCs w:val="16"/>
          <w:color w:val="auto"/>
        </w:rPr>
      </w:pPr>
    </w:p>
    <w:p>
      <w:pPr>
        <w:ind w:left="664" w:hanging="195"/>
        <w:spacing w:after="0"/>
        <w:tabs>
          <w:tab w:leader="none" w:pos="664"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a guarantor; and</w:t>
      </w:r>
    </w:p>
    <w:p>
      <w:pPr>
        <w:spacing w:after="0" w:line="184" w:lineRule="exact"/>
        <w:rPr>
          <w:rFonts w:ascii="Courier New" w:cs="Courier New" w:eastAsia="Courier New" w:hAnsi="Courier New"/>
          <w:sz w:val="16"/>
          <w:szCs w:val="16"/>
          <w:color w:val="auto"/>
        </w:rPr>
      </w:pPr>
    </w:p>
    <w:p>
      <w:pPr>
        <w:ind w:left="664" w:right="3099" w:hanging="195"/>
        <w:spacing w:after="0" w:line="237" w:lineRule="auto"/>
        <w:tabs>
          <w:tab w:leader="none" w:pos="664"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comply with requirements of the Commission in order to effect or maintain the qualification of the indenture under the Trust Indenture Act.</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CONCERNING THE TRUSTEE</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If the trustee becomes a creditor of Scotts or any subsidiary guarantor, the indenture limits the trustee's right to obtain payment of claims or to realize on property received for a claim as security. The trustee will be permitted to engage in other transactions. However, if it acquires any conflicting interest it must eliminate the conflict within 90 days, apply to the Commission for permission to continue or resign.</w:t>
      </w:r>
    </w:p>
    <w:p>
      <w:pPr>
        <w:spacing w:after="0" w:line="189"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holders of a majority in principal amount of the then outstanding notes will have the right to direct the time, method and place of conducting any proceeding for exercising any remedy available to the trustee, subject to limited exceptions. The indenture provides that if an event of default occurs and is continuing, the trustee will be required to use the degree of care of a prudent man in the conduct of his own affairs. Except to comply with these provisions, the trustee will be under no obligation to exercise any of its rights or powers under the indenture at the request of any holder of notes, unless the holder offers to the trustee security and indemnity satisfactory to it against any loss, liability or expense.</w:t>
      </w:r>
    </w:p>
    <w:p>
      <w:pPr>
        <w:spacing w:after="0" w:line="182"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BOOK-ENTRY, DELIVERY AND FORM</w:t>
      </w:r>
    </w:p>
    <w:p>
      <w:pPr>
        <w:spacing w:after="0" w:line="185" w:lineRule="exact"/>
        <w:rPr>
          <w:sz w:val="20"/>
          <w:szCs w:val="20"/>
          <w:color w:val="auto"/>
        </w:rPr>
      </w:pPr>
    </w:p>
    <w:p>
      <w:pPr>
        <w:ind w:left="4" w:right="3559" w:firstLine="469"/>
        <w:spacing w:after="0" w:line="237" w:lineRule="auto"/>
        <w:rPr>
          <w:sz w:val="20"/>
          <w:szCs w:val="20"/>
          <w:color w:val="auto"/>
        </w:rPr>
      </w:pPr>
      <w:r>
        <w:rPr>
          <w:rFonts w:ascii="Courier New" w:cs="Courier New" w:eastAsia="Courier New" w:hAnsi="Courier New"/>
          <w:sz w:val="16"/>
          <w:szCs w:val="16"/>
          <w:color w:val="auto"/>
        </w:rPr>
        <w:t>Except as set forth below, the notes were, and will be, issued in registered, global form in minimum denominations of $1,000 and integral multiples of $1,000 in excess thereof.</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The notes are and will continue to be represented by two permanent notes in registered, global form without interest coupons. The global notes are registered in the name of The Depository Trust Company in New York, New York, or its nominee, for credit to an account of a direct or indirect participant in DTC as described below.</w:t>
      </w:r>
    </w:p>
    <w:p>
      <w:pPr>
        <w:spacing w:after="0" w:line="187" w:lineRule="exact"/>
        <w:rPr>
          <w:sz w:val="20"/>
          <w:szCs w:val="20"/>
          <w:color w:val="auto"/>
        </w:rPr>
      </w:pPr>
    </w:p>
    <w:p>
      <w:pPr>
        <w:ind w:left="4" w:right="2899" w:firstLine="469"/>
        <w:spacing w:after="0" w:line="254" w:lineRule="auto"/>
        <w:rPr>
          <w:sz w:val="20"/>
          <w:szCs w:val="20"/>
          <w:color w:val="auto"/>
        </w:rPr>
      </w:pPr>
      <w:r>
        <w:rPr>
          <w:rFonts w:ascii="Courier New" w:cs="Courier New" w:eastAsia="Courier New" w:hAnsi="Courier New"/>
          <w:sz w:val="15"/>
          <w:szCs w:val="15"/>
          <w:color w:val="auto"/>
        </w:rPr>
        <w:t>Generally, the global notes may be transferred, in whole and not in part, only to another nominee of DTC or to a successor of DTC or its nominee. Beneficial interests in the global notes may not be exchanged for notes in certificated form except in the limited circumstances described below. See</w:t>
      </w:r>
    </w:p>
    <w:p>
      <w:pPr>
        <w:spacing w:after="0" w:line="2" w:lineRule="exact"/>
        <w:rPr>
          <w:sz w:val="20"/>
          <w:szCs w:val="20"/>
          <w:color w:val="auto"/>
        </w:rPr>
      </w:pPr>
    </w:p>
    <w:p>
      <w:pPr>
        <w:ind w:left="4" w:right="2719" w:hanging="4"/>
        <w:spacing w:after="0" w:line="238" w:lineRule="auto"/>
        <w:tabs>
          <w:tab w:leader="none" w:pos="191"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Exchange of Book-Entry Notes for Certificated Notes." Except in the limited circumstances described below, owners of beneficial interests in the global notes will not be entitled to receive physical delivery of certificated notes. In addition, transfers of beneficial interests in the global notes will be subject to the rules and procedures of DTC and its direct or indirect participants, including, if applicable, those of Euroclear and Cedel, which may change from time to time.</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Initially, the trustee will act as paying agent and registrar. The notes may be presented for registration of transfer and exchange at the offices of the registrar.</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DEPOSITORY PROCEDURES</w:t>
      </w:r>
    </w:p>
    <w:p>
      <w:pPr>
        <w:spacing w:after="0" w:line="185" w:lineRule="exact"/>
        <w:rPr>
          <w:sz w:val="20"/>
          <w:szCs w:val="20"/>
          <w:color w:val="auto"/>
        </w:rPr>
      </w:pPr>
    </w:p>
    <w:p>
      <w:pPr>
        <w:ind w:left="4" w:right="2999" w:firstLine="469"/>
        <w:spacing w:after="0" w:line="256" w:lineRule="auto"/>
        <w:rPr>
          <w:sz w:val="20"/>
          <w:szCs w:val="20"/>
          <w:color w:val="auto"/>
        </w:rPr>
      </w:pPr>
      <w:r>
        <w:rPr>
          <w:rFonts w:ascii="Courier New" w:cs="Courier New" w:eastAsia="Courier New" w:hAnsi="Courier New"/>
          <w:sz w:val="15"/>
          <w:szCs w:val="15"/>
          <w:color w:val="auto"/>
        </w:rPr>
        <w:t>The following description of the operations and procedures of DTC, Euroclear and Cedel are provided solely as a matter of convenience. These operations and procedures are solely within the control of these settlement systems and are subject to changes by them from time to time. Scotts takes no responsibility for these operations and procedures and urges investors to contact the system or their participants directly to discuss these matters.</w:t>
      </w:r>
    </w:p>
    <w:p>
      <w:pPr>
        <w:spacing w:after="0" w:line="175" w:lineRule="exact"/>
        <w:rPr>
          <w:sz w:val="20"/>
          <w:szCs w:val="20"/>
          <w:color w:val="auto"/>
        </w:rPr>
      </w:pPr>
    </w:p>
    <w:p>
      <w:pPr>
        <w:ind w:left="4" w:right="2999" w:firstLine="469"/>
        <w:spacing w:after="0" w:line="237" w:lineRule="auto"/>
        <w:rPr>
          <w:sz w:val="20"/>
          <w:szCs w:val="20"/>
          <w:color w:val="auto"/>
        </w:rPr>
      </w:pPr>
      <w:r>
        <w:rPr>
          <w:rFonts w:ascii="Courier New" w:cs="Courier New" w:eastAsia="Courier New" w:hAnsi="Courier New"/>
          <w:sz w:val="16"/>
          <w:szCs w:val="16"/>
          <w:color w:val="auto"/>
        </w:rPr>
        <w:t>DTC has advised us that it is a limited-purpose trust company created to hold securities for its participating organizations and to facilitate the clearance and settlement of transactions in those securities</w:t>
      </w:r>
    </w:p>
    <w:p>
      <w:pPr>
        <w:sectPr>
          <w:pgSz w:w="11900" w:h="16838" w:orient="portrait"/>
          <w:cols w:equalWidth="0" w:num="1">
            <w:col w:w="10223"/>
          </w:cols>
          <w:pgMar w:left="236" w:top="293" w:right="1440" w:bottom="1440" w:gutter="0" w:footer="0" w:header="0"/>
        </w:sectPr>
      </w:pPr>
    </w:p>
    <w:p>
      <w:pPr>
        <w:spacing w:after="0" w:line="185" w:lineRule="exact"/>
        <w:rPr>
          <w:sz w:val="20"/>
          <w:szCs w:val="20"/>
          <w:color w:val="auto"/>
        </w:rPr>
      </w:pPr>
    </w:p>
    <w:p>
      <w:pPr>
        <w:ind w:left="3664"/>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23"/>
          </w:cols>
          <w:pgMar w:left="236" w:top="293" w:right="1440" w:bottom="1440" w:gutter="0" w:footer="0" w:header="0"/>
          <w:type w:val="continuous"/>
        </w:sectPr>
      </w:pPr>
    </w:p>
    <w:bookmarkStart w:id="45" w:name="page46"/>
    <w:bookmarkEnd w:id="45"/>
    <w:p>
      <w:pPr>
        <w:ind w:left="280"/>
        <w:spacing w:after="0"/>
        <w:rPr>
          <w:sz w:val="20"/>
          <w:szCs w:val="20"/>
          <w:color w:val="auto"/>
        </w:rPr>
      </w:pPr>
      <w:r>
        <w:rPr>
          <w:rFonts w:ascii="Courier New" w:cs="Courier New" w:eastAsia="Courier New" w:hAnsi="Courier New"/>
          <w:sz w:val="16"/>
          <w:szCs w:val="16"/>
          <w:color w:val="auto"/>
        </w:rPr>
        <w:t>44</w:t>
      </w:r>
    </w:p>
    <w:p>
      <w:pPr>
        <w:spacing w:after="0" w:line="185"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between participating organizations through electronic book-entry changes in accounts of its participating organizations. The participating organizations include securities brokers and dealers, banks, trust companies, clearing corporations and certain other organizations. Access to DTC's system is also available to other entities such as banks, brokers, dealers and trust companies that clear through or maintain a custodial relationship with a participating organization, either directly or indirectly. Persons who are not participating organizations may beneficially own securities held by or on behalf of DTC only through the participating organizations, either directly or indirectly. The ownership interests and transfers of ownership interests in each security held by or on behalf of DTC are recorded on the records of the participating organization.</w:t>
      </w:r>
    </w:p>
    <w:p>
      <w:pPr>
        <w:spacing w:after="0" w:line="188"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DTC has also advised us that its procedures require that ownership of interests in the global notes will be shown on records maintained by DTC for the participating organizations or by the participating organizations for other owners of beneficial interest in the global notes. Transfers of ownership will be reflected in a similar manner.</w:t>
      </w:r>
    </w:p>
    <w:p>
      <w:pPr>
        <w:spacing w:after="0" w:line="187"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All interests in a global note may be subject to the procedures and requirements of DTC. Those interests held through Euroclear or Cedel may also be subject to the procedures and requirements of those systems. The laws of some states require that persons take physical delivery in definitive form of securities that they own. Consequently, the ability to transfer beneficial interests in a global note to these individuals will be limited to that extent. Because DTC can act only on behalf of direct participating organizations, which in turn act on behalf of indirect participating organizations, the ability of a person having beneficial interests in a global note to pledge those interests to persons or entities that do not participate in the DTC system may be affected by the lack of a physical certificate evidencing their interests.</w:t>
      </w:r>
    </w:p>
    <w:p>
      <w:pPr>
        <w:spacing w:after="0" w:line="17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EXCEPT AS DESCRIBED BELOW, OWNERS OF INTERESTS IN THE GLOBAL NOTES WILL NOT HAVE NOTES REGISTERED IN THEIR NAMES, WILL NOT RECEIVE PHYSICAL DELIVERY OF NOTES IN CERTIFICATED FORM AND WILL NOT BE CONSIDERED THE REGISTERED OWNERS OR "HOLDERS" OF THE NOTES UNDER THE INDENTURE FOR ANY PURPOSE.</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Payments of principal, premium, if any, liquidated damages, if any, and interest for a global note registered in the name of DTC or its nominee, will be payable to DTC in its capacity as the registered holder under the indenture. Under the indenture, Scotts and the trustee will treat the persons in whose names the notes are registered as the owners for the purpose of receiving these payments and for any and all other purposes. Consequently, neither Scotts, the trustee nor any agent of Scotts or the trustee has or will have any responsibility or liability for:</w:t>
      </w:r>
    </w:p>
    <w:p>
      <w:pPr>
        <w:spacing w:after="0" w:line="185" w:lineRule="exact"/>
        <w:rPr>
          <w:sz w:val="20"/>
          <w:szCs w:val="20"/>
          <w:color w:val="auto"/>
        </w:rPr>
      </w:pPr>
    </w:p>
    <w:p>
      <w:pPr>
        <w:ind w:left="660" w:right="2719" w:hanging="195"/>
        <w:spacing w:after="0" w:line="237" w:lineRule="auto"/>
        <w:tabs>
          <w:tab w:leader="none" w:pos="66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aspect of DTC's records or any participating organization's or indirect participating organization's records relating to or payments made on account of beneficial ownership interest in the global notes, or for maintaining, supervising or reviewing any of DTC's records or any participating organization's records relating to the beneficial ownership interests in the global notes; or</w:t>
      </w:r>
    </w:p>
    <w:p>
      <w:pPr>
        <w:spacing w:after="0" w:line="188"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matter relating to the actions and practices of DTC or any of its direct or indirect participating organization.</w:t>
      </w:r>
    </w:p>
    <w:p>
      <w:pPr>
        <w:spacing w:after="0" w:line="185" w:lineRule="exact"/>
        <w:rPr>
          <w:sz w:val="20"/>
          <w:szCs w:val="20"/>
          <w:color w:val="auto"/>
        </w:rPr>
      </w:pPr>
    </w:p>
    <w:p>
      <w:pPr>
        <w:ind w:right="2999" w:firstLine="469"/>
        <w:spacing w:after="0" w:line="256" w:lineRule="auto"/>
        <w:rPr>
          <w:sz w:val="20"/>
          <w:szCs w:val="20"/>
          <w:color w:val="auto"/>
        </w:rPr>
      </w:pPr>
      <w:r>
        <w:rPr>
          <w:rFonts w:ascii="Courier New" w:cs="Courier New" w:eastAsia="Courier New" w:hAnsi="Courier New"/>
          <w:sz w:val="15"/>
          <w:szCs w:val="15"/>
          <w:color w:val="auto"/>
        </w:rPr>
        <w:t>DTC has advised Scotts that its current practice upon receipt of any payment is to credit the accounts of the relevant participating organizations with the payment on the payment date, in amounts proportionate to their respective holdings in the principal amount of beneficial interest in the relevant security as shown on the records of DTC unless DTC has reason to believe it will not receive payment on the payment date.</w:t>
      </w:r>
    </w:p>
    <w:p>
      <w:pPr>
        <w:spacing w:after="0" w:line="17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Payments by the participating organizations and the indirect participating organizations to the beneficial owners of notes will be governed by standing instructions and customary practices and will be the responsibility of the participating organizations and will not be the responsibility of DTC, the trustee or Scotts. Neither Scotts nor the trustee will be liable for any delay by DTC or any of its participating organizations in identifying the beneficial owners of the notes. Scotts and the trustee may conclusively rely on and will be protected in relying on instructions from DTC or its nominee for all purposes.</w:t>
      </w:r>
    </w:p>
    <w:p>
      <w:pPr>
        <w:spacing w:after="0" w:line="173"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Except for trades involving only Euroclear and Cedel participants, interest in the global notes are expected to be eligible to trade in DTC's Same-Day Funds Settlement System. Secondary market trading</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93" w:right="1440" w:bottom="1440" w:gutter="0" w:footer="0" w:header="0"/>
          <w:type w:val="continuous"/>
        </w:sectPr>
      </w:pPr>
    </w:p>
    <w:bookmarkStart w:id="46" w:name="page47"/>
    <w:bookmarkEnd w:id="46"/>
    <w:p>
      <w:pPr>
        <w:ind w:left="280"/>
        <w:spacing w:after="0"/>
        <w:rPr>
          <w:sz w:val="20"/>
          <w:szCs w:val="20"/>
          <w:color w:val="auto"/>
        </w:rPr>
      </w:pPr>
      <w:r>
        <w:rPr>
          <w:rFonts w:ascii="Courier New" w:cs="Courier New" w:eastAsia="Courier New" w:hAnsi="Courier New"/>
          <w:sz w:val="16"/>
          <w:szCs w:val="16"/>
          <w:color w:val="auto"/>
        </w:rPr>
        <w:t>45</w:t>
      </w:r>
    </w:p>
    <w:p>
      <w:pPr>
        <w:spacing w:after="0" w:line="18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activity in these interests will settle in immediately available funds, subject in all cases to the rules and procedures of DTC and its participating organizations. See " --Same Day Settlement and Payment."</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Transfers between participating organizations in DTC will be effected in accordance with DTC's procedures, and will be settled in same day funds. Transfers between participants in Euroclear and Cedel will be effected in the ordinary way in accordance with their rules and operating procedures.</w:t>
      </w:r>
    </w:p>
    <w:p>
      <w:pPr>
        <w:spacing w:after="0" w:line="186"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Subject to compliance with the transfer restrictions applicable to the notes, cross-market transfers between the participating organizations in DTC, on the one hand, and Euroclear or Cedel participants, on the other hand, will be effected through DTC in accordance with DTC's rules on behalf of Euroclear or Cedel. However, any cross-market transactions will require delivery of instructions to Euroclear or Cedel by the counterparty in that system in accordance with the rules and procedures and within the established deadlines (Brussels time) of that system. Euroclear or Cedel will, if the transaction meets its settlement requirements, deliver instructions to its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Cedel participants may not deliver instructions directly to the depositories for Euroclear or Cedel.</w:t>
      </w:r>
    </w:p>
    <w:p>
      <w:pPr>
        <w:spacing w:after="0" w:line="35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DTC has advised us that it will take any action permitted to be taken by a holder of notes only at the direction of one or more participating organizations to whose account DTC has credited the interests in the global notes and only for the portion of the aggregate principal amount of the notes as to which a participating organization has given direction. However, if there is an event of default under the notes, DTC reserves the right to exchange the global notes for notes in certificated form, and to distribute the certificated notes to its participating organizations.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Although DTC, Euroclear and Cedel have agreed to these procedures to facilitate transfers of interests in the global notes among participants in DTC, Euroclear and Cedel, they are under no obligation to perform or to continue to perform these procedures, and these procedures may be discontinued at any time. Neither Scotts nor the trustee nor any of their agents will have any responsibility for the performance by DTC, Euroclear or Cedel or their participants or indirect participants under the rules and procedures governing their operations.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OF BOOK-ENTRY NOTES FOR CERTIFICATED NOTES</w:t>
      </w:r>
    </w:p>
    <w:p>
      <w:pPr>
        <w:spacing w:after="0" w:line="185" w:lineRule="exact"/>
        <w:rPr>
          <w:sz w:val="20"/>
          <w:szCs w:val="20"/>
          <w:color w:val="auto"/>
        </w:rPr>
      </w:pPr>
    </w:p>
    <w:p>
      <w:pPr>
        <w:ind w:right="3759" w:firstLine="469"/>
        <w:spacing w:after="0" w:line="236" w:lineRule="auto"/>
        <w:rPr>
          <w:sz w:val="20"/>
          <w:szCs w:val="20"/>
          <w:color w:val="auto"/>
        </w:rPr>
      </w:pPr>
      <w:r>
        <w:rPr>
          <w:rFonts w:ascii="Courier New" w:cs="Courier New" w:eastAsia="Courier New" w:hAnsi="Courier New"/>
          <w:sz w:val="16"/>
          <w:szCs w:val="16"/>
          <w:color w:val="auto"/>
        </w:rPr>
        <w:t>A global note is exchangeable for definitive notes in registered certificated form if:</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 DTC:</w:t>
      </w:r>
    </w:p>
    <w:p>
      <w:pPr>
        <w:spacing w:after="0" w:line="185" w:lineRule="exact"/>
        <w:rPr>
          <w:sz w:val="20"/>
          <w:szCs w:val="20"/>
          <w:color w:val="auto"/>
        </w:rPr>
      </w:pPr>
    </w:p>
    <w:p>
      <w:pPr>
        <w:ind w:left="1400" w:right="2999" w:hanging="184"/>
        <w:spacing w:after="0" w:line="237" w:lineRule="auto"/>
        <w:tabs>
          <w:tab w:leader="none" w:pos="1400"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notifies us that it is unwilling or unable to continue as depositary for the global notes and we are unable to appoint a successor depositary; or</w:t>
      </w:r>
    </w:p>
    <w:p>
      <w:pPr>
        <w:spacing w:after="0" w:line="184" w:lineRule="exact"/>
        <w:rPr>
          <w:rFonts w:ascii="Courier New" w:cs="Courier New" w:eastAsia="Courier New" w:hAnsi="Courier New"/>
          <w:sz w:val="16"/>
          <w:szCs w:val="16"/>
          <w:color w:val="auto"/>
        </w:rPr>
      </w:pPr>
    </w:p>
    <w:p>
      <w:pPr>
        <w:ind w:left="1400" w:right="2819" w:hanging="184"/>
        <w:spacing w:after="0" w:line="236" w:lineRule="auto"/>
        <w:tabs>
          <w:tab w:leader="none" w:pos="1400"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ceased to be a clearing agency registered under the Exchange Act;</w:t>
      </w:r>
    </w:p>
    <w:p>
      <w:pPr>
        <w:spacing w:after="0" w:line="184" w:lineRule="exact"/>
        <w:rPr>
          <w:rFonts w:ascii="Courier New" w:cs="Courier New" w:eastAsia="Courier New" w:hAnsi="Courier New"/>
          <w:sz w:val="16"/>
          <w:szCs w:val="16"/>
          <w:color w:val="auto"/>
        </w:rPr>
      </w:pPr>
    </w:p>
    <w:p>
      <w:pPr>
        <w:ind w:left="660" w:right="3379" w:hanging="195"/>
        <w:spacing w:after="0" w:line="236" w:lineRule="auto"/>
        <w:tabs>
          <w:tab w:leader="none" w:pos="66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Scotts notifies the trustee in writing that it elects to cause the issuance of the certificated notes; or</w:t>
      </w:r>
    </w:p>
    <w:p>
      <w:pPr>
        <w:spacing w:after="0" w:line="184" w:lineRule="exact"/>
        <w:rPr>
          <w:rFonts w:ascii="Courier New" w:cs="Courier New" w:eastAsia="Courier New" w:hAnsi="Courier New"/>
          <w:sz w:val="16"/>
          <w:szCs w:val="16"/>
          <w:color w:val="auto"/>
        </w:rPr>
      </w:pPr>
    </w:p>
    <w:p>
      <w:pPr>
        <w:ind w:left="660" w:right="3479" w:hanging="195"/>
        <w:spacing w:after="0" w:line="236" w:lineRule="auto"/>
        <w:tabs>
          <w:tab w:leader="none" w:pos="66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have occurred and be continuing a default or event of default.</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a global note will be registered in the names, and issued in any approved denominations, requested by or on behalf of the depositary and may bear a restrictive legend if Scotts determines a legend is required to comply with applicable law.</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OF CERTIFICATED NOTES FOR BOOK-ENTRY NOTES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Notes issued in certificated form may not be exchanged for beneficial interests in any global note unless the transferor first delivers to the trustee a written certificate to the effect that the transfer will comply with the appropriate transfer restrictions applicable to the notes.</w:t>
      </w:r>
    </w:p>
    <w:p>
      <w:pPr>
        <w:spacing w:after="0" w:line="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293"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6"/>
          <w:szCs w:val="16"/>
          <w:color w:val="auto"/>
        </w:rPr>
        <w:t>46</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SAME DAY SETTLEMENT AND PAYMENT</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indenture requires that payments on the global notes be made by wire transfer of immediately available funds to the accounts specified by the holder of the global notes. For certificated notes, Scotts will make all payments by wire transfer of immediately available funds to the accounts specified by the holders thereof or, if no such account is specified, by mailing a check to each such holder's registered address. The notes represented by the global notes are expected to be eligible to trade in the PORTAL market and to trade in DTC's Same-Day Funds Settlement System. Any permitted secondary market trading activity in the notes will be required by DTC to be settled in immediately available funds. Scotts expects that secondary trading in any certificated notes will also be settled in immediately available funds.</w:t>
      </w:r>
    </w:p>
    <w:p>
      <w:pPr>
        <w:spacing w:after="0" w:line="179"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Because of time zone differences, the securities account of a Euroclear or Cedel participant purchasing an interest in a global note from a participant in DTC will be credited, and any such crediting will be reported to the relevant Euroclear or Cedel participant, during the securities settlement processing day immediately following the settlement date of DTC. DTC has advised Scotts that cash received in Euroclear or Cedel as a result of sales of interests in a global note by or through a Euroclear or Cedel participant to a participant in DTC will be received with value on the settlement date of DTC but will be available in the relevant Euroclear or Cedel cash account only as of the business day for Euroclear or Cedel following DTC's settlement date.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RIGHTS; LIQUIDATED DAMAGES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connection with the offering of the original notes, Scotts, the subsidiary guarantors and Salomon Smith Barney entered into the registration rights agreement. In the registration rights agreement, we agreed to file with the Commission the registration statement of which this prospectus is a part. Upon the effectiveness of this registration statement, holders of original notes who are able to make the representations required by the registration rights agreement will have the opportunity to receive new registered notes.</w:t>
      </w:r>
    </w:p>
    <w:p>
      <w:pPr>
        <w:spacing w:after="0" w:line="185"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If some of the holders are unable to participate in the exchange offer because of applicable law or the Commission's policies or because of their status as an affiliate of Scotts or as a broker-dealer who acquired notes directly from us or one or our affiliates, we are required to file another registration statement with the Commission. This second registration statement would cover periodic resales of the original unregistered notes by the holders who are unable to participate in the exchange offer.</w:t>
      </w:r>
    </w:p>
    <w:p>
      <w:pPr>
        <w:spacing w:after="0" w:line="185" w:lineRule="exact"/>
        <w:rPr>
          <w:sz w:val="20"/>
          <w:szCs w:val="20"/>
          <w:color w:val="auto"/>
        </w:rPr>
      </w:pPr>
    </w:p>
    <w:p>
      <w:pPr>
        <w:jc w:val="both"/>
        <w:ind w:right="2819" w:firstLine="469"/>
        <w:spacing w:after="0" w:line="237" w:lineRule="auto"/>
        <w:rPr>
          <w:sz w:val="20"/>
          <w:szCs w:val="20"/>
          <w:color w:val="auto"/>
        </w:rPr>
      </w:pPr>
      <w:r>
        <w:rPr>
          <w:rFonts w:ascii="Courier New" w:cs="Courier New" w:eastAsia="Courier New" w:hAnsi="Courier New"/>
          <w:sz w:val="16"/>
          <w:szCs w:val="16"/>
          <w:color w:val="auto"/>
        </w:rPr>
        <w:t>The registration rights agreement requires that we use our reasonable best efforts to cause the applicable registration statement to be declared effective as promptly as possible by the Commission.</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registration rights agreement also requires that:</w:t>
      </w:r>
    </w:p>
    <w:p>
      <w:pPr>
        <w:spacing w:after="0" w:line="185" w:lineRule="exact"/>
        <w:rPr>
          <w:sz w:val="20"/>
          <w:szCs w:val="20"/>
          <w:color w:val="auto"/>
        </w:rPr>
      </w:pPr>
    </w:p>
    <w:p>
      <w:pPr>
        <w:ind w:left="660" w:right="2999" w:hanging="195"/>
        <w:spacing w:after="0" w:line="236" w:lineRule="auto"/>
        <w:tabs>
          <w:tab w:leader="none" w:pos="66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file this registration statement with the Commission on or prior to April 21, 1999, which we did;</w:t>
      </w:r>
    </w:p>
    <w:p>
      <w:pPr>
        <w:spacing w:after="0" w:line="184" w:lineRule="exact"/>
        <w:rPr>
          <w:rFonts w:ascii="Courier New" w:cs="Courier New" w:eastAsia="Courier New" w:hAnsi="Courier New"/>
          <w:sz w:val="16"/>
          <w:szCs w:val="16"/>
          <w:color w:val="auto"/>
        </w:rPr>
      </w:pPr>
    </w:p>
    <w:p>
      <w:pPr>
        <w:ind w:left="660" w:right="2999" w:hanging="195"/>
        <w:spacing w:after="0" w:line="237" w:lineRule="auto"/>
        <w:tabs>
          <w:tab w:leader="none" w:pos="66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use our reasonable best efforts to have this registration statement declared effective by the Commission on or prior to October 18, 1999, which we did not do;</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commence the exchange offer and use our reasonable best efforts to complete the exchange offer within 30 business days after the Commission declares this registration statement effective; and</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are required to file the registration statement covering resales by holders who cannot participate in the exchange offer, we will use our reasonable best efforts to file that registration statement on or prior to 30 days after the filing obligation arises and to cause that registration statement to be declared effective by the Commission within 90 days after the obligation arises.</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registration rights agreement further provides that we must pay liquidated damages in the form of additional interest to each holder of original notes if:</w:t>
      </w:r>
    </w:p>
    <w:p>
      <w:pPr>
        <w:spacing w:after="0" w:line="185" w:lineRule="exact"/>
        <w:rPr>
          <w:sz w:val="20"/>
          <w:szCs w:val="20"/>
          <w:color w:val="auto"/>
        </w:rPr>
      </w:pPr>
    </w:p>
    <w:p>
      <w:pPr>
        <w:ind w:left="660" w:right="2719" w:hanging="195"/>
        <w:spacing w:after="0" w:line="263" w:lineRule="auto"/>
        <w:tabs>
          <w:tab w:leader="none" w:pos="66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fail to file any of the registration statements required by the registration rights agreement on or before the date specified for filing;</w:t>
      </w:r>
    </w:p>
    <w:p>
      <w:pPr>
        <w:sectPr>
          <w:pgSz w:w="11900" w:h="16838" w:orient="portrait"/>
          <w:cols w:equalWidth="0" w:num="1">
            <w:col w:w="10219"/>
          </w:cols>
          <w:pgMar w:left="240" w:top="293" w:right="1440" w:bottom="1440" w:gutter="0" w:footer="0" w:header="0"/>
        </w:sectPr>
      </w:pPr>
    </w:p>
    <w:p>
      <w:pPr>
        <w:spacing w:after="0" w:line="169"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93" w:right="1440" w:bottom="1440" w:gutter="0" w:footer="0" w:header="0"/>
          <w:type w:val="continuous"/>
        </w:sectPr>
      </w:pPr>
    </w:p>
    <w:bookmarkStart w:id="48" w:name="page49"/>
    <w:bookmarkEnd w:id="48"/>
    <w:p>
      <w:pPr>
        <w:ind w:left="280"/>
        <w:spacing w:after="0"/>
        <w:rPr>
          <w:sz w:val="20"/>
          <w:szCs w:val="20"/>
          <w:color w:val="auto"/>
        </w:rPr>
      </w:pPr>
      <w:r>
        <w:rPr>
          <w:rFonts w:ascii="Courier New" w:cs="Courier New" w:eastAsia="Courier New" w:hAnsi="Courier New"/>
          <w:sz w:val="16"/>
          <w:szCs w:val="16"/>
          <w:color w:val="auto"/>
        </w:rPr>
        <w:t>47</w:t>
      </w:r>
    </w:p>
    <w:p>
      <w:pPr>
        <w:spacing w:after="0" w:line="185" w:lineRule="exact"/>
        <w:rPr>
          <w:sz w:val="20"/>
          <w:szCs w:val="20"/>
          <w:color w:val="auto"/>
        </w:rPr>
      </w:pPr>
    </w:p>
    <w:p>
      <w:pPr>
        <w:ind w:left="660" w:right="3279" w:hanging="195"/>
        <w:spacing w:after="0" w:line="263" w:lineRule="auto"/>
        <w:tabs>
          <w:tab w:leader="none" w:pos="66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 the registration statements is not declared effective by the Commission on or prior to the date specified for effectiveness;</w:t>
      </w:r>
    </w:p>
    <w:p>
      <w:pPr>
        <w:spacing w:after="0" w:line="168" w:lineRule="exact"/>
        <w:rPr>
          <w:rFonts w:ascii="Courier New" w:cs="Courier New" w:eastAsia="Courier New" w:hAnsi="Courier New"/>
          <w:sz w:val="15"/>
          <w:szCs w:val="15"/>
          <w:color w:val="auto"/>
        </w:rPr>
      </w:pPr>
    </w:p>
    <w:p>
      <w:pPr>
        <w:ind w:left="660" w:right="3279" w:hanging="195"/>
        <w:spacing w:after="0" w:line="236" w:lineRule="auto"/>
        <w:tabs>
          <w:tab w:leader="none" w:pos="66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fail to consummate the exchange offer within 30 business days of October 18, 1999; or</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one of the registration statements is declared effective but ceases to be effective or usable in connection with resales of original notes during the periods specified in the registration rights agreement.</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amount of liquidated damages will be $.05 per week per $1,000 principal amount of notes held by each holder for the first 90-day period immediately following the event requiring payment of liquidated damages. Liquidated damages will increase by $.05 per week per $1,000 principal amount of notes for each subsequent 90-day period until all defaults under the registration rights agreement have been cured, up to a maximum amount of liquidated damages $.50 per week per $1,000 principal amount of notes. All accrued liquidated damages will be paid to DTC or another holder of a global note by wire transfer of immediately available funds or by federal funds check and to holders of certificated notes by wire transfer to the accounts specified by them or by mailing checks to their registered addresses if no accounts have been specified. Following the cure of all defaults under the registration rights agreement, the accrual of liquidated damages will cease.</w:t>
      </w:r>
    </w:p>
    <w:p>
      <w:pPr>
        <w:spacing w:after="0" w:line="36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Because we were unable to have the registration statement of which this prospectus is a part declared effective by October 18, 1999, we began accruing liquidated damages as of October 19, 1999. As of May 27, 2000 the total amount of liquidated damages has been approximately $900,000, all of which will be paid out in accordance with the terms of the indenture. The liquidated damages will stop accruing upon the effective date of the registration statement of which this prospectus is a part.</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DEFINITIONS</w:t>
      </w:r>
    </w:p>
    <w:p>
      <w:pPr>
        <w:spacing w:after="0" w:line="185" w:lineRule="exact"/>
        <w:rPr>
          <w:sz w:val="20"/>
          <w:szCs w:val="20"/>
          <w:color w:val="auto"/>
        </w:rPr>
      </w:pPr>
    </w:p>
    <w:p>
      <w:pPr>
        <w:ind w:right="2899" w:firstLine="469"/>
        <w:spacing w:after="0" w:line="259" w:lineRule="auto"/>
        <w:rPr>
          <w:sz w:val="20"/>
          <w:szCs w:val="20"/>
          <w:color w:val="auto"/>
        </w:rPr>
      </w:pPr>
      <w:r>
        <w:rPr>
          <w:rFonts w:ascii="Courier New" w:cs="Courier New" w:eastAsia="Courier New" w:hAnsi="Courier New"/>
          <w:sz w:val="15"/>
          <w:szCs w:val="15"/>
          <w:color w:val="auto"/>
        </w:rPr>
        <w:t>Set forth below are defined terms used in the indenture that we have used in this description of the indenture. The indenture includes many more definitions that you should review but that are not used in this description.</w:t>
      </w:r>
    </w:p>
    <w:p>
      <w:pPr>
        <w:spacing w:after="0" w:line="16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"Asset Sale" means:</w:t>
      </w:r>
    </w:p>
    <w:p>
      <w:pPr>
        <w:spacing w:after="0" w:line="185" w:lineRule="exact"/>
        <w:rPr>
          <w:sz w:val="20"/>
          <w:szCs w:val="20"/>
          <w:color w:val="auto"/>
        </w:rPr>
      </w:pPr>
    </w:p>
    <w:p>
      <w:pPr>
        <w:ind w:left="940" w:right="3179" w:hanging="193"/>
        <w:spacing w:after="0" w:line="237" w:lineRule="auto"/>
        <w:tabs>
          <w:tab w:leader="none" w:pos="94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lease, conveyance or other disposition of any assets or rights, other than sales of inventory in the ordinary course of business consistent with past practices; and</w:t>
      </w:r>
    </w:p>
    <w:p>
      <w:pPr>
        <w:spacing w:after="0" w:line="184" w:lineRule="exact"/>
        <w:rPr>
          <w:rFonts w:ascii="Courier New" w:cs="Courier New" w:eastAsia="Courier New" w:hAnsi="Courier New"/>
          <w:sz w:val="16"/>
          <w:szCs w:val="16"/>
          <w:color w:val="auto"/>
        </w:rPr>
      </w:pPr>
    </w:p>
    <w:p>
      <w:pPr>
        <w:ind w:left="940" w:right="2719" w:hanging="193"/>
        <w:spacing w:after="0" w:line="263" w:lineRule="auto"/>
        <w:tabs>
          <w:tab w:leader="none" w:pos="94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equity interests by any of our restricted subsidiaries or the sale of equity interests in any of our subsidiaries.</w:t>
      </w:r>
    </w:p>
    <w:p>
      <w:pPr>
        <w:spacing w:after="0" w:line="16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Despite this definition, the following do not constitute "Asset Sales":</w:t>
      </w:r>
    </w:p>
    <w:p>
      <w:pPr>
        <w:spacing w:after="0" w:line="185" w:lineRule="exact"/>
        <w:rPr>
          <w:sz w:val="20"/>
          <w:szCs w:val="20"/>
          <w:color w:val="auto"/>
        </w:rPr>
      </w:pPr>
    </w:p>
    <w:p>
      <w:pPr>
        <w:jc w:val="both"/>
        <w:ind w:left="940" w:right="2719" w:hanging="193"/>
        <w:spacing w:after="0" w:line="237" w:lineRule="auto"/>
        <w:tabs>
          <w:tab w:leader="none" w:pos="94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single transaction or series of related transactions that involves assets having a fair market value of less than $2.5 million or results in net proceeds of less than $2.5 million;</w:t>
      </w:r>
    </w:p>
    <w:p>
      <w:pPr>
        <w:spacing w:after="0" w:line="184" w:lineRule="exact"/>
        <w:rPr>
          <w:rFonts w:ascii="Courier New" w:cs="Courier New" w:eastAsia="Courier New" w:hAnsi="Courier New"/>
          <w:sz w:val="16"/>
          <w:szCs w:val="16"/>
          <w:color w:val="auto"/>
        </w:rPr>
      </w:pPr>
    </w:p>
    <w:p>
      <w:pPr>
        <w:ind w:left="940" w:right="2719" w:hanging="193"/>
        <w:spacing w:after="0" w:line="236" w:lineRule="auto"/>
        <w:tabs>
          <w:tab w:leader="none" w:pos="94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most transfers of assets within the group consisting of Scotts and its restricted subsidiaries;</w:t>
      </w:r>
    </w:p>
    <w:p>
      <w:pPr>
        <w:spacing w:after="0" w:line="184" w:lineRule="exact"/>
        <w:rPr>
          <w:rFonts w:ascii="Courier New" w:cs="Courier New" w:eastAsia="Courier New" w:hAnsi="Courier New"/>
          <w:sz w:val="16"/>
          <w:szCs w:val="16"/>
          <w:color w:val="auto"/>
        </w:rPr>
      </w:pPr>
    </w:p>
    <w:p>
      <w:pPr>
        <w:ind w:left="940" w:right="2819" w:hanging="193"/>
        <w:spacing w:after="0" w:line="237" w:lineRule="auto"/>
        <w:tabs>
          <w:tab w:leader="none" w:pos="94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issuance of equity interests by a restricted subsidiary to Scotts Company or to a another restricted subsidiary as long as it is wholly owned by Scotts;</w:t>
      </w:r>
    </w:p>
    <w:p>
      <w:pPr>
        <w:spacing w:after="0" w:line="184" w:lineRule="exact"/>
        <w:rPr>
          <w:rFonts w:ascii="Courier New" w:cs="Courier New" w:eastAsia="Courier New" w:hAnsi="Courier New"/>
          <w:sz w:val="16"/>
          <w:szCs w:val="16"/>
          <w:color w:val="auto"/>
        </w:rPr>
      </w:pPr>
    </w:p>
    <w:p>
      <w:pPr>
        <w:ind w:left="940" w:right="2719" w:hanging="193"/>
        <w:spacing w:after="0" w:line="259" w:lineRule="auto"/>
        <w:tabs>
          <w:tab w:leader="none" w:pos="94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transfer or discount of any receivables to lenders under any of our credit facilities or to special purpose entities formed to borrow from lenders under credit facilities against the receivables;</w:t>
      </w:r>
    </w:p>
    <w:p>
      <w:pPr>
        <w:spacing w:after="0" w:line="171" w:lineRule="exact"/>
        <w:rPr>
          <w:rFonts w:ascii="Courier New" w:cs="Courier New" w:eastAsia="Courier New" w:hAnsi="Courier New"/>
          <w:sz w:val="15"/>
          <w:szCs w:val="15"/>
          <w:color w:val="auto"/>
        </w:rPr>
      </w:pPr>
    </w:p>
    <w:p>
      <w:pPr>
        <w:ind w:left="940" w:right="2719" w:hanging="193"/>
        <w:spacing w:after="0" w:line="237" w:lineRule="auto"/>
        <w:tabs>
          <w:tab w:leader="none" w:pos="94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sale of assets by Scotts or any of its restricted subsidiaries prior to September 30, 2002 for fair market value and as long as the aggregate fair market value of all assets sold in any fiscal year does not exceed an amount equal to:</w:t>
      </w:r>
    </w:p>
    <w:p>
      <w:pPr>
        <w:spacing w:after="0" w:line="180" w:lineRule="exact"/>
        <w:rPr>
          <w:rFonts w:ascii="Courier New" w:cs="Courier New" w:eastAsia="Courier New" w:hAnsi="Courier New"/>
          <w:sz w:val="16"/>
          <w:szCs w:val="16"/>
          <w:color w:val="auto"/>
        </w:rPr>
      </w:pPr>
    </w:p>
    <w:p>
      <w:pPr>
        <w:ind w:left="1400" w:hanging="184"/>
        <w:spacing w:after="0"/>
        <w:tabs>
          <w:tab w:leader="none" w:pos="1400"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$25,000,000 for fiscal 1999, and</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93" w:right="1440" w:bottom="1440" w:gutter="0" w:footer="0" w:header="0"/>
          <w:type w:val="continuous"/>
        </w:sectPr>
      </w:pPr>
    </w:p>
    <w:bookmarkStart w:id="49" w:name="page50"/>
    <w:bookmarkEnd w:id="49"/>
    <w:p>
      <w:pPr>
        <w:ind w:left="280"/>
        <w:spacing w:after="0"/>
        <w:rPr>
          <w:sz w:val="20"/>
          <w:szCs w:val="20"/>
          <w:color w:val="auto"/>
        </w:rPr>
      </w:pPr>
      <w:r>
        <w:rPr>
          <w:rFonts w:ascii="Courier New" w:cs="Courier New" w:eastAsia="Courier New" w:hAnsi="Courier New"/>
          <w:sz w:val="16"/>
          <w:szCs w:val="16"/>
          <w:color w:val="auto"/>
        </w:rPr>
        <w:t>48</w:t>
      </w:r>
    </w:p>
    <w:p>
      <w:pPr>
        <w:spacing w:after="0" w:line="185" w:lineRule="exact"/>
        <w:rPr>
          <w:sz w:val="20"/>
          <w:szCs w:val="20"/>
          <w:color w:val="auto"/>
        </w:rPr>
      </w:pPr>
    </w:p>
    <w:p>
      <w:pPr>
        <w:ind w:left="1400" w:right="2719" w:hanging="184"/>
        <w:spacing w:after="0" w:line="237" w:lineRule="auto"/>
        <w:tabs>
          <w:tab w:leader="none" w:pos="1400"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each fiscal year ended September 30, 2000, 2001 and 2002, the sum of $25,000,000 plus the difference between $25,000,000 and the aggregate consideration received by the Scotts and its restricted subsidiaries for all sales of assets during the previous fiscal year;</w:t>
      </w:r>
    </w:p>
    <w:p>
      <w:pPr>
        <w:spacing w:after="0" w:line="187" w:lineRule="exact"/>
        <w:rPr>
          <w:rFonts w:ascii="Courier New" w:cs="Courier New" w:eastAsia="Courier New" w:hAnsi="Courier New"/>
          <w:sz w:val="16"/>
          <w:szCs w:val="16"/>
          <w:color w:val="auto"/>
        </w:rPr>
      </w:pPr>
    </w:p>
    <w:p>
      <w:pPr>
        <w:ind w:left="940" w:right="2719" w:hanging="193"/>
        <w:spacing w:after="0" w:line="236" w:lineRule="auto"/>
        <w:tabs>
          <w:tab w:leader="none" w:pos="94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restricted payment that is permitted by the covenant described above under the caption " -- Restricted Payments"; and</w:t>
      </w:r>
    </w:p>
    <w:p>
      <w:pPr>
        <w:spacing w:after="0" w:line="184" w:lineRule="exact"/>
        <w:rPr>
          <w:rFonts w:ascii="Courier New" w:cs="Courier New" w:eastAsia="Courier New" w:hAnsi="Courier New"/>
          <w:sz w:val="16"/>
          <w:szCs w:val="16"/>
          <w:color w:val="auto"/>
        </w:rPr>
      </w:pPr>
    </w:p>
    <w:p>
      <w:pPr>
        <w:ind w:left="940" w:right="3099" w:hanging="193"/>
        <w:spacing w:after="0" w:line="259" w:lineRule="auto"/>
        <w:tabs>
          <w:tab w:leader="none" w:pos="94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disposition of inventory in the ordinary course of business or a disposition of obsolete equipment or equipment that is no longer useful and that is disposed of in the ordinary course of business.</w:t>
      </w:r>
    </w:p>
    <w:p>
      <w:pPr>
        <w:spacing w:after="0" w:line="171"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"Attributable Debt" in respect of a sale and leaseback transaction means, at the time of determination, the present value of the obligation of the lessee for net rental payments during the remaining term of the lease included in the sale and leaseback transaction. This present value will be calculated using a discount rate equal to the rate of interest implicit in the transaction, determined in accordance with GAAP.</w:t>
      </w:r>
    </w:p>
    <w:p>
      <w:pPr>
        <w:spacing w:after="0" w:line="18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"Capital Lease Obligation" means, at the time of determination, the amount of the liability for a capital lease that would at that time be required to be capitalized on a balance sheet in accordance with GAAP.</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"Change of Control" means the occurrence of any of the following:</w:t>
      </w:r>
    </w:p>
    <w:p>
      <w:pPr>
        <w:spacing w:after="0" w:line="185" w:lineRule="exact"/>
        <w:rPr>
          <w:sz w:val="20"/>
          <w:szCs w:val="20"/>
          <w:color w:val="auto"/>
        </w:rPr>
      </w:pPr>
    </w:p>
    <w:p>
      <w:pPr>
        <w:ind w:left="940" w:right="2719" w:hanging="193"/>
        <w:spacing w:after="0" w:line="237" w:lineRule="auto"/>
        <w:tabs>
          <w:tab w:leader="none" w:pos="94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lease, transfer, conveyance or other disposition other than by way of merger or consolidation of all or substantially all of the assets of Scotts and its restricted subsidiaries taken as a whole to any person or entity other than the Hagedorn Partnership, L.P., or any of its partners or affiliates;</w:t>
      </w:r>
    </w:p>
    <w:p>
      <w:pPr>
        <w:spacing w:after="0" w:line="187" w:lineRule="exact"/>
        <w:rPr>
          <w:rFonts w:ascii="Courier New" w:cs="Courier New" w:eastAsia="Courier New" w:hAnsi="Courier New"/>
          <w:sz w:val="16"/>
          <w:szCs w:val="16"/>
          <w:color w:val="auto"/>
        </w:rPr>
      </w:pPr>
    </w:p>
    <w:p>
      <w:pPr>
        <w:ind w:left="940" w:right="2899" w:hanging="193"/>
        <w:spacing w:after="0" w:line="236" w:lineRule="auto"/>
        <w:tabs>
          <w:tab w:leader="none" w:pos="94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adoption of a plan relating to the liquidation or dissolution of Scotts;</w:t>
      </w:r>
    </w:p>
    <w:p>
      <w:pPr>
        <w:spacing w:after="0" w:line="184" w:lineRule="exact"/>
        <w:rPr>
          <w:rFonts w:ascii="Courier New" w:cs="Courier New" w:eastAsia="Courier New" w:hAnsi="Courier New"/>
          <w:sz w:val="16"/>
          <w:szCs w:val="16"/>
          <w:color w:val="auto"/>
        </w:rPr>
      </w:pPr>
    </w:p>
    <w:p>
      <w:pPr>
        <w:ind w:left="940" w:right="2819" w:hanging="193"/>
        <w:spacing w:after="0" w:line="237" w:lineRule="auto"/>
        <w:tabs>
          <w:tab w:leader="none" w:pos="94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consummation of any transaction the result of which is that any person or entity other than the Hagedorn Partnership, L.P., or any of its partners or affiliates acquires beneficial ownership of more than 30% of the voting stock of Scotts, measured by voting power rather than number of shares;</w:t>
      </w:r>
    </w:p>
    <w:p>
      <w:pPr>
        <w:spacing w:after="0" w:line="187" w:lineRule="exact"/>
        <w:rPr>
          <w:rFonts w:ascii="Courier New" w:cs="Courier New" w:eastAsia="Courier New" w:hAnsi="Courier New"/>
          <w:sz w:val="16"/>
          <w:szCs w:val="16"/>
          <w:color w:val="auto"/>
        </w:rPr>
      </w:pPr>
    </w:p>
    <w:p>
      <w:pPr>
        <w:ind w:left="940" w:right="3279" w:hanging="193"/>
        <w:spacing w:after="0" w:line="236" w:lineRule="auto"/>
        <w:tabs>
          <w:tab w:leader="none" w:pos="94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first day on which a majority of the members of the Board of Directors of Scotts are not "Continuing Directors"; or</w:t>
      </w:r>
    </w:p>
    <w:p>
      <w:pPr>
        <w:spacing w:after="0" w:line="184" w:lineRule="exact"/>
        <w:rPr>
          <w:rFonts w:ascii="Courier New" w:cs="Courier New" w:eastAsia="Courier New" w:hAnsi="Courier New"/>
          <w:sz w:val="16"/>
          <w:szCs w:val="16"/>
          <w:color w:val="auto"/>
        </w:rPr>
      </w:pPr>
    </w:p>
    <w:p>
      <w:pPr>
        <w:ind w:left="940" w:right="2819" w:hanging="193"/>
        <w:spacing w:after="0" w:line="238" w:lineRule="auto"/>
        <w:tabs>
          <w:tab w:leader="none" w:pos="94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consolidation or merger of Scotts with or into any entity, or the consolidation or merger of any entity with or into the Scotts, in which any of the outstanding voting stock of Scotts is converted into or exchanged for cash, securities or other property, except where the Scotts shareholder would continue to control a majority of the outstanding shares of voting stock of the surviving or transferee entity.</w:t>
      </w:r>
    </w:p>
    <w:p>
      <w:pPr>
        <w:spacing w:after="0" w:line="185"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"Consolidated Cash Flow" is similar to EBITDA before extraordinary items. Specifically, it means, as applied to Scotts, the "Consolidated Net Income" of Scotts for the applicable period plus:</w:t>
      </w:r>
    </w:p>
    <w:p>
      <w:pPr>
        <w:spacing w:after="0" w:line="185" w:lineRule="exact"/>
        <w:rPr>
          <w:sz w:val="20"/>
          <w:szCs w:val="20"/>
          <w:color w:val="auto"/>
        </w:rPr>
      </w:pPr>
    </w:p>
    <w:p>
      <w:pPr>
        <w:ind w:left="940" w:right="2719" w:hanging="193"/>
        <w:spacing w:after="0" w:line="237" w:lineRule="auto"/>
        <w:tabs>
          <w:tab w:leader="none" w:pos="94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extraordinary gain or loss and any net gain or loss realized in connection with an "Asset Sale" or any other asset sale involving more than $2.5 million, if these gains or losses were excluded in computing "Consolidated Net Income"; plus</w:t>
      </w:r>
    </w:p>
    <w:p>
      <w:pPr>
        <w:spacing w:after="0" w:line="185" w:lineRule="exact"/>
        <w:rPr>
          <w:rFonts w:ascii="Courier New" w:cs="Courier New" w:eastAsia="Courier New" w:hAnsi="Courier New"/>
          <w:sz w:val="16"/>
          <w:szCs w:val="16"/>
          <w:color w:val="auto"/>
        </w:rPr>
      </w:pPr>
    </w:p>
    <w:p>
      <w:pPr>
        <w:jc w:val="both"/>
        <w:ind w:left="940" w:right="2819" w:hanging="193"/>
        <w:spacing w:after="0" w:line="259" w:lineRule="auto"/>
        <w:tabs>
          <w:tab w:leader="none" w:pos="94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 for income taxes for Scotts and its restricted subsidiaries for the applicable period to the extent that this provision for taxes was deducted in computing "Consolidated Net Income"; plus</w:t>
      </w:r>
    </w:p>
    <w:p>
      <w:pPr>
        <w:spacing w:after="0" w:line="171" w:lineRule="exact"/>
        <w:rPr>
          <w:rFonts w:ascii="Courier New" w:cs="Courier New" w:eastAsia="Courier New" w:hAnsi="Courier New"/>
          <w:sz w:val="15"/>
          <w:szCs w:val="15"/>
          <w:color w:val="auto"/>
        </w:rPr>
      </w:pPr>
    </w:p>
    <w:p>
      <w:pPr>
        <w:ind w:left="940" w:right="2999" w:hanging="193"/>
        <w:spacing w:after="0" w:line="237" w:lineRule="auto"/>
        <w:tabs>
          <w:tab w:leader="none" w:pos="94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consolidated net interest expense of Scotts and its restricted subsidiaries for the applicable period, whether paid or accrued and whether or not capitalized to the extent deducted in computing "Consolidated Net Income"; plus</w:t>
      </w:r>
    </w:p>
    <w:p>
      <w:pPr>
        <w:spacing w:after="0" w:line="185" w:lineRule="exact"/>
        <w:rPr>
          <w:rFonts w:ascii="Courier New" w:cs="Courier New" w:eastAsia="Courier New" w:hAnsi="Courier New"/>
          <w:sz w:val="16"/>
          <w:szCs w:val="16"/>
          <w:color w:val="auto"/>
        </w:rPr>
      </w:pPr>
    </w:p>
    <w:p>
      <w:pPr>
        <w:ind w:left="940" w:right="2719" w:hanging="193"/>
        <w:spacing w:after="0" w:line="237" w:lineRule="auto"/>
        <w:tabs>
          <w:tab w:leader="none" w:pos="94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depreciation, amortization other non-cash expense and restructuring charges recorded in Scotts' fourth fiscal quarter of fiscal 1998 in an amount not to exceed $20.4 million in the aggregate for the applicable period to the extent that this depreciation, amortization and other non-cash</w:t>
      </w:r>
    </w:p>
    <w:p>
      <w:pPr>
        <w:sectPr>
          <w:pgSz w:w="11900" w:h="16838" w:orient="portrait"/>
          <w:cols w:equalWidth="0" w:num="1">
            <w:col w:w="10219"/>
          </w:cols>
          <w:pgMar w:left="240" w:top="293" w:right="1440" w:bottom="1440" w:gutter="0" w:footer="0" w:header="0"/>
        </w:sectPr>
      </w:pPr>
    </w:p>
    <w:p>
      <w:pPr>
        <w:spacing w:after="0" w:line="187"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93" w:right="1440" w:bottom="1440" w:gutter="0" w:footer="0" w:header="0"/>
          <w:type w:val="continuous"/>
        </w:sectPr>
      </w:pPr>
    </w:p>
    <w:bookmarkStart w:id="50" w:name="page51"/>
    <w:bookmarkEnd w:id="50"/>
    <w:p>
      <w:pPr>
        <w:ind w:left="280"/>
        <w:spacing w:after="0"/>
        <w:rPr>
          <w:sz w:val="20"/>
          <w:szCs w:val="20"/>
          <w:color w:val="auto"/>
        </w:rPr>
      </w:pPr>
      <w:r>
        <w:rPr>
          <w:rFonts w:ascii="Courier New" w:cs="Courier New" w:eastAsia="Courier New" w:hAnsi="Courier New"/>
          <w:sz w:val="16"/>
          <w:szCs w:val="16"/>
          <w:color w:val="auto"/>
        </w:rPr>
        <w:t>49</w:t>
      </w:r>
    </w:p>
    <w:p>
      <w:pPr>
        <w:spacing w:after="0" w:line="185" w:lineRule="exact"/>
        <w:rPr>
          <w:sz w:val="20"/>
          <w:szCs w:val="20"/>
          <w:color w:val="auto"/>
        </w:rPr>
      </w:pPr>
    </w:p>
    <w:p>
      <w:pPr>
        <w:ind w:left="940" w:right="2719"/>
        <w:spacing w:after="0" w:line="238" w:lineRule="auto"/>
        <w:rPr>
          <w:sz w:val="20"/>
          <w:szCs w:val="20"/>
          <w:color w:val="auto"/>
        </w:rPr>
      </w:pPr>
      <w:r>
        <w:rPr>
          <w:rFonts w:ascii="Courier New" w:cs="Courier New" w:eastAsia="Courier New" w:hAnsi="Courier New"/>
          <w:sz w:val="16"/>
          <w:szCs w:val="16"/>
          <w:color w:val="auto"/>
        </w:rPr>
        <w:t>expenses were deducted in computing "Consolidated Net Income". Amortization includes amortization of goodwill and other intangibles but excludes amortization of prepaid cash expenses that were paid in a prior period. Non-cash expenses includes any non-cash expense to the extent that it represents an accrual of or reserve for cash expenses in any future period or amortization of a prepaid cash expense that was paid in a prior period; minus</w:t>
      </w:r>
    </w:p>
    <w:p>
      <w:pPr>
        <w:spacing w:after="0" w:line="185" w:lineRule="exact"/>
        <w:rPr>
          <w:sz w:val="20"/>
          <w:szCs w:val="20"/>
          <w:color w:val="auto"/>
        </w:rPr>
      </w:pPr>
    </w:p>
    <w:p>
      <w:pPr>
        <w:ind w:left="940" w:right="2719" w:hanging="193"/>
        <w:spacing w:after="0" w:line="237" w:lineRule="auto"/>
        <w:tabs>
          <w:tab w:leader="none" w:pos="94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non-cash items increasing "Consolidated Net Income" for the applicable period, other than items that were accrued in the ordinary course of business on a consolidated basis and determined in accordance with GAAP.</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calculating "Consolidated Cash Flow," the provision for income taxes of, and the depreciation and amortization and other non-cash charges of, a restricted subsidiary of Scotts will be added to "Consolidated Net Income" to compute "Consolidated Cash Flow" only to the extent that a corresponding amount would be permitted at the date of determination to be dividended to Scotts by the restricted subsidiary pursuant to the terms of its charter and all agreements, instruments, judgments, decrees, orders, statutes, rules and governmental regulations applicable to that subsidiary or its stockholders, other than restrictions in effect as of January 21, 1999 and other than restrictions that are created or exist in compliance with the covenant under the caption "Dividends and Other Payment Restrictions Affecting Subsidiaries".</w:t>
      </w:r>
    </w:p>
    <w:p>
      <w:pPr>
        <w:spacing w:after="0" w:line="187"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"Consolidated Net Income" means, as to Scotts, the aggregate of the "Net Income" of Scotts and its restricted subsidiaries on a consolidated basis determined in accordance with GAAP, with the following exceptions:</w:t>
      </w:r>
    </w:p>
    <w:p>
      <w:pPr>
        <w:spacing w:after="0" w:line="185" w:lineRule="exact"/>
        <w:rPr>
          <w:sz w:val="20"/>
          <w:szCs w:val="20"/>
          <w:color w:val="auto"/>
        </w:rPr>
      </w:pPr>
    </w:p>
    <w:p>
      <w:pPr>
        <w:ind w:left="940" w:right="2719" w:hanging="193"/>
        <w:spacing w:after="0" w:line="237" w:lineRule="auto"/>
        <w:tabs>
          <w:tab w:leader="none" w:pos="94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 Income," but not loss of any entity that is not a restricted subsidiary or that is accounted for by the equity method of accounting shall be included only to the extent of the amount of dividends or distributions paid in cash to Scotts or one of its restricted subsidiaries;</w:t>
      </w:r>
    </w:p>
    <w:p>
      <w:pPr>
        <w:spacing w:after="0" w:line="187" w:lineRule="exact"/>
        <w:rPr>
          <w:rFonts w:ascii="Courier New" w:cs="Courier New" w:eastAsia="Courier New" w:hAnsi="Courier New"/>
          <w:sz w:val="16"/>
          <w:szCs w:val="16"/>
          <w:color w:val="auto"/>
        </w:rPr>
      </w:pPr>
    </w:p>
    <w:p>
      <w:pPr>
        <w:ind w:left="940" w:right="2719" w:hanging="193"/>
        <w:spacing w:after="0" w:line="237" w:lineRule="auto"/>
        <w:tabs>
          <w:tab w:leader="none" w:pos="94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 Income" of any restricted subsidiary will be excluded to the extent that the restricted subsidiary could not dividend or distribute its "Net Income" to Scotts under applicable law, its agreements or the indenture;</w:t>
      </w:r>
    </w:p>
    <w:p>
      <w:pPr>
        <w:spacing w:after="0" w:line="185" w:lineRule="exact"/>
        <w:rPr>
          <w:rFonts w:ascii="Courier New" w:cs="Courier New" w:eastAsia="Courier New" w:hAnsi="Courier New"/>
          <w:sz w:val="16"/>
          <w:szCs w:val="16"/>
          <w:color w:val="auto"/>
        </w:rPr>
      </w:pPr>
    </w:p>
    <w:p>
      <w:pPr>
        <w:ind w:left="940" w:right="2819" w:hanging="193"/>
        <w:spacing w:after="0" w:line="237" w:lineRule="auto"/>
        <w:tabs>
          <w:tab w:leader="none" w:pos="94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 Income" of any entity acquired in a pooling of interests transaction for any period prior to the date of the acquisition shall be excluded;</w:t>
      </w:r>
    </w:p>
    <w:p>
      <w:pPr>
        <w:spacing w:after="0" w:line="184" w:lineRule="exact"/>
        <w:rPr>
          <w:rFonts w:ascii="Courier New" w:cs="Courier New" w:eastAsia="Courier New" w:hAnsi="Courier New"/>
          <w:sz w:val="16"/>
          <w:szCs w:val="16"/>
          <w:color w:val="auto"/>
        </w:rPr>
      </w:pPr>
    </w:p>
    <w:p>
      <w:pPr>
        <w:ind w:left="940" w:right="2899" w:hanging="193"/>
        <w:spacing w:after="0" w:line="236" w:lineRule="auto"/>
        <w:tabs>
          <w:tab w:leader="none" w:pos="94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 Income" but not loss of any unrestricted subsidiary will be excluded, whether or not distributed to the Scotts;</w:t>
      </w:r>
    </w:p>
    <w:p>
      <w:pPr>
        <w:spacing w:after="0" w:line="184" w:lineRule="exact"/>
        <w:rPr>
          <w:rFonts w:ascii="Courier New" w:cs="Courier New" w:eastAsia="Courier New" w:hAnsi="Courier New"/>
          <w:sz w:val="16"/>
          <w:szCs w:val="16"/>
          <w:color w:val="auto"/>
        </w:rPr>
      </w:pPr>
    </w:p>
    <w:p>
      <w:pPr>
        <w:ind w:left="940" w:right="3099" w:hanging="193"/>
        <w:spacing w:after="0" w:line="237" w:lineRule="auto"/>
        <w:tabs>
          <w:tab w:leader="none" w:pos="94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restructuring charges and write-offs recorded prior to January 21, 2000, in an aggregate amount of $12.5 million or less will be excluded; and</w:t>
      </w:r>
    </w:p>
    <w:p>
      <w:pPr>
        <w:spacing w:after="0" w:line="184" w:lineRule="exact"/>
        <w:rPr>
          <w:rFonts w:ascii="Courier New" w:cs="Courier New" w:eastAsia="Courier New" w:hAnsi="Courier New"/>
          <w:sz w:val="16"/>
          <w:szCs w:val="16"/>
          <w:color w:val="auto"/>
        </w:rPr>
      </w:pPr>
    </w:p>
    <w:p>
      <w:pPr>
        <w:ind w:left="940" w:right="3099" w:hanging="193"/>
        <w:spacing w:after="0" w:line="236" w:lineRule="auto"/>
        <w:tabs>
          <w:tab w:leader="none" w:pos="94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cumulative effect of a change in accounting principles will be excluded.</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"Continuing Directors" means any member of the Board of Directors of Scotts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who:</w:t>
      </w:r>
    </w:p>
    <w:p>
      <w:pPr>
        <w:spacing w:after="0" w:line="179" w:lineRule="exact"/>
        <w:rPr>
          <w:sz w:val="20"/>
          <w:szCs w:val="20"/>
          <w:color w:val="auto"/>
        </w:rPr>
      </w:pPr>
    </w:p>
    <w:p>
      <w:pPr>
        <w:ind w:left="940" w:hanging="193"/>
        <w:spacing w:after="0"/>
        <w:tabs>
          <w:tab w:leader="none" w:pos="94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 a member of the Board of Directors on January 21, 1999; or</w:t>
      </w:r>
    </w:p>
    <w:p>
      <w:pPr>
        <w:spacing w:after="0" w:line="184" w:lineRule="exact"/>
        <w:rPr>
          <w:rFonts w:ascii="Courier New" w:cs="Courier New" w:eastAsia="Courier New" w:hAnsi="Courier New"/>
          <w:sz w:val="16"/>
          <w:szCs w:val="16"/>
          <w:color w:val="auto"/>
        </w:rPr>
      </w:pPr>
    </w:p>
    <w:p>
      <w:pPr>
        <w:ind w:left="940" w:right="2899" w:hanging="193"/>
        <w:spacing w:after="0" w:line="259" w:lineRule="auto"/>
        <w:tabs>
          <w:tab w:leader="none" w:pos="94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nominated for election or elected to the Board of Directors with the approval of a majority of the "Continuing Directors" who were members of the Board at the time of the nomination or election.</w:t>
      </w:r>
    </w:p>
    <w:p>
      <w:pPr>
        <w:spacing w:after="0" w:line="171"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"Fixed Charges" means, as applied to Scotts, the sum, without duplication,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w:t>
      </w:r>
    </w:p>
    <w:p>
      <w:pPr>
        <w:spacing w:after="0" w:line="185" w:lineRule="exact"/>
        <w:rPr>
          <w:sz w:val="20"/>
          <w:szCs w:val="20"/>
          <w:color w:val="auto"/>
        </w:rPr>
      </w:pPr>
    </w:p>
    <w:p>
      <w:pPr>
        <w:ind w:left="940" w:right="2719" w:hanging="193"/>
        <w:spacing w:after="0" w:line="238" w:lineRule="auto"/>
        <w:tabs>
          <w:tab w:leader="none" w:pos="94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net interest expense of Scotts and its restricted subsidiaries for the applicable period including amortization of original issue discount, non-cash interest payments, the interest component of any deferred payment obligations, the interest component of all payments associated with "Capital Lease Obligations," imputed interest on "Attributable Debt," commissions, discounts and other fees and charges incurred on letter of credit or bankers' acceptance financings, and net payments on hedging obligations, but excluding amortization of debt issuance costs and other non-cash amortization; plus</w:t>
      </w:r>
    </w:p>
    <w:p>
      <w:pPr>
        <w:sectPr>
          <w:pgSz w:w="11900" w:h="16838" w:orient="portrait"/>
          <w:cols w:equalWidth="0" w:num="1">
            <w:col w:w="10219"/>
          </w:cols>
          <w:pgMar w:left="240" w:top="293" w:right="1440" w:bottom="1440" w:gutter="0" w:footer="0" w:header="0"/>
        </w:sectPr>
      </w:pPr>
    </w:p>
    <w:p>
      <w:pPr>
        <w:spacing w:after="0" w:line="187"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93" w:right="1440" w:bottom="1440" w:gutter="0" w:footer="0" w:header="0"/>
          <w:type w:val="continuous"/>
        </w:sectPr>
      </w:pPr>
    </w:p>
    <w:bookmarkStart w:id="51" w:name="page52"/>
    <w:bookmarkEnd w:id="51"/>
    <w:p>
      <w:pPr>
        <w:ind w:left="280"/>
        <w:spacing w:after="0"/>
        <w:rPr>
          <w:sz w:val="20"/>
          <w:szCs w:val="20"/>
          <w:color w:val="auto"/>
        </w:rPr>
      </w:pPr>
      <w:r>
        <w:rPr>
          <w:rFonts w:ascii="Courier New" w:cs="Courier New" w:eastAsia="Courier New" w:hAnsi="Courier New"/>
          <w:sz w:val="16"/>
          <w:szCs w:val="16"/>
          <w:color w:val="auto"/>
        </w:rPr>
        <w:t>50</w:t>
      </w:r>
    </w:p>
    <w:p>
      <w:pPr>
        <w:spacing w:after="0" w:line="185" w:lineRule="exact"/>
        <w:rPr>
          <w:sz w:val="20"/>
          <w:szCs w:val="20"/>
          <w:color w:val="auto"/>
        </w:rPr>
      </w:pPr>
    </w:p>
    <w:p>
      <w:pPr>
        <w:ind w:left="940" w:right="2999" w:hanging="193"/>
        <w:spacing w:after="0" w:line="263" w:lineRule="auto"/>
        <w:tabs>
          <w:tab w:leader="none" w:pos="94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interest of Scotts and its restricted subsidiaries that was capitalized during the applicable period; plus</w:t>
      </w:r>
    </w:p>
    <w:p>
      <w:pPr>
        <w:spacing w:after="0" w:line="168" w:lineRule="exact"/>
        <w:rPr>
          <w:rFonts w:ascii="Courier New" w:cs="Courier New" w:eastAsia="Courier New" w:hAnsi="Courier New"/>
          <w:sz w:val="15"/>
          <w:szCs w:val="15"/>
          <w:color w:val="auto"/>
        </w:rPr>
      </w:pPr>
    </w:p>
    <w:p>
      <w:pPr>
        <w:ind w:left="940" w:right="2819" w:hanging="193"/>
        <w:spacing w:after="0" w:line="237" w:lineRule="auto"/>
        <w:tabs>
          <w:tab w:leader="none" w:pos="94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expense on indebtedness of another entity that is guaranteed by Scotts or one of its restricted subsidiaries or secured by a lien on assets of Scotts or one of its restricted subsidiaries; plus</w:t>
      </w:r>
    </w:p>
    <w:p>
      <w:pPr>
        <w:spacing w:after="0" w:line="180" w:lineRule="exact"/>
        <w:rPr>
          <w:rFonts w:ascii="Courier New" w:cs="Courier New" w:eastAsia="Courier New" w:hAnsi="Courier New"/>
          <w:sz w:val="16"/>
          <w:szCs w:val="16"/>
          <w:color w:val="auto"/>
        </w:rPr>
      </w:pPr>
    </w:p>
    <w:p>
      <w:pPr>
        <w:ind w:left="940" w:hanging="193"/>
        <w:spacing w:after="0"/>
        <w:tabs>
          <w:tab w:leader="none" w:pos="94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product of:</w:t>
      </w:r>
    </w:p>
    <w:p>
      <w:pPr>
        <w:spacing w:after="0" w:line="184" w:lineRule="exact"/>
        <w:rPr>
          <w:rFonts w:ascii="Courier New" w:cs="Courier New" w:eastAsia="Courier New" w:hAnsi="Courier New"/>
          <w:sz w:val="16"/>
          <w:szCs w:val="16"/>
          <w:color w:val="auto"/>
        </w:rPr>
      </w:pPr>
    </w:p>
    <w:p>
      <w:pPr>
        <w:ind w:left="1400" w:right="2819" w:hanging="184"/>
        <w:spacing w:after="0" w:line="237" w:lineRule="auto"/>
        <w:tabs>
          <w:tab w:leader="none" w:pos="1400"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dividend payments, whether or not in cash, on any series of preferred stock of Scotts or any of its restricted subsidiaries, other than dividend payments on payable solely in non-redeemable capital stock of Scotts or to Scotts or a restricted subsidiary, times</w:t>
      </w:r>
    </w:p>
    <w:p>
      <w:pPr>
        <w:spacing w:after="0" w:line="187" w:lineRule="exact"/>
        <w:rPr>
          <w:rFonts w:ascii="Courier New" w:cs="Courier New" w:eastAsia="Courier New" w:hAnsi="Courier New"/>
          <w:sz w:val="16"/>
          <w:szCs w:val="16"/>
          <w:color w:val="auto"/>
        </w:rPr>
      </w:pPr>
    </w:p>
    <w:p>
      <w:pPr>
        <w:ind w:left="1400" w:right="2819" w:hanging="184"/>
        <w:spacing w:after="0" w:line="237" w:lineRule="auto"/>
        <w:tabs>
          <w:tab w:leader="none" w:pos="1400"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fraction, the numerator of which is one and the denominator of which is one minus the then current combined federal, state and local statutory tax rate of Scotts, expressed as a decimal, on a consolidated basis and in accordance with GAAP.</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"Fixed Charge Coverage Ratio," as applied to Scotts, means, the ratio of "Consolidated Cash Flow" to "Fixed Charges" for the applicable period. In the event that Scotts or any of its restricted subsidiaries incurs, assumes, guarantees or redeems any indebtedness other than revolving credit borrowings or issues or redeems preferred stock during the applicable period, then the "Fixed Charge Coverage Ratio" shall be calculated, based on the assumption that the incurrence, assumption, guarantee or redemption of Indebtedness, or such issuance or redemption of preferred stock, had occurred at the beginning of the applicable four-quarter reference period.</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 addition, for purposes of calculating the "Fixed Charge Coverage Ratio":</w:t>
      </w:r>
    </w:p>
    <w:p>
      <w:pPr>
        <w:spacing w:after="0" w:line="191" w:lineRule="exact"/>
        <w:rPr>
          <w:sz w:val="20"/>
          <w:szCs w:val="20"/>
          <w:color w:val="auto"/>
        </w:rPr>
      </w:pPr>
    </w:p>
    <w:p>
      <w:pPr>
        <w:ind w:left="940" w:right="2899" w:hanging="193"/>
        <w:spacing w:after="0" w:line="237" w:lineRule="auto"/>
        <w:tabs>
          <w:tab w:leader="none" w:pos="94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 by Scotts or any of its restricted subsidiaries and any related financing transactions that occurs during the applicable period will be assumed to have occurred on the first day of the four-quarter reference period;</w:t>
      </w:r>
    </w:p>
    <w:p>
      <w:pPr>
        <w:spacing w:after="0" w:line="185" w:lineRule="exact"/>
        <w:rPr>
          <w:rFonts w:ascii="Courier New" w:cs="Courier New" w:eastAsia="Courier New" w:hAnsi="Courier New"/>
          <w:sz w:val="16"/>
          <w:szCs w:val="16"/>
          <w:color w:val="auto"/>
        </w:rPr>
      </w:pPr>
    </w:p>
    <w:p>
      <w:pPr>
        <w:ind w:left="940" w:right="2819" w:hanging="193"/>
        <w:spacing w:after="0" w:line="237" w:lineRule="auto"/>
        <w:tabs>
          <w:tab w:leader="none" w:pos="94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Cash Flow" attributable to discontinued operations, as determined in accordance with GAAP, and operations or businesses disposed of prior to the date triggering calculation of the "Fixed Charge Coverage Ratio" will be excluded; and</w:t>
      </w:r>
    </w:p>
    <w:p>
      <w:pPr>
        <w:spacing w:after="0" w:line="185" w:lineRule="exact"/>
        <w:rPr>
          <w:rFonts w:ascii="Courier New" w:cs="Courier New" w:eastAsia="Courier New" w:hAnsi="Courier New"/>
          <w:sz w:val="16"/>
          <w:szCs w:val="16"/>
          <w:color w:val="auto"/>
        </w:rPr>
      </w:pPr>
    </w:p>
    <w:p>
      <w:pPr>
        <w:ind w:left="940" w:right="2819" w:hanging="193"/>
        <w:spacing w:after="0" w:line="238" w:lineRule="auto"/>
        <w:tabs>
          <w:tab w:leader="none" w:pos="94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"Fixed Charges" attributable to discontinued operations, as determined in accordance with GAAP, and operations or businesses disposed of prior to the date triggering calculation of the "Fixed Charge Coverage Ratio" will be excluded, but only to the extent that the obligations giving rise to the "Fixed Charges" will not be obligations of Scotts or any of its restricted subsidiaries following that date.</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"Net Income", as applied to Scotts, means the net income or loss of Scotts and its restricted subsidiaries, determined in accordance with GAAP and before any reduction for preferred stock dividends. However, "Net Income" excludes the following items:</w:t>
      </w:r>
    </w:p>
    <w:p>
      <w:pPr>
        <w:spacing w:after="0" w:line="186" w:lineRule="exact"/>
        <w:rPr>
          <w:sz w:val="20"/>
          <w:szCs w:val="20"/>
          <w:color w:val="auto"/>
        </w:rPr>
      </w:pPr>
    </w:p>
    <w:p>
      <w:pPr>
        <w:ind w:left="940" w:right="3279" w:hanging="193"/>
        <w:spacing w:after="0" w:line="236" w:lineRule="auto"/>
        <w:tabs>
          <w:tab w:leader="none" w:pos="94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gain or loss, together with any related provision for taxes, realized in connection with:</w:t>
      </w:r>
    </w:p>
    <w:p>
      <w:pPr>
        <w:spacing w:after="0" w:line="184" w:lineRule="exact"/>
        <w:rPr>
          <w:rFonts w:ascii="Courier New" w:cs="Courier New" w:eastAsia="Courier New" w:hAnsi="Courier New"/>
          <w:sz w:val="16"/>
          <w:szCs w:val="16"/>
          <w:color w:val="auto"/>
        </w:rPr>
      </w:pPr>
    </w:p>
    <w:p>
      <w:pPr>
        <w:ind w:left="1220" w:right="2899" w:hanging="192"/>
        <w:spacing w:after="0" w:line="237" w:lineRule="auto"/>
        <w:tabs>
          <w:tab w:leader="none" w:pos="1220"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"Asset Sale" or any other asset sale involving more than $2.5 million, other than sales of inventory in the ordinary course of business; or</w:t>
      </w:r>
    </w:p>
    <w:p>
      <w:pPr>
        <w:spacing w:after="0" w:line="184" w:lineRule="exact"/>
        <w:rPr>
          <w:rFonts w:ascii="Courier New" w:cs="Courier New" w:eastAsia="Courier New" w:hAnsi="Courier New"/>
          <w:sz w:val="16"/>
          <w:szCs w:val="16"/>
          <w:color w:val="auto"/>
        </w:rPr>
      </w:pPr>
    </w:p>
    <w:p>
      <w:pPr>
        <w:ind w:left="1220" w:right="2899" w:hanging="192"/>
        <w:spacing w:after="0" w:line="259" w:lineRule="auto"/>
        <w:tabs>
          <w:tab w:leader="none" w:pos="1220"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disposition of any securities by Scotts or any of its restricted subsidiaries or the extinguishment of any indebtedness of Scotts or any of its restricted subsidiaries; and</w:t>
      </w:r>
    </w:p>
    <w:p>
      <w:pPr>
        <w:spacing w:after="0" w:line="171" w:lineRule="exact"/>
        <w:rPr>
          <w:rFonts w:ascii="Courier New" w:cs="Courier New" w:eastAsia="Courier New" w:hAnsi="Courier New"/>
          <w:sz w:val="15"/>
          <w:szCs w:val="15"/>
          <w:color w:val="auto"/>
        </w:rPr>
      </w:pPr>
    </w:p>
    <w:p>
      <w:pPr>
        <w:ind w:left="940" w:right="2999" w:hanging="193"/>
        <w:spacing w:after="0" w:line="236" w:lineRule="auto"/>
        <w:tabs>
          <w:tab w:leader="none" w:pos="94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extraordinary gain or loss, together with any related provision for taxes; and</w:t>
      </w:r>
    </w:p>
    <w:p>
      <w:pPr>
        <w:spacing w:after="0" w:line="184" w:lineRule="exact"/>
        <w:rPr>
          <w:rFonts w:ascii="Courier New" w:cs="Courier New" w:eastAsia="Courier New" w:hAnsi="Courier New"/>
          <w:sz w:val="16"/>
          <w:szCs w:val="16"/>
          <w:color w:val="auto"/>
        </w:rPr>
      </w:pPr>
    </w:p>
    <w:p>
      <w:pPr>
        <w:ind w:left="940" w:right="2819" w:hanging="193"/>
        <w:spacing w:after="0" w:line="236" w:lineRule="auto"/>
        <w:tabs>
          <w:tab w:leader="none" w:pos="94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non-cash expenses attributable to grants or exercises of employee stock options.</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"Permitted Liens" means:</w:t>
      </w:r>
    </w:p>
    <w:p>
      <w:pPr>
        <w:spacing w:after="0" w:line="185" w:lineRule="exact"/>
        <w:rPr>
          <w:sz w:val="20"/>
          <w:szCs w:val="20"/>
          <w:color w:val="auto"/>
        </w:rPr>
      </w:pPr>
    </w:p>
    <w:p>
      <w:pPr>
        <w:ind w:left="940" w:right="3179" w:hanging="193"/>
        <w:spacing w:after="0" w:line="236" w:lineRule="auto"/>
        <w:tabs>
          <w:tab w:leader="none" w:pos="94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securing senior debt that was permitted by the terms of the indenture to be incurred;</w:t>
      </w:r>
    </w:p>
    <w:p>
      <w:pPr>
        <w:spacing w:after="0" w:line="179" w:lineRule="exact"/>
        <w:rPr>
          <w:rFonts w:ascii="Courier New" w:cs="Courier New" w:eastAsia="Courier New" w:hAnsi="Courier New"/>
          <w:sz w:val="16"/>
          <w:szCs w:val="16"/>
          <w:color w:val="auto"/>
        </w:rPr>
      </w:pPr>
    </w:p>
    <w:p>
      <w:pPr>
        <w:ind w:left="940" w:hanging="193"/>
        <w:spacing w:after="0"/>
        <w:tabs>
          <w:tab w:leader="none" w:pos="94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in favor of Scotts or the subsidiary guarantors;</w:t>
      </w:r>
    </w:p>
    <w:p>
      <w:pPr>
        <w:sectPr>
          <w:pgSz w:w="11900" w:h="16838" w:orient="portrait"/>
          <w:cols w:equalWidth="0" w:num="1">
            <w:col w:w="10219"/>
          </w:cols>
          <w:pgMar w:left="240" w:top="293" w:right="1440" w:bottom="1015"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93" w:right="1440" w:bottom="1015" w:gutter="0" w:footer="0" w:header="0"/>
          <w:type w:val="continuous"/>
        </w:sectPr>
      </w:pPr>
    </w:p>
    <w:bookmarkStart w:id="52" w:name="page53"/>
    <w:bookmarkEnd w:id="52"/>
    <w:p>
      <w:pPr>
        <w:ind w:left="280"/>
        <w:spacing w:after="0"/>
        <w:rPr>
          <w:sz w:val="20"/>
          <w:szCs w:val="20"/>
          <w:color w:val="auto"/>
        </w:rPr>
      </w:pPr>
      <w:r>
        <w:rPr>
          <w:rFonts w:ascii="Courier New" w:cs="Courier New" w:eastAsia="Courier New" w:hAnsi="Courier New"/>
          <w:sz w:val="16"/>
          <w:szCs w:val="16"/>
          <w:color w:val="auto"/>
        </w:rPr>
        <w:t>51</w:t>
      </w:r>
    </w:p>
    <w:p>
      <w:pPr>
        <w:spacing w:after="0" w:line="185" w:lineRule="exact"/>
        <w:rPr>
          <w:sz w:val="20"/>
          <w:szCs w:val="20"/>
          <w:color w:val="auto"/>
        </w:rPr>
      </w:pPr>
    </w:p>
    <w:p>
      <w:pPr>
        <w:ind w:left="940" w:right="2999" w:hanging="193"/>
        <w:spacing w:after="0" w:line="263" w:lineRule="auto"/>
        <w:tabs>
          <w:tab w:leader="none" w:pos="94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pre-existing liens on property of acquired entities, as long as the liens were not entered into in contemplation of the acquisition;</w:t>
      </w:r>
    </w:p>
    <w:p>
      <w:pPr>
        <w:spacing w:after="0" w:line="168" w:lineRule="exact"/>
        <w:rPr>
          <w:rFonts w:ascii="Courier New" w:cs="Courier New" w:eastAsia="Courier New" w:hAnsi="Courier New"/>
          <w:sz w:val="15"/>
          <w:szCs w:val="15"/>
          <w:color w:val="auto"/>
        </w:rPr>
      </w:pPr>
    </w:p>
    <w:p>
      <w:pPr>
        <w:ind w:left="940" w:right="2819" w:hanging="193"/>
        <w:spacing w:after="0" w:line="237" w:lineRule="auto"/>
        <w:tabs>
          <w:tab w:leader="none" w:pos="9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to secure the performance of statutory obligations, surety or appeal bonds, performance bonds or other obligations of a like nature incurred in the ordinary course of business;</w:t>
      </w:r>
    </w:p>
    <w:p>
      <w:pPr>
        <w:spacing w:after="0" w:line="184" w:lineRule="exact"/>
        <w:rPr>
          <w:rFonts w:ascii="Courier New" w:cs="Courier New" w:eastAsia="Courier New" w:hAnsi="Courier New"/>
          <w:sz w:val="16"/>
          <w:szCs w:val="16"/>
          <w:color w:val="auto"/>
        </w:rPr>
      </w:pPr>
    </w:p>
    <w:p>
      <w:pPr>
        <w:ind w:left="940" w:right="2999" w:hanging="193"/>
        <w:spacing w:after="0" w:line="237" w:lineRule="auto"/>
        <w:tabs>
          <w:tab w:leader="none" w:pos="9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to secure indebtedness, including "Capital Lease Obligations" permitted by the covenant entitled "Incurrence of Indebtedness and Issuance of Preferred Stock" covering only the assets acquired with the indebtedness;</w:t>
      </w:r>
    </w:p>
    <w:p>
      <w:pPr>
        <w:spacing w:after="0" w:line="180" w:lineRule="exact"/>
        <w:rPr>
          <w:rFonts w:ascii="Courier New" w:cs="Courier New" w:eastAsia="Courier New" w:hAnsi="Courier New"/>
          <w:sz w:val="16"/>
          <w:szCs w:val="16"/>
          <w:color w:val="auto"/>
        </w:rPr>
      </w:pPr>
    </w:p>
    <w:p>
      <w:pPr>
        <w:ind w:left="940" w:hanging="193"/>
        <w:spacing w:after="0"/>
        <w:tabs>
          <w:tab w:leader="none" w:pos="9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existing on January 21, 1999;</w:t>
      </w:r>
    </w:p>
    <w:p>
      <w:pPr>
        <w:spacing w:after="0" w:line="184" w:lineRule="exact"/>
        <w:rPr>
          <w:rFonts w:ascii="Courier New" w:cs="Courier New" w:eastAsia="Courier New" w:hAnsi="Courier New"/>
          <w:sz w:val="16"/>
          <w:szCs w:val="16"/>
          <w:color w:val="auto"/>
        </w:rPr>
      </w:pPr>
    </w:p>
    <w:p>
      <w:pPr>
        <w:ind w:left="940" w:right="2719" w:hanging="193"/>
        <w:spacing w:after="0" w:line="237" w:lineRule="auto"/>
        <w:tabs>
          <w:tab w:leader="none" w:pos="9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on assets of subsidiary guarantors to secure senior debt of that subsidiary guarantor that was permitted by the indenture to be incurred;</w:t>
      </w:r>
    </w:p>
    <w:p>
      <w:pPr>
        <w:spacing w:after="0" w:line="184" w:lineRule="exact"/>
        <w:rPr>
          <w:rFonts w:ascii="Courier New" w:cs="Courier New" w:eastAsia="Courier New" w:hAnsi="Courier New"/>
          <w:sz w:val="16"/>
          <w:szCs w:val="16"/>
          <w:color w:val="auto"/>
        </w:rPr>
      </w:pPr>
    </w:p>
    <w:p>
      <w:pPr>
        <w:ind w:left="940" w:right="2819" w:hanging="193"/>
        <w:spacing w:after="0" w:line="257" w:lineRule="auto"/>
        <w:tabs>
          <w:tab w:leader="none" w:pos="94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for taxes, assessments or governmental charges or claims that are not yet delinquent or that are being contested in good faith by appropriate proceedings promptly instituted and diligently concluded, as long as an adequate reserve has been established under GAAP;</w:t>
      </w:r>
    </w:p>
    <w:p>
      <w:pPr>
        <w:spacing w:after="0" w:line="174" w:lineRule="exact"/>
        <w:rPr>
          <w:rFonts w:ascii="Courier New" w:cs="Courier New" w:eastAsia="Courier New" w:hAnsi="Courier New"/>
          <w:sz w:val="15"/>
          <w:szCs w:val="15"/>
          <w:color w:val="auto"/>
        </w:rPr>
      </w:pPr>
    </w:p>
    <w:p>
      <w:pPr>
        <w:ind w:left="940" w:right="2999" w:hanging="193"/>
        <w:spacing w:after="0" w:line="236" w:lineRule="auto"/>
        <w:tabs>
          <w:tab w:leader="none" w:pos="9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incurred in the ordinary course of business on obligations of $5.0 million or less at any one time outstanding; and</w:t>
      </w:r>
    </w:p>
    <w:p>
      <w:pPr>
        <w:spacing w:after="0" w:line="184" w:lineRule="exact"/>
        <w:rPr>
          <w:rFonts w:ascii="Courier New" w:cs="Courier New" w:eastAsia="Courier New" w:hAnsi="Courier New"/>
          <w:sz w:val="16"/>
          <w:szCs w:val="16"/>
          <w:color w:val="auto"/>
        </w:rPr>
      </w:pPr>
    </w:p>
    <w:p>
      <w:pPr>
        <w:ind w:left="940" w:right="2819" w:hanging="193"/>
        <w:spacing w:after="0" w:line="236" w:lineRule="auto"/>
        <w:tabs>
          <w:tab w:leader="none" w:pos="9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on assets of unrestricted subsidiaries that secure non-recourse debt of unrestricted subsidiaries.</w:t>
      </w:r>
    </w:p>
    <w:p>
      <w:pPr>
        <w:spacing w:after="0" w:line="180"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UNITED STATES FEDERAL TAX CONSIDERATIONS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following is a general discussion of U.S. federal income tax consequences of the exchange offer. This discussion is based on the current provisions of the Internal Revenue Code of 1986, applicable Treasury regulations, judicial authority and administrative rulings and practice. This discussion is generally limited to the tax consequences to holders that hold notes as capital assets within the meaning of Section 1221 of the Code. There can be no assurance that the Internal Revenue Service will not take a contrary view, and no ruling from the IRS has been or will be sought. Legislative, judicial or administrative changes or interpretations may be forthcoming that could alter or modify these statements and conditions. Any changes or interpretations may or may not be retroactive and could affect the tax consequences to holders. Some holders, including insurance companies, tax-exempt organizations, financial institutions, broker-dealers, foreign corporations and persons who are not citizens or residents of the United States, may be subject to special rules not discussed below.</w:t>
      </w:r>
    </w:p>
    <w:p>
      <w:pPr>
        <w:spacing w:after="0" w:line="190"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For U.S. federal income tax purposes, the exchange of original notes for new, registered notes in the exchange offer should not be treated as a taxable transaction. As a result, there should be no federal income tax consequences to holders exchanging original notes for new, registered notes in the exchange offer. A holder should have the same adjusted basis and holding period in a new, registered note as it had in an original note immediately prior to the exchange.</w:t>
      </w:r>
    </w:p>
    <w:p>
      <w:pPr>
        <w:spacing w:after="0" w:line="17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LEGAL MATTERS</w:t>
      </w:r>
    </w:p>
    <w:p>
      <w:pPr>
        <w:spacing w:after="0" w:line="185" w:lineRule="exact"/>
        <w:rPr>
          <w:sz w:val="20"/>
          <w:szCs w:val="20"/>
          <w:color w:val="auto"/>
        </w:rPr>
      </w:pPr>
    </w:p>
    <w:p>
      <w:pPr>
        <w:ind w:right="3179" w:firstLine="469"/>
        <w:spacing w:after="0" w:line="237" w:lineRule="auto"/>
        <w:rPr>
          <w:sz w:val="20"/>
          <w:szCs w:val="20"/>
          <w:color w:val="auto"/>
        </w:rPr>
      </w:pPr>
      <w:r>
        <w:rPr>
          <w:rFonts w:ascii="Courier New" w:cs="Courier New" w:eastAsia="Courier New" w:hAnsi="Courier New"/>
          <w:sz w:val="16"/>
          <w:szCs w:val="16"/>
          <w:color w:val="auto"/>
        </w:rPr>
        <w:t>Legal matters relating to the exchange offer are being passed upon for Scotts by Vorys, Sater, Seymour and Pease LLP, Columbus, Ohio, our outside counsel.</w:t>
      </w:r>
    </w:p>
    <w:p>
      <w:pPr>
        <w:spacing w:after="0" w:line="180"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INDEPENDENT PUBLIC ACCOUNTANTS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audited consolidated financial statements of The Scotts Company and its Subsidiaries as of September 30, 1998 and 1999 and for the years ended September 30, 1997, 1998 and 1999 incorporated by reference in this prospectus have been audited by PricewaterhouseCoopers LLP, independent certified public accountants, as indicated in their report with respect thereto and incorporated by reference herein.</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293"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6"/>
          <w:szCs w:val="16"/>
          <w:color w:val="auto"/>
        </w:rPr>
        <w:t>52</w:t>
      </w:r>
    </w:p>
    <w:p>
      <w:pPr>
        <w:spacing w:after="0" w:line="179"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WHERE YOU CAN FIND MORE INFORMATION</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Scotts is required to comply with the reporting requirements of the Exchange Act and must file annual, quarterly and other reports with the Commission. Scotts is also subject to the proxy solicitation requirements of the Exchange Act and, accordingly, will furnish audited financial statements to our shareholders in connection with our annual meetings of shareholders.</w:t>
      </w:r>
    </w:p>
    <w:p>
      <w:pPr>
        <w:spacing w:after="0" w:line="187"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Scotts has filed with the Commission a registration statement under the Securities Act covering the notes to be issued in the exchange offer. As permitted by the Commission's rules, this prospectus omits information included in the registration statement. For further information pertaining to the notes, we refer you to the registration statement, including its exhibits. We are also incorporating the following documents into this prospectus by reference:</w:t>
      </w:r>
    </w:p>
    <w:p>
      <w:pPr>
        <w:spacing w:after="0" w:line="356" w:lineRule="exact"/>
        <w:rPr>
          <w:sz w:val="20"/>
          <w:szCs w:val="20"/>
          <w:color w:val="auto"/>
        </w:rPr>
      </w:pPr>
    </w:p>
    <w:p>
      <w:pPr>
        <w:ind w:left="660" w:right="3179" w:hanging="195"/>
        <w:spacing w:after="0" w:line="236" w:lineRule="auto"/>
        <w:tabs>
          <w:tab w:leader="none" w:pos="66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Quarterly Report on Form 10-Q for the three month periods ending January 1, 2000 and April 1, 2000;</w:t>
      </w:r>
    </w:p>
    <w:p>
      <w:pPr>
        <w:spacing w:after="0" w:line="365" w:lineRule="exact"/>
        <w:rPr>
          <w:rFonts w:ascii="Courier New" w:cs="Courier New" w:eastAsia="Courier New" w:hAnsi="Courier New"/>
          <w:sz w:val="16"/>
          <w:szCs w:val="16"/>
          <w:color w:val="auto"/>
        </w:rPr>
      </w:pPr>
    </w:p>
    <w:p>
      <w:pPr>
        <w:ind w:left="660" w:right="2999" w:hanging="195"/>
        <w:spacing w:after="0" w:line="236" w:lineRule="auto"/>
        <w:tabs>
          <w:tab w:leader="none" w:pos="66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Annual Report on Form 10-K for the fiscal year ended September 30, 1999;</w:t>
      </w:r>
    </w:p>
    <w:p>
      <w:pPr>
        <w:spacing w:after="0" w:line="184" w:lineRule="exact"/>
        <w:rPr>
          <w:rFonts w:ascii="Courier New" w:cs="Courier New" w:eastAsia="Courier New" w:hAnsi="Courier New"/>
          <w:sz w:val="16"/>
          <w:szCs w:val="16"/>
          <w:color w:val="auto"/>
        </w:rPr>
      </w:pPr>
    </w:p>
    <w:p>
      <w:pPr>
        <w:ind w:left="660" w:right="2719" w:hanging="195"/>
        <w:spacing w:after="0" w:line="236" w:lineRule="auto"/>
        <w:tabs>
          <w:tab w:leader="none" w:pos="66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proxy statement for our 2000 annual meeting of shareholders, as filed with the Commission on January 14, 2000; and</w:t>
      </w:r>
    </w:p>
    <w:p>
      <w:pPr>
        <w:spacing w:after="0" w:line="184" w:lineRule="exact"/>
        <w:rPr>
          <w:rFonts w:ascii="Courier New" w:cs="Courier New" w:eastAsia="Courier New" w:hAnsi="Courier New"/>
          <w:sz w:val="16"/>
          <w:szCs w:val="16"/>
          <w:color w:val="auto"/>
        </w:rPr>
      </w:pPr>
    </w:p>
    <w:p>
      <w:pPr>
        <w:ind w:left="660" w:right="2719" w:hanging="195"/>
        <w:spacing w:after="0" w:line="263" w:lineRule="auto"/>
        <w:tabs>
          <w:tab w:leader="none" w:pos="66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documents that we file under Sections 13(a), 13(c), 14 or 15(d) of the Exchange Act prior to the consummation of the exchange offer.</w:t>
      </w:r>
    </w:p>
    <w:p>
      <w:pPr>
        <w:spacing w:after="0" w:line="169"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Any statements made in this prospectus concerning the contents of any contract, agreement or other document constitute summaries of the material terms thereof are not necessarily complete summaries of all of the terms. If we have filed a contract, agreement or other document as an exhibit to the registration statement, you should read the exhibit for a more complete understanding of the document or matter involved. You may read and copy any of the information we file with the Commission at the Commission's public reference rooms at Room 1024, 450 Fifth Street, N.W., Washington, D.C., at 7 World Trade Center, 13th. Floor, New York, New York 10048 and at Citicorp Center, 500 West Madison Street, Suite 1400, Chicago, Illinois 60661-2511. You can also obtain copies of filed documents by mail from the public reference section of the Commission at Room 1024, 450 Fifth Street, N.W., Washington, D.C. 20549 at prescribed rates. Please call the Commission at 1-800-SEC-0330 for further information on the public reference rooms. Filed documents are also available to the public on the Commission's web site at http://www.sec.gov.</w:t>
      </w:r>
    </w:p>
    <w:p>
      <w:pPr>
        <w:spacing w:after="0" w:line="178"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Copies of documents incorporated in this prospectus by reference may be obtained upon request without charge by the contacting us at the following address: The Scotts Company, World Headquarters, 41 South High Street, Suite 3500, Columbus, Ohio 43215, Attention: Treasurer.</w:t>
      </w:r>
    </w:p>
    <w:p>
      <w:pPr>
        <w:spacing w:after="0" w:line="181"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DISCLOSURE REGARDING FORWARD-LOOKING STATEMENTS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This prospectus includes and incorporates by reference "forward looking statements" within the meaning of Section 27A of the Securities Act and Section 21E of the Exchange Act including, in particular, the statements about our plans, strategies and prospects under the headings "Prospectus Summary," "Selected Consolidated Financial Data," "Management's Discussion and Analysis of Financial Condition and Results of Operations" and "Business." Although we believe that our plans, intentions and expectations reflected in or suggested by the forward-looking statements are reasonable, we can give no assurance that our plans, intentions or expectations will be achieved. Important factors that could cause actual results to differ materially from the forward looking statements we make in this prospectus are set forth above under the caption "Risk Factors" and incorporated by reference to "Management's Discussion and Analysis of Financial Condition and Results of Operations -- Forward-Looking Statements" in our Annual Report on Form 10-K for the fiscal year ended September 30, 1999.</w:t>
      </w:r>
    </w:p>
    <w:p>
      <w:pPr>
        <w:spacing w:after="0" w:line="17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293"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6"/>
          <w:szCs w:val="16"/>
          <w:color w:val="auto"/>
        </w:rPr>
        <w:t>53</w:t>
      </w:r>
    </w:p>
    <w:p>
      <w:pPr>
        <w:spacing w:after="0" w:line="179"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6"/>
          <w:szCs w:val="16"/>
          <w:color w:val="auto"/>
        </w:rPr>
        <w:t>$330,000,000</w:t>
      </w:r>
    </w:p>
    <w:p>
      <w:pPr>
        <w:spacing w:after="0" w:line="179"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6"/>
          <w:szCs w:val="16"/>
          <w:color w:val="auto"/>
        </w:rPr>
        <w:t>THE SCOTTS COMPANY</w:t>
      </w:r>
    </w:p>
    <w:p>
      <w:pPr>
        <w:spacing w:after="0" w:line="17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6"/>
          <w:szCs w:val="16"/>
          <w:color w:val="auto"/>
        </w:rPr>
        <w:t>8.625% SENIOR SUBORDINATED NOTES DUE 2009</w:t>
      </w:r>
    </w:p>
    <w:p>
      <w:pPr>
        <w:spacing w:after="0" w:line="4"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REGISTERED UNDER THE SECURITIES ACT OF 1933, AS AMENDED</w:t>
      </w:r>
    </w:p>
    <w:p>
      <w:pPr>
        <w:spacing w:after="0" w:line="186"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[THE SCOTTS COMPANY LOGO]</w:t>
      </w:r>
    </w:p>
    <w:p>
      <w:pPr>
        <w:spacing w:after="0" w:line="179"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PROSPECTUS</w:t>
      </w:r>
    </w:p>
    <w:p>
      <w:pPr>
        <w:spacing w:after="0" w:line="1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 2000</w:t>
      </w:r>
    </w:p>
    <w:p>
      <w:pPr>
        <w:sectPr>
          <w:pgSz w:w="11900" w:h="16838" w:orient="portrait"/>
          <w:cols w:equalWidth="0" w:num="1">
            <w:col w:w="9939"/>
          </w:cols>
          <w:pgMar w:left="520" w:top="293"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6"/>
          <w:szCs w:val="16"/>
          <w:color w:val="auto"/>
        </w:rPr>
        <w:t>54</w:t>
      </w:r>
    </w:p>
    <w:p>
      <w:pPr>
        <w:jc w:val="center"/>
        <w:ind w:right="2619"/>
        <w:spacing w:after="0"/>
        <w:rPr>
          <w:sz w:val="20"/>
          <w:szCs w:val="20"/>
          <w:color w:val="auto"/>
        </w:rPr>
      </w:pPr>
      <w:r>
        <w:rPr>
          <w:rFonts w:ascii="Courier New" w:cs="Courier New" w:eastAsia="Courier New" w:hAnsi="Courier New"/>
          <w:sz w:val="16"/>
          <w:szCs w:val="16"/>
          <w:color w:val="auto"/>
        </w:rPr>
        <w:t>PART II</w:t>
      </w:r>
    </w:p>
    <w:p>
      <w:pPr>
        <w:spacing w:after="0" w:line="179"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17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20.</w:t>
      </w:r>
      <w:r>
        <w:rPr>
          <w:sz w:val="20"/>
          <w:szCs w:val="20"/>
          <w:color w:val="auto"/>
        </w:rPr>
        <w:tab/>
      </w:r>
      <w:r>
        <w:rPr>
          <w:rFonts w:ascii="Courier New" w:cs="Courier New" w:eastAsia="Courier New" w:hAnsi="Courier New"/>
          <w:sz w:val="15"/>
          <w:szCs w:val="15"/>
          <w:color w:val="auto"/>
        </w:rPr>
        <w:t>INDEMNIFICATION OF DIRECTORS AND OFFICERS</w:t>
      </w:r>
    </w:p>
    <w:p>
      <w:pPr>
        <w:spacing w:after="0" w:line="185" w:lineRule="exact"/>
        <w:rPr>
          <w:sz w:val="20"/>
          <w:szCs w:val="20"/>
          <w:color w:val="auto"/>
        </w:rPr>
      </w:pPr>
    </w:p>
    <w:p>
      <w:pPr>
        <w:ind w:right="3379" w:firstLine="844"/>
        <w:spacing w:after="0" w:line="236" w:lineRule="auto"/>
        <w:rPr>
          <w:sz w:val="20"/>
          <w:szCs w:val="20"/>
          <w:color w:val="auto"/>
        </w:rPr>
      </w:pPr>
      <w:r>
        <w:rPr>
          <w:rFonts w:ascii="Courier New" w:cs="Courier New" w:eastAsia="Courier New" w:hAnsi="Courier New"/>
          <w:sz w:val="16"/>
          <w:szCs w:val="16"/>
          <w:color w:val="auto"/>
        </w:rPr>
        <w:t>Division (E) of Section 1701.13 of the Ohio Revised Code governs indemnification by a corporation and provides as follows:</w:t>
      </w:r>
    </w:p>
    <w:p>
      <w:pPr>
        <w:spacing w:after="0" w:line="185" w:lineRule="exact"/>
        <w:rPr>
          <w:sz w:val="20"/>
          <w:szCs w:val="20"/>
          <w:color w:val="auto"/>
        </w:rPr>
      </w:pPr>
    </w:p>
    <w:p>
      <w:pPr>
        <w:ind w:left="840" w:right="2819" w:firstLine="844"/>
        <w:spacing w:after="0" w:line="255" w:lineRule="auto"/>
        <w:rPr>
          <w:sz w:val="20"/>
          <w:szCs w:val="20"/>
          <w:color w:val="auto"/>
        </w:rPr>
      </w:pPr>
      <w:r>
        <w:rPr>
          <w:rFonts w:ascii="Courier New" w:cs="Courier New" w:eastAsia="Courier New" w:hAnsi="Courier New"/>
          <w:sz w:val="15"/>
          <w:szCs w:val="15"/>
          <w:color w:val="auto"/>
        </w:rPr>
        <w:t>(E)(1) A corporation may indemnify or agree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member, manager, or agent of the corporation, or is or was serving at the request of the corporation as a director, trustee, officer, associate, or agent of another corporation, domestic or foreign, nonprofit or for profit, a limited liability company, or a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if he had no reasonable cause to believe his conduct was unlawful. The termination of any action, suit, or proceeding by judgment, order, settlement, or conviction, or upon a plea of nolo contendere or its equivalent, shall not, of itself, create a presumption that the person did not act in good faith and in a manner he reasonably believed to be in or not opposed to the best interests of the corporation, and, with respect to any criminal action or proceeding, he had reasonable cause to believe that his conduct was unlawful.</w:t>
      </w:r>
    </w:p>
    <w:p>
      <w:pPr>
        <w:spacing w:after="0" w:line="357" w:lineRule="exact"/>
        <w:rPr>
          <w:sz w:val="20"/>
          <w:szCs w:val="20"/>
          <w:color w:val="auto"/>
        </w:rPr>
      </w:pPr>
    </w:p>
    <w:p>
      <w:pPr>
        <w:ind w:left="840" w:right="2719" w:firstLine="844"/>
        <w:spacing w:after="0" w:line="255" w:lineRule="auto"/>
        <w:tabs>
          <w:tab w:leader="none" w:pos="2059"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may indemnify or agree to indemnify any person who was or is a party, or is threatened to be made a party, to any threatened, pending, or completed action or suit by or in the right of the corporation to procure a judgment in its favor by reason of the fact that he is or was a director, officer, employee, member, manager,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of the following:</w:t>
      </w:r>
    </w:p>
    <w:p>
      <w:pPr>
        <w:spacing w:after="0" w:line="177" w:lineRule="exact"/>
        <w:rPr>
          <w:rFonts w:ascii="Courier New" w:cs="Courier New" w:eastAsia="Courier New" w:hAnsi="Courier New"/>
          <w:sz w:val="15"/>
          <w:szCs w:val="15"/>
          <w:color w:val="auto"/>
        </w:rPr>
      </w:pPr>
    </w:p>
    <w:p>
      <w:pPr>
        <w:ind w:left="1680" w:right="2719" w:firstLine="849"/>
        <w:spacing w:after="0" w:line="238" w:lineRule="auto"/>
        <w:tabs>
          <w:tab w:leader="none" w:pos="2899"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claim, issue, or matter as to which such person is adjudged to be liable for negligence or misconduct in the performance of his duty to the corporation unless, and only to the extent that, the court of common pleas or the court in which such action or suit was brought determines, upon application, that, despite the adjudication of liability, but in view of all the circumstances of the case, such person is fairly and reasonably entitled to indemnity for such expenses as the court of common pleas or such other court shall deem proper;</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293"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6"/>
          <w:szCs w:val="16"/>
          <w:color w:val="auto"/>
        </w:rPr>
        <w:t>55</w:t>
      </w:r>
    </w:p>
    <w:p>
      <w:pPr>
        <w:spacing w:after="0" w:line="4" w:lineRule="exact"/>
        <w:rPr>
          <w:sz w:val="20"/>
          <w:szCs w:val="20"/>
          <w:color w:val="auto"/>
        </w:rPr>
      </w:pPr>
    </w:p>
    <w:p>
      <w:pPr>
        <w:ind w:left="1400" w:right="2819" w:firstLine="849"/>
        <w:spacing w:after="0" w:line="237" w:lineRule="auto"/>
        <w:tabs>
          <w:tab w:leader="none" w:pos="2619"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action or suit in which the only liability asserted against a director is pursuant to section 1701.95 of the Revised Code.</w:t>
      </w:r>
    </w:p>
    <w:p>
      <w:pPr>
        <w:spacing w:after="0" w:line="184" w:lineRule="exact"/>
        <w:rPr>
          <w:rFonts w:ascii="Courier New" w:cs="Courier New" w:eastAsia="Courier New" w:hAnsi="Courier New"/>
          <w:sz w:val="16"/>
          <w:szCs w:val="16"/>
          <w:color w:val="auto"/>
        </w:rPr>
      </w:pPr>
    </w:p>
    <w:p>
      <w:pPr>
        <w:ind w:left="560" w:right="2719" w:firstLine="844"/>
        <w:spacing w:after="0" w:line="238" w:lineRule="auto"/>
        <w:tabs>
          <w:tab w:leader="none" w:pos="1779"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a director, trustee, officer, employee, member, manager, or agent has been successful on the merits or otherwise in defense of any action, suit, or proceeding referred to in division (E)(1) or (2) of this section, or in defense of any claim, issue or matter therein, he shall be indemnified against expenses, including attorney's fees, actually and reasonably incurred by him in connection with the action suit or proceeding.</w:t>
      </w:r>
    </w:p>
    <w:p>
      <w:pPr>
        <w:spacing w:after="0" w:line="184" w:lineRule="exact"/>
        <w:rPr>
          <w:rFonts w:ascii="Courier New" w:cs="Courier New" w:eastAsia="Courier New" w:hAnsi="Courier New"/>
          <w:sz w:val="16"/>
          <w:szCs w:val="16"/>
          <w:color w:val="auto"/>
        </w:rPr>
      </w:pPr>
    </w:p>
    <w:p>
      <w:pPr>
        <w:ind w:left="560" w:right="2719" w:firstLine="844"/>
        <w:spacing w:after="0" w:line="238" w:lineRule="auto"/>
        <w:tabs>
          <w:tab w:leader="none" w:pos="1779"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indemnification under division (E)(1) or (2) of this section, unless ordered by a court, shall be made by the corporation only as authorized in the specific case, upon a determination that indemnification of the director, trustee, officer, employee, member, manager, or agent is proper in the circumstances because he has met the applicable standard of conduct set forth in division (E)(1) or (2) of this section. Such determination shall be made as follows:</w:t>
      </w:r>
    </w:p>
    <w:p>
      <w:pPr>
        <w:spacing w:after="0" w:line="184" w:lineRule="exact"/>
        <w:rPr>
          <w:rFonts w:ascii="Courier New" w:cs="Courier New" w:eastAsia="Courier New" w:hAnsi="Courier New"/>
          <w:sz w:val="16"/>
          <w:szCs w:val="16"/>
          <w:color w:val="auto"/>
        </w:rPr>
      </w:pPr>
    </w:p>
    <w:p>
      <w:pPr>
        <w:ind w:left="1400" w:right="2719" w:firstLine="849"/>
        <w:spacing w:after="0" w:line="237" w:lineRule="auto"/>
        <w:tabs>
          <w:tab w:leader="none" w:pos="2619"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 majority vote of a quorum consisting of directors of the indemnifying corporation who were not and are not parties to or threatened by the action, suit, or proceeding referred to in division (E)(1) or (2) of this section;</w:t>
      </w:r>
    </w:p>
    <w:p>
      <w:pPr>
        <w:spacing w:after="0" w:line="187" w:lineRule="exact"/>
        <w:rPr>
          <w:rFonts w:ascii="Courier New" w:cs="Courier New" w:eastAsia="Courier New" w:hAnsi="Courier New"/>
          <w:sz w:val="16"/>
          <w:szCs w:val="16"/>
          <w:color w:val="auto"/>
        </w:rPr>
      </w:pPr>
    </w:p>
    <w:p>
      <w:pPr>
        <w:ind w:left="1400" w:right="2819" w:firstLine="849"/>
        <w:spacing w:after="0" w:line="256" w:lineRule="auto"/>
        <w:tabs>
          <w:tab w:leader="none" w:pos="2619"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quorum described in division (E)(4)(a) of this section is not obtainable or if a majority vote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w:t>
      </w:r>
    </w:p>
    <w:p>
      <w:pPr>
        <w:spacing w:after="0" w:line="169" w:lineRule="exact"/>
        <w:rPr>
          <w:rFonts w:ascii="Courier New" w:cs="Courier New" w:eastAsia="Courier New" w:hAnsi="Courier New"/>
          <w:sz w:val="15"/>
          <w:szCs w:val="15"/>
          <w:color w:val="auto"/>
        </w:rPr>
      </w:pPr>
    </w:p>
    <w:p>
      <w:pPr>
        <w:ind w:left="2620" w:hanging="371"/>
        <w:spacing w:after="0"/>
        <w:tabs>
          <w:tab w:leader="none" w:pos="2620"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shareholders; or</w:t>
      </w:r>
    </w:p>
    <w:p>
      <w:pPr>
        <w:spacing w:after="0" w:line="184" w:lineRule="exact"/>
        <w:rPr>
          <w:rFonts w:ascii="Courier New" w:cs="Courier New" w:eastAsia="Courier New" w:hAnsi="Courier New"/>
          <w:sz w:val="16"/>
          <w:szCs w:val="16"/>
          <w:color w:val="auto"/>
        </w:rPr>
      </w:pPr>
    </w:p>
    <w:p>
      <w:pPr>
        <w:ind w:left="1400" w:right="2819" w:firstLine="849"/>
        <w:spacing w:after="0" w:line="237" w:lineRule="auto"/>
        <w:tabs>
          <w:tab w:leader="none" w:pos="2619"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court of common pleas or the court in which such action, suit or proceeding referred to in division (E)(1) or (2) of this section was brought.</w:t>
      </w:r>
    </w:p>
    <w:p>
      <w:pPr>
        <w:spacing w:after="0" w:line="185" w:lineRule="exact"/>
        <w:rPr>
          <w:sz w:val="20"/>
          <w:szCs w:val="20"/>
          <w:color w:val="auto"/>
        </w:rPr>
      </w:pPr>
    </w:p>
    <w:p>
      <w:pPr>
        <w:ind w:left="560" w:right="2719" w:firstLine="844"/>
        <w:spacing w:after="0" w:line="256" w:lineRule="auto"/>
        <w:rPr>
          <w:sz w:val="20"/>
          <w:szCs w:val="20"/>
          <w:color w:val="auto"/>
        </w:rPr>
      </w:pPr>
      <w:r>
        <w:rPr>
          <w:rFonts w:ascii="Courier New" w:cs="Courier New" w:eastAsia="Courier New" w:hAnsi="Courier New"/>
          <w:sz w:val="15"/>
          <w:szCs w:val="15"/>
          <w:color w:val="auto"/>
        </w:rPr>
        <w:t>Any determination made by the disinterested directors under division (E)(4)(a) or by independent legal counsel under division (E)(4)(b) of this section shall be promptly communicated to the person who threatened or brought the action or suit by or in the right of the corporation under division (E)(2) of this section, and, within ten days after receipt of such notification, such person shall have the right to petition the court of common pleas or the court in which such action or suit was brought to review the reasonableness of such determination.</w:t>
      </w:r>
    </w:p>
    <w:p>
      <w:pPr>
        <w:spacing w:after="0" w:line="173" w:lineRule="exact"/>
        <w:rPr>
          <w:sz w:val="20"/>
          <w:szCs w:val="20"/>
          <w:color w:val="auto"/>
        </w:rPr>
      </w:pPr>
    </w:p>
    <w:p>
      <w:pPr>
        <w:ind w:left="560" w:right="2719" w:firstLine="844"/>
        <w:spacing w:after="0" w:line="255" w:lineRule="auto"/>
        <w:rPr>
          <w:sz w:val="20"/>
          <w:szCs w:val="20"/>
          <w:color w:val="auto"/>
        </w:rPr>
      </w:pPr>
      <w:r>
        <w:rPr>
          <w:rFonts w:ascii="Courier New" w:cs="Courier New" w:eastAsia="Courier New" w:hAnsi="Courier New"/>
          <w:sz w:val="15"/>
          <w:szCs w:val="15"/>
          <w:color w:val="auto"/>
        </w:rPr>
        <w:t>(5)(a) Unless at the time of a director's act or omission that is the subject of an action, suit, or proceeding referred to in division (E)(1) or (2) of this section, the articles or the regulations of a corporation state, by specific reference to this division, that the provisions of this division do not apply to the corporation and unless the only liability asserted against a director in an action, suit, or proceeding referred to in division (E)(1) or (2) of this section is pursuant to section 1701.95 of the Revised Code, expenses, including attorney's fees, incurred by a director in defending the action, suit, or proceeding shall be paid by the corporation as they are incurred, in advance of the final disposition of the action, suit, or proceeding, upon receipt of an undertaking by or on behalf of the director in which he agrees to both of the following:</w:t>
      </w:r>
    </w:p>
    <w:p>
      <w:pPr>
        <w:spacing w:after="0" w:line="178" w:lineRule="exact"/>
        <w:rPr>
          <w:sz w:val="20"/>
          <w:szCs w:val="20"/>
          <w:color w:val="auto"/>
        </w:rPr>
      </w:pPr>
    </w:p>
    <w:p>
      <w:pPr>
        <w:ind w:left="2240" w:right="2719" w:firstLine="853"/>
        <w:spacing w:after="0" w:line="259" w:lineRule="auto"/>
        <w:tabs>
          <w:tab w:leader="none" w:pos="3459"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Repay such amount if it is proved by clear and convincing evidence in a court of competent jurisdiction that his action or failure to act</w:t>
      </w:r>
    </w:p>
    <w:p>
      <w:pPr>
        <w:spacing w:after="0" w:line="347"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9939"/>
          </w:cols>
          <w:pgMar w:left="520" w:top="293"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6"/>
          <w:szCs w:val="16"/>
          <w:color w:val="auto"/>
        </w:rPr>
        <w:t>56</w:t>
      </w:r>
    </w:p>
    <w:p>
      <w:pPr>
        <w:ind w:left="2240"/>
        <w:spacing w:after="0"/>
        <w:rPr>
          <w:sz w:val="20"/>
          <w:szCs w:val="20"/>
          <w:color w:val="auto"/>
        </w:rPr>
      </w:pPr>
      <w:r>
        <w:rPr>
          <w:rFonts w:ascii="Courier New" w:cs="Courier New" w:eastAsia="Courier New" w:hAnsi="Courier New"/>
          <w:sz w:val="16"/>
          <w:szCs w:val="16"/>
          <w:color w:val="auto"/>
        </w:rPr>
        <w:t>involved an act or omission undertaken with</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deliberate intent to cause injury to the corporation</w:t>
      </w:r>
    </w:p>
    <w:p>
      <w:pPr>
        <w:spacing w:after="0" w:line="5"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or undertaken with reckless disregard for the best</w:t>
      </w:r>
    </w:p>
    <w:p>
      <w:pPr>
        <w:ind w:left="2240"/>
        <w:spacing w:after="0"/>
        <w:rPr>
          <w:sz w:val="20"/>
          <w:szCs w:val="20"/>
          <w:color w:val="auto"/>
        </w:rPr>
      </w:pPr>
      <w:r>
        <w:rPr>
          <w:rFonts w:ascii="Courier New" w:cs="Courier New" w:eastAsia="Courier New" w:hAnsi="Courier New"/>
          <w:sz w:val="16"/>
          <w:szCs w:val="16"/>
          <w:color w:val="auto"/>
        </w:rPr>
        <w:t>interests of the corporation;</w:t>
      </w:r>
    </w:p>
    <w:p>
      <w:pPr>
        <w:spacing w:after="0" w:line="184" w:lineRule="exact"/>
        <w:rPr>
          <w:sz w:val="20"/>
          <w:szCs w:val="20"/>
          <w:color w:val="auto"/>
        </w:rPr>
      </w:pPr>
    </w:p>
    <w:p>
      <w:pPr>
        <w:jc w:val="both"/>
        <w:ind w:left="2240" w:right="3659" w:firstLine="853"/>
        <w:spacing w:after="0" w:line="237" w:lineRule="auto"/>
        <w:tabs>
          <w:tab w:leader="none" w:pos="3553" w:val="left"/>
        </w:tabs>
        <w:numPr>
          <w:ilvl w:val="2"/>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Reasonably cooperate with the corporation concerning the action, suit, or proceeding.</w:t>
      </w:r>
    </w:p>
    <w:p>
      <w:pPr>
        <w:spacing w:after="0" w:line="184" w:lineRule="exact"/>
        <w:rPr>
          <w:rFonts w:ascii="Courier New" w:cs="Courier New" w:eastAsia="Courier New" w:hAnsi="Courier New"/>
          <w:sz w:val="16"/>
          <w:szCs w:val="16"/>
          <w:color w:val="auto"/>
        </w:rPr>
      </w:pPr>
    </w:p>
    <w:p>
      <w:pPr>
        <w:ind w:left="1400" w:right="2719" w:firstLine="849"/>
        <w:spacing w:after="0" w:line="238" w:lineRule="auto"/>
        <w:tabs>
          <w:tab w:leader="none" w:pos="2619"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including attorney's fees, incurred by a director, trustee, officer, employee, member, manager, or agent in defending any action, suit, or proceeding referred to in division (E)(1) or (2) of this section, may be paid by the corporation as they are incurred, in advance of the final disposition of the action, suit, or proceeding, as authorized by the directors in the specific case, upon receipt of an undertaking by or on behalf of the director, trustee, officer, employee, member, manager, or agent to repay such amount, if it ultimately is determined that he is not entitled to be indemnified by the corporation.</w:t>
      </w:r>
    </w:p>
    <w:p>
      <w:pPr>
        <w:spacing w:after="0" w:line="187" w:lineRule="exact"/>
        <w:rPr>
          <w:rFonts w:ascii="Courier New" w:cs="Courier New" w:eastAsia="Courier New" w:hAnsi="Courier New"/>
          <w:sz w:val="16"/>
          <w:szCs w:val="16"/>
          <w:color w:val="auto"/>
        </w:rPr>
      </w:pPr>
    </w:p>
    <w:p>
      <w:pPr>
        <w:ind w:left="560" w:right="2819" w:firstLine="844"/>
        <w:spacing w:after="0" w:line="238" w:lineRule="auto"/>
        <w:tabs>
          <w:tab w:leader="none" w:pos="1779"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indemnification authorized by this section shall not be exclusive of, and shall be in addition to, any other rights granted to those seeking indemnification under the articles, the regulations, any agreement, a vote of shareholders or disinterested directors, or otherwise, both as to action in their official capacities and as to action in another capacity while holding their offices or positions, and shall continue as to a person who has ceased to be a director, trustee, officer, employee, member, manager, or agent and shall inure to the benefit of the heirs, executors, and administrators of such a person.</w:t>
      </w:r>
    </w:p>
    <w:p>
      <w:pPr>
        <w:spacing w:after="0" w:line="186" w:lineRule="exact"/>
        <w:rPr>
          <w:rFonts w:ascii="Courier New" w:cs="Courier New" w:eastAsia="Courier New" w:hAnsi="Courier New"/>
          <w:sz w:val="16"/>
          <w:szCs w:val="16"/>
          <w:color w:val="auto"/>
        </w:rPr>
      </w:pPr>
    </w:p>
    <w:p>
      <w:pPr>
        <w:ind w:left="560" w:right="2719" w:firstLine="844"/>
        <w:spacing w:after="0" w:line="238" w:lineRule="auto"/>
        <w:tabs>
          <w:tab w:leader="none" w:pos="1779"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may purchase and maintain insurance or furnish similar protection, including, but not limited to, trust funds, letters of credit, or self-insurance, on behalf of or for any person who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any liability asserted against him and incurred by him in any such capacity, or arising out of his status as such, whether or not the corporation would have the power to indemnify him against such liability under this section. Insurance may be purchased from or maintained with a person in which the corporation has a financial interest.</w:t>
      </w:r>
    </w:p>
    <w:p>
      <w:pPr>
        <w:spacing w:after="0" w:line="189" w:lineRule="exact"/>
        <w:rPr>
          <w:rFonts w:ascii="Courier New" w:cs="Courier New" w:eastAsia="Courier New" w:hAnsi="Courier New"/>
          <w:sz w:val="16"/>
          <w:szCs w:val="16"/>
          <w:color w:val="auto"/>
        </w:rPr>
      </w:pPr>
    </w:p>
    <w:p>
      <w:pPr>
        <w:ind w:left="560" w:right="2819" w:firstLine="844"/>
        <w:spacing w:after="0" w:line="254" w:lineRule="auto"/>
        <w:tabs>
          <w:tab w:leader="none" w:pos="1779"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authority of a corporation to indemnify persons pursuant to division (E)(1) or (2) of this section does not limit the payment of expenses as they are incurred, indemnification, insurance, or other protection that may be provided pursuant to divisions (E)(5),</w:t>
      </w:r>
    </w:p>
    <w:p>
      <w:pPr>
        <w:spacing w:after="0" w:line="2" w:lineRule="exact"/>
        <w:rPr>
          <w:rFonts w:ascii="Courier New" w:cs="Courier New" w:eastAsia="Courier New" w:hAnsi="Courier New"/>
          <w:sz w:val="15"/>
          <w:szCs w:val="15"/>
          <w:color w:val="auto"/>
        </w:rPr>
      </w:pPr>
    </w:p>
    <w:p>
      <w:pPr>
        <w:ind w:left="560" w:right="2819"/>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(6), and (7) of this section. Divisions (E)(1) and (2) of this section do not create any obligation to repay or return payments made by the corporation pursuant to division (E)(5), (6), or (7).</w:t>
      </w:r>
    </w:p>
    <w:p>
      <w:pPr>
        <w:spacing w:after="0" w:line="184" w:lineRule="exact"/>
        <w:rPr>
          <w:rFonts w:ascii="Courier New" w:cs="Courier New" w:eastAsia="Courier New" w:hAnsi="Courier New"/>
          <w:sz w:val="15"/>
          <w:szCs w:val="15"/>
          <w:color w:val="auto"/>
        </w:rPr>
      </w:pPr>
    </w:p>
    <w:p>
      <w:pPr>
        <w:ind w:left="560" w:right="2719" w:firstLine="844"/>
        <w:spacing w:after="0" w:line="238" w:lineRule="auto"/>
        <w:tabs>
          <w:tab w:leader="none" w:pos="1779"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in division (E) of this section, "corporation" includes all constituent entities in a consolidation or merger and the new or surviving corporation, so that any person who is or was a director, officer, employee, trustee, member, manager, or agent of such a constituent entity, or is or was serving at the request of such constituent entity as a director, trustee, officer, employee, member, manager, or agent of another corporation, domestic or foreign, nonprofit or for profit, a limited liability company, or a partnership, joint venture, trust, or other enterprise, shall stand in the same position under this section with respect to the new or surviving corporation as he would if he had served the new or</w:t>
      </w:r>
    </w:p>
    <w:p>
      <w:pPr>
        <w:spacing w:after="0" w:line="363"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9939"/>
          </w:cols>
          <w:pgMar w:left="520" w:top="293" w:right="1440" w:bottom="1440" w:gutter="0" w:footer="0" w:header="0"/>
        </w:sectPr>
      </w:pPr>
    </w:p>
    <w:bookmarkStart w:id="58" w:name="page59"/>
    <w:bookmarkEnd w:id="58"/>
    <w:p>
      <w:pPr>
        <w:ind w:left="284"/>
        <w:spacing w:after="0"/>
        <w:rPr>
          <w:sz w:val="20"/>
          <w:szCs w:val="20"/>
          <w:color w:val="auto"/>
        </w:rPr>
      </w:pPr>
      <w:r>
        <w:rPr>
          <w:rFonts w:ascii="Courier New" w:cs="Courier New" w:eastAsia="Courier New" w:hAnsi="Courier New"/>
          <w:sz w:val="16"/>
          <w:szCs w:val="16"/>
          <w:color w:val="auto"/>
        </w:rPr>
        <w:t>57</w:t>
      </w:r>
    </w:p>
    <w:p>
      <w:pPr>
        <w:ind w:left="844"/>
        <w:spacing w:after="0"/>
        <w:rPr>
          <w:sz w:val="20"/>
          <w:szCs w:val="20"/>
          <w:color w:val="auto"/>
        </w:rPr>
      </w:pPr>
      <w:r>
        <w:rPr>
          <w:rFonts w:ascii="Courier New" w:cs="Courier New" w:eastAsia="Courier New" w:hAnsi="Courier New"/>
          <w:sz w:val="16"/>
          <w:szCs w:val="16"/>
          <w:color w:val="auto"/>
        </w:rPr>
        <w:t>surviving corporation in the same capacity.</w:t>
      </w:r>
    </w:p>
    <w:p>
      <w:pPr>
        <w:spacing w:after="0" w:line="184" w:lineRule="exact"/>
        <w:rPr>
          <w:sz w:val="20"/>
          <w:szCs w:val="20"/>
          <w:color w:val="auto"/>
        </w:rPr>
      </w:pPr>
    </w:p>
    <w:p>
      <w:pPr>
        <w:ind w:left="4" w:right="3759" w:firstLine="844"/>
        <w:spacing w:after="0" w:line="236" w:lineRule="auto"/>
        <w:rPr>
          <w:sz w:val="20"/>
          <w:szCs w:val="20"/>
          <w:color w:val="auto"/>
        </w:rPr>
      </w:pPr>
      <w:r>
        <w:rPr>
          <w:rFonts w:ascii="Courier New" w:cs="Courier New" w:eastAsia="Courier New" w:hAnsi="Courier New"/>
          <w:sz w:val="16"/>
          <w:szCs w:val="16"/>
          <w:color w:val="auto"/>
        </w:rPr>
        <w:t>Section 5.01 of the Registrant's Code of Regulations governs indemnification by Registrant and provides as follows:</w:t>
      </w:r>
    </w:p>
    <w:p>
      <w:pPr>
        <w:spacing w:after="0" w:line="185" w:lineRule="exact"/>
        <w:rPr>
          <w:sz w:val="20"/>
          <w:szCs w:val="20"/>
          <w:color w:val="auto"/>
        </w:rPr>
      </w:pPr>
    </w:p>
    <w:p>
      <w:pPr>
        <w:ind w:left="844" w:right="2719" w:firstLine="844"/>
        <w:spacing w:after="0" w:line="255" w:lineRule="auto"/>
        <w:rPr>
          <w:sz w:val="20"/>
          <w:szCs w:val="20"/>
          <w:color w:val="auto"/>
        </w:rPr>
      </w:pPr>
      <w:r>
        <w:rPr>
          <w:rFonts w:ascii="Courier New" w:cs="Courier New" w:eastAsia="Courier New" w:hAnsi="Courier New"/>
          <w:sz w:val="15"/>
          <w:szCs w:val="15"/>
          <w:color w:val="auto"/>
        </w:rPr>
        <w:t>SECTION 5.01. Mandatory Indemnification. The corporation shall indemnify any officer or director of the corporation who was or is a party or is threatened to be made a party to any threatened, pending or completed action, suit 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expenses (including, without limitation, attorneys' fees, filing fees, court reporters' fees and transcript costs),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he had no reasonable cause to believe his conduct was unlawful. A person claiming indemnification under this Section 5.01 shall be presumed, in respect of any act or omission giving rise to such claim for indemnification, to have acted in good faith and in a manner he reasonably believed to be in or not opposed to the best interests of the corporation, and with respect to any criminal matter, to have had no reasonable cause to believe his conduct was unlawful, and the termination of any action, suit or proceeding by judgment, order, settlement or conviction, or upon a plea of nolo contendere or its equivalent, shall not, of itself, rebut such presumption.</w:t>
      </w:r>
    </w:p>
    <w:p>
      <w:pPr>
        <w:spacing w:after="0" w:line="176" w:lineRule="exact"/>
        <w:rPr>
          <w:sz w:val="20"/>
          <w:szCs w:val="20"/>
          <w:color w:val="auto"/>
        </w:rPr>
      </w:pPr>
    </w:p>
    <w:p>
      <w:pPr>
        <w:jc w:val="both"/>
        <w:ind w:left="4" w:right="2899" w:firstLine="844"/>
        <w:spacing w:after="0" w:line="237" w:lineRule="auto"/>
        <w:rPr>
          <w:sz w:val="20"/>
          <w:szCs w:val="20"/>
          <w:color w:val="auto"/>
        </w:rPr>
      </w:pPr>
      <w:r>
        <w:rPr>
          <w:rFonts w:ascii="Courier New" w:cs="Courier New" w:eastAsia="Courier New" w:hAnsi="Courier New"/>
          <w:sz w:val="16"/>
          <w:szCs w:val="16"/>
          <w:color w:val="auto"/>
        </w:rPr>
        <w:t>In addition, the Registrant currently provides insurance coverage to its directors and officers against certain liabilities which might be incurred by them in such capacity.</w:t>
      </w:r>
    </w:p>
    <w:p>
      <w:pPr>
        <w:spacing w:after="0" w:line="360" w:lineRule="exact"/>
        <w:rPr>
          <w:sz w:val="20"/>
          <w:szCs w:val="20"/>
          <w:color w:val="auto"/>
        </w:rPr>
      </w:pPr>
    </w:p>
    <w:p>
      <w:pPr>
        <w:ind w:left="4"/>
        <w:spacing w:after="0"/>
        <w:tabs>
          <w:tab w:leader="none" w:pos="1283" w:val="left"/>
        </w:tabs>
        <w:rPr>
          <w:sz w:val="20"/>
          <w:szCs w:val="20"/>
          <w:color w:val="auto"/>
        </w:rPr>
      </w:pPr>
      <w:r>
        <w:rPr>
          <w:rFonts w:ascii="Courier New" w:cs="Courier New" w:eastAsia="Courier New" w:hAnsi="Courier New"/>
          <w:sz w:val="16"/>
          <w:szCs w:val="16"/>
          <w:color w:val="auto"/>
        </w:rPr>
        <w:t>ITEM 21.</w:t>
      </w:r>
      <w:r>
        <w:rPr>
          <w:sz w:val="20"/>
          <w:szCs w:val="20"/>
          <w:color w:val="auto"/>
        </w:rPr>
        <w:tab/>
      </w:r>
      <w:r>
        <w:rPr>
          <w:rFonts w:ascii="Courier New" w:cs="Courier New" w:eastAsia="Courier New" w:hAnsi="Courier New"/>
          <w:sz w:val="15"/>
          <w:szCs w:val="15"/>
          <w:color w:val="auto"/>
        </w:rPr>
        <w:t>EXHIBITS AND FINANCIAL STATEMENT SCHEDULES</w:t>
      </w:r>
    </w:p>
    <w:p>
      <w:pPr>
        <w:spacing w:after="0" w:line="179" w:lineRule="exact"/>
        <w:rPr>
          <w:sz w:val="20"/>
          <w:szCs w:val="20"/>
          <w:color w:val="auto"/>
        </w:rPr>
      </w:pPr>
    </w:p>
    <w:p>
      <w:pPr>
        <w:ind w:left="1304"/>
        <w:spacing w:after="0"/>
        <w:tabs>
          <w:tab w:leader="none" w:pos="1863" w:val="left"/>
        </w:tabs>
        <w:rPr>
          <w:sz w:val="20"/>
          <w:szCs w:val="20"/>
          <w:color w:val="auto"/>
        </w:rPr>
      </w:pPr>
      <w:r>
        <w:rPr>
          <w:rFonts w:ascii="Courier New" w:cs="Courier New" w:eastAsia="Courier New" w:hAnsi="Courier New"/>
          <w:sz w:val="16"/>
          <w:szCs w:val="16"/>
          <w:color w:val="auto"/>
        </w:rPr>
        <w:t>(a)</w:t>
        <w:tab/>
        <w:t>EXHIBITS</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Exhibit</w:t>
      </w:r>
    </w:p>
    <w:p>
      <w:pPr>
        <w:ind w:left="184"/>
        <w:spacing w:after="0"/>
        <w:tabs>
          <w:tab w:leader="none" w:pos="1483" w:val="left"/>
        </w:tabs>
        <w:rPr>
          <w:sz w:val="20"/>
          <w:szCs w:val="20"/>
          <w:color w:val="auto"/>
        </w:rPr>
      </w:pPr>
      <w:r>
        <w:rPr>
          <w:rFonts w:ascii="Courier New" w:cs="Courier New" w:eastAsia="Courier New" w:hAnsi="Courier New"/>
          <w:sz w:val="16"/>
          <w:szCs w:val="16"/>
          <w:color w:val="auto"/>
        </w:rPr>
        <w:t>No.</w:t>
      </w:r>
      <w:r>
        <w:rPr>
          <w:sz w:val="20"/>
          <w:szCs w:val="20"/>
          <w:color w:val="auto"/>
        </w:rPr>
        <w:tab/>
      </w:r>
      <w:r>
        <w:rPr>
          <w:rFonts w:ascii="Courier New" w:cs="Courier New" w:eastAsia="Courier New" w:hAnsi="Courier New"/>
          <w:sz w:val="16"/>
          <w:szCs w:val="16"/>
          <w:color w:val="auto"/>
        </w:rPr>
        <w:t>Description</w:t>
      </w:r>
    </w:p>
    <w:p>
      <w:pPr>
        <w:ind w:left="184"/>
        <w:spacing w:after="0" w:line="237" w:lineRule="auto"/>
        <w:tabs>
          <w:tab w:leader="none" w:pos="148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0" w:lineRule="exact"/>
        <w:rPr>
          <w:sz w:val="20"/>
          <w:szCs w:val="20"/>
          <w:color w:val="auto"/>
        </w:rPr>
      </w:pPr>
    </w:p>
    <w:p>
      <w:pPr>
        <w:ind w:left="4"/>
        <w:spacing w:after="0"/>
        <w:tabs>
          <w:tab w:leader="none" w:pos="1483"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5"/>
          <w:szCs w:val="15"/>
          <w:color w:val="auto"/>
        </w:rPr>
        <w:t>Asset Purchase Agreement dated as of November 11, 1998, between</w:t>
      </w:r>
    </w:p>
    <w:p>
      <w:pPr>
        <w:ind w:left="1504"/>
        <w:spacing w:after="0"/>
        <w:rPr>
          <w:sz w:val="20"/>
          <w:szCs w:val="20"/>
          <w:color w:val="auto"/>
        </w:rPr>
      </w:pPr>
      <w:r>
        <w:rPr>
          <w:rFonts w:ascii="Courier New" w:cs="Courier New" w:eastAsia="Courier New" w:hAnsi="Courier New"/>
          <w:sz w:val="16"/>
          <w:szCs w:val="16"/>
          <w:color w:val="auto"/>
        </w:rPr>
        <w:t>Monsanto Company and the Registrant (incorporated herein by</w:t>
      </w:r>
    </w:p>
    <w:p>
      <w:pPr>
        <w:ind w:left="1504"/>
        <w:spacing w:after="0" w:line="237" w:lineRule="auto"/>
        <w:rPr>
          <w:sz w:val="20"/>
          <w:szCs w:val="20"/>
          <w:color w:val="auto"/>
        </w:rPr>
      </w:pPr>
      <w:r>
        <w:rPr>
          <w:rFonts w:ascii="Courier New" w:cs="Courier New" w:eastAsia="Courier New" w:hAnsi="Courier New"/>
          <w:sz w:val="16"/>
          <w:szCs w:val="16"/>
          <w:color w:val="auto"/>
        </w:rPr>
        <w:t>reference to Exhibit 2(d) to the Registrant's Annual Report</w:t>
      </w:r>
    </w:p>
    <w:p>
      <w:pPr>
        <w:spacing w:after="0" w:line="5" w:lineRule="exact"/>
        <w:rPr>
          <w:sz w:val="20"/>
          <w:szCs w:val="20"/>
          <w:color w:val="auto"/>
        </w:rPr>
      </w:pPr>
    </w:p>
    <w:p>
      <w:pPr>
        <w:ind w:left="1504"/>
        <w:spacing w:after="0"/>
        <w:rPr>
          <w:sz w:val="20"/>
          <w:szCs w:val="20"/>
          <w:color w:val="auto"/>
        </w:rPr>
      </w:pPr>
      <w:r>
        <w:rPr>
          <w:rFonts w:ascii="Courier New" w:cs="Courier New" w:eastAsia="Courier New" w:hAnsi="Courier New"/>
          <w:sz w:val="15"/>
          <w:szCs w:val="15"/>
          <w:color w:val="auto"/>
        </w:rPr>
        <w:t>on Form 10-K for the fiscal year ended September 30, 1999 (File</w:t>
      </w:r>
    </w:p>
    <w:p>
      <w:pPr>
        <w:spacing w:after="0" w:line="5" w:lineRule="exact"/>
        <w:rPr>
          <w:sz w:val="20"/>
          <w:szCs w:val="20"/>
          <w:color w:val="auto"/>
        </w:rPr>
      </w:pPr>
    </w:p>
    <w:p>
      <w:pPr>
        <w:ind w:left="1504"/>
        <w:spacing w:after="0"/>
        <w:rPr>
          <w:sz w:val="20"/>
          <w:szCs w:val="20"/>
          <w:color w:val="auto"/>
        </w:rPr>
      </w:pPr>
      <w:r>
        <w:rPr>
          <w:rFonts w:ascii="Courier New" w:cs="Courier New" w:eastAsia="Courier New" w:hAnsi="Courier New"/>
          <w:sz w:val="16"/>
          <w:szCs w:val="16"/>
          <w:color w:val="auto"/>
        </w:rPr>
        <w:t>No. 001-13292)). Certain portions of this exhibit have been</w:t>
      </w:r>
    </w:p>
    <w:p>
      <w:pPr>
        <w:ind w:left="1504"/>
        <w:spacing w:after="0"/>
        <w:rPr>
          <w:sz w:val="20"/>
          <w:szCs w:val="20"/>
          <w:color w:val="auto"/>
        </w:rPr>
      </w:pPr>
      <w:r>
        <w:rPr>
          <w:rFonts w:ascii="Courier New" w:cs="Courier New" w:eastAsia="Courier New" w:hAnsi="Courier New"/>
          <w:sz w:val="16"/>
          <w:szCs w:val="16"/>
          <w:color w:val="auto"/>
        </w:rPr>
        <w:t>omitted based upon a request for confidential treatment filed</w:t>
      </w:r>
    </w:p>
    <w:p>
      <w:pPr>
        <w:ind w:left="1504"/>
        <w:spacing w:after="0" w:line="237" w:lineRule="auto"/>
        <w:rPr>
          <w:sz w:val="20"/>
          <w:szCs w:val="20"/>
          <w:color w:val="auto"/>
        </w:rPr>
      </w:pPr>
      <w:r>
        <w:rPr>
          <w:rFonts w:ascii="Courier New" w:cs="Courier New" w:eastAsia="Courier New" w:hAnsi="Courier New"/>
          <w:sz w:val="16"/>
          <w:szCs w:val="16"/>
          <w:color w:val="auto"/>
        </w:rPr>
        <w:t>with the Commission. The non-public information has been filed</w:t>
      </w:r>
    </w:p>
    <w:p>
      <w:pPr>
        <w:spacing w:after="0" w:line="5" w:lineRule="exact"/>
        <w:rPr>
          <w:sz w:val="20"/>
          <w:szCs w:val="20"/>
          <w:color w:val="auto"/>
        </w:rPr>
      </w:pPr>
    </w:p>
    <w:p>
      <w:pPr>
        <w:ind w:left="1504"/>
        <w:spacing w:after="0"/>
        <w:rPr>
          <w:sz w:val="20"/>
          <w:szCs w:val="20"/>
          <w:color w:val="auto"/>
        </w:rPr>
      </w:pPr>
      <w:r>
        <w:rPr>
          <w:rFonts w:ascii="Courier New" w:cs="Courier New" w:eastAsia="Courier New" w:hAnsi="Courier New"/>
          <w:sz w:val="15"/>
          <w:szCs w:val="15"/>
          <w:color w:val="auto"/>
        </w:rPr>
        <w:t>separately with the Commission in connection with that request.</w:t>
      </w:r>
    </w:p>
    <w:p>
      <w:pPr>
        <w:spacing w:after="0" w:line="186" w:lineRule="exact"/>
        <w:rPr>
          <w:sz w:val="20"/>
          <w:szCs w:val="20"/>
          <w:color w:val="auto"/>
        </w:rPr>
      </w:pPr>
    </w:p>
    <w:p>
      <w:pPr>
        <w:ind w:left="4"/>
        <w:spacing w:after="0"/>
        <w:tabs>
          <w:tab w:leader="none" w:pos="1483" w:val="left"/>
        </w:tabs>
        <w:rPr>
          <w:sz w:val="20"/>
          <w:szCs w:val="20"/>
          <w:color w:val="auto"/>
        </w:rPr>
      </w:pPr>
      <w:r>
        <w:rPr>
          <w:rFonts w:ascii="Courier New" w:cs="Courier New" w:eastAsia="Courier New" w:hAnsi="Courier New"/>
          <w:sz w:val="16"/>
          <w:szCs w:val="16"/>
          <w:color w:val="auto"/>
        </w:rPr>
        <w:t>2.2**</w:t>
      </w:r>
      <w:r>
        <w:rPr>
          <w:sz w:val="20"/>
          <w:szCs w:val="20"/>
          <w:color w:val="auto"/>
        </w:rPr>
        <w:tab/>
      </w:r>
      <w:r>
        <w:rPr>
          <w:rFonts w:ascii="Courier New" w:cs="Courier New" w:eastAsia="Courier New" w:hAnsi="Courier New"/>
          <w:sz w:val="15"/>
          <w:szCs w:val="15"/>
          <w:color w:val="auto"/>
        </w:rPr>
        <w:t>Amended and Restated Agency and Marketing Agreement dated as of</w:t>
      </w:r>
    </w:p>
    <w:p>
      <w:pPr>
        <w:ind w:left="1504"/>
        <w:spacing w:after="0"/>
        <w:rPr>
          <w:sz w:val="20"/>
          <w:szCs w:val="20"/>
          <w:color w:val="auto"/>
        </w:rPr>
      </w:pPr>
      <w:r>
        <w:rPr>
          <w:rFonts w:ascii="Courier New" w:cs="Courier New" w:eastAsia="Courier New" w:hAnsi="Courier New"/>
          <w:sz w:val="16"/>
          <w:szCs w:val="16"/>
          <w:color w:val="auto"/>
        </w:rPr>
        <w:t>September 30, 1998 between Monsanto Company and the Registrant</w:t>
      </w:r>
    </w:p>
    <w:p>
      <w:pPr>
        <w:ind w:left="1504"/>
        <w:spacing w:after="0" w:line="237" w:lineRule="auto"/>
        <w:rPr>
          <w:sz w:val="20"/>
          <w:szCs w:val="20"/>
          <w:color w:val="auto"/>
        </w:rPr>
      </w:pPr>
      <w:r>
        <w:rPr>
          <w:rFonts w:ascii="Courier New" w:cs="Courier New" w:eastAsia="Courier New" w:hAnsi="Courier New"/>
          <w:sz w:val="16"/>
          <w:szCs w:val="16"/>
          <w:color w:val="auto"/>
        </w:rPr>
        <w:t>(incorporated herein by reference to Exhibit 10(v) to the</w:t>
      </w:r>
    </w:p>
    <w:p>
      <w:pPr>
        <w:ind w:left="1504"/>
        <w:spacing w:after="0"/>
        <w:rPr>
          <w:sz w:val="20"/>
          <w:szCs w:val="20"/>
          <w:color w:val="auto"/>
        </w:rPr>
      </w:pPr>
      <w:r>
        <w:rPr>
          <w:rFonts w:ascii="Courier New" w:cs="Courier New" w:eastAsia="Courier New" w:hAnsi="Courier New"/>
          <w:sz w:val="16"/>
          <w:szCs w:val="16"/>
          <w:color w:val="auto"/>
        </w:rPr>
        <w:t>Registrant's Annual Report on Form 10-K for the fiscal</w:t>
      </w:r>
    </w:p>
    <w:p>
      <w:pPr>
        <w:ind w:left="1504"/>
        <w:spacing w:after="0" w:line="238" w:lineRule="auto"/>
        <w:rPr>
          <w:sz w:val="20"/>
          <w:szCs w:val="20"/>
          <w:color w:val="auto"/>
        </w:rPr>
      </w:pPr>
      <w:r>
        <w:rPr>
          <w:rFonts w:ascii="Courier New" w:cs="Courier New" w:eastAsia="Courier New" w:hAnsi="Courier New"/>
          <w:sz w:val="16"/>
          <w:szCs w:val="16"/>
          <w:color w:val="auto"/>
        </w:rPr>
        <w:t>year ended September 30, 1999 (File No. 001-13292)). Certain</w:t>
      </w:r>
    </w:p>
    <w:p>
      <w:pPr>
        <w:spacing w:after="0" w:line="4" w:lineRule="exact"/>
        <w:rPr>
          <w:sz w:val="20"/>
          <w:szCs w:val="20"/>
          <w:color w:val="auto"/>
        </w:rPr>
      </w:pPr>
    </w:p>
    <w:p>
      <w:pPr>
        <w:ind w:left="1504"/>
        <w:spacing w:after="0"/>
        <w:rPr>
          <w:sz w:val="20"/>
          <w:szCs w:val="20"/>
          <w:color w:val="auto"/>
        </w:rPr>
      </w:pPr>
      <w:r>
        <w:rPr>
          <w:rFonts w:ascii="Courier New" w:cs="Courier New" w:eastAsia="Courier New" w:hAnsi="Courier New"/>
          <w:sz w:val="15"/>
          <w:szCs w:val="15"/>
          <w:color w:val="auto"/>
        </w:rPr>
        <w:t>portions of this exhibit have been omitted based upon a request</w:t>
      </w:r>
    </w:p>
    <w:p>
      <w:pPr>
        <w:spacing w:after="0" w:line="5" w:lineRule="exact"/>
        <w:rPr>
          <w:sz w:val="20"/>
          <w:szCs w:val="20"/>
          <w:color w:val="auto"/>
        </w:rPr>
      </w:pPr>
    </w:p>
    <w:p>
      <w:pPr>
        <w:ind w:left="1504"/>
        <w:spacing w:after="0"/>
        <w:rPr>
          <w:sz w:val="20"/>
          <w:szCs w:val="20"/>
          <w:color w:val="auto"/>
        </w:rPr>
      </w:pPr>
      <w:r>
        <w:rPr>
          <w:rFonts w:ascii="Courier New" w:cs="Courier New" w:eastAsia="Courier New" w:hAnsi="Courier New"/>
          <w:sz w:val="16"/>
          <w:szCs w:val="16"/>
          <w:color w:val="auto"/>
        </w:rPr>
        <w:t>for confidential treatment filed with the Commission. The</w:t>
      </w:r>
    </w:p>
    <w:p>
      <w:pPr>
        <w:ind w:left="1504"/>
        <w:spacing w:after="0"/>
        <w:rPr>
          <w:sz w:val="20"/>
          <w:szCs w:val="20"/>
          <w:color w:val="auto"/>
        </w:rPr>
      </w:pPr>
      <w:r>
        <w:rPr>
          <w:rFonts w:ascii="Courier New" w:cs="Courier New" w:eastAsia="Courier New" w:hAnsi="Courier New"/>
          <w:sz w:val="16"/>
          <w:szCs w:val="16"/>
          <w:color w:val="auto"/>
        </w:rPr>
        <w:t>non-public information has been filed separately with the</w:t>
      </w:r>
    </w:p>
    <w:p>
      <w:pPr>
        <w:ind w:left="1504"/>
        <w:spacing w:after="0" w:line="237" w:lineRule="auto"/>
        <w:rPr>
          <w:sz w:val="20"/>
          <w:szCs w:val="20"/>
          <w:color w:val="auto"/>
        </w:rPr>
      </w:pPr>
      <w:r>
        <w:rPr>
          <w:rFonts w:ascii="Courier New" w:cs="Courier New" w:eastAsia="Courier New" w:hAnsi="Courier New"/>
          <w:sz w:val="16"/>
          <w:szCs w:val="16"/>
          <w:color w:val="auto"/>
        </w:rPr>
        <w:t>Commission in connection with that request.</w:t>
      </w:r>
    </w:p>
    <w:p>
      <w:pPr>
        <w:spacing w:after="0" w:line="180" w:lineRule="exact"/>
        <w:rPr>
          <w:sz w:val="20"/>
          <w:szCs w:val="20"/>
          <w:color w:val="auto"/>
        </w:rPr>
      </w:pPr>
    </w:p>
    <w:p>
      <w:pPr>
        <w:ind w:left="4"/>
        <w:spacing w:after="0"/>
        <w:tabs>
          <w:tab w:leader="none" w:pos="1483"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Indenture dated as January 20, 1999 between The Scotts Company</w:t>
      </w:r>
    </w:p>
    <w:p>
      <w:pPr>
        <w:ind w:left="1504"/>
        <w:spacing w:after="0"/>
        <w:rPr>
          <w:sz w:val="20"/>
          <w:szCs w:val="20"/>
          <w:color w:val="auto"/>
        </w:rPr>
      </w:pPr>
      <w:r>
        <w:rPr>
          <w:rFonts w:ascii="Courier New" w:cs="Courier New" w:eastAsia="Courier New" w:hAnsi="Courier New"/>
          <w:sz w:val="16"/>
          <w:szCs w:val="16"/>
          <w:color w:val="auto"/>
        </w:rPr>
        <w:t>and State Street Bank and Trust Company, as trustee</w:t>
      </w:r>
    </w:p>
    <w:p>
      <w:pPr>
        <w:spacing w:after="0" w:line="179" w:lineRule="exact"/>
        <w:rPr>
          <w:sz w:val="20"/>
          <w:szCs w:val="20"/>
          <w:color w:val="auto"/>
        </w:rPr>
      </w:pPr>
    </w:p>
    <w:p>
      <w:pPr>
        <w:ind w:left="1504" w:hanging="1504"/>
        <w:spacing w:after="0"/>
        <w:tabs>
          <w:tab w:leader="none" w:pos="1504"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Vorys, Sater, Seymour and Pease LLP</w:t>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940" w:type="dxa"/>
            <w:vAlign w:val="bottom"/>
          </w:tcPr>
          <w:p>
            <w:pPr>
              <w:spacing w:after="0"/>
              <w:rPr>
                <w:sz w:val="20"/>
                <w:szCs w:val="20"/>
                <w:color w:val="auto"/>
              </w:rPr>
            </w:pPr>
            <w:r>
              <w:rPr>
                <w:rFonts w:ascii="Courier New" w:cs="Courier New" w:eastAsia="Courier New" w:hAnsi="Courier New"/>
                <w:sz w:val="16"/>
                <w:szCs w:val="16"/>
                <w:color w:val="auto"/>
              </w:rPr>
              <w:t>12</w:t>
            </w:r>
          </w:p>
        </w:tc>
        <w:tc>
          <w:tcPr>
            <w:tcW w:w="6380" w:type="dxa"/>
            <w:vAlign w:val="bottom"/>
          </w:tcPr>
          <w:p>
            <w:pPr>
              <w:ind w:left="560"/>
              <w:spacing w:after="0"/>
              <w:rPr>
                <w:sz w:val="20"/>
                <w:szCs w:val="20"/>
                <w:color w:val="auto"/>
              </w:rPr>
            </w:pPr>
            <w:r>
              <w:rPr>
                <w:rFonts w:ascii="Courier New" w:cs="Courier New" w:eastAsia="Courier New" w:hAnsi="Courier New"/>
                <w:sz w:val="16"/>
                <w:szCs w:val="16"/>
                <w:color w:val="auto"/>
              </w:rPr>
              <w:t>Computation of Ratio of Earnings to Fixed Charges</w:t>
            </w:r>
          </w:p>
        </w:tc>
      </w:tr>
      <w:tr>
        <w:trPr>
          <w:trHeight w:val="361"/>
        </w:trPr>
        <w:tc>
          <w:tcPr>
            <w:tcW w:w="94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6380" w:type="dxa"/>
            <w:vAlign w:val="bottom"/>
          </w:tcPr>
          <w:p>
            <w:pPr>
              <w:ind w:left="560"/>
              <w:spacing w:after="0"/>
              <w:rPr>
                <w:sz w:val="20"/>
                <w:szCs w:val="20"/>
                <w:color w:val="auto"/>
              </w:rPr>
            </w:pPr>
            <w:r>
              <w:rPr>
                <w:rFonts w:ascii="Courier New" w:cs="Courier New" w:eastAsia="Courier New" w:hAnsi="Courier New"/>
                <w:sz w:val="16"/>
                <w:szCs w:val="16"/>
                <w:color w:val="auto"/>
                <w:w w:val="97"/>
              </w:rPr>
              <w:t>Consent of PricewaterhouseCoopers LLP, Independent Accountants</w:t>
            </w:r>
          </w:p>
        </w:tc>
      </w:tr>
    </w:tbl>
    <w:p>
      <w:pPr>
        <w:spacing w:after="0" w:line="200" w:lineRule="exact"/>
        <w:rPr>
          <w:sz w:val="20"/>
          <w:szCs w:val="20"/>
          <w:color w:val="auto"/>
        </w:rPr>
      </w:pPr>
    </w:p>
    <w:p>
      <w:pPr>
        <w:sectPr>
          <w:pgSz w:w="11900" w:h="16838" w:orient="portrait"/>
          <w:cols w:equalWidth="0" w:num="1">
            <w:col w:w="10223"/>
          </w:cols>
          <w:pgMar w:left="236" w:top="293" w:right="1440" w:bottom="1440" w:gutter="0" w:footer="0" w:header="0"/>
        </w:sectPr>
      </w:pPr>
    </w:p>
    <w:p>
      <w:pPr>
        <w:spacing w:after="0" w:line="165" w:lineRule="exact"/>
        <w:rPr>
          <w:sz w:val="20"/>
          <w:szCs w:val="20"/>
          <w:color w:val="auto"/>
        </w:rPr>
      </w:pPr>
    </w:p>
    <w:p>
      <w:pPr>
        <w:ind w:left="3564"/>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3"/>
          </w:cols>
          <w:pgMar w:left="236" w:top="293" w:right="1440" w:bottom="1440" w:gutter="0" w:footer="0" w:header="0"/>
          <w:type w:val="continuous"/>
        </w:sectPr>
      </w:pPr>
    </w:p>
    <w:bookmarkStart w:id="59" w:name="page60"/>
    <w:bookmarkEnd w:id="59"/>
    <w:p>
      <w:pPr>
        <w:spacing w:after="0" w:line="7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108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58</w:t>
            </w:r>
          </w:p>
        </w:tc>
        <w:tc>
          <w:tcPr>
            <w:tcW w:w="5960" w:type="dxa"/>
            <w:vAlign w:val="bottom"/>
          </w:tcPr>
          <w:p>
            <w:pPr>
              <w:spacing w:after="0"/>
              <w:rPr>
                <w:sz w:val="15"/>
                <w:szCs w:val="15"/>
                <w:color w:val="auto"/>
              </w:rPr>
            </w:pPr>
          </w:p>
        </w:tc>
      </w:tr>
      <w:tr>
        <w:trPr>
          <w:trHeight w:val="180"/>
        </w:trPr>
        <w:tc>
          <w:tcPr>
            <w:tcW w:w="1080" w:type="dxa"/>
            <w:vAlign w:val="bottom"/>
          </w:tcPr>
          <w:p>
            <w:pPr>
              <w:jc w:val="center"/>
              <w:ind w:right="342"/>
              <w:spacing w:after="0"/>
              <w:rPr>
                <w:sz w:val="20"/>
                <w:szCs w:val="20"/>
                <w:color w:val="auto"/>
              </w:rPr>
            </w:pPr>
            <w:r>
              <w:rPr>
                <w:rFonts w:ascii="Courier New" w:cs="Courier New" w:eastAsia="Courier New" w:hAnsi="Courier New"/>
                <w:sz w:val="16"/>
                <w:szCs w:val="16"/>
                <w:color w:val="auto"/>
                <w:w w:val="98"/>
              </w:rPr>
              <w:t>Exhibit</w:t>
            </w:r>
          </w:p>
        </w:tc>
        <w:tc>
          <w:tcPr>
            <w:tcW w:w="5960" w:type="dxa"/>
            <w:vAlign w:val="bottom"/>
          </w:tcPr>
          <w:p>
            <w:pPr>
              <w:spacing w:after="0"/>
              <w:rPr>
                <w:sz w:val="15"/>
                <w:szCs w:val="15"/>
                <w:color w:val="auto"/>
              </w:rPr>
            </w:pPr>
          </w:p>
        </w:tc>
      </w:tr>
      <w:tr>
        <w:trPr>
          <w:trHeight w:val="180"/>
        </w:trPr>
        <w:tc>
          <w:tcPr>
            <w:tcW w:w="1080" w:type="dxa"/>
            <w:vAlign w:val="bottom"/>
          </w:tcPr>
          <w:p>
            <w:pPr>
              <w:jc w:val="center"/>
              <w:ind w:right="362"/>
              <w:spacing w:after="0"/>
              <w:rPr>
                <w:sz w:val="20"/>
                <w:szCs w:val="20"/>
                <w:color w:val="auto"/>
              </w:rPr>
            </w:pPr>
            <w:r>
              <w:rPr>
                <w:rFonts w:ascii="Courier New" w:cs="Courier New" w:eastAsia="Courier New" w:hAnsi="Courier New"/>
                <w:sz w:val="16"/>
                <w:szCs w:val="16"/>
                <w:color w:val="auto"/>
                <w:w w:val="97"/>
              </w:rPr>
              <w:t>No.</w:t>
            </w:r>
          </w:p>
        </w:tc>
        <w:tc>
          <w:tcPr>
            <w:tcW w:w="5960" w:type="dxa"/>
            <w:vAlign w:val="bottom"/>
          </w:tcPr>
          <w:p>
            <w:pPr>
              <w:ind w:left="420"/>
              <w:spacing w:after="0"/>
              <w:rPr>
                <w:sz w:val="20"/>
                <w:szCs w:val="20"/>
                <w:color w:val="auto"/>
              </w:rPr>
            </w:pPr>
            <w:r>
              <w:rPr>
                <w:rFonts w:ascii="Courier New" w:cs="Courier New" w:eastAsia="Courier New" w:hAnsi="Courier New"/>
                <w:sz w:val="16"/>
                <w:szCs w:val="16"/>
                <w:color w:val="auto"/>
              </w:rPr>
              <w:t>Description</w:t>
            </w:r>
          </w:p>
        </w:tc>
      </w:tr>
      <w:tr>
        <w:trPr>
          <w:trHeight w:val="180"/>
        </w:trPr>
        <w:tc>
          <w:tcPr>
            <w:tcW w:w="108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w:t>
            </w:r>
          </w:p>
        </w:tc>
        <w:tc>
          <w:tcPr>
            <w:tcW w:w="596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r>
      <w:tr>
        <w:trPr>
          <w:trHeight w:val="361"/>
        </w:trPr>
        <w:tc>
          <w:tcPr>
            <w:tcW w:w="1080" w:type="dxa"/>
            <w:vAlign w:val="bottom"/>
          </w:tcPr>
          <w:p>
            <w:pPr>
              <w:spacing w:after="0"/>
              <w:rPr>
                <w:sz w:val="20"/>
                <w:szCs w:val="20"/>
                <w:color w:val="auto"/>
              </w:rPr>
            </w:pPr>
            <w:r>
              <w:rPr>
                <w:rFonts w:ascii="Courier New" w:cs="Courier New" w:eastAsia="Courier New" w:hAnsi="Courier New"/>
                <w:sz w:val="16"/>
                <w:szCs w:val="16"/>
                <w:color w:val="auto"/>
              </w:rPr>
              <w:t>23.3</w:t>
            </w:r>
          </w:p>
        </w:tc>
        <w:tc>
          <w:tcPr>
            <w:tcW w:w="5960" w:type="dxa"/>
            <w:vAlign w:val="bottom"/>
          </w:tcPr>
          <w:p>
            <w:pPr>
              <w:ind w:left="420"/>
              <w:spacing w:after="0"/>
              <w:rPr>
                <w:sz w:val="20"/>
                <w:szCs w:val="20"/>
                <w:color w:val="auto"/>
              </w:rPr>
            </w:pPr>
            <w:r>
              <w:rPr>
                <w:rFonts w:ascii="Courier New" w:cs="Courier New" w:eastAsia="Courier New" w:hAnsi="Courier New"/>
                <w:sz w:val="16"/>
                <w:szCs w:val="16"/>
                <w:color w:val="auto"/>
                <w:w w:val="97"/>
              </w:rPr>
              <w:t>Consent of Vorys, Sater, Seymour and Pease LLP (included in</w:t>
            </w:r>
          </w:p>
        </w:tc>
      </w:tr>
      <w:tr>
        <w:trPr>
          <w:trHeight w:val="180"/>
        </w:trPr>
        <w:tc>
          <w:tcPr>
            <w:tcW w:w="1080" w:type="dxa"/>
            <w:vAlign w:val="bottom"/>
          </w:tcPr>
          <w:p>
            <w:pPr>
              <w:spacing w:after="0"/>
              <w:rPr>
                <w:sz w:val="15"/>
                <w:szCs w:val="15"/>
                <w:color w:val="auto"/>
              </w:rPr>
            </w:pPr>
          </w:p>
        </w:tc>
        <w:tc>
          <w:tcPr>
            <w:tcW w:w="5960" w:type="dxa"/>
            <w:vAlign w:val="bottom"/>
          </w:tcPr>
          <w:p>
            <w:pPr>
              <w:ind w:left="420"/>
              <w:spacing w:after="0"/>
              <w:rPr>
                <w:sz w:val="20"/>
                <w:szCs w:val="20"/>
                <w:color w:val="auto"/>
              </w:rPr>
            </w:pPr>
            <w:r>
              <w:rPr>
                <w:rFonts w:ascii="Courier New" w:cs="Courier New" w:eastAsia="Courier New" w:hAnsi="Courier New"/>
                <w:sz w:val="16"/>
                <w:szCs w:val="16"/>
                <w:color w:val="auto"/>
              </w:rPr>
              <w:t>Exhibit 5)</w:t>
            </w:r>
          </w:p>
        </w:tc>
      </w:tr>
      <w:tr>
        <w:trPr>
          <w:trHeight w:val="361"/>
        </w:trPr>
        <w:tc>
          <w:tcPr>
            <w:tcW w:w="1080" w:type="dxa"/>
            <w:vAlign w:val="bottom"/>
          </w:tcPr>
          <w:p>
            <w:pPr>
              <w:spacing w:after="0"/>
              <w:rPr>
                <w:sz w:val="20"/>
                <w:szCs w:val="20"/>
                <w:color w:val="auto"/>
              </w:rPr>
            </w:pPr>
            <w:r>
              <w:rPr>
                <w:rFonts w:ascii="Courier New" w:cs="Courier New" w:eastAsia="Courier New" w:hAnsi="Courier New"/>
                <w:sz w:val="16"/>
                <w:szCs w:val="16"/>
                <w:color w:val="auto"/>
              </w:rPr>
              <w:t>24**</w:t>
            </w:r>
          </w:p>
        </w:tc>
        <w:tc>
          <w:tcPr>
            <w:tcW w:w="5960" w:type="dxa"/>
            <w:vAlign w:val="bottom"/>
          </w:tcPr>
          <w:p>
            <w:pPr>
              <w:ind w:left="420"/>
              <w:spacing w:after="0"/>
              <w:rPr>
                <w:sz w:val="20"/>
                <w:szCs w:val="20"/>
                <w:color w:val="auto"/>
              </w:rPr>
            </w:pPr>
            <w:r>
              <w:rPr>
                <w:rFonts w:ascii="Courier New" w:cs="Courier New" w:eastAsia="Courier New" w:hAnsi="Courier New"/>
                <w:sz w:val="16"/>
                <w:szCs w:val="16"/>
                <w:color w:val="auto"/>
              </w:rPr>
              <w:t>Powers of Attorney</w:t>
            </w:r>
          </w:p>
        </w:tc>
      </w:tr>
      <w:tr>
        <w:trPr>
          <w:trHeight w:val="361"/>
        </w:trPr>
        <w:tc>
          <w:tcPr>
            <w:tcW w:w="1080" w:type="dxa"/>
            <w:vAlign w:val="bottom"/>
          </w:tcPr>
          <w:p>
            <w:pPr>
              <w:spacing w:after="0"/>
              <w:rPr>
                <w:sz w:val="20"/>
                <w:szCs w:val="20"/>
                <w:color w:val="auto"/>
              </w:rPr>
            </w:pPr>
            <w:r>
              <w:rPr>
                <w:rFonts w:ascii="Courier New" w:cs="Courier New" w:eastAsia="Courier New" w:hAnsi="Courier New"/>
                <w:sz w:val="16"/>
                <w:szCs w:val="16"/>
                <w:color w:val="auto"/>
              </w:rPr>
              <w:t>25**</w:t>
            </w:r>
          </w:p>
        </w:tc>
        <w:tc>
          <w:tcPr>
            <w:tcW w:w="5960" w:type="dxa"/>
            <w:vAlign w:val="bottom"/>
          </w:tcPr>
          <w:p>
            <w:pPr>
              <w:ind w:left="420"/>
              <w:spacing w:after="0"/>
              <w:rPr>
                <w:sz w:val="20"/>
                <w:szCs w:val="20"/>
                <w:color w:val="auto"/>
              </w:rPr>
            </w:pPr>
            <w:r>
              <w:rPr>
                <w:rFonts w:ascii="Courier New" w:cs="Courier New" w:eastAsia="Courier New" w:hAnsi="Courier New"/>
                <w:sz w:val="16"/>
                <w:szCs w:val="16"/>
                <w:color w:val="auto"/>
              </w:rPr>
              <w:t>Form T-1 - Statement of Eligibility of Trustee</w:t>
            </w:r>
          </w:p>
        </w:tc>
      </w:tr>
      <w:tr>
        <w:trPr>
          <w:trHeight w:val="361"/>
        </w:trPr>
        <w:tc>
          <w:tcPr>
            <w:tcW w:w="1080" w:type="dxa"/>
            <w:vAlign w:val="bottom"/>
          </w:tcPr>
          <w:p>
            <w:pPr>
              <w:spacing w:after="0"/>
              <w:rPr>
                <w:sz w:val="20"/>
                <w:szCs w:val="20"/>
                <w:color w:val="auto"/>
              </w:rPr>
            </w:pPr>
            <w:r>
              <w:rPr>
                <w:rFonts w:ascii="Courier New" w:cs="Courier New" w:eastAsia="Courier New" w:hAnsi="Courier New"/>
                <w:sz w:val="16"/>
                <w:szCs w:val="16"/>
                <w:color w:val="auto"/>
              </w:rPr>
              <w:t>99**</w:t>
            </w:r>
          </w:p>
        </w:tc>
        <w:tc>
          <w:tcPr>
            <w:tcW w:w="5960" w:type="dxa"/>
            <w:vAlign w:val="bottom"/>
          </w:tcPr>
          <w:p>
            <w:pPr>
              <w:ind w:left="420"/>
              <w:spacing w:after="0"/>
              <w:rPr>
                <w:sz w:val="20"/>
                <w:szCs w:val="20"/>
                <w:color w:val="auto"/>
              </w:rPr>
            </w:pPr>
            <w:r>
              <w:rPr>
                <w:rFonts w:ascii="Courier New" w:cs="Courier New" w:eastAsia="Courier New" w:hAnsi="Courier New"/>
                <w:sz w:val="16"/>
                <w:szCs w:val="16"/>
                <w:color w:val="auto"/>
              </w:rPr>
              <w:t>Letter of Transmittal</w:t>
            </w:r>
          </w:p>
        </w:tc>
      </w:tr>
      <w:tr>
        <w:trPr>
          <w:trHeight w:val="361"/>
        </w:trPr>
        <w:tc>
          <w:tcPr>
            <w:tcW w:w="10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960" w:type="dxa"/>
            <w:vAlign w:val="bottom"/>
          </w:tcPr>
          <w:p>
            <w:pPr>
              <w:spacing w:after="0"/>
              <w:rPr>
                <w:sz w:val="24"/>
                <w:szCs w:val="24"/>
                <w:color w:val="auto"/>
              </w:rPr>
            </w:pPr>
          </w:p>
        </w:tc>
      </w:tr>
    </w:tbl>
    <w:p>
      <w:pPr>
        <w:spacing w:after="0" w:line="185" w:lineRule="exact"/>
        <w:rPr>
          <w:sz w:val="20"/>
          <w:szCs w:val="20"/>
          <w:color w:val="auto"/>
        </w:rPr>
      </w:pPr>
    </w:p>
    <w:p>
      <w:pPr>
        <w:ind w:left="4" w:right="7499" w:hanging="4"/>
        <w:spacing w:after="0" w:line="509" w:lineRule="auto"/>
        <w:tabs>
          <w:tab w:leader="none" w:pos="379"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 ** Previously filed.</w:t>
      </w:r>
    </w:p>
    <w:p>
      <w:pPr>
        <w:ind w:left="1884" w:right="5619" w:hanging="571"/>
        <w:spacing w:after="0" w:line="471" w:lineRule="auto"/>
        <w:tabs>
          <w:tab w:leader="none" w:pos="1884"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 SCHEDULES None</w:t>
      </w:r>
    </w:p>
    <w:p>
      <w:pPr>
        <w:spacing w:after="0" w:line="5" w:lineRule="exact"/>
        <w:rPr>
          <w:sz w:val="20"/>
          <w:szCs w:val="20"/>
          <w:color w:val="auto"/>
        </w:rPr>
      </w:pPr>
    </w:p>
    <w:p>
      <w:pPr>
        <w:ind w:left="4"/>
        <w:spacing w:after="0"/>
        <w:tabs>
          <w:tab w:leader="none" w:pos="1283" w:val="left"/>
        </w:tabs>
        <w:rPr>
          <w:sz w:val="20"/>
          <w:szCs w:val="20"/>
          <w:color w:val="auto"/>
        </w:rPr>
      </w:pPr>
      <w:r>
        <w:rPr>
          <w:rFonts w:ascii="Courier New" w:cs="Courier New" w:eastAsia="Courier New" w:hAnsi="Courier New"/>
          <w:sz w:val="16"/>
          <w:szCs w:val="16"/>
          <w:color w:val="auto"/>
        </w:rPr>
        <w:t>ITEM 22.</w:t>
      </w:r>
      <w:r>
        <w:rPr>
          <w:sz w:val="20"/>
          <w:szCs w:val="20"/>
          <w:color w:val="auto"/>
        </w:rPr>
        <w:tab/>
      </w:r>
      <w:r>
        <w:rPr>
          <w:rFonts w:ascii="Courier New" w:cs="Courier New" w:eastAsia="Courier New" w:hAnsi="Courier New"/>
          <w:sz w:val="15"/>
          <w:szCs w:val="15"/>
          <w:color w:val="auto"/>
        </w:rPr>
        <w:t>UNDERTAKINGS.</w:t>
      </w:r>
    </w:p>
    <w:p>
      <w:pPr>
        <w:spacing w:after="0" w:line="185" w:lineRule="exact"/>
        <w:rPr>
          <w:sz w:val="20"/>
          <w:szCs w:val="20"/>
          <w:color w:val="auto"/>
        </w:rPr>
      </w:pPr>
    </w:p>
    <w:p>
      <w:pPr>
        <w:ind w:left="4" w:right="2719" w:firstLine="840"/>
        <w:spacing w:after="0" w:line="238" w:lineRule="auto"/>
        <w:tabs>
          <w:tab w:leader="none" w:pos="1223"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85" w:lineRule="exact"/>
        <w:rPr>
          <w:rFonts w:ascii="Courier New" w:cs="Courier New" w:eastAsia="Courier New" w:hAnsi="Courier New"/>
          <w:sz w:val="16"/>
          <w:szCs w:val="16"/>
          <w:color w:val="auto"/>
        </w:rPr>
      </w:pPr>
    </w:p>
    <w:p>
      <w:pPr>
        <w:ind w:left="4" w:right="2819" w:firstLine="840"/>
        <w:spacing w:after="0" w:line="255" w:lineRule="auto"/>
        <w:tabs>
          <w:tab w:leader="none" w:pos="1223"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undertakes that every prospectus (i) that is filed pursuant to paragraph (1) immediately preceding, or (ii) that purports to meet the requirements of Section 10(a)(3) of the Securities Act of 1933 and is used in connection with an offering of securities subject to Rule 145,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8" w:lineRule="exact"/>
        <w:rPr>
          <w:rFonts w:ascii="Courier New" w:cs="Courier New" w:eastAsia="Courier New" w:hAnsi="Courier New"/>
          <w:sz w:val="15"/>
          <w:szCs w:val="15"/>
          <w:color w:val="auto"/>
        </w:rPr>
      </w:pPr>
    </w:p>
    <w:p>
      <w:pPr>
        <w:ind w:left="4" w:right="2819" w:firstLine="840"/>
        <w:spacing w:after="0" w:line="238" w:lineRule="auto"/>
        <w:tabs>
          <w:tab w:leader="none" w:pos="1223"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against the registrant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0" w:lineRule="exact"/>
        <w:rPr>
          <w:rFonts w:ascii="Courier New" w:cs="Courier New" w:eastAsia="Courier New" w:hAnsi="Courier New"/>
          <w:sz w:val="16"/>
          <w:szCs w:val="16"/>
          <w:color w:val="auto"/>
        </w:rPr>
      </w:pPr>
    </w:p>
    <w:p>
      <w:pPr>
        <w:ind w:left="4" w:right="2819" w:firstLine="840"/>
        <w:spacing w:after="0" w:line="237" w:lineRule="auto"/>
        <w:tabs>
          <w:tab w:leader="none" w:pos="1223"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80" w:lineRule="exact"/>
        <w:rPr>
          <w:rFonts w:ascii="Courier New" w:cs="Courier New" w:eastAsia="Courier New" w:hAnsi="Courier New"/>
          <w:sz w:val="16"/>
          <w:szCs w:val="16"/>
          <w:color w:val="auto"/>
        </w:rPr>
      </w:pPr>
    </w:p>
    <w:p>
      <w:pPr>
        <w:ind w:left="1224" w:hanging="380"/>
        <w:spacing w:after="0"/>
        <w:tabs>
          <w:tab w:leader="none" w:pos="1224"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84" w:lineRule="exact"/>
        <w:rPr>
          <w:rFonts w:ascii="Courier New" w:cs="Courier New" w:eastAsia="Courier New" w:hAnsi="Courier New"/>
          <w:sz w:val="16"/>
          <w:szCs w:val="16"/>
          <w:color w:val="auto"/>
        </w:rPr>
      </w:pPr>
    </w:p>
    <w:p>
      <w:pPr>
        <w:ind w:left="1604" w:right="3099" w:hanging="384"/>
        <w:spacing w:after="0" w:line="237" w:lineRule="auto"/>
        <w:tabs>
          <w:tab w:leader="none" w:pos="1604"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84" w:lineRule="exact"/>
        <w:rPr>
          <w:rFonts w:ascii="Courier New" w:cs="Courier New" w:eastAsia="Courier New" w:hAnsi="Courier New"/>
          <w:sz w:val="16"/>
          <w:szCs w:val="16"/>
          <w:color w:val="auto"/>
        </w:rPr>
      </w:pPr>
    </w:p>
    <w:p>
      <w:pPr>
        <w:ind w:left="2164" w:right="2719" w:hanging="569"/>
        <w:spacing w:after="0" w:line="236" w:lineRule="auto"/>
        <w:tabs>
          <w:tab w:leader="none" w:pos="2164" w:val="left"/>
        </w:tabs>
        <w:numPr>
          <w:ilvl w:val="2"/>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w:t>
      </w:r>
    </w:p>
    <w:p>
      <w:pPr>
        <w:spacing w:after="0" w:line="184" w:lineRule="exact"/>
        <w:rPr>
          <w:rFonts w:ascii="Courier New" w:cs="Courier New" w:eastAsia="Courier New" w:hAnsi="Courier New"/>
          <w:sz w:val="16"/>
          <w:szCs w:val="16"/>
          <w:color w:val="auto"/>
        </w:rPr>
      </w:pPr>
    </w:p>
    <w:p>
      <w:pPr>
        <w:ind w:left="2164" w:right="2719" w:hanging="569"/>
        <w:spacing w:after="0" w:line="255" w:lineRule="auto"/>
        <w:tabs>
          <w:tab w:leader="none" w:pos="2164" w:val="left"/>
        </w:tabs>
        <w:numPr>
          <w:ilvl w:val="2"/>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w:t>
      </w:r>
    </w:p>
    <w:p>
      <w:pPr>
        <w:sectPr>
          <w:pgSz w:w="11900" w:h="16915" w:orient="portrait"/>
          <w:cols w:equalWidth="0" w:num="1">
            <w:col w:w="10223"/>
          </w:cols>
          <w:pgMar w:left="236" w:top="293" w:right="1440" w:bottom="0" w:gutter="0" w:footer="0" w:header="0"/>
        </w:sectPr>
      </w:pPr>
    </w:p>
    <w:bookmarkStart w:id="60" w:name="page61"/>
    <w:bookmarkEnd w:id="60"/>
    <w:p>
      <w:pPr>
        <w:ind w:left="1320"/>
        <w:spacing w:after="0"/>
        <w:rPr>
          <w:sz w:val="20"/>
          <w:szCs w:val="20"/>
          <w:color w:val="auto"/>
        </w:rPr>
      </w:pPr>
      <w:r>
        <w:rPr>
          <w:rFonts w:ascii="Courier New" w:cs="Courier New" w:eastAsia="Courier New" w:hAnsi="Courier New"/>
          <w:sz w:val="16"/>
          <w:szCs w:val="16"/>
          <w:color w:val="auto"/>
        </w:rPr>
        <w:t>offering price set forth in the "Calculation of</w:t>
      </w:r>
    </w:p>
    <w:p>
      <w:pPr>
        <w:ind w:left="1320"/>
        <w:spacing w:after="0"/>
        <w:rPr>
          <w:sz w:val="20"/>
          <w:szCs w:val="20"/>
          <w:color w:val="auto"/>
        </w:rPr>
      </w:pPr>
      <w:r>
        <w:rPr>
          <w:rFonts w:ascii="Courier New" w:cs="Courier New" w:eastAsia="Courier New" w:hAnsi="Courier New"/>
          <w:sz w:val="16"/>
          <w:szCs w:val="16"/>
          <w:color w:val="auto"/>
        </w:rPr>
        <w:t>Registration Fee" table in the effective registration</w:t>
      </w:r>
    </w:p>
    <w:p>
      <w:pPr>
        <w:ind w:left="1320"/>
        <w:spacing w:after="0" w:line="237" w:lineRule="auto"/>
        <w:rPr>
          <w:sz w:val="20"/>
          <w:szCs w:val="20"/>
          <w:color w:val="auto"/>
        </w:rPr>
      </w:pPr>
      <w:r>
        <w:rPr>
          <w:rFonts w:ascii="Courier New" w:cs="Courier New" w:eastAsia="Courier New" w:hAnsi="Courier New"/>
          <w:sz w:val="16"/>
          <w:szCs w:val="16"/>
          <w:color w:val="auto"/>
        </w:rPr>
        <w:t>statement;</w:t>
      </w:r>
    </w:p>
    <w:p>
      <w:pPr>
        <w:spacing w:after="0" w:line="185" w:lineRule="exact"/>
        <w:rPr>
          <w:sz w:val="20"/>
          <w:szCs w:val="20"/>
          <w:color w:val="auto"/>
        </w:rPr>
      </w:pPr>
    </w:p>
    <w:p>
      <w:pPr>
        <w:ind w:left="1320" w:right="2899" w:hanging="569"/>
        <w:spacing w:after="0" w:line="237" w:lineRule="auto"/>
        <w:tabs>
          <w:tab w:leader="none" w:pos="1320" w:val="left"/>
        </w:tabs>
        <w:numPr>
          <w:ilvl w:val="2"/>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nay material change to such information in the registration statement.</w:t>
      </w:r>
    </w:p>
    <w:p>
      <w:pPr>
        <w:spacing w:after="0" w:line="185" w:lineRule="exact"/>
        <w:rPr>
          <w:rFonts w:ascii="Courier New" w:cs="Courier New" w:eastAsia="Courier New" w:hAnsi="Courier New"/>
          <w:sz w:val="16"/>
          <w:szCs w:val="16"/>
          <w:color w:val="auto"/>
        </w:rPr>
      </w:pPr>
    </w:p>
    <w:p>
      <w:pPr>
        <w:ind w:left="760" w:right="2819" w:hanging="384"/>
        <w:spacing w:after="0" w:line="237" w:lineRule="auto"/>
        <w:tabs>
          <w:tab w:leader="none" w:pos="760"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8" w:lineRule="exact"/>
        <w:rPr>
          <w:rFonts w:ascii="Courier New" w:cs="Courier New" w:eastAsia="Courier New" w:hAnsi="Courier New"/>
          <w:sz w:val="16"/>
          <w:szCs w:val="16"/>
          <w:color w:val="auto"/>
        </w:rPr>
      </w:pPr>
    </w:p>
    <w:p>
      <w:pPr>
        <w:ind w:left="760" w:right="2899" w:hanging="384"/>
        <w:spacing w:after="0" w:line="237" w:lineRule="auto"/>
        <w:tabs>
          <w:tab w:leader="none" w:pos="760"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84" w:lineRule="exact"/>
        <w:rPr>
          <w:rFonts w:ascii="Courier New" w:cs="Courier New" w:eastAsia="Courier New" w:hAnsi="Courier New"/>
          <w:sz w:val="16"/>
          <w:szCs w:val="16"/>
          <w:color w:val="auto"/>
        </w:rPr>
      </w:pPr>
    </w:p>
    <w:p>
      <w:pPr>
        <w:ind w:left="760" w:right="2719" w:hanging="384"/>
        <w:spacing w:after="0" w:line="238" w:lineRule="auto"/>
        <w:tabs>
          <w:tab w:leader="none" w:pos="760"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registrant is a foreign private issuer, to file a post-effective amendment to the registration statement to include any financial statements required by Rule 3-19 of regulation S-X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w:t>
      </w:r>
    </w:p>
    <w:p>
      <w:pPr>
        <w:spacing w:after="0" w:line="5" w:lineRule="exact"/>
        <w:rPr>
          <w:rFonts w:ascii="Courier New" w:cs="Courier New" w:eastAsia="Courier New" w:hAnsi="Courier New"/>
          <w:sz w:val="16"/>
          <w:szCs w:val="16"/>
          <w:color w:val="auto"/>
        </w:rPr>
      </w:pPr>
    </w:p>
    <w:p>
      <w:pPr>
        <w:ind w:left="760" w:right="271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(5)(d)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Act or Rule 3-19 of Regulation S-X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187" w:lineRule="exact"/>
        <w:rPr>
          <w:rFonts w:ascii="Courier New" w:cs="Courier New" w:eastAsia="Courier New" w:hAnsi="Courier New"/>
          <w:sz w:val="16"/>
          <w:szCs w:val="16"/>
          <w:color w:val="auto"/>
        </w:rPr>
      </w:pPr>
    </w:p>
    <w:p>
      <w:pPr>
        <w:ind w:left="-840" w:right="2819" w:firstLine="840"/>
        <w:spacing w:after="0" w:line="255" w:lineRule="auto"/>
        <w:tabs>
          <w:tab w:leader="none" w:pos="567"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8" w:lineRule="exact"/>
        <w:rPr>
          <w:rFonts w:ascii="Courier New" w:cs="Courier New" w:eastAsia="Courier New" w:hAnsi="Courier New"/>
          <w:sz w:val="15"/>
          <w:szCs w:val="15"/>
          <w:color w:val="auto"/>
        </w:rPr>
      </w:pPr>
    </w:p>
    <w:p>
      <w:pPr>
        <w:ind w:left="-840" w:right="2719" w:firstLine="840"/>
        <w:spacing w:after="0" w:line="237" w:lineRule="auto"/>
        <w:tabs>
          <w:tab w:leader="none" w:pos="567"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87" w:lineRule="exact"/>
        <w:rPr>
          <w:rFonts w:ascii="Courier New" w:cs="Courier New" w:eastAsia="Courier New" w:hAnsi="Courier New"/>
          <w:sz w:val="16"/>
          <w:szCs w:val="16"/>
          <w:color w:val="auto"/>
        </w:rPr>
      </w:pPr>
    </w:p>
    <w:p>
      <w:pPr>
        <w:ind w:left="-840" w:right="2899" w:firstLine="840"/>
        <w:spacing w:after="0" w:line="238" w:lineRule="auto"/>
        <w:tabs>
          <w:tab w:leader="none" w:pos="567"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9379"/>
          </w:cols>
          <w:pgMar w:left="1080" w:top="137" w:right="1440" w:bottom="1440" w:gutter="0" w:footer="0" w:header="0"/>
        </w:sectPr>
      </w:pPr>
    </w:p>
    <w:bookmarkStart w:id="61" w:name="page62"/>
    <w:bookmarkEnd w:id="61"/>
    <w:p>
      <w:pPr>
        <w:ind w:left="284"/>
        <w:spacing w:after="0"/>
        <w:rPr>
          <w:sz w:val="20"/>
          <w:szCs w:val="20"/>
          <w:color w:val="auto"/>
        </w:rPr>
      </w:pPr>
      <w:r>
        <w:rPr>
          <w:rFonts w:ascii="Courier New" w:cs="Courier New" w:eastAsia="Courier New" w:hAnsi="Courier New"/>
          <w:sz w:val="16"/>
          <w:szCs w:val="16"/>
          <w:color w:val="auto"/>
        </w:rPr>
        <w:t>59</w:t>
      </w: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4"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3 to Registration Statement on Form S-4 to be signed on its behalf by the undersigned, thereunto duly authorized, in the City of Columbus, State of Ohio, on June 15, 2000.</w:t>
      </w:r>
    </w:p>
    <w:p>
      <w:pPr>
        <w:spacing w:after="0" w:line="181" w:lineRule="exact"/>
        <w:rPr>
          <w:sz w:val="20"/>
          <w:szCs w:val="20"/>
          <w:color w:val="auto"/>
        </w:rPr>
      </w:pPr>
    </w:p>
    <w:p>
      <w:pPr>
        <w:ind w:left="3184"/>
        <w:spacing w:after="0"/>
        <w:rPr>
          <w:sz w:val="20"/>
          <w:szCs w:val="20"/>
          <w:color w:val="auto"/>
        </w:rPr>
      </w:pPr>
      <w:r>
        <w:rPr>
          <w:rFonts w:ascii="Courier New" w:cs="Courier New" w:eastAsia="Courier New" w:hAnsi="Courier New"/>
          <w:sz w:val="16"/>
          <w:szCs w:val="16"/>
          <w:color w:val="auto"/>
        </w:rPr>
        <w:t>THE SCOTTS COMPANY</w:t>
      </w:r>
    </w:p>
    <w:p>
      <w:pPr>
        <w:sectPr>
          <w:pgSz w:w="11900" w:h="16838" w:orient="portrait"/>
          <w:cols w:equalWidth="0" w:num="1">
            <w:col w:w="10223"/>
          </w:cols>
          <w:pgMar w:left="236" w:top="293" w:right="1440" w:bottom="1440" w:gutter="0" w:footer="0" w:header="0"/>
        </w:sectPr>
      </w:pPr>
    </w:p>
    <w:p>
      <w:pPr>
        <w:spacing w:after="0" w:line="365" w:lineRule="exact"/>
        <w:rPr>
          <w:sz w:val="20"/>
          <w:szCs w:val="20"/>
          <w:color w:val="auto"/>
        </w:rPr>
      </w:pPr>
    </w:p>
    <w:p>
      <w:pPr>
        <w:ind w:left="3284"/>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CHARLES M. BERGER</w:t>
      </w:r>
    </w:p>
    <w:p>
      <w:pPr>
        <w:spacing w:after="0"/>
        <w:rPr>
          <w:sz w:val="20"/>
          <w:szCs w:val="20"/>
          <w:color w:val="auto"/>
        </w:rPr>
      </w:pPr>
      <w:r>
        <w:rPr>
          <w:rFonts w:ascii="Courier New" w:cs="Courier New" w:eastAsia="Courier New" w:hAnsi="Courier New"/>
          <w:sz w:val="16"/>
          <w:szCs w:val="16"/>
          <w:color w:val="auto"/>
        </w:rPr>
        <w:t>Chairman, President and</w:t>
      </w:r>
    </w:p>
    <w:p>
      <w:pPr>
        <w:spacing w:after="0" w:line="237" w:lineRule="auto"/>
        <w:rPr>
          <w:sz w:val="20"/>
          <w:szCs w:val="20"/>
          <w:color w:val="auto"/>
        </w:rPr>
      </w:pPr>
      <w:r>
        <w:rPr>
          <w:rFonts w:ascii="Courier New" w:cs="Courier New" w:eastAsia="Courier New" w:hAnsi="Courier New"/>
          <w:sz w:val="16"/>
          <w:szCs w:val="16"/>
          <w:color w:val="auto"/>
        </w:rPr>
        <w:t>Chief Executive Officer</w:t>
      </w:r>
    </w:p>
    <w:p>
      <w:pPr>
        <w:spacing w:after="0" w:line="185" w:lineRule="exact"/>
        <w:rPr>
          <w:sz w:val="20"/>
          <w:szCs w:val="20"/>
          <w:color w:val="auto"/>
        </w:rPr>
      </w:pPr>
    </w:p>
    <w:p>
      <w:pPr>
        <w:sectPr>
          <w:pgSz w:w="11900" w:h="16838" w:orient="portrait"/>
          <w:cols w:equalWidth="0" w:num="2">
            <w:col w:w="3464" w:space="100"/>
            <w:col w:w="6659"/>
          </w:cols>
          <w:pgMar w:left="236" w:top="293" w:right="1440" w:bottom="1440" w:gutter="0" w:footer="0" w:header="0"/>
          <w:type w:val="continuous"/>
        </w:sectPr>
      </w:pPr>
    </w:p>
    <w:p>
      <w:pPr>
        <w:ind w:left="4" w:right="309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3 to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80" w:type="dxa"/>
            <w:vAlign w:val="bottom"/>
          </w:tcPr>
          <w:p>
            <w:pPr>
              <w:spacing w:after="0"/>
              <w:rPr>
                <w:sz w:val="15"/>
                <w:szCs w:val="15"/>
                <w:color w:val="auto"/>
              </w:rPr>
            </w:pPr>
          </w:p>
        </w:tc>
        <w:tc>
          <w:tcPr>
            <w:tcW w:w="3500" w:type="dxa"/>
            <w:vAlign w:val="bottom"/>
          </w:tcPr>
          <w:p>
            <w:pPr>
              <w:ind w:left="920"/>
              <w:spacing w:after="0"/>
              <w:rPr>
                <w:sz w:val="20"/>
                <w:szCs w:val="20"/>
                <w:color w:val="auto"/>
              </w:rPr>
            </w:pPr>
            <w:r>
              <w:rPr>
                <w:rFonts w:ascii="Courier New" w:cs="Courier New" w:eastAsia="Courier New" w:hAnsi="Courier New"/>
                <w:sz w:val="16"/>
                <w:szCs w:val="16"/>
                <w:color w:val="auto"/>
              </w:rPr>
              <w:t>Signature</w:t>
            </w:r>
          </w:p>
        </w:tc>
        <w:tc>
          <w:tcPr>
            <w:tcW w:w="4080" w:type="dxa"/>
            <w:vAlign w:val="bottom"/>
          </w:tcPr>
          <w:p>
            <w:pPr>
              <w:ind w:left="1560"/>
              <w:spacing w:after="0"/>
              <w:rPr>
                <w:sz w:val="20"/>
                <w:szCs w:val="20"/>
                <w:color w:val="auto"/>
              </w:rPr>
            </w:pPr>
            <w:r>
              <w:rPr>
                <w:rFonts w:ascii="Courier New" w:cs="Courier New" w:eastAsia="Courier New" w:hAnsi="Courier New"/>
                <w:sz w:val="16"/>
                <w:szCs w:val="16"/>
                <w:color w:val="auto"/>
              </w:rPr>
              <w:t>Title</w:t>
            </w:r>
          </w:p>
        </w:tc>
        <w:tc>
          <w:tcPr>
            <w:tcW w:w="1880" w:type="dxa"/>
            <w:vAlign w:val="bottom"/>
          </w:tcPr>
          <w:p>
            <w:pPr>
              <w:ind w:left="1140"/>
              <w:spacing w:after="0"/>
              <w:rPr>
                <w:sz w:val="20"/>
                <w:szCs w:val="20"/>
                <w:color w:val="auto"/>
              </w:rPr>
            </w:pPr>
            <w:r>
              <w:rPr>
                <w:rFonts w:ascii="Courier New" w:cs="Courier New" w:eastAsia="Courier New" w:hAnsi="Courier New"/>
                <w:sz w:val="16"/>
                <w:szCs w:val="16"/>
                <w:color w:val="auto"/>
              </w:rPr>
              <w:t>Date</w:t>
            </w:r>
          </w:p>
        </w:tc>
      </w:tr>
      <w:tr>
        <w:trPr>
          <w:trHeight w:val="180"/>
        </w:trPr>
        <w:tc>
          <w:tcPr>
            <w:tcW w:w="380" w:type="dxa"/>
            <w:vAlign w:val="bottom"/>
          </w:tcPr>
          <w:p>
            <w:pPr>
              <w:spacing w:after="0"/>
              <w:rPr>
                <w:sz w:val="15"/>
                <w:szCs w:val="15"/>
                <w:color w:val="auto"/>
              </w:rPr>
            </w:pPr>
          </w:p>
        </w:tc>
        <w:tc>
          <w:tcPr>
            <w:tcW w:w="3500" w:type="dxa"/>
            <w:vAlign w:val="bottom"/>
          </w:tcPr>
          <w:p>
            <w:pPr>
              <w:ind w:left="920"/>
              <w:spacing w:after="0"/>
              <w:rPr>
                <w:sz w:val="20"/>
                <w:szCs w:val="20"/>
                <w:color w:val="auto"/>
              </w:rPr>
            </w:pPr>
            <w:r>
              <w:rPr>
                <w:rFonts w:ascii="Courier New" w:cs="Courier New" w:eastAsia="Courier New" w:hAnsi="Courier New"/>
                <w:sz w:val="16"/>
                <w:szCs w:val="16"/>
                <w:color w:val="auto"/>
              </w:rPr>
              <w:t>---------</w:t>
            </w:r>
          </w:p>
        </w:tc>
        <w:tc>
          <w:tcPr>
            <w:tcW w:w="4080" w:type="dxa"/>
            <w:vAlign w:val="bottom"/>
          </w:tcPr>
          <w:p>
            <w:pPr>
              <w:ind w:left="1560"/>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ind w:left="1140"/>
              <w:spacing w:after="0"/>
              <w:rPr>
                <w:sz w:val="20"/>
                <w:szCs w:val="20"/>
                <w:color w:val="auto"/>
              </w:rPr>
            </w:pPr>
            <w:r>
              <w:rPr>
                <w:rFonts w:ascii="Courier New" w:cs="Courier New" w:eastAsia="Courier New" w:hAnsi="Courier New"/>
                <w:sz w:val="16"/>
                <w:szCs w:val="16"/>
                <w:color w:val="auto"/>
              </w:rPr>
              <w:t>----</w:t>
            </w:r>
          </w:p>
        </w:tc>
      </w:tr>
      <w:tr>
        <w:trPr>
          <w:trHeight w:val="361"/>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/s/ CHARLES M. BERGER*</w:t>
            </w:r>
          </w:p>
        </w:tc>
        <w:tc>
          <w:tcPr>
            <w:tcW w:w="4080" w:type="dxa"/>
            <w:vAlign w:val="bottom"/>
          </w:tcPr>
          <w:p>
            <w:pPr>
              <w:ind w:left="440"/>
              <w:spacing w:after="0"/>
              <w:rPr>
                <w:sz w:val="20"/>
                <w:szCs w:val="20"/>
                <w:color w:val="auto"/>
              </w:rPr>
            </w:pPr>
            <w:r>
              <w:rPr>
                <w:rFonts w:ascii="Courier New" w:cs="Courier New" w:eastAsia="Courier New" w:hAnsi="Courier New"/>
                <w:sz w:val="16"/>
                <w:szCs w:val="16"/>
                <w:color w:val="auto"/>
              </w:rPr>
              <w:t>Chairman of the Board, President</w:t>
            </w:r>
          </w:p>
        </w:tc>
        <w:tc>
          <w:tcPr>
            <w:tcW w:w="1880" w:type="dxa"/>
            <w:vAlign w:val="bottom"/>
          </w:tcPr>
          <w:p>
            <w:pPr>
              <w:ind w:left="660"/>
              <w:spacing w:after="0"/>
              <w:rPr>
                <w:sz w:val="20"/>
                <w:szCs w:val="20"/>
                <w:color w:val="auto"/>
              </w:rPr>
            </w:pPr>
            <w:r>
              <w:rPr>
                <w:rFonts w:ascii="Courier New" w:cs="Courier New" w:eastAsia="Courier New" w:hAnsi="Courier New"/>
                <w:sz w:val="16"/>
                <w:szCs w:val="16"/>
                <w:color w:val="auto"/>
                <w:w w:val="96"/>
              </w:rPr>
              <w:t>June 15, 2000</w:t>
            </w:r>
          </w:p>
        </w:tc>
      </w:tr>
      <w:tr>
        <w:trPr>
          <w:trHeight w:val="180"/>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4080" w:type="dxa"/>
            <w:vAlign w:val="bottom"/>
          </w:tcPr>
          <w:p>
            <w:pPr>
              <w:ind w:left="620"/>
              <w:spacing w:after="0"/>
              <w:rPr>
                <w:sz w:val="20"/>
                <w:szCs w:val="20"/>
                <w:color w:val="auto"/>
              </w:rPr>
            </w:pPr>
            <w:r>
              <w:rPr>
                <w:rFonts w:ascii="Courier New" w:cs="Courier New" w:eastAsia="Courier New" w:hAnsi="Courier New"/>
                <w:sz w:val="16"/>
                <w:szCs w:val="16"/>
                <w:color w:val="auto"/>
              </w:rPr>
              <w:t>and CEO</w:t>
            </w:r>
          </w:p>
        </w:tc>
        <w:tc>
          <w:tcPr>
            <w:tcW w:w="1880" w:type="dxa"/>
            <w:vAlign w:val="bottom"/>
          </w:tcPr>
          <w:p>
            <w:pPr>
              <w:spacing w:after="0"/>
              <w:rPr>
                <w:sz w:val="15"/>
                <w:szCs w:val="15"/>
                <w:color w:val="auto"/>
              </w:rPr>
            </w:pPr>
          </w:p>
        </w:tc>
      </w:tr>
      <w:tr>
        <w:trPr>
          <w:trHeight w:val="180"/>
        </w:trPr>
        <w:tc>
          <w:tcPr>
            <w:tcW w:w="380" w:type="dxa"/>
            <w:vAlign w:val="bottom"/>
          </w:tcPr>
          <w:p>
            <w:pPr>
              <w:spacing w:after="0"/>
              <w:rPr>
                <w:sz w:val="15"/>
                <w:szCs w:val="15"/>
                <w:color w:val="auto"/>
              </w:rPr>
            </w:pPr>
          </w:p>
        </w:tc>
        <w:tc>
          <w:tcPr>
            <w:tcW w:w="3500" w:type="dxa"/>
            <w:vAlign w:val="bottom"/>
          </w:tcPr>
          <w:p>
            <w:pPr>
              <w:spacing w:after="0"/>
              <w:rPr>
                <w:sz w:val="20"/>
                <w:szCs w:val="20"/>
                <w:color w:val="auto"/>
              </w:rPr>
            </w:pPr>
            <w:r>
              <w:rPr>
                <w:rFonts w:ascii="Courier New" w:cs="Courier New" w:eastAsia="Courier New" w:hAnsi="Courier New"/>
                <w:sz w:val="16"/>
                <w:szCs w:val="16"/>
                <w:color w:val="auto"/>
              </w:rPr>
              <w:t>CHARLES M. BERGER</w:t>
            </w:r>
          </w:p>
        </w:tc>
        <w:tc>
          <w:tcPr>
            <w:tcW w:w="4080" w:type="dxa"/>
            <w:vAlign w:val="bottom"/>
          </w:tcPr>
          <w:p>
            <w:pPr>
              <w:ind w:left="440"/>
              <w:spacing w:after="0"/>
              <w:rPr>
                <w:sz w:val="20"/>
                <w:szCs w:val="20"/>
                <w:color w:val="auto"/>
              </w:rPr>
            </w:pPr>
            <w:r>
              <w:rPr>
                <w:rFonts w:ascii="Courier New" w:cs="Courier New" w:eastAsia="Courier New" w:hAnsi="Courier New"/>
                <w:sz w:val="16"/>
                <w:szCs w:val="16"/>
                <w:color w:val="auto"/>
              </w:rPr>
              <w:t>(Principal Executive Officer)</w:t>
            </w:r>
          </w:p>
        </w:tc>
        <w:tc>
          <w:tcPr>
            <w:tcW w:w="1880" w:type="dxa"/>
            <w:vAlign w:val="bottom"/>
          </w:tcPr>
          <w:p>
            <w:pPr>
              <w:spacing w:after="0"/>
              <w:rPr>
                <w:sz w:val="15"/>
                <w:szCs w:val="15"/>
                <w:color w:val="auto"/>
              </w:rPr>
            </w:pPr>
          </w:p>
        </w:tc>
      </w:tr>
      <w:tr>
        <w:trPr>
          <w:trHeight w:val="361"/>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/s/ PATRICK J. NORTON*</w:t>
            </w:r>
          </w:p>
        </w:tc>
        <w:tc>
          <w:tcPr>
            <w:tcW w:w="4080" w:type="dxa"/>
            <w:vAlign w:val="bottom"/>
          </w:tcPr>
          <w:p>
            <w:pPr>
              <w:ind w:left="440"/>
              <w:spacing w:after="0"/>
              <w:rPr>
                <w:sz w:val="20"/>
                <w:szCs w:val="20"/>
                <w:color w:val="auto"/>
              </w:rPr>
            </w:pPr>
            <w:r>
              <w:rPr>
                <w:rFonts w:ascii="Courier New" w:cs="Courier New" w:eastAsia="Courier New" w:hAnsi="Courier New"/>
                <w:sz w:val="16"/>
                <w:szCs w:val="16"/>
                <w:color w:val="auto"/>
              </w:rPr>
              <w:t>Interim Chief Financial Officer</w:t>
            </w:r>
          </w:p>
        </w:tc>
        <w:tc>
          <w:tcPr>
            <w:tcW w:w="1880" w:type="dxa"/>
            <w:vAlign w:val="bottom"/>
          </w:tcPr>
          <w:p>
            <w:pPr>
              <w:ind w:left="660"/>
              <w:spacing w:after="0"/>
              <w:rPr>
                <w:sz w:val="20"/>
                <w:szCs w:val="20"/>
                <w:color w:val="auto"/>
              </w:rPr>
            </w:pPr>
            <w:r>
              <w:rPr>
                <w:rFonts w:ascii="Courier New" w:cs="Courier New" w:eastAsia="Courier New" w:hAnsi="Courier New"/>
                <w:sz w:val="16"/>
                <w:szCs w:val="16"/>
                <w:color w:val="auto"/>
                <w:w w:val="96"/>
              </w:rPr>
              <w:t>June 15, 2000</w:t>
            </w:r>
          </w:p>
        </w:tc>
      </w:tr>
      <w:tr>
        <w:trPr>
          <w:trHeight w:val="180"/>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408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80"/>
        </w:trPr>
        <w:tc>
          <w:tcPr>
            <w:tcW w:w="380" w:type="dxa"/>
            <w:vAlign w:val="bottom"/>
          </w:tcPr>
          <w:p>
            <w:pPr>
              <w:spacing w:after="0"/>
              <w:rPr>
                <w:sz w:val="15"/>
                <w:szCs w:val="15"/>
                <w:color w:val="auto"/>
              </w:rPr>
            </w:pPr>
          </w:p>
        </w:tc>
        <w:tc>
          <w:tcPr>
            <w:tcW w:w="3500" w:type="dxa"/>
            <w:vAlign w:val="bottom"/>
          </w:tcPr>
          <w:p>
            <w:pPr>
              <w:spacing w:after="0"/>
              <w:rPr>
                <w:sz w:val="20"/>
                <w:szCs w:val="20"/>
                <w:color w:val="auto"/>
              </w:rPr>
            </w:pPr>
            <w:r>
              <w:rPr>
                <w:rFonts w:ascii="Courier New" w:cs="Courier New" w:eastAsia="Courier New" w:hAnsi="Courier New"/>
                <w:sz w:val="16"/>
                <w:szCs w:val="16"/>
                <w:color w:val="auto"/>
              </w:rPr>
              <w:t>PATRICK J. NORTON</w:t>
            </w:r>
          </w:p>
        </w:tc>
        <w:tc>
          <w:tcPr>
            <w:tcW w:w="408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361"/>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/s/ JAMES B. BEARD*</w:t>
            </w:r>
          </w:p>
        </w:tc>
        <w:tc>
          <w:tcPr>
            <w:tcW w:w="4080" w:type="dxa"/>
            <w:vAlign w:val="bottom"/>
          </w:tcPr>
          <w:p>
            <w:pPr>
              <w:ind w:left="440"/>
              <w:spacing w:after="0"/>
              <w:rPr>
                <w:sz w:val="20"/>
                <w:szCs w:val="20"/>
                <w:color w:val="auto"/>
              </w:rPr>
            </w:pPr>
            <w:r>
              <w:rPr>
                <w:rFonts w:ascii="Courier New" w:cs="Courier New" w:eastAsia="Courier New" w:hAnsi="Courier New"/>
                <w:sz w:val="16"/>
                <w:szCs w:val="16"/>
                <w:color w:val="auto"/>
              </w:rPr>
              <w:t>Director</w:t>
            </w:r>
          </w:p>
        </w:tc>
        <w:tc>
          <w:tcPr>
            <w:tcW w:w="1880" w:type="dxa"/>
            <w:vAlign w:val="bottom"/>
          </w:tcPr>
          <w:p>
            <w:pPr>
              <w:ind w:left="660"/>
              <w:spacing w:after="0"/>
              <w:rPr>
                <w:sz w:val="20"/>
                <w:szCs w:val="20"/>
                <w:color w:val="auto"/>
              </w:rPr>
            </w:pPr>
            <w:r>
              <w:rPr>
                <w:rFonts w:ascii="Courier New" w:cs="Courier New" w:eastAsia="Courier New" w:hAnsi="Courier New"/>
                <w:sz w:val="16"/>
                <w:szCs w:val="16"/>
                <w:color w:val="auto"/>
                <w:w w:val="96"/>
              </w:rPr>
              <w:t>June 15, 2000</w:t>
            </w:r>
          </w:p>
        </w:tc>
      </w:tr>
      <w:tr>
        <w:trPr>
          <w:trHeight w:val="180"/>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408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80"/>
        </w:trPr>
        <w:tc>
          <w:tcPr>
            <w:tcW w:w="380" w:type="dxa"/>
            <w:vAlign w:val="bottom"/>
          </w:tcPr>
          <w:p>
            <w:pPr>
              <w:spacing w:after="0"/>
              <w:rPr>
                <w:sz w:val="15"/>
                <w:szCs w:val="15"/>
                <w:color w:val="auto"/>
              </w:rPr>
            </w:pPr>
          </w:p>
        </w:tc>
        <w:tc>
          <w:tcPr>
            <w:tcW w:w="3500" w:type="dxa"/>
            <w:vAlign w:val="bottom"/>
          </w:tcPr>
          <w:p>
            <w:pPr>
              <w:spacing w:after="0"/>
              <w:rPr>
                <w:sz w:val="20"/>
                <w:szCs w:val="20"/>
                <w:color w:val="auto"/>
              </w:rPr>
            </w:pPr>
            <w:r>
              <w:rPr>
                <w:rFonts w:ascii="Courier New" w:cs="Courier New" w:eastAsia="Courier New" w:hAnsi="Courier New"/>
                <w:sz w:val="16"/>
                <w:szCs w:val="16"/>
                <w:color w:val="auto"/>
              </w:rPr>
              <w:t>JAMES B. BEARD</w:t>
            </w:r>
          </w:p>
        </w:tc>
        <w:tc>
          <w:tcPr>
            <w:tcW w:w="408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361"/>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/s/ JOSEPH P. FLANNERY*</w:t>
            </w:r>
          </w:p>
        </w:tc>
        <w:tc>
          <w:tcPr>
            <w:tcW w:w="4080" w:type="dxa"/>
            <w:vAlign w:val="bottom"/>
          </w:tcPr>
          <w:p>
            <w:pPr>
              <w:ind w:left="440"/>
              <w:spacing w:after="0"/>
              <w:rPr>
                <w:sz w:val="20"/>
                <w:szCs w:val="20"/>
                <w:color w:val="auto"/>
              </w:rPr>
            </w:pPr>
            <w:r>
              <w:rPr>
                <w:rFonts w:ascii="Courier New" w:cs="Courier New" w:eastAsia="Courier New" w:hAnsi="Courier New"/>
                <w:sz w:val="16"/>
                <w:szCs w:val="16"/>
                <w:color w:val="auto"/>
              </w:rPr>
              <w:t>Director</w:t>
            </w:r>
          </w:p>
        </w:tc>
        <w:tc>
          <w:tcPr>
            <w:tcW w:w="1880" w:type="dxa"/>
            <w:vAlign w:val="bottom"/>
          </w:tcPr>
          <w:p>
            <w:pPr>
              <w:ind w:left="660"/>
              <w:spacing w:after="0"/>
              <w:rPr>
                <w:sz w:val="20"/>
                <w:szCs w:val="20"/>
                <w:color w:val="auto"/>
              </w:rPr>
            </w:pPr>
            <w:r>
              <w:rPr>
                <w:rFonts w:ascii="Courier New" w:cs="Courier New" w:eastAsia="Courier New" w:hAnsi="Courier New"/>
                <w:sz w:val="16"/>
                <w:szCs w:val="16"/>
                <w:color w:val="auto"/>
                <w:w w:val="96"/>
              </w:rPr>
              <w:t>June 15, 2000</w:t>
            </w:r>
          </w:p>
        </w:tc>
      </w:tr>
      <w:tr>
        <w:trPr>
          <w:trHeight w:val="180"/>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408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80"/>
        </w:trPr>
        <w:tc>
          <w:tcPr>
            <w:tcW w:w="380" w:type="dxa"/>
            <w:vAlign w:val="bottom"/>
          </w:tcPr>
          <w:p>
            <w:pPr>
              <w:spacing w:after="0"/>
              <w:rPr>
                <w:sz w:val="15"/>
                <w:szCs w:val="15"/>
                <w:color w:val="auto"/>
              </w:rPr>
            </w:pPr>
          </w:p>
        </w:tc>
        <w:tc>
          <w:tcPr>
            <w:tcW w:w="3500" w:type="dxa"/>
            <w:vAlign w:val="bottom"/>
          </w:tcPr>
          <w:p>
            <w:pPr>
              <w:spacing w:after="0"/>
              <w:rPr>
                <w:sz w:val="20"/>
                <w:szCs w:val="20"/>
                <w:color w:val="auto"/>
              </w:rPr>
            </w:pPr>
            <w:r>
              <w:rPr>
                <w:rFonts w:ascii="Courier New" w:cs="Courier New" w:eastAsia="Courier New" w:hAnsi="Courier New"/>
                <w:sz w:val="16"/>
                <w:szCs w:val="16"/>
                <w:color w:val="auto"/>
              </w:rPr>
              <w:t>JOSEPH P. FLANNERY</w:t>
            </w:r>
          </w:p>
        </w:tc>
        <w:tc>
          <w:tcPr>
            <w:tcW w:w="408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361"/>
        </w:trPr>
        <w:tc>
          <w:tcPr>
            <w:tcW w:w="380" w:type="dxa"/>
            <w:vAlign w:val="bottom"/>
          </w:tcPr>
          <w:p>
            <w:pPr>
              <w:spacing w:after="0"/>
              <w:rPr>
                <w:sz w:val="20"/>
                <w:szCs w:val="20"/>
                <w:color w:val="auto"/>
              </w:rPr>
            </w:pPr>
            <w:r>
              <w:rPr>
                <w:rFonts w:ascii="Courier New" w:cs="Courier New" w:eastAsia="Courier New" w:hAnsi="Courier New"/>
                <w:sz w:val="16"/>
                <w:szCs w:val="16"/>
                <w:color w:val="auto"/>
              </w:rPr>
              <w:t>/s/</w:t>
            </w:r>
          </w:p>
        </w:tc>
        <w:tc>
          <w:tcPr>
            <w:tcW w:w="3500" w:type="dxa"/>
            <w:vAlign w:val="bottom"/>
          </w:tcPr>
          <w:p>
            <w:pPr>
              <w:ind w:left="80"/>
              <w:spacing w:after="0"/>
              <w:rPr>
                <w:sz w:val="20"/>
                <w:szCs w:val="20"/>
                <w:color w:val="auto"/>
              </w:rPr>
            </w:pPr>
            <w:r>
              <w:rPr>
                <w:rFonts w:ascii="Courier New" w:cs="Courier New" w:eastAsia="Courier New" w:hAnsi="Courier New"/>
                <w:sz w:val="16"/>
                <w:szCs w:val="16"/>
                <w:color w:val="auto"/>
              </w:rPr>
              <w:t>HORACE HAGEDORN*</w:t>
            </w:r>
          </w:p>
        </w:tc>
        <w:tc>
          <w:tcPr>
            <w:tcW w:w="4080" w:type="dxa"/>
            <w:vAlign w:val="bottom"/>
          </w:tcPr>
          <w:p>
            <w:pPr>
              <w:ind w:left="440"/>
              <w:spacing w:after="0"/>
              <w:rPr>
                <w:sz w:val="20"/>
                <w:szCs w:val="20"/>
                <w:color w:val="auto"/>
              </w:rPr>
            </w:pPr>
            <w:r>
              <w:rPr>
                <w:rFonts w:ascii="Courier New" w:cs="Courier New" w:eastAsia="Courier New" w:hAnsi="Courier New"/>
                <w:sz w:val="16"/>
                <w:szCs w:val="16"/>
                <w:color w:val="auto"/>
              </w:rPr>
              <w:t>Director</w:t>
            </w:r>
          </w:p>
        </w:tc>
        <w:tc>
          <w:tcPr>
            <w:tcW w:w="1880" w:type="dxa"/>
            <w:vAlign w:val="bottom"/>
          </w:tcPr>
          <w:p>
            <w:pPr>
              <w:ind w:left="660"/>
              <w:spacing w:after="0"/>
              <w:rPr>
                <w:sz w:val="20"/>
                <w:szCs w:val="20"/>
                <w:color w:val="auto"/>
              </w:rPr>
            </w:pPr>
            <w:r>
              <w:rPr>
                <w:rFonts w:ascii="Courier New" w:cs="Courier New" w:eastAsia="Courier New" w:hAnsi="Courier New"/>
                <w:sz w:val="16"/>
                <w:szCs w:val="16"/>
                <w:color w:val="auto"/>
                <w:w w:val="96"/>
              </w:rPr>
              <w:t>June 15, 2000</w:t>
            </w:r>
          </w:p>
        </w:tc>
      </w:tr>
      <w:tr>
        <w:trPr>
          <w:trHeight w:val="180"/>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408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80"/>
        </w:trPr>
        <w:tc>
          <w:tcPr>
            <w:tcW w:w="380" w:type="dxa"/>
            <w:vAlign w:val="bottom"/>
          </w:tcPr>
          <w:p>
            <w:pPr>
              <w:spacing w:after="0"/>
              <w:rPr>
                <w:sz w:val="15"/>
                <w:szCs w:val="15"/>
                <w:color w:val="auto"/>
              </w:rPr>
            </w:pPr>
          </w:p>
        </w:tc>
        <w:tc>
          <w:tcPr>
            <w:tcW w:w="3500" w:type="dxa"/>
            <w:vAlign w:val="bottom"/>
          </w:tcPr>
          <w:p>
            <w:pPr>
              <w:spacing w:after="0"/>
              <w:rPr>
                <w:sz w:val="20"/>
                <w:szCs w:val="20"/>
                <w:color w:val="auto"/>
              </w:rPr>
            </w:pPr>
            <w:r>
              <w:rPr>
                <w:rFonts w:ascii="Courier New" w:cs="Courier New" w:eastAsia="Courier New" w:hAnsi="Courier New"/>
                <w:sz w:val="16"/>
                <w:szCs w:val="16"/>
                <w:color w:val="auto"/>
              </w:rPr>
              <w:t>HORACE HAGEDORN</w:t>
            </w:r>
          </w:p>
        </w:tc>
        <w:tc>
          <w:tcPr>
            <w:tcW w:w="408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361"/>
        </w:trPr>
        <w:tc>
          <w:tcPr>
            <w:tcW w:w="380" w:type="dxa"/>
            <w:vAlign w:val="bottom"/>
          </w:tcPr>
          <w:p>
            <w:pPr>
              <w:spacing w:after="0"/>
              <w:rPr>
                <w:sz w:val="20"/>
                <w:szCs w:val="20"/>
                <w:color w:val="auto"/>
              </w:rPr>
            </w:pPr>
            <w:r>
              <w:rPr>
                <w:rFonts w:ascii="Courier New" w:cs="Courier New" w:eastAsia="Courier New" w:hAnsi="Courier New"/>
                <w:sz w:val="16"/>
                <w:szCs w:val="16"/>
                <w:color w:val="auto"/>
              </w:rPr>
              <w:t>/s/</w:t>
            </w:r>
          </w:p>
        </w:tc>
        <w:tc>
          <w:tcPr>
            <w:tcW w:w="3500" w:type="dxa"/>
            <w:vAlign w:val="bottom"/>
          </w:tcPr>
          <w:p>
            <w:pPr>
              <w:ind w:left="80"/>
              <w:spacing w:after="0"/>
              <w:rPr>
                <w:sz w:val="20"/>
                <w:szCs w:val="20"/>
                <w:color w:val="auto"/>
              </w:rPr>
            </w:pPr>
            <w:r>
              <w:rPr>
                <w:rFonts w:ascii="Courier New" w:cs="Courier New" w:eastAsia="Courier New" w:hAnsi="Courier New"/>
                <w:sz w:val="16"/>
                <w:szCs w:val="16"/>
                <w:color w:val="auto"/>
              </w:rPr>
              <w:t>JAMES H. HAGEDORN*</w:t>
            </w:r>
          </w:p>
        </w:tc>
        <w:tc>
          <w:tcPr>
            <w:tcW w:w="4080" w:type="dxa"/>
            <w:vAlign w:val="bottom"/>
          </w:tcPr>
          <w:p>
            <w:pPr>
              <w:ind w:left="440"/>
              <w:spacing w:after="0"/>
              <w:rPr>
                <w:sz w:val="20"/>
                <w:szCs w:val="20"/>
                <w:color w:val="auto"/>
              </w:rPr>
            </w:pPr>
            <w:r>
              <w:rPr>
                <w:rFonts w:ascii="Courier New" w:cs="Courier New" w:eastAsia="Courier New" w:hAnsi="Courier New"/>
                <w:sz w:val="16"/>
                <w:szCs w:val="16"/>
                <w:color w:val="auto"/>
              </w:rPr>
              <w:t>Director</w:t>
            </w:r>
          </w:p>
        </w:tc>
        <w:tc>
          <w:tcPr>
            <w:tcW w:w="1880" w:type="dxa"/>
            <w:vAlign w:val="bottom"/>
          </w:tcPr>
          <w:p>
            <w:pPr>
              <w:ind w:left="660"/>
              <w:spacing w:after="0"/>
              <w:rPr>
                <w:sz w:val="20"/>
                <w:szCs w:val="20"/>
                <w:color w:val="auto"/>
              </w:rPr>
            </w:pPr>
            <w:r>
              <w:rPr>
                <w:rFonts w:ascii="Courier New" w:cs="Courier New" w:eastAsia="Courier New" w:hAnsi="Courier New"/>
                <w:sz w:val="16"/>
                <w:szCs w:val="16"/>
                <w:color w:val="auto"/>
                <w:w w:val="96"/>
              </w:rPr>
              <w:t>June 15, 2000</w:t>
            </w:r>
          </w:p>
        </w:tc>
      </w:tr>
      <w:tr>
        <w:trPr>
          <w:trHeight w:val="180"/>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408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80"/>
        </w:trPr>
        <w:tc>
          <w:tcPr>
            <w:tcW w:w="380" w:type="dxa"/>
            <w:vAlign w:val="bottom"/>
          </w:tcPr>
          <w:p>
            <w:pPr>
              <w:spacing w:after="0"/>
              <w:rPr>
                <w:sz w:val="15"/>
                <w:szCs w:val="15"/>
                <w:color w:val="auto"/>
              </w:rPr>
            </w:pPr>
          </w:p>
        </w:tc>
        <w:tc>
          <w:tcPr>
            <w:tcW w:w="3500" w:type="dxa"/>
            <w:vAlign w:val="bottom"/>
          </w:tcPr>
          <w:p>
            <w:pPr>
              <w:spacing w:after="0"/>
              <w:rPr>
                <w:sz w:val="20"/>
                <w:szCs w:val="20"/>
                <w:color w:val="auto"/>
              </w:rPr>
            </w:pPr>
            <w:r>
              <w:rPr>
                <w:rFonts w:ascii="Courier New" w:cs="Courier New" w:eastAsia="Courier New" w:hAnsi="Courier New"/>
                <w:sz w:val="16"/>
                <w:szCs w:val="16"/>
                <w:color w:val="auto"/>
              </w:rPr>
              <w:t>JAMES H. HAGEDORN</w:t>
            </w:r>
          </w:p>
        </w:tc>
        <w:tc>
          <w:tcPr>
            <w:tcW w:w="408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361"/>
        </w:trPr>
        <w:tc>
          <w:tcPr>
            <w:tcW w:w="380" w:type="dxa"/>
            <w:vAlign w:val="bottom"/>
          </w:tcPr>
          <w:p>
            <w:pPr>
              <w:spacing w:after="0"/>
              <w:rPr>
                <w:sz w:val="20"/>
                <w:szCs w:val="20"/>
                <w:color w:val="auto"/>
              </w:rPr>
            </w:pPr>
            <w:r>
              <w:rPr>
                <w:rFonts w:ascii="Courier New" w:cs="Courier New" w:eastAsia="Courier New" w:hAnsi="Courier New"/>
                <w:sz w:val="16"/>
                <w:szCs w:val="16"/>
                <w:color w:val="auto"/>
              </w:rPr>
              <w:t>/s/</w:t>
            </w:r>
          </w:p>
        </w:tc>
        <w:tc>
          <w:tcPr>
            <w:tcW w:w="3500" w:type="dxa"/>
            <w:vAlign w:val="bottom"/>
          </w:tcPr>
          <w:p>
            <w:pPr>
              <w:ind w:left="80"/>
              <w:spacing w:after="0"/>
              <w:rPr>
                <w:sz w:val="20"/>
                <w:szCs w:val="20"/>
                <w:color w:val="auto"/>
              </w:rPr>
            </w:pPr>
            <w:r>
              <w:rPr>
                <w:rFonts w:ascii="Courier New" w:cs="Courier New" w:eastAsia="Courier New" w:hAnsi="Courier New"/>
                <w:sz w:val="16"/>
                <w:szCs w:val="16"/>
                <w:color w:val="auto"/>
              </w:rPr>
              <w:t>ALBERT E. HARRIS*</w:t>
            </w:r>
          </w:p>
        </w:tc>
        <w:tc>
          <w:tcPr>
            <w:tcW w:w="4080" w:type="dxa"/>
            <w:vAlign w:val="bottom"/>
          </w:tcPr>
          <w:p>
            <w:pPr>
              <w:ind w:left="440"/>
              <w:spacing w:after="0"/>
              <w:rPr>
                <w:sz w:val="20"/>
                <w:szCs w:val="20"/>
                <w:color w:val="auto"/>
              </w:rPr>
            </w:pPr>
            <w:r>
              <w:rPr>
                <w:rFonts w:ascii="Courier New" w:cs="Courier New" w:eastAsia="Courier New" w:hAnsi="Courier New"/>
                <w:sz w:val="16"/>
                <w:szCs w:val="16"/>
                <w:color w:val="auto"/>
              </w:rPr>
              <w:t>Director</w:t>
            </w:r>
          </w:p>
        </w:tc>
        <w:tc>
          <w:tcPr>
            <w:tcW w:w="1880" w:type="dxa"/>
            <w:vAlign w:val="bottom"/>
          </w:tcPr>
          <w:p>
            <w:pPr>
              <w:ind w:left="660"/>
              <w:spacing w:after="0"/>
              <w:rPr>
                <w:sz w:val="20"/>
                <w:szCs w:val="20"/>
                <w:color w:val="auto"/>
              </w:rPr>
            </w:pPr>
            <w:r>
              <w:rPr>
                <w:rFonts w:ascii="Courier New" w:cs="Courier New" w:eastAsia="Courier New" w:hAnsi="Courier New"/>
                <w:sz w:val="16"/>
                <w:szCs w:val="16"/>
                <w:color w:val="auto"/>
                <w:w w:val="96"/>
              </w:rPr>
              <w:t>June 15, 2000</w:t>
            </w:r>
          </w:p>
        </w:tc>
      </w:tr>
    </w:tbl>
    <w:p>
      <w:pPr>
        <w:ind w:left="184" w:hanging="184"/>
        <w:spacing w:after="0"/>
        <w:tabs>
          <w:tab w:leader="none" w:pos="184"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ALBERT E. HARRIS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II-6</w:t>
      </w:r>
    </w:p>
    <w:p>
      <w:pPr>
        <w:sectPr>
          <w:pgSz w:w="11900" w:h="16838" w:orient="portrait"/>
          <w:cols w:equalWidth="0" w:num="1">
            <w:col w:w="10223"/>
          </w:cols>
          <w:pgMar w:left="236" w:top="293" w:right="1440" w:bottom="1440" w:gutter="0" w:footer="0" w:header="0"/>
          <w:type w:val="continuous"/>
        </w:sectPr>
      </w:pPr>
    </w:p>
    <w:bookmarkStart w:id="62" w:name="page63"/>
    <w:bookmarkEnd w:id="62"/>
    <w:p>
      <w:pPr>
        <w:ind w:left="28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347"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Signature</w:t>
      </w:r>
    </w:p>
    <w:p>
      <w:pPr>
        <w:ind w:left="1300"/>
        <w:spacing w:after="0"/>
        <w:rPr>
          <w:sz w:val="20"/>
          <w:szCs w:val="20"/>
          <w:color w:val="auto"/>
        </w:rPr>
      </w:pPr>
      <w:r>
        <w:rPr>
          <w:rFonts w:ascii="Courier New" w:cs="Courier New" w:eastAsia="Courier New" w:hAnsi="Courier New"/>
          <w:sz w:val="16"/>
          <w:szCs w:val="16"/>
          <w:color w:val="auto"/>
        </w:rPr>
        <w:t>---------</w:t>
      </w:r>
    </w:p>
    <w:p>
      <w:pPr>
        <w:spacing w:after="0" w:line="359" w:lineRule="exact"/>
        <w:rPr>
          <w:sz w:val="20"/>
          <w:szCs w:val="20"/>
          <w:color w:val="auto"/>
        </w:rPr>
      </w:pPr>
    </w:p>
    <w:p>
      <w:pPr>
        <w:spacing w:after="0"/>
        <w:tabs>
          <w:tab w:leader="none" w:pos="440" w:val="left"/>
          <w:tab w:leader="none" w:pos="1000" w:val="left"/>
        </w:tabs>
        <w:rPr>
          <w:sz w:val="20"/>
          <w:szCs w:val="20"/>
          <w:color w:val="auto"/>
        </w:rPr>
      </w:pPr>
      <w:r>
        <w:rPr>
          <w:rFonts w:ascii="Courier New" w:cs="Courier New" w:eastAsia="Courier New" w:hAnsi="Courier New"/>
          <w:sz w:val="16"/>
          <w:szCs w:val="16"/>
          <w:color w:val="auto"/>
        </w:rPr>
        <w:t>/s/</w:t>
        <w:tab/>
        <w:t>JOHN</w:t>
      </w:r>
      <w:r>
        <w:rPr>
          <w:sz w:val="20"/>
          <w:szCs w:val="20"/>
          <w:color w:val="auto"/>
        </w:rPr>
        <w:tab/>
      </w:r>
      <w:r>
        <w:rPr>
          <w:rFonts w:ascii="Courier New" w:cs="Courier New" w:eastAsia="Courier New" w:hAnsi="Courier New"/>
          <w:sz w:val="15"/>
          <w:szCs w:val="15"/>
          <w:color w:val="auto"/>
        </w:rPr>
        <w:t>KENLON*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JOHN KENLON</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KAREN G. MILLS*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KAREN G. MILLS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PATRICK J. NORTON*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JOHN M. SULLIVAN*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JOHN M. SULLIVAN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L. JACK VAN FOSSEN*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L. JACK VAN FOSSEN</w:t>
      </w:r>
    </w:p>
    <w:p>
      <w:pPr>
        <w:spacing w:after="0" w:line="179"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JOHN WALKER, PH.D.*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Date</w:t>
      </w:r>
    </w:p>
    <w:p>
      <w:pPr>
        <w:ind w:left="560"/>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15, 2000</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15, 2000</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15, 2000</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15, 2000</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15, 2000</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15, 2000</w:t>
      </w:r>
    </w:p>
    <w:p>
      <w:pPr>
        <w:spacing w:after="0" w:line="7" w:lineRule="exact"/>
        <w:rPr>
          <w:sz w:val="20"/>
          <w:szCs w:val="20"/>
          <w:color w:val="auto"/>
        </w:rPr>
      </w:pPr>
    </w:p>
    <w:p>
      <w:pPr>
        <w:sectPr>
          <w:pgSz w:w="11900" w:h="16838" w:orient="portrait"/>
          <w:cols w:equalWidth="0" w:num="4">
            <w:col w:w="3600" w:space="720"/>
            <w:col w:w="740" w:space="380"/>
            <w:col w:w="2380" w:space="720"/>
            <w:col w:w="1679"/>
          </w:cols>
          <w:pgMar w:left="240" w:top="298"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ind w:left="380"/>
        <w:spacing w:after="0" w:line="237" w:lineRule="auto"/>
        <w:rPr>
          <w:sz w:val="20"/>
          <w:szCs w:val="20"/>
          <w:color w:val="auto"/>
        </w:rPr>
      </w:pPr>
      <w:r>
        <w:rPr>
          <w:rFonts w:ascii="Courier New" w:cs="Courier New" w:eastAsia="Courier New" w:hAnsi="Courier New"/>
          <w:sz w:val="16"/>
          <w:szCs w:val="16"/>
          <w:color w:val="auto"/>
        </w:rPr>
        <w:t>JOHN WALKER, PH.D.</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G. ROBERT LUCAS</w:t>
      </w:r>
    </w:p>
    <w:p>
      <w:pPr>
        <w:ind w:left="380"/>
        <w:spacing w:after="0"/>
        <w:rPr>
          <w:sz w:val="20"/>
          <w:szCs w:val="20"/>
          <w:color w:val="auto"/>
        </w:rPr>
      </w:pPr>
      <w:r>
        <w:rPr>
          <w:rFonts w:ascii="Courier New" w:cs="Courier New" w:eastAsia="Courier New" w:hAnsi="Courier New"/>
          <w:sz w:val="16"/>
          <w:szCs w:val="16"/>
          <w:color w:val="auto"/>
        </w:rPr>
        <w:t>-------------------------------</w:t>
      </w:r>
    </w:p>
    <w:p>
      <w:pPr>
        <w:ind w:left="380"/>
        <w:spacing w:after="0" w:line="237" w:lineRule="auto"/>
        <w:rPr>
          <w:sz w:val="20"/>
          <w:szCs w:val="20"/>
          <w:color w:val="auto"/>
        </w:rPr>
      </w:pPr>
      <w:r>
        <w:rPr>
          <w:rFonts w:ascii="Courier New" w:cs="Courier New" w:eastAsia="Courier New" w:hAnsi="Courier New"/>
          <w:sz w:val="16"/>
          <w:szCs w:val="16"/>
          <w:color w:val="auto"/>
        </w:rPr>
        <w:t>G. ROBERT LUCAS</w:t>
      </w:r>
    </w:p>
    <w:p>
      <w:pPr>
        <w:ind w:left="380"/>
        <w:spacing w:after="0"/>
        <w:rPr>
          <w:sz w:val="20"/>
          <w:szCs w:val="20"/>
          <w:color w:val="auto"/>
        </w:rPr>
      </w:pPr>
      <w:r>
        <w:rPr>
          <w:rFonts w:ascii="Courier New" w:cs="Courier New" w:eastAsia="Courier New" w:hAnsi="Courier New"/>
          <w:sz w:val="16"/>
          <w:szCs w:val="16"/>
          <w:color w:val="auto"/>
        </w:rPr>
        <w:t>as Attorney-in-fact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19"/>
          </w:cols>
          <w:pgMar w:left="240" w:top="298" w:right="1440" w:bottom="1440" w:gutter="0" w:footer="0" w:header="0"/>
          <w:type w:val="continuous"/>
        </w:sectPr>
      </w:pPr>
    </w:p>
    <w:bookmarkStart w:id="63" w:name="page64"/>
    <w:bookmarkEnd w:id="63"/>
    <w:p>
      <w:pPr>
        <w:ind w:left="284"/>
        <w:spacing w:after="0"/>
        <w:rPr>
          <w:sz w:val="20"/>
          <w:szCs w:val="20"/>
          <w:color w:val="auto"/>
        </w:rPr>
      </w:pPr>
      <w:r>
        <w:rPr>
          <w:rFonts w:ascii="Courier New" w:cs="Courier New" w:eastAsia="Courier New" w:hAnsi="Courier New"/>
          <w:sz w:val="16"/>
          <w:szCs w:val="16"/>
          <w:color w:val="auto"/>
        </w:rPr>
        <w:t>61</w:t>
      </w: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4"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3 to Registration Statement on Form S-4 to be signed on its behalf by the undersigned, thereunto duly authorized, in the City of Columbus, State of Ohio, on June 15, 2000.</w:t>
      </w:r>
    </w:p>
    <w:p>
      <w:pPr>
        <w:spacing w:after="0" w:line="361" w:lineRule="exact"/>
        <w:rPr>
          <w:sz w:val="20"/>
          <w:szCs w:val="20"/>
          <w:color w:val="auto"/>
        </w:rPr>
      </w:pPr>
    </w:p>
    <w:p>
      <w:pPr>
        <w:jc w:val="center"/>
        <w:ind w:right="95"/>
        <w:spacing w:after="0"/>
        <w:rPr>
          <w:sz w:val="20"/>
          <w:szCs w:val="20"/>
          <w:color w:val="auto"/>
        </w:rPr>
      </w:pPr>
      <w:r>
        <w:rPr>
          <w:rFonts w:ascii="Courier New" w:cs="Courier New" w:eastAsia="Courier New" w:hAnsi="Courier New"/>
          <w:sz w:val="16"/>
          <w:szCs w:val="16"/>
          <w:color w:val="auto"/>
        </w:rPr>
        <w:t>SCOTTS' MIRACLE-GRO PRODUCTS, INC.</w:t>
      </w:r>
    </w:p>
    <w:p>
      <w:pPr>
        <w:spacing w:after="0" w:line="360" w:lineRule="exact"/>
        <w:rPr>
          <w:sz w:val="20"/>
          <w:szCs w:val="20"/>
          <w:color w:val="auto"/>
        </w:rPr>
      </w:pPr>
    </w:p>
    <w:p>
      <w:pPr>
        <w:ind w:left="3464"/>
        <w:spacing w:after="0"/>
        <w:tabs>
          <w:tab w:leader="none" w:pos="3923" w:val="left"/>
        </w:tabs>
        <w:rPr>
          <w:sz w:val="20"/>
          <w:szCs w:val="20"/>
          <w:color w:val="auto"/>
        </w:rPr>
      </w:pPr>
      <w:r>
        <w:rPr>
          <w:rFonts w:ascii="Courier New" w:cs="Courier New" w:eastAsia="Courier New" w:hAnsi="Courier New"/>
          <w:sz w:val="16"/>
          <w:szCs w:val="16"/>
          <w:color w:val="auto"/>
        </w:rPr>
        <w:t>By:</w:t>
        <w:tab/>
        <w:t>/s/ JOHN KENLON</w:t>
      </w:r>
    </w:p>
    <w:p>
      <w:pPr>
        <w:ind w:left="3744"/>
        <w:spacing w:after="0"/>
        <w:rPr>
          <w:sz w:val="20"/>
          <w:szCs w:val="20"/>
          <w:color w:val="auto"/>
        </w:rPr>
      </w:pPr>
      <w:r>
        <w:rPr>
          <w:rFonts w:ascii="Courier New" w:cs="Courier New" w:eastAsia="Courier New" w:hAnsi="Courier New"/>
          <w:sz w:val="16"/>
          <w:szCs w:val="16"/>
          <w:color w:val="auto"/>
        </w:rPr>
        <w:t>-------------------------------------</w:t>
      </w:r>
    </w:p>
    <w:p>
      <w:pPr>
        <w:ind w:left="3744"/>
        <w:spacing w:after="0" w:line="237" w:lineRule="auto"/>
        <w:rPr>
          <w:sz w:val="20"/>
          <w:szCs w:val="20"/>
          <w:color w:val="auto"/>
        </w:rPr>
      </w:pPr>
      <w:r>
        <w:rPr>
          <w:rFonts w:ascii="Courier New" w:cs="Courier New" w:eastAsia="Courier New" w:hAnsi="Courier New"/>
          <w:sz w:val="16"/>
          <w:szCs w:val="16"/>
          <w:color w:val="auto"/>
        </w:rPr>
        <w:t>JOHN KENLON</w:t>
      </w:r>
    </w:p>
    <w:p>
      <w:pPr>
        <w:ind w:left="3744"/>
        <w:spacing w:after="0"/>
        <w:rPr>
          <w:sz w:val="20"/>
          <w:szCs w:val="20"/>
          <w:color w:val="auto"/>
        </w:rPr>
      </w:pPr>
      <w:r>
        <w:rPr>
          <w:rFonts w:ascii="Courier New" w:cs="Courier New" w:eastAsia="Courier New" w:hAnsi="Courier New"/>
          <w:sz w:val="16"/>
          <w:szCs w:val="16"/>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3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sectPr>
      </w:pPr>
    </w:p>
    <w:p>
      <w:pPr>
        <w:spacing w:after="0" w:line="360" w:lineRule="exact"/>
        <w:rPr>
          <w:sz w:val="20"/>
          <w:szCs w:val="20"/>
          <w:color w:val="auto"/>
        </w:rPr>
      </w:pPr>
    </w:p>
    <w:p>
      <w:pPr>
        <w:ind w:left="944"/>
        <w:spacing w:after="0"/>
        <w:rPr>
          <w:sz w:val="20"/>
          <w:szCs w:val="20"/>
          <w:color w:val="auto"/>
        </w:rPr>
      </w:pPr>
      <w:r>
        <w:rPr>
          <w:rFonts w:ascii="Courier New" w:cs="Courier New" w:eastAsia="Courier New" w:hAnsi="Courier New"/>
          <w:sz w:val="16"/>
          <w:szCs w:val="16"/>
          <w:color w:val="auto"/>
        </w:rPr>
        <w:t>Signature</w:t>
      </w:r>
    </w:p>
    <w:p>
      <w:pPr>
        <w:ind w:left="94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JOHN KENLON*</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Title</w:t>
      </w:r>
    </w:p>
    <w:p>
      <w:pPr>
        <w:ind w:left="10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Date</w:t>
      </w:r>
    </w:p>
    <w:p>
      <w:pPr>
        <w:ind w:left="48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15, 2000</w:t>
      </w:r>
    </w:p>
    <w:p>
      <w:pPr>
        <w:spacing w:after="0" w:line="190" w:lineRule="exact"/>
        <w:rPr>
          <w:sz w:val="20"/>
          <w:szCs w:val="20"/>
          <w:color w:val="auto"/>
        </w:rPr>
      </w:pPr>
    </w:p>
    <w:p>
      <w:pPr>
        <w:sectPr>
          <w:pgSz w:w="11900" w:h="16838" w:orient="portrait"/>
          <w:cols w:equalWidth="0" w:num="3">
            <w:col w:w="3604" w:space="720"/>
            <w:col w:w="2920" w:space="720"/>
            <w:col w:w="225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JOHN KENLON</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15, 2000</w:t>
      </w:r>
    </w:p>
    <w:p>
      <w:pPr>
        <w:spacing w:after="0" w:line="5" w:lineRule="exact"/>
        <w:rPr>
          <w:sz w:val="20"/>
          <w:szCs w:val="20"/>
          <w:color w:val="auto"/>
        </w:rPr>
      </w:pPr>
    </w:p>
    <w:p>
      <w:pPr>
        <w:sectPr>
          <w:pgSz w:w="11900" w:h="16838" w:orient="portrait"/>
          <w:cols w:equalWidth="0" w:num="3">
            <w:col w:w="3604" w:space="720"/>
            <w:col w:w="2920" w:space="720"/>
            <w:col w:w="2259"/>
          </w:cols>
          <w:pgMar w:left="236" w:top="293" w:right="1440" w:bottom="1440" w:gutter="0" w:footer="0" w:header="0"/>
          <w:type w:val="continuous"/>
        </w:sectPr>
      </w:pPr>
    </w:p>
    <w:p>
      <w:pPr>
        <w:ind w:left="184" w:hanging="184"/>
        <w:spacing w:after="0"/>
        <w:tabs>
          <w:tab w:leader="none" w:pos="184"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ind w:left="4"/>
        <w:spacing w:after="0"/>
        <w:tabs>
          <w:tab w:leader="none" w:pos="4303" w:val="left"/>
          <w:tab w:leader="none" w:pos="7943" w:val="left"/>
        </w:tabs>
        <w:rPr>
          <w:sz w:val="20"/>
          <w:szCs w:val="20"/>
          <w:color w:val="auto"/>
        </w:rPr>
      </w:pPr>
      <w:r>
        <w:rPr>
          <w:rFonts w:ascii="Courier New" w:cs="Courier New" w:eastAsia="Courier New" w:hAnsi="Courier New"/>
          <w:sz w:val="16"/>
          <w:szCs w:val="16"/>
          <w:color w:val="auto"/>
        </w:rPr>
        <w:t>/s/ CHARLES M. BERGER*</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June 15, 2000</w:t>
      </w:r>
    </w:p>
    <w:p>
      <w:pPr>
        <w:ind w:left="184" w:hanging="184"/>
        <w:spacing w:after="0"/>
        <w:tabs>
          <w:tab w:leader="none" w:pos="184"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CHARLES M. BERGER</w:t>
      </w:r>
    </w:p>
    <w:p>
      <w:pPr>
        <w:spacing w:after="0" w:line="359" w:lineRule="exact"/>
        <w:rPr>
          <w:sz w:val="20"/>
          <w:szCs w:val="20"/>
          <w:color w:val="auto"/>
        </w:rPr>
      </w:pPr>
    </w:p>
    <w:p>
      <w:pPr>
        <w:ind w:left="4"/>
        <w:spacing w:after="0"/>
        <w:tabs>
          <w:tab w:leader="none" w:pos="4303" w:val="left"/>
          <w:tab w:leader="none" w:pos="794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June 15, 2000</w:t>
      </w:r>
    </w:p>
    <w:p>
      <w:pPr>
        <w:ind w:left="184" w:hanging="184"/>
        <w:spacing w:after="0"/>
        <w:tabs>
          <w:tab w:leader="none" w:pos="184"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359" w:lineRule="exact"/>
        <w:rPr>
          <w:sz w:val="20"/>
          <w:szCs w:val="20"/>
          <w:color w:val="auto"/>
        </w:rPr>
      </w:pPr>
    </w:p>
    <w:p>
      <w:pPr>
        <w:ind w:left="4"/>
        <w:spacing w:after="0"/>
        <w:tabs>
          <w:tab w:leader="none" w:pos="4303" w:val="left"/>
          <w:tab w:leader="none" w:pos="7943" w:val="left"/>
        </w:tabs>
        <w:rPr>
          <w:sz w:val="20"/>
          <w:szCs w:val="20"/>
          <w:color w:val="auto"/>
        </w:rPr>
      </w:pPr>
      <w:r>
        <w:rPr>
          <w:rFonts w:ascii="Courier New" w:cs="Courier New" w:eastAsia="Courier New" w:hAnsi="Courier New"/>
          <w:sz w:val="16"/>
          <w:szCs w:val="16"/>
          <w:color w:val="auto"/>
        </w:rPr>
        <w:t>/s/ 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June 15, 2000</w:t>
      </w:r>
    </w:p>
    <w:p>
      <w:pPr>
        <w:ind w:left="184" w:hanging="184"/>
        <w:spacing w:after="0"/>
        <w:tabs>
          <w:tab w:leader="none" w:pos="184"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64" w:name="page65"/>
    <w:bookmarkEnd w:id="64"/>
    <w:p>
      <w:pPr>
        <w:ind w:left="284"/>
        <w:spacing w:after="0"/>
        <w:rPr>
          <w:sz w:val="20"/>
          <w:szCs w:val="20"/>
          <w:color w:val="auto"/>
        </w:rPr>
      </w:pPr>
      <w:r>
        <w:rPr>
          <w:rFonts w:ascii="Courier New" w:cs="Courier New" w:eastAsia="Courier New" w:hAnsi="Courier New"/>
          <w:sz w:val="16"/>
          <w:szCs w:val="16"/>
          <w:color w:val="auto"/>
        </w:rPr>
        <w:t>62</w:t>
      </w:r>
    </w:p>
    <w:p>
      <w:pPr>
        <w:spacing w:after="0" w:line="179"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5"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3 to Registration Statement on Form S-4 to be signed on its behalf by the undersigned, thereunto duly authorized, in the City of Columbus, State of Ohio, on June 15, 2000.</w:t>
      </w:r>
    </w:p>
    <w:p>
      <w:pPr>
        <w:spacing w:after="0" w:line="361" w:lineRule="exact"/>
        <w:rPr>
          <w:sz w:val="20"/>
          <w:szCs w:val="20"/>
          <w:color w:val="auto"/>
        </w:rPr>
      </w:pPr>
    </w:p>
    <w:p>
      <w:pPr>
        <w:ind w:left="3844"/>
        <w:spacing w:after="0"/>
        <w:rPr>
          <w:sz w:val="20"/>
          <w:szCs w:val="20"/>
          <w:color w:val="auto"/>
        </w:rPr>
      </w:pPr>
      <w:r>
        <w:rPr>
          <w:rFonts w:ascii="Courier New" w:cs="Courier New" w:eastAsia="Courier New" w:hAnsi="Courier New"/>
          <w:sz w:val="16"/>
          <w:szCs w:val="16"/>
          <w:color w:val="auto"/>
        </w:rPr>
        <w:t>MIRACLE-GRO LAWN PRODUCTS, INC.</w:t>
      </w:r>
    </w:p>
    <w:p>
      <w:pPr>
        <w:spacing w:after="0" w:line="179" w:lineRule="exact"/>
        <w:rPr>
          <w:sz w:val="20"/>
          <w:szCs w:val="20"/>
          <w:color w:val="auto"/>
        </w:rPr>
      </w:pPr>
    </w:p>
    <w:p>
      <w:pPr>
        <w:jc w:val="center"/>
        <w:ind w:right="95"/>
        <w:spacing w:after="0"/>
        <w:rPr>
          <w:sz w:val="20"/>
          <w:szCs w:val="20"/>
          <w:color w:val="auto"/>
        </w:rPr>
      </w:pPr>
      <w:r>
        <w:rPr>
          <w:rFonts w:ascii="Courier New" w:cs="Courier New" w:eastAsia="Courier New" w:hAnsi="Courier New"/>
          <w:sz w:val="16"/>
          <w:szCs w:val="16"/>
          <w:color w:val="auto"/>
        </w:rPr>
        <w:t>By: /s/ CHARLES M. BERGER*</w:t>
      </w:r>
    </w:p>
    <w:p>
      <w:pPr>
        <w:ind w:left="4124"/>
        <w:spacing w:after="0"/>
        <w:rPr>
          <w:sz w:val="20"/>
          <w:szCs w:val="20"/>
          <w:color w:val="auto"/>
        </w:rPr>
      </w:pPr>
      <w:r>
        <w:rPr>
          <w:rFonts w:ascii="Courier New" w:cs="Courier New" w:eastAsia="Courier New" w:hAnsi="Courier New"/>
          <w:sz w:val="16"/>
          <w:szCs w:val="16"/>
          <w:color w:val="auto"/>
        </w:rPr>
        <w:t>-------------------------------</w:t>
      </w:r>
    </w:p>
    <w:p>
      <w:pPr>
        <w:ind w:left="4124"/>
        <w:spacing w:after="0" w:line="237" w:lineRule="auto"/>
        <w:rPr>
          <w:sz w:val="20"/>
          <w:szCs w:val="20"/>
          <w:color w:val="auto"/>
        </w:rPr>
      </w:pPr>
      <w:r>
        <w:rPr>
          <w:rFonts w:ascii="Courier New" w:cs="Courier New" w:eastAsia="Courier New" w:hAnsi="Courier New"/>
          <w:sz w:val="16"/>
          <w:szCs w:val="16"/>
          <w:color w:val="auto"/>
        </w:rPr>
        <w:t>CHARLES M. BERGER</w:t>
      </w:r>
    </w:p>
    <w:p>
      <w:pPr>
        <w:ind w:left="4124"/>
        <w:spacing w:after="0"/>
        <w:rPr>
          <w:sz w:val="20"/>
          <w:szCs w:val="20"/>
          <w:color w:val="auto"/>
        </w:rPr>
      </w:pPr>
      <w:r>
        <w:rPr>
          <w:rFonts w:ascii="Courier New" w:cs="Courier New" w:eastAsia="Courier New" w:hAnsi="Courier New"/>
          <w:sz w:val="16"/>
          <w:szCs w:val="16"/>
          <w:color w:val="auto"/>
        </w:rPr>
        <w:t>President and Chief</w:t>
      </w:r>
    </w:p>
    <w:p>
      <w:pPr>
        <w:jc w:val="center"/>
        <w:ind w:right="-4"/>
        <w:spacing w:after="0" w:line="238" w:lineRule="auto"/>
        <w:rPr>
          <w:sz w:val="20"/>
          <w:szCs w:val="20"/>
          <w:color w:val="auto"/>
        </w:rPr>
      </w:pPr>
      <w:r>
        <w:rPr>
          <w:rFonts w:ascii="Courier New" w:cs="Courier New" w:eastAsia="Courier New" w:hAnsi="Courier New"/>
          <w:sz w:val="16"/>
          <w:szCs w:val="16"/>
          <w:color w:val="auto"/>
        </w:rPr>
        <w:t>Executive Officer</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 w:right="309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Amendments No. 3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944"/>
        <w:spacing w:after="0"/>
        <w:rPr>
          <w:sz w:val="20"/>
          <w:szCs w:val="20"/>
          <w:color w:val="auto"/>
        </w:rPr>
      </w:pPr>
      <w:r>
        <w:rPr>
          <w:rFonts w:ascii="Courier New" w:cs="Courier New" w:eastAsia="Courier New" w:hAnsi="Courier New"/>
          <w:sz w:val="16"/>
          <w:szCs w:val="16"/>
          <w:color w:val="auto"/>
        </w:rPr>
        <w:t>Signature</w:t>
      </w:r>
    </w:p>
    <w:p>
      <w:pPr>
        <w:ind w:left="94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Title</w:t>
      </w:r>
    </w:p>
    <w:p>
      <w:pPr>
        <w:ind w:left="10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Date</w:t>
      </w:r>
    </w:p>
    <w:p>
      <w:pPr>
        <w:ind w:left="48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15, 2000</w:t>
      </w:r>
    </w:p>
    <w:p>
      <w:pPr>
        <w:spacing w:after="0" w:line="190" w:lineRule="exact"/>
        <w:rPr>
          <w:sz w:val="20"/>
          <w:szCs w:val="20"/>
          <w:color w:val="auto"/>
        </w:rPr>
      </w:pPr>
    </w:p>
    <w:p>
      <w:pPr>
        <w:sectPr>
          <w:pgSz w:w="11900" w:h="16838" w:orient="portrait"/>
          <w:cols w:equalWidth="0" w:num="3">
            <w:col w:w="3604" w:space="720"/>
            <w:col w:w="2920" w:space="720"/>
            <w:col w:w="225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CHARLES M. BERGER</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15, 2000</w:t>
      </w:r>
    </w:p>
    <w:p>
      <w:pPr>
        <w:spacing w:after="0" w:line="5" w:lineRule="exact"/>
        <w:rPr>
          <w:sz w:val="20"/>
          <w:szCs w:val="20"/>
          <w:color w:val="auto"/>
        </w:rPr>
      </w:pPr>
    </w:p>
    <w:p>
      <w:pPr>
        <w:sectPr>
          <w:pgSz w:w="11900" w:h="16838" w:orient="portrait"/>
          <w:cols w:equalWidth="0" w:num="3">
            <w:col w:w="3604" w:space="720"/>
            <w:col w:w="2920" w:space="720"/>
            <w:col w:w="2259"/>
          </w:cols>
          <w:pgMar w:left="236" w:top="293" w:right="1440" w:bottom="1440" w:gutter="0" w:footer="0" w:header="0"/>
          <w:type w:val="continuous"/>
        </w:sectPr>
      </w:pPr>
    </w:p>
    <w:p>
      <w:pPr>
        <w:ind w:left="184" w:hanging="184"/>
        <w:spacing w:after="0"/>
        <w:tabs>
          <w:tab w:leader="none" w:pos="184"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ind w:left="4"/>
        <w:spacing w:after="0"/>
        <w:tabs>
          <w:tab w:leader="none" w:pos="4303" w:val="left"/>
          <w:tab w:leader="none" w:pos="794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June 15, 2000</w:t>
      </w:r>
    </w:p>
    <w:p>
      <w:pPr>
        <w:ind w:left="184" w:hanging="184"/>
        <w:spacing w:after="0"/>
        <w:tabs>
          <w:tab w:leader="none" w:pos="184"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359" w:lineRule="exact"/>
        <w:rPr>
          <w:sz w:val="20"/>
          <w:szCs w:val="20"/>
          <w:color w:val="auto"/>
        </w:rPr>
      </w:pPr>
    </w:p>
    <w:p>
      <w:pPr>
        <w:ind w:left="4"/>
        <w:spacing w:after="0"/>
        <w:tabs>
          <w:tab w:leader="none" w:pos="4303" w:val="left"/>
          <w:tab w:leader="none" w:pos="7943" w:val="left"/>
        </w:tabs>
        <w:rPr>
          <w:sz w:val="20"/>
          <w:szCs w:val="20"/>
          <w:color w:val="auto"/>
        </w:rPr>
      </w:pPr>
      <w:r>
        <w:rPr>
          <w:rFonts w:ascii="Courier New" w:cs="Courier New" w:eastAsia="Courier New" w:hAnsi="Courier New"/>
          <w:sz w:val="16"/>
          <w:szCs w:val="16"/>
          <w:color w:val="auto"/>
        </w:rPr>
        <w:t>/s/ 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June 15, 2000</w:t>
      </w:r>
    </w:p>
    <w:p>
      <w:pPr>
        <w:ind w:left="184" w:hanging="184"/>
        <w:spacing w:after="0"/>
        <w:tabs>
          <w:tab w:leader="none" w:pos="184"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65" w:name="page66"/>
    <w:bookmarkEnd w:id="65"/>
    <w:p>
      <w:pPr>
        <w:ind w:left="284"/>
        <w:spacing w:after="0"/>
        <w:rPr>
          <w:sz w:val="20"/>
          <w:szCs w:val="20"/>
          <w:color w:val="auto"/>
        </w:rPr>
      </w:pPr>
      <w:r>
        <w:rPr>
          <w:rFonts w:ascii="Courier New" w:cs="Courier New" w:eastAsia="Courier New" w:hAnsi="Courier New"/>
          <w:sz w:val="16"/>
          <w:szCs w:val="16"/>
          <w:color w:val="auto"/>
        </w:rPr>
        <w:t>63</w:t>
      </w:r>
    </w:p>
    <w:p>
      <w:pPr>
        <w:spacing w:after="0" w:line="200" w:lineRule="exact"/>
        <w:rPr>
          <w:sz w:val="20"/>
          <w:szCs w:val="20"/>
          <w:color w:val="auto"/>
        </w:rPr>
      </w:pPr>
    </w:p>
    <w:p>
      <w:pPr>
        <w:spacing w:after="0" w:line="340"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5"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3 to Registration Statement on Form S-4 to be signed on its behalf by the undersigned, thereunto duly authorized, in the City of Columbus, State of Ohio, on June 15, 2000.</w:t>
      </w:r>
    </w:p>
    <w:p>
      <w:pPr>
        <w:spacing w:after="0" w:line="361"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MIRACLE-GRO PRODUCTS LTD.</w:t>
      </w:r>
    </w:p>
    <w:p>
      <w:pPr>
        <w:spacing w:after="0" w:line="36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By: /s/ CHARLES M. BERGER*</w:t>
      </w:r>
    </w:p>
    <w:p>
      <w:pPr>
        <w:ind w:left="3944"/>
        <w:spacing w:after="0"/>
        <w:rPr>
          <w:sz w:val="20"/>
          <w:szCs w:val="20"/>
          <w:color w:val="auto"/>
        </w:rPr>
      </w:pPr>
      <w:r>
        <w:rPr>
          <w:rFonts w:ascii="Courier New" w:cs="Courier New" w:eastAsia="Courier New" w:hAnsi="Courier New"/>
          <w:sz w:val="16"/>
          <w:szCs w:val="16"/>
          <w:color w:val="auto"/>
        </w:rPr>
        <w:t>-------------------------------------</w:t>
      </w:r>
    </w:p>
    <w:p>
      <w:pPr>
        <w:ind w:left="3944"/>
        <w:spacing w:after="0" w:line="237" w:lineRule="auto"/>
        <w:rPr>
          <w:sz w:val="20"/>
          <w:szCs w:val="20"/>
          <w:color w:val="auto"/>
        </w:rPr>
      </w:pPr>
      <w:r>
        <w:rPr>
          <w:rFonts w:ascii="Courier New" w:cs="Courier New" w:eastAsia="Courier New" w:hAnsi="Courier New"/>
          <w:sz w:val="16"/>
          <w:szCs w:val="16"/>
          <w:color w:val="auto"/>
        </w:rPr>
        <w:t>CHARLES M. BERGER</w:t>
      </w:r>
    </w:p>
    <w:p>
      <w:pPr>
        <w:ind w:left="3944"/>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3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944"/>
        <w:spacing w:after="0"/>
        <w:rPr>
          <w:sz w:val="20"/>
          <w:szCs w:val="20"/>
          <w:color w:val="auto"/>
        </w:rPr>
      </w:pPr>
      <w:r>
        <w:rPr>
          <w:rFonts w:ascii="Courier New" w:cs="Courier New" w:eastAsia="Courier New" w:hAnsi="Courier New"/>
          <w:sz w:val="16"/>
          <w:szCs w:val="16"/>
          <w:color w:val="auto"/>
        </w:rPr>
        <w:t>Signature</w:t>
      </w:r>
    </w:p>
    <w:p>
      <w:pPr>
        <w:ind w:left="94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Title</w:t>
      </w:r>
    </w:p>
    <w:p>
      <w:pPr>
        <w:ind w:left="10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Date</w:t>
      </w:r>
    </w:p>
    <w:p>
      <w:pPr>
        <w:ind w:left="48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15, 2000</w:t>
      </w:r>
    </w:p>
    <w:p>
      <w:pPr>
        <w:spacing w:after="0" w:line="190" w:lineRule="exact"/>
        <w:rPr>
          <w:sz w:val="20"/>
          <w:szCs w:val="20"/>
          <w:color w:val="auto"/>
        </w:rPr>
      </w:pPr>
    </w:p>
    <w:p>
      <w:pPr>
        <w:sectPr>
          <w:pgSz w:w="11900" w:h="16838" w:orient="portrait"/>
          <w:cols w:equalWidth="0" w:num="3">
            <w:col w:w="3604" w:space="720"/>
            <w:col w:w="2920" w:space="720"/>
            <w:col w:w="225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CHARLES M. BERGER</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15, 2000</w:t>
      </w:r>
    </w:p>
    <w:p>
      <w:pPr>
        <w:spacing w:after="0" w:line="5" w:lineRule="exact"/>
        <w:rPr>
          <w:sz w:val="20"/>
          <w:szCs w:val="20"/>
          <w:color w:val="auto"/>
        </w:rPr>
      </w:pPr>
    </w:p>
    <w:p>
      <w:pPr>
        <w:sectPr>
          <w:pgSz w:w="11900" w:h="16838" w:orient="portrait"/>
          <w:cols w:equalWidth="0" w:num="3">
            <w:col w:w="3604" w:space="720"/>
            <w:col w:w="2920" w:space="720"/>
            <w:col w:w="2259"/>
          </w:cols>
          <w:pgMar w:left="236" w:top="293" w:right="1440" w:bottom="1440" w:gutter="0" w:footer="0" w:header="0"/>
          <w:type w:val="continuous"/>
        </w:sectPr>
      </w:pPr>
    </w:p>
    <w:p>
      <w:pPr>
        <w:ind w:left="184" w:hanging="184"/>
        <w:spacing w:after="0"/>
        <w:tabs>
          <w:tab w:leader="none" w:pos="184"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ind w:left="4"/>
        <w:spacing w:after="0"/>
        <w:tabs>
          <w:tab w:leader="none" w:pos="4303" w:val="left"/>
          <w:tab w:leader="none" w:pos="794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June 15, 2000</w:t>
      </w:r>
    </w:p>
    <w:p>
      <w:pPr>
        <w:ind w:left="184" w:hanging="184"/>
        <w:spacing w:after="0"/>
        <w:tabs>
          <w:tab w:leader="none" w:pos="184"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359" w:lineRule="exact"/>
        <w:rPr>
          <w:sz w:val="20"/>
          <w:szCs w:val="20"/>
          <w:color w:val="auto"/>
        </w:rPr>
      </w:pPr>
    </w:p>
    <w:p>
      <w:pPr>
        <w:ind w:left="4"/>
        <w:spacing w:after="0"/>
        <w:tabs>
          <w:tab w:leader="none" w:pos="4303" w:val="left"/>
          <w:tab w:leader="none" w:pos="7943" w:val="left"/>
        </w:tabs>
        <w:rPr>
          <w:sz w:val="20"/>
          <w:szCs w:val="20"/>
          <w:color w:val="auto"/>
        </w:rPr>
      </w:pPr>
      <w:r>
        <w:rPr>
          <w:rFonts w:ascii="Courier New" w:cs="Courier New" w:eastAsia="Courier New" w:hAnsi="Courier New"/>
          <w:sz w:val="16"/>
          <w:szCs w:val="16"/>
          <w:color w:val="auto"/>
        </w:rPr>
        <w:t>/s/ 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June 15, 2000</w:t>
      </w:r>
    </w:p>
    <w:p>
      <w:pPr>
        <w:ind w:left="184" w:hanging="184"/>
        <w:spacing w:after="0"/>
        <w:tabs>
          <w:tab w:leader="none" w:pos="184"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359"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66" w:name="page67"/>
    <w:bookmarkEnd w:id="66"/>
    <w:p>
      <w:pPr>
        <w:ind w:left="284"/>
        <w:spacing w:after="0"/>
        <w:rPr>
          <w:sz w:val="20"/>
          <w:szCs w:val="20"/>
          <w:color w:val="auto"/>
        </w:rPr>
      </w:pPr>
      <w:r>
        <w:rPr>
          <w:rFonts w:ascii="Courier New" w:cs="Courier New" w:eastAsia="Courier New" w:hAnsi="Courier New"/>
          <w:sz w:val="16"/>
          <w:szCs w:val="16"/>
          <w:color w:val="auto"/>
        </w:rPr>
        <w:t>64</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5"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3 to Registration Statement on Form S-4 to be signed on its behalf by the undersigned, thereunto duly authorized, in the City of Columbus, State of Ohio, on June 15, 2000.</w:t>
      </w:r>
    </w:p>
    <w:p>
      <w:pPr>
        <w:spacing w:after="0" w:line="361"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OMS INVESTMENTS, INC.</w:t>
      </w:r>
    </w:p>
    <w:p>
      <w:pPr>
        <w:spacing w:after="0" w:line="36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By: /s/ G. ROBERT LUCAS</w:t>
      </w:r>
    </w:p>
    <w:p>
      <w:pPr>
        <w:ind w:left="3844"/>
        <w:spacing w:after="0"/>
        <w:rPr>
          <w:sz w:val="20"/>
          <w:szCs w:val="20"/>
          <w:color w:val="auto"/>
        </w:rPr>
      </w:pPr>
      <w:r>
        <w:rPr>
          <w:rFonts w:ascii="Courier New" w:cs="Courier New" w:eastAsia="Courier New" w:hAnsi="Courier New"/>
          <w:sz w:val="16"/>
          <w:szCs w:val="16"/>
          <w:color w:val="auto"/>
        </w:rPr>
        <w:t>-------------------------------------</w:t>
      </w:r>
    </w:p>
    <w:p>
      <w:pPr>
        <w:ind w:left="3844"/>
        <w:spacing w:after="0" w:line="237" w:lineRule="auto"/>
        <w:rPr>
          <w:sz w:val="20"/>
          <w:szCs w:val="20"/>
          <w:color w:val="auto"/>
        </w:rPr>
      </w:pPr>
      <w:r>
        <w:rPr>
          <w:rFonts w:ascii="Courier New" w:cs="Courier New" w:eastAsia="Courier New" w:hAnsi="Courier New"/>
          <w:sz w:val="16"/>
          <w:szCs w:val="16"/>
          <w:color w:val="auto"/>
        </w:rPr>
        <w:t>G. ROBERT LUCAS</w:t>
      </w:r>
    </w:p>
    <w:p>
      <w:pPr>
        <w:ind w:left="3844"/>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3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944"/>
        <w:spacing w:after="0"/>
        <w:rPr>
          <w:sz w:val="20"/>
          <w:szCs w:val="20"/>
          <w:color w:val="auto"/>
        </w:rPr>
      </w:pPr>
      <w:r>
        <w:rPr>
          <w:rFonts w:ascii="Courier New" w:cs="Courier New" w:eastAsia="Courier New" w:hAnsi="Courier New"/>
          <w:sz w:val="16"/>
          <w:szCs w:val="16"/>
          <w:color w:val="auto"/>
        </w:rPr>
        <w:t>Signature</w:t>
      </w:r>
    </w:p>
    <w:p>
      <w:pPr>
        <w:ind w:left="944"/>
        <w:spacing w:after="0"/>
        <w:rPr>
          <w:sz w:val="20"/>
          <w:szCs w:val="20"/>
          <w:color w:val="auto"/>
        </w:rPr>
      </w:pPr>
      <w:r>
        <w:rPr>
          <w:rFonts w:ascii="Courier New" w:cs="Courier New" w:eastAsia="Courier New" w:hAnsi="Courier New"/>
          <w:sz w:val="16"/>
          <w:szCs w:val="16"/>
          <w:color w:val="auto"/>
        </w:rPr>
        <w:t>---------</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G. ROBERT LUCAS</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Title</w:t>
      </w:r>
    </w:p>
    <w:p>
      <w:pPr>
        <w:ind w:left="1020"/>
        <w:spacing w:after="0"/>
        <w:rPr>
          <w:sz w:val="20"/>
          <w:szCs w:val="20"/>
          <w:color w:val="auto"/>
        </w:rPr>
      </w:pPr>
      <w:r>
        <w:rPr>
          <w:rFonts w:ascii="Courier New" w:cs="Courier New" w:eastAsia="Courier New" w:hAnsi="Courier New"/>
          <w:sz w:val="16"/>
          <w:szCs w:val="16"/>
          <w:color w:val="auto"/>
        </w:rPr>
        <w:t>-----</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Date</w:t>
      </w:r>
    </w:p>
    <w:p>
      <w:pPr>
        <w:ind w:left="480"/>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15, 2000</w:t>
      </w:r>
    </w:p>
    <w:p>
      <w:pPr>
        <w:spacing w:after="0" w:line="190" w:lineRule="exact"/>
        <w:rPr>
          <w:sz w:val="20"/>
          <w:szCs w:val="20"/>
          <w:color w:val="auto"/>
        </w:rPr>
      </w:pPr>
    </w:p>
    <w:p>
      <w:pPr>
        <w:sectPr>
          <w:pgSz w:w="11900" w:h="16838" w:orient="portrait"/>
          <w:cols w:equalWidth="0" w:num="3">
            <w:col w:w="3664" w:space="660"/>
            <w:col w:w="2920" w:space="720"/>
            <w:col w:w="225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G. ROBERT LUCAS</w:t>
      </w:r>
    </w:p>
    <w:p>
      <w:pPr>
        <w:sectPr>
          <w:pgSz w:w="11900" w:h="16838" w:orient="portrait"/>
          <w:cols w:equalWidth="0" w:num="1">
            <w:col w:w="10223"/>
          </w:cols>
          <w:pgMar w:left="236" w:top="293" w:right="1440" w:bottom="1440" w:gutter="0" w:footer="0" w:header="0"/>
          <w:type w:val="continuous"/>
        </w:sectPr>
      </w:pPr>
    </w:p>
    <w:p>
      <w:pPr>
        <w:spacing w:after="0" w:line="36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REBECCA J. BRUENING*</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REBECCA J. BRUENING</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and Treasurer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(Principal Financial and</w:t>
      </w:r>
    </w:p>
    <w:p>
      <w:pPr>
        <w:spacing w:after="0"/>
        <w:rPr>
          <w:sz w:val="20"/>
          <w:szCs w:val="20"/>
          <w:color w:val="auto"/>
        </w:rPr>
      </w:pPr>
      <w:r>
        <w:rPr>
          <w:rFonts w:ascii="Courier New" w:cs="Courier New" w:eastAsia="Courier New" w:hAnsi="Courier New"/>
          <w:sz w:val="16"/>
          <w:szCs w:val="16"/>
          <w:color w:val="auto"/>
        </w:rPr>
        <w:t>Accounting Officer)</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jc w:val="center"/>
        <w:ind w:right="1039"/>
        <w:spacing w:after="0"/>
        <w:rPr>
          <w:sz w:val="20"/>
          <w:szCs w:val="20"/>
          <w:color w:val="auto"/>
        </w:rPr>
      </w:pPr>
      <w:r>
        <w:rPr>
          <w:rFonts w:ascii="Courier New" w:cs="Courier New" w:eastAsia="Courier New" w:hAnsi="Courier New"/>
          <w:sz w:val="15"/>
          <w:szCs w:val="15"/>
          <w:color w:val="auto"/>
        </w:rPr>
        <w:t>June 15, 2000</w:t>
      </w:r>
    </w:p>
    <w:p>
      <w:pPr>
        <w:spacing w:after="0" w:line="567" w:lineRule="exact"/>
        <w:rPr>
          <w:sz w:val="20"/>
          <w:szCs w:val="20"/>
          <w:color w:val="auto"/>
        </w:rPr>
      </w:pPr>
    </w:p>
    <w:p>
      <w:pPr>
        <w:sectPr>
          <w:pgSz w:w="11900" w:h="16838" w:orient="portrait"/>
          <w:cols w:equalWidth="0" w:num="3">
            <w:col w:w="3604" w:space="720"/>
            <w:col w:w="2920" w:space="720"/>
            <w:col w:w="2259"/>
          </w:cols>
          <w:pgMar w:left="236" w:top="293" w:right="1440" w:bottom="1440" w:gutter="0" w:footer="0" w:header="0"/>
          <w:type w:val="continuous"/>
        </w:sectPr>
      </w:pPr>
    </w:p>
    <w:p>
      <w:pPr>
        <w:spacing w:after="0" w:line="16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MARGARET PULGINI*</w:t>
      </w:r>
    </w:p>
    <w:p>
      <w:pPr>
        <w:sectPr>
          <w:pgSz w:w="11900" w:h="16838" w:orient="portrait"/>
          <w:cols w:equalWidth="0" w:num="1">
            <w:col w:w="10223"/>
          </w:cols>
          <w:pgMar w:left="236" w:top="293" w:right="1440" w:bottom="1440" w:gutter="0" w:footer="0" w:header="0"/>
          <w:type w:val="continuous"/>
        </w:sectPr>
      </w:pP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June 15, 2000</w:t>
      </w:r>
    </w:p>
    <w:p>
      <w:pPr>
        <w:spacing w:after="0" w:line="10" w:lineRule="exact"/>
        <w:rPr>
          <w:sz w:val="20"/>
          <w:szCs w:val="20"/>
          <w:color w:val="auto"/>
        </w:rPr>
      </w:pPr>
    </w:p>
    <w:p>
      <w:pPr>
        <w:sectPr>
          <w:pgSz w:w="11900" w:h="16838" w:orient="portrait"/>
          <w:cols w:equalWidth="0" w:num="3">
            <w:col w:w="3784" w:space="720"/>
            <w:col w:w="2940" w:space="720"/>
            <w:col w:w="205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MARGARET PULGINI</w:t>
      </w:r>
    </w:p>
    <w:p>
      <w:pPr>
        <w:sectPr>
          <w:pgSz w:w="11900" w:h="16838" w:orient="portrait"/>
          <w:cols w:equalWidth="0" w:num="1">
            <w:col w:w="10223"/>
          </w:cols>
          <w:pgMar w:left="236" w:top="293" w:right="1440" w:bottom="1440" w:gutter="0" w:footer="0" w:header="0"/>
          <w:type w:val="continuous"/>
        </w:sectPr>
      </w:pPr>
    </w:p>
    <w:p>
      <w:pPr>
        <w:spacing w:after="0" w:line="37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EDWARD R. CLAGGETT*</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15, 2000</w:t>
      </w:r>
    </w:p>
    <w:p>
      <w:pPr>
        <w:spacing w:after="0" w:line="10" w:lineRule="exact"/>
        <w:rPr>
          <w:sz w:val="20"/>
          <w:szCs w:val="20"/>
          <w:color w:val="auto"/>
        </w:rPr>
      </w:pPr>
    </w:p>
    <w:p>
      <w:pPr>
        <w:sectPr>
          <w:pgSz w:w="11900" w:h="16838" w:orient="portrait"/>
          <w:cols w:equalWidth="0" w:num="3">
            <w:col w:w="3604" w:space="720"/>
            <w:col w:w="2920" w:space="720"/>
            <w:col w:w="2259"/>
          </w:cols>
          <w:pgMar w:left="236" w:top="293" w:right="1440" w:bottom="1440" w:gutter="0" w:footer="0" w:header="0"/>
          <w:type w:val="continuous"/>
        </w:sectPr>
      </w:pPr>
    </w:p>
    <w:p>
      <w:pPr>
        <w:ind w:left="184" w:hanging="184"/>
        <w:spacing w:after="0"/>
        <w:tabs>
          <w:tab w:leader="none" w:pos="184"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38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EDWARD R. CLAGGETT</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67" w:name="page68"/>
    <w:bookmarkEnd w:id="67"/>
    <w:p>
      <w:pPr>
        <w:ind w:left="284"/>
        <w:spacing w:after="0"/>
        <w:rPr>
          <w:sz w:val="20"/>
          <w:szCs w:val="20"/>
          <w:color w:val="auto"/>
        </w:rPr>
      </w:pPr>
      <w:r>
        <w:rPr>
          <w:rFonts w:ascii="Courier New" w:cs="Courier New" w:eastAsia="Courier New" w:hAnsi="Courier New"/>
          <w:sz w:val="16"/>
          <w:szCs w:val="16"/>
          <w:color w:val="auto"/>
        </w:rPr>
        <w:t>65</w:t>
      </w:r>
    </w:p>
    <w:p>
      <w:pPr>
        <w:spacing w:after="0" w:line="200" w:lineRule="exact"/>
        <w:rPr>
          <w:sz w:val="20"/>
          <w:szCs w:val="20"/>
          <w:color w:val="auto"/>
        </w:rPr>
      </w:pPr>
    </w:p>
    <w:p>
      <w:pPr>
        <w:spacing w:after="0" w:line="340"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5"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3 to Registration Statement on Form S-4 to be signed on its behalf by the undersigned, thereunto duly authorized, in the City of Columbus, State of Ohio, on June 15, 2000.</w:t>
      </w:r>
    </w:p>
    <w:p>
      <w:pPr>
        <w:spacing w:after="0" w:line="361" w:lineRule="exact"/>
        <w:rPr>
          <w:sz w:val="20"/>
          <w:szCs w:val="20"/>
          <w:color w:val="auto"/>
        </w:rPr>
      </w:pPr>
    </w:p>
    <w:p>
      <w:pPr>
        <w:ind w:left="3384"/>
        <w:spacing w:after="0"/>
        <w:rPr>
          <w:sz w:val="20"/>
          <w:szCs w:val="20"/>
          <w:color w:val="auto"/>
        </w:rPr>
      </w:pPr>
      <w:r>
        <w:rPr>
          <w:rFonts w:ascii="Courier New" w:cs="Courier New" w:eastAsia="Courier New" w:hAnsi="Courier New"/>
          <w:sz w:val="16"/>
          <w:szCs w:val="16"/>
          <w:color w:val="auto"/>
        </w:rPr>
        <w:t>OLD FORT FINANCIAL CORP.</w:t>
      </w:r>
    </w:p>
    <w:p>
      <w:pPr>
        <w:spacing w:after="0" w:line="360" w:lineRule="exact"/>
        <w:rPr>
          <w:sz w:val="20"/>
          <w:szCs w:val="20"/>
          <w:color w:val="auto"/>
        </w:rPr>
      </w:pPr>
    </w:p>
    <w:p>
      <w:pPr>
        <w:ind w:left="3384"/>
        <w:spacing w:after="0"/>
        <w:rPr>
          <w:sz w:val="20"/>
          <w:szCs w:val="20"/>
          <w:color w:val="auto"/>
        </w:rPr>
      </w:pPr>
      <w:r>
        <w:rPr>
          <w:rFonts w:ascii="Courier New" w:cs="Courier New" w:eastAsia="Courier New" w:hAnsi="Courier New"/>
          <w:sz w:val="16"/>
          <w:szCs w:val="16"/>
          <w:color w:val="auto"/>
        </w:rPr>
        <w:t>By: /s/ CHARLES M. BERGER*</w:t>
      </w:r>
    </w:p>
    <w:p>
      <w:pPr>
        <w:ind w:left="3664"/>
        <w:spacing w:after="0"/>
        <w:rPr>
          <w:sz w:val="20"/>
          <w:szCs w:val="20"/>
          <w:color w:val="auto"/>
        </w:rPr>
      </w:pPr>
      <w:r>
        <w:rPr>
          <w:rFonts w:ascii="Courier New" w:cs="Courier New" w:eastAsia="Courier New" w:hAnsi="Courier New"/>
          <w:sz w:val="16"/>
          <w:szCs w:val="16"/>
          <w:color w:val="auto"/>
        </w:rPr>
        <w:t>--------------------------------------</w:t>
      </w:r>
    </w:p>
    <w:p>
      <w:pPr>
        <w:ind w:left="3664"/>
        <w:spacing w:after="0" w:line="237" w:lineRule="auto"/>
        <w:rPr>
          <w:sz w:val="20"/>
          <w:szCs w:val="20"/>
          <w:color w:val="auto"/>
        </w:rPr>
      </w:pPr>
      <w:r>
        <w:rPr>
          <w:rFonts w:ascii="Courier New" w:cs="Courier New" w:eastAsia="Courier New" w:hAnsi="Courier New"/>
          <w:sz w:val="16"/>
          <w:szCs w:val="16"/>
          <w:color w:val="auto"/>
        </w:rPr>
        <w:t>CHARLES M. BERGER</w:t>
      </w:r>
    </w:p>
    <w:p>
      <w:pPr>
        <w:ind w:left="3664"/>
        <w:spacing w:after="0"/>
        <w:rPr>
          <w:sz w:val="20"/>
          <w:szCs w:val="20"/>
          <w:color w:val="auto"/>
        </w:rPr>
      </w:pPr>
      <w:r>
        <w:rPr>
          <w:rFonts w:ascii="Courier New" w:cs="Courier New" w:eastAsia="Courier New" w:hAnsi="Courier New"/>
          <w:sz w:val="16"/>
          <w:szCs w:val="16"/>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3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944"/>
        <w:spacing w:after="0"/>
        <w:rPr>
          <w:sz w:val="20"/>
          <w:szCs w:val="20"/>
          <w:color w:val="auto"/>
        </w:rPr>
      </w:pPr>
      <w:r>
        <w:rPr>
          <w:rFonts w:ascii="Courier New" w:cs="Courier New" w:eastAsia="Courier New" w:hAnsi="Courier New"/>
          <w:sz w:val="16"/>
          <w:szCs w:val="16"/>
          <w:color w:val="auto"/>
        </w:rPr>
        <w:t>Signature</w:t>
      </w:r>
    </w:p>
    <w:p>
      <w:pPr>
        <w:ind w:left="94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Title</w:t>
      </w:r>
    </w:p>
    <w:p>
      <w:pPr>
        <w:ind w:left="10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Date</w:t>
      </w:r>
    </w:p>
    <w:p>
      <w:pPr>
        <w:ind w:left="48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15, 2000</w:t>
      </w:r>
    </w:p>
    <w:p>
      <w:pPr>
        <w:spacing w:after="0" w:line="190" w:lineRule="exact"/>
        <w:rPr>
          <w:sz w:val="20"/>
          <w:szCs w:val="20"/>
          <w:color w:val="auto"/>
        </w:rPr>
      </w:pPr>
    </w:p>
    <w:p>
      <w:pPr>
        <w:sectPr>
          <w:pgSz w:w="11900" w:h="16838" w:orient="portrait"/>
          <w:cols w:equalWidth="0" w:num="3">
            <w:col w:w="3604" w:space="720"/>
            <w:col w:w="2920" w:space="720"/>
            <w:col w:w="225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CHARLES M. BERGER</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15, 2000</w:t>
      </w:r>
    </w:p>
    <w:p>
      <w:pPr>
        <w:spacing w:after="0" w:line="5" w:lineRule="exact"/>
        <w:rPr>
          <w:sz w:val="20"/>
          <w:szCs w:val="20"/>
          <w:color w:val="auto"/>
        </w:rPr>
      </w:pPr>
    </w:p>
    <w:p>
      <w:pPr>
        <w:sectPr>
          <w:pgSz w:w="11900" w:h="16838" w:orient="portrait"/>
          <w:cols w:equalWidth="0" w:num="3">
            <w:col w:w="3604" w:space="720"/>
            <w:col w:w="2920" w:space="720"/>
            <w:col w:w="2259"/>
          </w:cols>
          <w:pgMar w:left="236" w:top="293" w:right="1440" w:bottom="1440" w:gutter="0" w:footer="0" w:header="0"/>
          <w:type w:val="continuous"/>
        </w:sectPr>
      </w:pPr>
    </w:p>
    <w:p>
      <w:pPr>
        <w:ind w:left="184" w:hanging="184"/>
        <w:spacing w:after="0"/>
        <w:tabs>
          <w:tab w:leader="none" w:pos="184"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ind w:left="4"/>
        <w:spacing w:after="0"/>
        <w:tabs>
          <w:tab w:leader="none" w:pos="4303" w:val="left"/>
          <w:tab w:leader="none" w:pos="794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June 15, 2000</w:t>
      </w:r>
    </w:p>
    <w:p>
      <w:pPr>
        <w:ind w:left="184" w:hanging="184"/>
        <w:spacing w:after="0"/>
        <w:tabs>
          <w:tab w:leader="none" w:pos="184"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359" w:lineRule="exact"/>
        <w:rPr>
          <w:sz w:val="20"/>
          <w:szCs w:val="20"/>
          <w:color w:val="auto"/>
        </w:rPr>
      </w:pPr>
    </w:p>
    <w:p>
      <w:pPr>
        <w:ind w:left="4"/>
        <w:spacing w:after="0"/>
        <w:tabs>
          <w:tab w:leader="none" w:pos="4303" w:val="left"/>
          <w:tab w:leader="none" w:pos="7943" w:val="left"/>
        </w:tabs>
        <w:rPr>
          <w:sz w:val="20"/>
          <w:szCs w:val="20"/>
          <w:color w:val="auto"/>
        </w:rPr>
      </w:pPr>
      <w:r>
        <w:rPr>
          <w:rFonts w:ascii="Courier New" w:cs="Courier New" w:eastAsia="Courier New" w:hAnsi="Courier New"/>
          <w:sz w:val="16"/>
          <w:szCs w:val="16"/>
          <w:color w:val="auto"/>
        </w:rPr>
        <w:t>/s/ 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June 15, 2000</w:t>
      </w:r>
    </w:p>
    <w:p>
      <w:pPr>
        <w:ind w:left="184" w:hanging="184"/>
        <w:spacing w:after="0"/>
        <w:tabs>
          <w:tab w:leader="none" w:pos="184"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200" w:lineRule="exact"/>
        <w:rPr>
          <w:sz w:val="20"/>
          <w:szCs w:val="20"/>
          <w:color w:val="auto"/>
        </w:rPr>
      </w:pPr>
    </w:p>
    <w:p>
      <w:pPr>
        <w:spacing w:after="0" w:line="339"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68" w:name="page69"/>
    <w:bookmarkEnd w:id="68"/>
    <w:p>
      <w:pPr>
        <w:ind w:left="284"/>
        <w:spacing w:after="0"/>
        <w:rPr>
          <w:sz w:val="20"/>
          <w:szCs w:val="20"/>
          <w:color w:val="auto"/>
        </w:rPr>
      </w:pPr>
      <w:r>
        <w:rPr>
          <w:rFonts w:ascii="Courier New" w:cs="Courier New" w:eastAsia="Courier New" w:hAnsi="Courier New"/>
          <w:sz w:val="16"/>
          <w:szCs w:val="16"/>
          <w:color w:val="auto"/>
        </w:rPr>
        <w:t>66</w:t>
      </w: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4"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3 to Registration Statement on Form S-4 to be signed on its behalf by the undersigned, thereunto duly authorized, in the City of Columbus, State of Ohio, on June 15, 2000.</w:t>
      </w:r>
    </w:p>
    <w:p>
      <w:pPr>
        <w:spacing w:after="0" w:line="361" w:lineRule="exact"/>
        <w:rPr>
          <w:sz w:val="20"/>
          <w:szCs w:val="20"/>
          <w:color w:val="auto"/>
        </w:rPr>
      </w:pPr>
    </w:p>
    <w:p>
      <w:pPr>
        <w:ind w:left="2904"/>
        <w:spacing w:after="0"/>
        <w:rPr>
          <w:sz w:val="20"/>
          <w:szCs w:val="20"/>
          <w:color w:val="auto"/>
        </w:rPr>
      </w:pPr>
      <w:r>
        <w:rPr>
          <w:rFonts w:ascii="Courier New" w:cs="Courier New" w:eastAsia="Courier New" w:hAnsi="Courier New"/>
          <w:sz w:val="16"/>
          <w:szCs w:val="16"/>
          <w:color w:val="auto"/>
        </w:rPr>
        <w:t>HYPONEX CORPORATION</w:t>
      </w:r>
    </w:p>
    <w:p>
      <w:pPr>
        <w:sectPr>
          <w:pgSz w:w="11900" w:h="16838" w:orient="portrait"/>
          <w:cols w:equalWidth="0" w:num="1">
            <w:col w:w="10223"/>
          </w:cols>
          <w:pgMar w:left="236" w:top="293" w:right="1440" w:bottom="1440" w:gutter="0" w:footer="0" w:header="0"/>
        </w:sectPr>
      </w:pPr>
    </w:p>
    <w:p>
      <w:pPr>
        <w:spacing w:after="0" w:line="365" w:lineRule="exact"/>
        <w:rPr>
          <w:sz w:val="20"/>
          <w:szCs w:val="20"/>
          <w:color w:val="auto"/>
        </w:rPr>
      </w:pPr>
    </w:p>
    <w:p>
      <w:pPr>
        <w:ind w:left="2904"/>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CHARLES M. BERGER</w:t>
      </w:r>
    </w:p>
    <w:p>
      <w:pPr>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ectPr>
          <w:pgSz w:w="11900" w:h="16838" w:orient="portrait"/>
          <w:cols w:equalWidth="0" w:num="2">
            <w:col w:w="3184" w:space="0"/>
            <w:col w:w="7039"/>
          </w:cols>
          <w:pgMar w:left="236" w:top="293" w:right="1440" w:bottom="1440" w:gutter="0" w:footer="0" w:header="0"/>
          <w:type w:val="continuous"/>
        </w:sectPr>
      </w:pPr>
    </w:p>
    <w:p>
      <w:pPr>
        <w:spacing w:after="0" w:line="164"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3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ind w:left="1304"/>
        <w:spacing w:after="0"/>
        <w:rPr>
          <w:sz w:val="20"/>
          <w:szCs w:val="20"/>
          <w:color w:val="auto"/>
        </w:rPr>
      </w:pPr>
      <w:r>
        <w:rPr>
          <w:rFonts w:ascii="Courier New" w:cs="Courier New" w:eastAsia="Courier New" w:hAnsi="Courier New"/>
          <w:sz w:val="16"/>
          <w:szCs w:val="16"/>
          <w:color w:val="auto"/>
        </w:rPr>
        <w:t>Signature</w:t>
      </w:r>
    </w:p>
    <w:p>
      <w:pPr>
        <w:ind w:left="13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Title</w:t>
      </w:r>
    </w:p>
    <w:p>
      <w:pPr>
        <w:ind w:left="11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Date</w:t>
      </w:r>
    </w:p>
    <w:p>
      <w:pPr>
        <w:ind w:left="56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15, 2000</w:t>
      </w:r>
    </w:p>
    <w:p>
      <w:pPr>
        <w:spacing w:after="0" w:line="190" w:lineRule="exact"/>
        <w:rPr>
          <w:sz w:val="20"/>
          <w:szCs w:val="20"/>
          <w:color w:val="auto"/>
        </w:rPr>
      </w:pPr>
    </w:p>
    <w:p>
      <w:pPr>
        <w:sectPr>
          <w:pgSz w:w="11900" w:h="16838" w:orient="portrait"/>
          <w:cols w:equalWidth="0" w:num="3">
            <w:col w:w="3604" w:space="720"/>
            <w:col w:w="2900" w:space="380"/>
            <w:col w:w="261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CHARLES M. BERGER</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15, 2000</w:t>
      </w:r>
    </w:p>
    <w:p>
      <w:pPr>
        <w:spacing w:after="0" w:line="5" w:lineRule="exact"/>
        <w:rPr>
          <w:sz w:val="20"/>
          <w:szCs w:val="20"/>
          <w:color w:val="auto"/>
        </w:rPr>
      </w:pPr>
    </w:p>
    <w:p>
      <w:pPr>
        <w:sectPr>
          <w:pgSz w:w="11900" w:h="16838" w:orient="portrait"/>
          <w:cols w:equalWidth="0" w:num="3">
            <w:col w:w="3604" w:space="720"/>
            <w:col w:w="2900" w:space="380"/>
            <w:col w:w="2619"/>
          </w:cols>
          <w:pgMar w:left="236" w:top="293" w:right="1440" w:bottom="1440" w:gutter="0" w:footer="0" w:header="0"/>
          <w:type w:val="continuous"/>
        </w:sectPr>
      </w:pPr>
    </w:p>
    <w:p>
      <w:pPr>
        <w:ind w:left="184" w:hanging="184"/>
        <w:spacing w:after="0"/>
        <w:tabs>
          <w:tab w:leader="none" w:pos="184"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ind w:left="4"/>
        <w:spacing w:after="0"/>
        <w:tabs>
          <w:tab w:leader="none" w:pos="4303" w:val="left"/>
          <w:tab w:leader="none" w:pos="758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June 15, 2000</w:t>
      </w:r>
    </w:p>
    <w:p>
      <w:pPr>
        <w:ind w:left="184" w:hanging="184"/>
        <w:spacing w:after="0"/>
        <w:tabs>
          <w:tab w:leader="none" w:pos="184"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179" w:lineRule="exact"/>
        <w:rPr>
          <w:sz w:val="20"/>
          <w:szCs w:val="20"/>
          <w:color w:val="auto"/>
        </w:rPr>
      </w:pPr>
    </w:p>
    <w:p>
      <w:pPr>
        <w:ind w:left="4"/>
        <w:spacing w:after="0"/>
        <w:tabs>
          <w:tab w:leader="none" w:pos="443" w:val="left"/>
          <w:tab w:leader="none" w:pos="4303" w:val="left"/>
          <w:tab w:leader="none" w:pos="7583" w:val="left"/>
        </w:tabs>
        <w:rPr>
          <w:sz w:val="20"/>
          <w:szCs w:val="20"/>
          <w:color w:val="auto"/>
        </w:rPr>
      </w:pPr>
      <w:r>
        <w:rPr>
          <w:rFonts w:ascii="Courier New" w:cs="Courier New" w:eastAsia="Courier New" w:hAnsi="Courier New"/>
          <w:sz w:val="16"/>
          <w:szCs w:val="16"/>
          <w:color w:val="auto"/>
        </w:rPr>
        <w:t>/s/</w:t>
        <w:tab/>
        <w:t>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June 15, 2000</w:t>
      </w:r>
    </w:p>
    <w:p>
      <w:pPr>
        <w:ind w:left="184" w:hanging="184"/>
        <w:spacing w:after="0"/>
        <w:tabs>
          <w:tab w:leader="none" w:pos="184"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69" w:name="page70"/>
    <w:bookmarkEnd w:id="69"/>
    <w:p>
      <w:pPr>
        <w:ind w:left="284"/>
        <w:spacing w:after="0"/>
        <w:rPr>
          <w:sz w:val="20"/>
          <w:szCs w:val="20"/>
          <w:color w:val="auto"/>
        </w:rPr>
      </w:pPr>
      <w:r>
        <w:rPr>
          <w:rFonts w:ascii="Courier New" w:cs="Courier New" w:eastAsia="Courier New" w:hAnsi="Courier New"/>
          <w:sz w:val="16"/>
          <w:szCs w:val="16"/>
          <w:color w:val="auto"/>
        </w:rPr>
        <w:t>67</w:t>
      </w:r>
    </w:p>
    <w:p>
      <w:pPr>
        <w:spacing w:after="0" w:line="179"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5"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3 to Registration Statement on Form S-4 to be signed on its behalf by the undersigned, thereunto duly authorized, in the City of Columbus, State of Ohio, on June 15, 2000.</w:t>
      </w:r>
    </w:p>
    <w:p>
      <w:pPr>
        <w:spacing w:after="0" w:line="361" w:lineRule="exact"/>
        <w:rPr>
          <w:sz w:val="20"/>
          <w:szCs w:val="20"/>
          <w:color w:val="auto"/>
        </w:rPr>
      </w:pPr>
    </w:p>
    <w:p>
      <w:pPr>
        <w:ind w:left="3104"/>
        <w:spacing w:after="0"/>
        <w:rPr>
          <w:sz w:val="20"/>
          <w:szCs w:val="20"/>
          <w:color w:val="auto"/>
        </w:rPr>
      </w:pPr>
      <w:r>
        <w:rPr>
          <w:rFonts w:ascii="Courier New" w:cs="Courier New" w:eastAsia="Courier New" w:hAnsi="Courier New"/>
          <w:sz w:val="16"/>
          <w:szCs w:val="16"/>
          <w:color w:val="auto"/>
        </w:rPr>
        <w:t>EARTHGRO, INC.</w:t>
      </w:r>
    </w:p>
    <w:p>
      <w:pPr>
        <w:sectPr>
          <w:pgSz w:w="11900" w:h="16838" w:orient="portrait"/>
          <w:cols w:equalWidth="0" w:num="1">
            <w:col w:w="10223"/>
          </w:cols>
          <w:pgMar w:left="236" w:top="293" w:right="1440" w:bottom="1440" w:gutter="0" w:footer="0" w:header="0"/>
        </w:sectPr>
      </w:pPr>
    </w:p>
    <w:p>
      <w:pPr>
        <w:spacing w:after="0" w:line="365" w:lineRule="exact"/>
        <w:rPr>
          <w:sz w:val="20"/>
          <w:szCs w:val="20"/>
          <w:color w:val="auto"/>
        </w:rPr>
      </w:pPr>
    </w:p>
    <w:p>
      <w:pPr>
        <w:ind w:left="3104"/>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 WILLIAM A. DITTMAN*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A. DITTMAN</w:t>
      </w:r>
    </w:p>
    <w:p>
      <w:pPr>
        <w:spacing w:after="0"/>
        <w:rPr>
          <w:sz w:val="20"/>
          <w:szCs w:val="20"/>
          <w:color w:val="auto"/>
        </w:rPr>
      </w:pPr>
      <w:r>
        <w:rPr>
          <w:rFonts w:ascii="Courier New" w:cs="Courier New" w:eastAsia="Courier New" w:hAnsi="Courier New"/>
          <w:sz w:val="16"/>
          <w:szCs w:val="16"/>
          <w:color w:val="auto"/>
        </w:rPr>
        <w:t>President</w:t>
      </w:r>
    </w:p>
    <w:p>
      <w:pPr>
        <w:spacing w:after="0" w:line="200" w:lineRule="exact"/>
        <w:rPr>
          <w:sz w:val="20"/>
          <w:szCs w:val="20"/>
          <w:color w:val="auto"/>
        </w:rPr>
      </w:pPr>
    </w:p>
    <w:p>
      <w:pPr>
        <w:sectPr>
          <w:pgSz w:w="11900" w:h="16838" w:orient="portrait"/>
          <w:cols w:equalWidth="0" w:num="2">
            <w:col w:w="3384" w:space="0"/>
            <w:col w:w="6839"/>
          </w:cols>
          <w:pgMar w:left="236" w:top="293" w:right="1440" w:bottom="1440" w:gutter="0" w:footer="0" w:header="0"/>
          <w:type w:val="continuous"/>
        </w:sectPr>
      </w:pPr>
    </w:p>
    <w:p>
      <w:pPr>
        <w:spacing w:after="0" w:line="164"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3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ind w:left="1304"/>
        <w:spacing w:after="0"/>
        <w:rPr>
          <w:sz w:val="20"/>
          <w:szCs w:val="20"/>
          <w:color w:val="auto"/>
        </w:rPr>
      </w:pPr>
      <w:r>
        <w:rPr>
          <w:rFonts w:ascii="Courier New" w:cs="Courier New" w:eastAsia="Courier New" w:hAnsi="Courier New"/>
          <w:sz w:val="16"/>
          <w:szCs w:val="16"/>
          <w:color w:val="auto"/>
        </w:rPr>
        <w:t>Signature</w:t>
      </w:r>
    </w:p>
    <w:p>
      <w:pPr>
        <w:ind w:left="13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WILLIAM A. DITTMAN*</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Title</w:t>
      </w:r>
    </w:p>
    <w:p>
      <w:pPr>
        <w:ind w:left="11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Date</w:t>
      </w:r>
    </w:p>
    <w:p>
      <w:pPr>
        <w:ind w:left="56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15, 2000</w:t>
      </w:r>
    </w:p>
    <w:p>
      <w:pPr>
        <w:spacing w:after="0" w:line="190"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WILLIAM A. DITTMAN</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15, 2000</w:t>
      </w:r>
    </w:p>
    <w:p>
      <w:pPr>
        <w:spacing w:after="0" w:line="5"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184" w:hanging="184"/>
        <w:spacing w:after="0"/>
        <w:tabs>
          <w:tab w:leader="none" w:pos="184"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ind w:left="4"/>
        <w:spacing w:after="0"/>
        <w:tabs>
          <w:tab w:leader="none" w:pos="4303" w:val="left"/>
          <w:tab w:leader="none" w:pos="8523" w:val="left"/>
        </w:tabs>
        <w:rPr>
          <w:sz w:val="20"/>
          <w:szCs w:val="20"/>
          <w:color w:val="auto"/>
        </w:rPr>
      </w:pPr>
      <w:r>
        <w:rPr>
          <w:rFonts w:ascii="Courier New" w:cs="Courier New" w:eastAsia="Courier New" w:hAnsi="Courier New"/>
          <w:sz w:val="16"/>
          <w:szCs w:val="16"/>
          <w:color w:val="auto"/>
        </w:rPr>
        <w:t>/s/ CHARLES M. BERGER*</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June 15, 2000</w:t>
      </w:r>
    </w:p>
    <w:p>
      <w:pPr>
        <w:ind w:left="184" w:hanging="184"/>
        <w:spacing w:after="0"/>
        <w:tabs>
          <w:tab w:leader="none" w:pos="184"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CHARLES M. BERGER</w:t>
      </w:r>
    </w:p>
    <w:p>
      <w:pPr>
        <w:spacing w:after="0" w:line="179" w:lineRule="exact"/>
        <w:rPr>
          <w:sz w:val="20"/>
          <w:szCs w:val="20"/>
          <w:color w:val="auto"/>
        </w:rPr>
      </w:pPr>
    </w:p>
    <w:p>
      <w:pPr>
        <w:ind w:left="4"/>
        <w:spacing w:after="0"/>
        <w:tabs>
          <w:tab w:leader="none" w:pos="4303" w:val="left"/>
          <w:tab w:leader="none" w:pos="852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June 15, 2000</w:t>
      </w:r>
    </w:p>
    <w:p>
      <w:pPr>
        <w:ind w:left="184" w:hanging="184"/>
        <w:spacing w:after="0"/>
        <w:tabs>
          <w:tab w:leader="none" w:pos="184"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179" w:lineRule="exact"/>
        <w:rPr>
          <w:sz w:val="20"/>
          <w:szCs w:val="20"/>
          <w:color w:val="auto"/>
        </w:rPr>
      </w:pPr>
    </w:p>
    <w:p>
      <w:pPr>
        <w:ind w:left="4"/>
        <w:spacing w:after="0"/>
        <w:tabs>
          <w:tab w:leader="none" w:pos="443" w:val="left"/>
          <w:tab w:leader="none" w:pos="4303" w:val="left"/>
          <w:tab w:leader="none" w:pos="8523" w:val="left"/>
        </w:tabs>
        <w:rPr>
          <w:sz w:val="20"/>
          <w:szCs w:val="20"/>
          <w:color w:val="auto"/>
        </w:rPr>
      </w:pPr>
      <w:r>
        <w:rPr>
          <w:rFonts w:ascii="Courier New" w:cs="Courier New" w:eastAsia="Courier New" w:hAnsi="Courier New"/>
          <w:sz w:val="16"/>
          <w:szCs w:val="16"/>
          <w:color w:val="auto"/>
        </w:rPr>
        <w:t>/s/</w:t>
        <w:tab/>
        <w:t>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June 15, 2000</w:t>
      </w:r>
    </w:p>
    <w:p>
      <w:pPr>
        <w:ind w:left="184" w:hanging="184"/>
        <w:spacing w:after="0"/>
        <w:tabs>
          <w:tab w:leader="none" w:pos="184"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70" w:name="page71"/>
    <w:bookmarkEnd w:id="70"/>
    <w:p>
      <w:pPr>
        <w:ind w:left="284"/>
        <w:spacing w:after="0"/>
        <w:rPr>
          <w:sz w:val="20"/>
          <w:szCs w:val="20"/>
          <w:color w:val="auto"/>
        </w:rPr>
      </w:pPr>
      <w:r>
        <w:rPr>
          <w:rFonts w:ascii="Courier New" w:cs="Courier New" w:eastAsia="Courier New" w:hAnsi="Courier New"/>
          <w:sz w:val="16"/>
          <w:szCs w:val="16"/>
          <w:color w:val="auto"/>
        </w:rPr>
        <w:t>68</w:t>
      </w:r>
    </w:p>
    <w:p>
      <w:pPr>
        <w:spacing w:after="0" w:line="200" w:lineRule="exact"/>
        <w:rPr>
          <w:sz w:val="20"/>
          <w:szCs w:val="20"/>
          <w:color w:val="auto"/>
        </w:rPr>
      </w:pPr>
    </w:p>
    <w:p>
      <w:pPr>
        <w:spacing w:after="0" w:line="340"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5"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3 to Registration Statement on Form S-4 to be signed on its behalf by the undersigned, thereunto duly authorized, in the City of Columbus, State of Ohio, on June 15, 2000.</w:t>
      </w:r>
    </w:p>
    <w:p>
      <w:pPr>
        <w:spacing w:after="0" w:line="361" w:lineRule="exact"/>
        <w:rPr>
          <w:sz w:val="20"/>
          <w:szCs w:val="20"/>
          <w:color w:val="auto"/>
        </w:rPr>
      </w:pPr>
    </w:p>
    <w:p>
      <w:pPr>
        <w:ind w:left="2904"/>
        <w:spacing w:after="0"/>
        <w:rPr>
          <w:sz w:val="20"/>
          <w:szCs w:val="20"/>
          <w:color w:val="auto"/>
        </w:rPr>
      </w:pPr>
      <w:r>
        <w:rPr>
          <w:rFonts w:ascii="Courier New" w:cs="Courier New" w:eastAsia="Courier New" w:hAnsi="Courier New"/>
          <w:sz w:val="16"/>
          <w:szCs w:val="16"/>
          <w:color w:val="auto"/>
        </w:rPr>
        <w:t>SCOTTS PRODUCTS CO.</w:t>
      </w:r>
    </w:p>
    <w:p>
      <w:pPr>
        <w:sectPr>
          <w:pgSz w:w="11900" w:h="16838" w:orient="portrait"/>
          <w:cols w:equalWidth="0" w:num="1">
            <w:col w:w="10223"/>
          </w:cols>
          <w:pgMar w:left="236" w:top="293" w:right="1440" w:bottom="1440" w:gutter="0" w:footer="0" w:header="0"/>
        </w:sectPr>
      </w:pPr>
    </w:p>
    <w:p>
      <w:pPr>
        <w:spacing w:after="0" w:line="365" w:lineRule="exact"/>
        <w:rPr>
          <w:sz w:val="20"/>
          <w:szCs w:val="20"/>
          <w:color w:val="auto"/>
        </w:rPr>
      </w:pPr>
    </w:p>
    <w:p>
      <w:pPr>
        <w:ind w:left="2904"/>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CHARLES M. BERGER</w:t>
      </w:r>
    </w:p>
    <w:p>
      <w:pPr>
        <w:ind w:left="200"/>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ectPr>
          <w:pgSz w:w="11900" w:h="16838" w:orient="portrait"/>
          <w:cols w:equalWidth="0" w:num="2">
            <w:col w:w="3184" w:space="0"/>
            <w:col w:w="7039"/>
          </w:cols>
          <w:pgMar w:left="236" w:top="293" w:right="1440" w:bottom="1440" w:gutter="0" w:footer="0" w:header="0"/>
          <w:type w:val="continuous"/>
        </w:sectPr>
      </w:pPr>
    </w:p>
    <w:p>
      <w:pPr>
        <w:spacing w:after="0" w:line="164"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3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ind w:left="1304"/>
        <w:spacing w:after="0"/>
        <w:rPr>
          <w:sz w:val="20"/>
          <w:szCs w:val="20"/>
          <w:color w:val="auto"/>
        </w:rPr>
      </w:pPr>
      <w:r>
        <w:rPr>
          <w:rFonts w:ascii="Courier New" w:cs="Courier New" w:eastAsia="Courier New" w:hAnsi="Courier New"/>
          <w:sz w:val="16"/>
          <w:szCs w:val="16"/>
          <w:color w:val="auto"/>
        </w:rPr>
        <w:t>Signature</w:t>
      </w:r>
    </w:p>
    <w:p>
      <w:pPr>
        <w:ind w:left="13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Title</w:t>
      </w:r>
    </w:p>
    <w:p>
      <w:pPr>
        <w:ind w:left="11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Date</w:t>
      </w:r>
    </w:p>
    <w:p>
      <w:pPr>
        <w:ind w:left="56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15, 2000</w:t>
      </w:r>
    </w:p>
    <w:p>
      <w:pPr>
        <w:spacing w:after="0" w:line="190"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CHARLES M. BERGER</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15, 2000</w:t>
      </w:r>
    </w:p>
    <w:p>
      <w:pPr>
        <w:spacing w:after="0" w:line="5"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184" w:hanging="184"/>
        <w:spacing w:after="0"/>
        <w:tabs>
          <w:tab w:leader="none" w:pos="184"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ind w:left="4"/>
        <w:spacing w:after="0"/>
        <w:tabs>
          <w:tab w:leader="none" w:pos="4303" w:val="left"/>
          <w:tab w:leader="none" w:pos="852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June 15, 2000</w:t>
      </w:r>
    </w:p>
    <w:p>
      <w:pPr>
        <w:ind w:left="184" w:hanging="184"/>
        <w:spacing w:after="0"/>
        <w:tabs>
          <w:tab w:leader="none" w:pos="184"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179" w:lineRule="exact"/>
        <w:rPr>
          <w:sz w:val="20"/>
          <w:szCs w:val="20"/>
          <w:color w:val="auto"/>
        </w:rPr>
      </w:pPr>
    </w:p>
    <w:p>
      <w:pPr>
        <w:ind w:left="4"/>
        <w:spacing w:after="0"/>
        <w:tabs>
          <w:tab w:leader="none" w:pos="443" w:val="left"/>
          <w:tab w:leader="none" w:pos="4303" w:val="left"/>
          <w:tab w:leader="none" w:pos="8523" w:val="left"/>
        </w:tabs>
        <w:rPr>
          <w:sz w:val="20"/>
          <w:szCs w:val="20"/>
          <w:color w:val="auto"/>
        </w:rPr>
      </w:pPr>
      <w:r>
        <w:rPr>
          <w:rFonts w:ascii="Courier New" w:cs="Courier New" w:eastAsia="Courier New" w:hAnsi="Courier New"/>
          <w:sz w:val="16"/>
          <w:szCs w:val="16"/>
          <w:color w:val="auto"/>
        </w:rPr>
        <w:t>/s/</w:t>
        <w:tab/>
        <w:t>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June 15, 2000</w:t>
      </w:r>
    </w:p>
    <w:p>
      <w:pPr>
        <w:ind w:left="184" w:hanging="184"/>
        <w:spacing w:after="0"/>
        <w:tabs>
          <w:tab w:leader="none" w:pos="184"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359"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71" w:name="page72"/>
    <w:bookmarkEnd w:id="71"/>
    <w:p>
      <w:pPr>
        <w:ind w:left="284"/>
        <w:spacing w:after="0"/>
        <w:rPr>
          <w:sz w:val="20"/>
          <w:szCs w:val="20"/>
          <w:color w:val="auto"/>
        </w:rPr>
      </w:pPr>
      <w:r>
        <w:rPr>
          <w:rFonts w:ascii="Courier New" w:cs="Courier New" w:eastAsia="Courier New" w:hAnsi="Courier New"/>
          <w:sz w:val="16"/>
          <w:szCs w:val="16"/>
          <w:color w:val="auto"/>
        </w:rPr>
        <w:t>69</w:t>
      </w:r>
    </w:p>
    <w:p>
      <w:pPr>
        <w:spacing w:after="0" w:line="179"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185"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3 to Registration Statement on Form S-4 to be signed on its behalf by the undersigned, thereunto duly authorized, in the City of Columbus, State of Ohio, on June 15, 2000.</w:t>
      </w:r>
    </w:p>
    <w:p>
      <w:pPr>
        <w:spacing w:after="0" w:line="181" w:lineRule="exact"/>
        <w:rPr>
          <w:sz w:val="20"/>
          <w:szCs w:val="20"/>
          <w:color w:val="auto"/>
        </w:rPr>
      </w:pPr>
    </w:p>
    <w:p>
      <w:pPr>
        <w:jc w:val="center"/>
        <w:ind w:right="275"/>
        <w:spacing w:after="0"/>
        <w:rPr>
          <w:sz w:val="20"/>
          <w:szCs w:val="20"/>
          <w:color w:val="auto"/>
        </w:rPr>
      </w:pPr>
      <w:r>
        <w:rPr>
          <w:rFonts w:ascii="Courier New" w:cs="Courier New" w:eastAsia="Courier New" w:hAnsi="Courier New"/>
          <w:sz w:val="16"/>
          <w:szCs w:val="16"/>
          <w:color w:val="auto"/>
        </w:rPr>
        <w:t>SCOTTS PROFESSIONAL PRODUCTS CO.</w:t>
      </w:r>
    </w:p>
    <w:p>
      <w:pPr>
        <w:spacing w:after="0" w:line="360" w:lineRule="exact"/>
        <w:rPr>
          <w:sz w:val="20"/>
          <w:szCs w:val="20"/>
          <w:color w:val="auto"/>
        </w:rPr>
      </w:pPr>
    </w:p>
    <w:p>
      <w:pPr>
        <w:ind w:left="3464"/>
        <w:spacing w:after="0"/>
        <w:tabs>
          <w:tab w:leader="none" w:pos="3923" w:val="left"/>
        </w:tabs>
        <w:rPr>
          <w:sz w:val="20"/>
          <w:szCs w:val="20"/>
          <w:color w:val="auto"/>
        </w:rPr>
      </w:pPr>
      <w:r>
        <w:rPr>
          <w:rFonts w:ascii="Courier New" w:cs="Courier New" w:eastAsia="Courier New" w:hAnsi="Courier New"/>
          <w:sz w:val="16"/>
          <w:szCs w:val="16"/>
          <w:color w:val="auto"/>
        </w:rPr>
        <w:t>By:</w:t>
        <w:tab/>
        <w:t>/s/ CHARLES M. BERGER*</w:t>
      </w:r>
    </w:p>
    <w:p>
      <w:pPr>
        <w:ind w:left="3744"/>
        <w:spacing w:after="0"/>
        <w:rPr>
          <w:sz w:val="20"/>
          <w:szCs w:val="20"/>
          <w:color w:val="auto"/>
        </w:rPr>
      </w:pPr>
      <w:r>
        <w:rPr>
          <w:rFonts w:ascii="Courier New" w:cs="Courier New" w:eastAsia="Courier New" w:hAnsi="Courier New"/>
          <w:sz w:val="16"/>
          <w:szCs w:val="16"/>
          <w:color w:val="auto"/>
        </w:rPr>
        <w:t>---------------------------------</w:t>
      </w:r>
    </w:p>
    <w:p>
      <w:pPr>
        <w:ind w:left="3944"/>
        <w:spacing w:after="0" w:line="237" w:lineRule="auto"/>
        <w:rPr>
          <w:sz w:val="20"/>
          <w:szCs w:val="20"/>
          <w:color w:val="auto"/>
        </w:rPr>
      </w:pPr>
      <w:r>
        <w:rPr>
          <w:rFonts w:ascii="Courier New" w:cs="Courier New" w:eastAsia="Courier New" w:hAnsi="Courier New"/>
          <w:sz w:val="16"/>
          <w:szCs w:val="16"/>
          <w:color w:val="auto"/>
        </w:rPr>
        <w:t>CHARLES M. BERGER</w:t>
      </w:r>
    </w:p>
    <w:p>
      <w:pPr>
        <w:ind w:left="3944"/>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pacing w:after="0" w:line="34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3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1304"/>
        <w:spacing w:after="0"/>
        <w:rPr>
          <w:sz w:val="20"/>
          <w:szCs w:val="20"/>
          <w:color w:val="auto"/>
        </w:rPr>
      </w:pPr>
      <w:r>
        <w:rPr>
          <w:rFonts w:ascii="Courier New" w:cs="Courier New" w:eastAsia="Courier New" w:hAnsi="Courier New"/>
          <w:sz w:val="16"/>
          <w:szCs w:val="16"/>
          <w:color w:val="auto"/>
        </w:rPr>
        <w:t>Signature</w:t>
      </w:r>
    </w:p>
    <w:p>
      <w:pPr>
        <w:ind w:left="13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Title</w:t>
      </w:r>
    </w:p>
    <w:p>
      <w:pPr>
        <w:ind w:left="11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Date</w:t>
      </w:r>
    </w:p>
    <w:p>
      <w:pPr>
        <w:ind w:left="56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15, 2000</w:t>
      </w:r>
    </w:p>
    <w:p>
      <w:pPr>
        <w:spacing w:after="0" w:line="190"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CHARLES M. BERGER</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15, 2000</w:t>
      </w:r>
    </w:p>
    <w:p>
      <w:pPr>
        <w:spacing w:after="0" w:line="5"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184" w:hanging="184"/>
        <w:spacing w:after="0"/>
        <w:tabs>
          <w:tab w:leader="none" w:pos="184"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ind w:left="4"/>
        <w:spacing w:after="0"/>
        <w:tabs>
          <w:tab w:leader="none" w:pos="4303" w:val="left"/>
          <w:tab w:leader="none" w:pos="852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June 15, 2000</w:t>
      </w:r>
    </w:p>
    <w:p>
      <w:pPr>
        <w:ind w:left="184" w:hanging="184"/>
        <w:spacing w:after="0"/>
        <w:tabs>
          <w:tab w:leader="none" w:pos="184"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179" w:lineRule="exact"/>
        <w:rPr>
          <w:sz w:val="20"/>
          <w:szCs w:val="20"/>
          <w:color w:val="auto"/>
        </w:rPr>
      </w:pPr>
    </w:p>
    <w:p>
      <w:pPr>
        <w:ind w:left="4"/>
        <w:spacing w:after="0"/>
        <w:tabs>
          <w:tab w:leader="none" w:pos="443" w:val="left"/>
          <w:tab w:leader="none" w:pos="4303" w:val="left"/>
          <w:tab w:leader="none" w:pos="8523" w:val="left"/>
        </w:tabs>
        <w:rPr>
          <w:sz w:val="20"/>
          <w:szCs w:val="20"/>
          <w:color w:val="auto"/>
        </w:rPr>
      </w:pPr>
      <w:r>
        <w:rPr>
          <w:rFonts w:ascii="Courier New" w:cs="Courier New" w:eastAsia="Courier New" w:hAnsi="Courier New"/>
          <w:sz w:val="16"/>
          <w:szCs w:val="16"/>
          <w:color w:val="auto"/>
        </w:rPr>
        <w:t>/s/</w:t>
        <w:tab/>
        <w:t>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June 15, 2000</w:t>
      </w:r>
    </w:p>
    <w:p>
      <w:pPr>
        <w:ind w:left="184" w:hanging="184"/>
        <w:spacing w:after="0"/>
        <w:tabs>
          <w:tab w:leader="none" w:pos="184"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72" w:name="page73"/>
    <w:bookmarkEnd w:id="72"/>
    <w:p>
      <w:pPr>
        <w:ind w:left="284"/>
        <w:spacing w:after="0"/>
        <w:rPr>
          <w:sz w:val="20"/>
          <w:szCs w:val="20"/>
          <w:color w:val="auto"/>
        </w:rPr>
      </w:pPr>
      <w:r>
        <w:rPr>
          <w:rFonts w:ascii="Courier New" w:cs="Courier New" w:eastAsia="Courier New" w:hAnsi="Courier New"/>
          <w:sz w:val="16"/>
          <w:szCs w:val="16"/>
          <w:color w:val="auto"/>
        </w:rPr>
        <w:t>70</w:t>
      </w:r>
    </w:p>
    <w:p>
      <w:pPr>
        <w:spacing w:after="0" w:line="200" w:lineRule="exact"/>
        <w:rPr>
          <w:sz w:val="20"/>
          <w:szCs w:val="20"/>
          <w:color w:val="auto"/>
        </w:rPr>
      </w:pPr>
    </w:p>
    <w:p>
      <w:pPr>
        <w:spacing w:after="0" w:line="340"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185"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3 to Registration Statement on Form S-4 to be signed on its behalf by the undersigned, thereunto duly authorized, in the City of Columbus, State of Ohio, on June 15, 2000.</w:t>
      </w:r>
    </w:p>
    <w:p>
      <w:pPr>
        <w:spacing w:after="0" w:line="181" w:lineRule="exact"/>
        <w:rPr>
          <w:sz w:val="20"/>
          <w:szCs w:val="20"/>
          <w:color w:val="auto"/>
        </w:rPr>
      </w:pPr>
    </w:p>
    <w:p>
      <w:pPr>
        <w:jc w:val="center"/>
        <w:ind w:right="-184"/>
        <w:spacing w:after="0"/>
        <w:rPr>
          <w:sz w:val="20"/>
          <w:szCs w:val="20"/>
          <w:color w:val="auto"/>
        </w:rPr>
      </w:pPr>
      <w:r>
        <w:rPr>
          <w:rFonts w:ascii="Courier New" w:cs="Courier New" w:eastAsia="Courier New" w:hAnsi="Courier New"/>
          <w:sz w:val="16"/>
          <w:szCs w:val="16"/>
          <w:color w:val="auto"/>
        </w:rPr>
        <w:t>REPUBLIC TOOL &amp; MANUFACTURING CORP.</w:t>
      </w:r>
    </w:p>
    <w:p>
      <w:pPr>
        <w:sectPr>
          <w:pgSz w:w="11900" w:h="16838" w:orient="portrait"/>
          <w:cols w:equalWidth="0" w:num="1">
            <w:col w:w="10223"/>
          </w:cols>
          <w:pgMar w:left="236" w:top="293" w:right="1440" w:bottom="1440" w:gutter="0" w:footer="0" w:header="0"/>
        </w:sectPr>
      </w:pPr>
    </w:p>
    <w:p>
      <w:pPr>
        <w:spacing w:after="0" w:line="365" w:lineRule="exact"/>
        <w:rPr>
          <w:sz w:val="20"/>
          <w:szCs w:val="20"/>
          <w:color w:val="auto"/>
        </w:rPr>
      </w:pPr>
    </w:p>
    <w:p>
      <w:pPr>
        <w:ind w:left="3564"/>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CHARLES M. BERGER</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200" w:lineRule="exact"/>
        <w:rPr>
          <w:sz w:val="20"/>
          <w:szCs w:val="20"/>
          <w:color w:val="auto"/>
        </w:rPr>
      </w:pPr>
    </w:p>
    <w:p>
      <w:pPr>
        <w:sectPr>
          <w:pgSz w:w="11900" w:h="16838" w:orient="portrait"/>
          <w:cols w:equalWidth="0" w:num="2">
            <w:col w:w="3844" w:space="0"/>
            <w:col w:w="6379"/>
          </w:cols>
          <w:pgMar w:left="236" w:top="293" w:right="1440" w:bottom="1440" w:gutter="0" w:footer="0" w:header="0"/>
          <w:type w:val="continuous"/>
        </w:sectPr>
      </w:pPr>
    </w:p>
    <w:p>
      <w:pPr>
        <w:spacing w:after="0" w:line="352"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3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ind w:left="1304"/>
        <w:spacing w:after="0"/>
        <w:rPr>
          <w:sz w:val="20"/>
          <w:szCs w:val="20"/>
          <w:color w:val="auto"/>
        </w:rPr>
      </w:pPr>
      <w:r>
        <w:rPr>
          <w:rFonts w:ascii="Courier New" w:cs="Courier New" w:eastAsia="Courier New" w:hAnsi="Courier New"/>
          <w:sz w:val="16"/>
          <w:szCs w:val="16"/>
          <w:color w:val="auto"/>
        </w:rPr>
        <w:t>Signature</w:t>
      </w:r>
    </w:p>
    <w:p>
      <w:pPr>
        <w:ind w:left="13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Title</w:t>
      </w:r>
    </w:p>
    <w:p>
      <w:pPr>
        <w:ind w:left="11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Date</w:t>
      </w:r>
    </w:p>
    <w:p>
      <w:pPr>
        <w:ind w:left="56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15, 2000</w:t>
      </w:r>
    </w:p>
    <w:p>
      <w:pPr>
        <w:spacing w:after="0" w:line="190"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CHARLES M. BERGER</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15, 2000</w:t>
      </w:r>
    </w:p>
    <w:p>
      <w:pPr>
        <w:spacing w:after="0" w:line="10"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PATRICK J. NORTON</w:t>
      </w:r>
    </w:p>
    <w:p>
      <w:pPr>
        <w:sectPr>
          <w:pgSz w:w="11900" w:h="16838" w:orient="portrait"/>
          <w:cols w:equalWidth="0" w:num="1">
            <w:col w:w="10223"/>
          </w:cols>
          <w:pgMar w:left="236" w:top="293" w:right="1440" w:bottom="1440" w:gutter="0" w:footer="0" w:header="0"/>
          <w:type w:val="continuous"/>
        </w:sectPr>
      </w:pPr>
    </w:p>
    <w:p>
      <w:pPr>
        <w:spacing w:after="0" w:line="179" w:lineRule="exact"/>
        <w:rPr>
          <w:sz w:val="20"/>
          <w:szCs w:val="20"/>
          <w:color w:val="auto"/>
        </w:rPr>
      </w:pPr>
    </w:p>
    <w:p>
      <w:pPr>
        <w:ind w:left="4"/>
        <w:spacing w:after="0"/>
        <w:tabs>
          <w:tab w:leader="none" w:pos="4303" w:val="left"/>
          <w:tab w:leader="none" w:pos="852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June 15, 2000</w:t>
      </w:r>
    </w:p>
    <w:p>
      <w:pPr>
        <w:ind w:left="184" w:hanging="184"/>
        <w:spacing w:after="0"/>
        <w:tabs>
          <w:tab w:leader="none" w:pos="184"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179" w:lineRule="exact"/>
        <w:rPr>
          <w:sz w:val="20"/>
          <w:szCs w:val="20"/>
          <w:color w:val="auto"/>
        </w:rPr>
      </w:pPr>
    </w:p>
    <w:p>
      <w:pPr>
        <w:ind w:left="4"/>
        <w:spacing w:after="0"/>
        <w:tabs>
          <w:tab w:leader="none" w:pos="443" w:val="left"/>
          <w:tab w:leader="none" w:pos="4303" w:val="left"/>
          <w:tab w:leader="none" w:pos="8523" w:val="left"/>
        </w:tabs>
        <w:rPr>
          <w:sz w:val="20"/>
          <w:szCs w:val="20"/>
          <w:color w:val="auto"/>
        </w:rPr>
      </w:pPr>
      <w:r>
        <w:rPr>
          <w:rFonts w:ascii="Courier New" w:cs="Courier New" w:eastAsia="Courier New" w:hAnsi="Courier New"/>
          <w:sz w:val="16"/>
          <w:szCs w:val="16"/>
          <w:color w:val="auto"/>
        </w:rPr>
        <w:t>/s/</w:t>
        <w:tab/>
        <w:t>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June 15, 2000</w:t>
      </w:r>
    </w:p>
    <w:p>
      <w:pPr>
        <w:ind w:left="184" w:hanging="184"/>
        <w:spacing w:after="0"/>
        <w:tabs>
          <w:tab w:leader="none" w:pos="184"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73" w:name="page74"/>
    <w:bookmarkEnd w:id="73"/>
    <w:p>
      <w:pPr>
        <w:ind w:left="284"/>
        <w:spacing w:after="0"/>
        <w:rPr>
          <w:sz w:val="20"/>
          <w:szCs w:val="20"/>
          <w:color w:val="auto"/>
        </w:rPr>
      </w:pPr>
      <w:r>
        <w:rPr>
          <w:rFonts w:ascii="Courier New" w:cs="Courier New" w:eastAsia="Courier New" w:hAnsi="Courier New"/>
          <w:sz w:val="16"/>
          <w:szCs w:val="16"/>
          <w:color w:val="auto"/>
        </w:rPr>
        <w:t>71</w:t>
      </w:r>
    </w:p>
    <w:p>
      <w:pPr>
        <w:spacing w:after="0" w:line="179"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5"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3 to Registration Statement on Form S-4 to be signed on its behalf by the undersigned, thereunto duly authorized, in the City of Columbus, State of Ohio, on June 15, 2000.</w:t>
      </w:r>
    </w:p>
    <w:p>
      <w:pPr>
        <w:spacing w:after="0" w:line="366" w:lineRule="exact"/>
        <w:rPr>
          <w:sz w:val="20"/>
          <w:szCs w:val="20"/>
          <w:color w:val="auto"/>
        </w:rPr>
      </w:pPr>
    </w:p>
    <w:p>
      <w:pPr>
        <w:ind w:left="3284"/>
        <w:spacing w:after="0"/>
        <w:rPr>
          <w:sz w:val="20"/>
          <w:szCs w:val="20"/>
          <w:color w:val="auto"/>
        </w:rPr>
      </w:pPr>
      <w:r>
        <w:rPr>
          <w:rFonts w:ascii="Courier New" w:cs="Courier New" w:eastAsia="Courier New" w:hAnsi="Courier New"/>
          <w:sz w:val="15"/>
          <w:szCs w:val="15"/>
          <w:color w:val="auto"/>
        </w:rPr>
        <w:t>SCOTTS-SIERRA HORTICULTURAL PRODUCTS COMPANY</w:t>
      </w:r>
    </w:p>
    <w:p>
      <w:pPr>
        <w:sectPr>
          <w:pgSz w:w="11900" w:h="16838" w:orient="portrait"/>
          <w:cols w:equalWidth="0" w:num="1">
            <w:col w:w="10223"/>
          </w:cols>
          <w:pgMar w:left="236" w:top="293" w:right="1440" w:bottom="1440" w:gutter="0" w:footer="0" w:header="0"/>
        </w:sectPr>
      </w:pPr>
    </w:p>
    <w:p>
      <w:pPr>
        <w:spacing w:after="0" w:line="371" w:lineRule="exact"/>
        <w:rPr>
          <w:sz w:val="20"/>
          <w:szCs w:val="20"/>
          <w:color w:val="auto"/>
        </w:rPr>
      </w:pPr>
    </w:p>
    <w:p>
      <w:pPr>
        <w:ind w:left="3284"/>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CHARLES M. BERGER</w:t>
      </w:r>
    </w:p>
    <w:p>
      <w:pPr>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ectPr>
          <w:pgSz w:w="11900" w:h="16838" w:orient="portrait"/>
          <w:cols w:equalWidth="0" w:num="2">
            <w:col w:w="3564" w:space="0"/>
            <w:col w:w="6659"/>
          </w:cols>
          <w:pgMar w:left="236" w:top="293" w:right="1440" w:bottom="1440" w:gutter="0" w:footer="0" w:header="0"/>
          <w:type w:val="continuous"/>
        </w:sectPr>
      </w:pPr>
    </w:p>
    <w:p>
      <w:pPr>
        <w:spacing w:after="0" w:line="344"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3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ind w:left="1304"/>
        <w:spacing w:after="0"/>
        <w:rPr>
          <w:sz w:val="20"/>
          <w:szCs w:val="20"/>
          <w:color w:val="auto"/>
        </w:rPr>
      </w:pPr>
      <w:r>
        <w:rPr>
          <w:rFonts w:ascii="Courier New" w:cs="Courier New" w:eastAsia="Courier New" w:hAnsi="Courier New"/>
          <w:sz w:val="16"/>
          <w:szCs w:val="16"/>
          <w:color w:val="auto"/>
        </w:rPr>
        <w:t>Signature</w:t>
      </w:r>
    </w:p>
    <w:p>
      <w:pPr>
        <w:ind w:left="13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Title</w:t>
      </w:r>
    </w:p>
    <w:p>
      <w:pPr>
        <w:ind w:left="11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Date</w:t>
      </w:r>
    </w:p>
    <w:p>
      <w:pPr>
        <w:ind w:left="56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15, 2000</w:t>
      </w:r>
    </w:p>
    <w:p>
      <w:pPr>
        <w:spacing w:after="0" w:line="190"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CHARLES M. BERGER</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15, 2000</w:t>
      </w:r>
    </w:p>
    <w:p>
      <w:pPr>
        <w:spacing w:after="0" w:line="5"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184" w:hanging="184"/>
        <w:spacing w:after="0"/>
        <w:tabs>
          <w:tab w:leader="none" w:pos="184"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ind w:left="4"/>
        <w:spacing w:after="0"/>
        <w:tabs>
          <w:tab w:leader="none" w:pos="4303" w:val="left"/>
          <w:tab w:leader="none" w:pos="852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June 15, 2000</w:t>
      </w:r>
    </w:p>
    <w:p>
      <w:pPr>
        <w:ind w:left="184" w:hanging="184"/>
        <w:spacing w:after="0"/>
        <w:tabs>
          <w:tab w:leader="none" w:pos="184"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179" w:lineRule="exact"/>
        <w:rPr>
          <w:sz w:val="20"/>
          <w:szCs w:val="20"/>
          <w:color w:val="auto"/>
        </w:rPr>
      </w:pPr>
    </w:p>
    <w:p>
      <w:pPr>
        <w:ind w:left="4"/>
        <w:spacing w:after="0"/>
        <w:tabs>
          <w:tab w:leader="none" w:pos="443" w:val="left"/>
          <w:tab w:leader="none" w:pos="4303" w:val="left"/>
          <w:tab w:leader="none" w:pos="8523" w:val="left"/>
        </w:tabs>
        <w:rPr>
          <w:sz w:val="20"/>
          <w:szCs w:val="20"/>
          <w:color w:val="auto"/>
        </w:rPr>
      </w:pPr>
      <w:r>
        <w:rPr>
          <w:rFonts w:ascii="Courier New" w:cs="Courier New" w:eastAsia="Courier New" w:hAnsi="Courier New"/>
          <w:sz w:val="16"/>
          <w:szCs w:val="16"/>
          <w:color w:val="auto"/>
        </w:rPr>
        <w:t>/s/</w:t>
        <w:tab/>
        <w:t>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June 15, 2000</w:t>
      </w:r>
    </w:p>
    <w:p>
      <w:pPr>
        <w:ind w:left="184" w:hanging="184"/>
        <w:spacing w:after="0"/>
        <w:tabs>
          <w:tab w:leader="none" w:pos="184"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359"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74" w:name="page75"/>
    <w:bookmarkEnd w:id="74"/>
    <w:p>
      <w:pPr>
        <w:ind w:left="284"/>
        <w:spacing w:after="0"/>
        <w:rPr>
          <w:sz w:val="20"/>
          <w:szCs w:val="20"/>
          <w:color w:val="auto"/>
        </w:rPr>
      </w:pPr>
      <w:r>
        <w:rPr>
          <w:rFonts w:ascii="Courier New" w:cs="Courier New" w:eastAsia="Courier New" w:hAnsi="Courier New"/>
          <w:sz w:val="16"/>
          <w:szCs w:val="16"/>
          <w:color w:val="auto"/>
        </w:rPr>
        <w:t>72</w:t>
      </w:r>
    </w:p>
    <w:p>
      <w:pPr>
        <w:spacing w:after="0" w:line="179"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5"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3 to Registration Statement on Form S-4 to be signed on its behalf by the undersigned, thereunto duly authorized, in the City of Columbus, State of Ohio, on June 15, 2000.</w:t>
      </w:r>
    </w:p>
    <w:p>
      <w:pPr>
        <w:spacing w:after="0" w:line="361"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SCOTTS-SIERRA CROP PROTECTION COMPANY</w:t>
      </w:r>
    </w:p>
    <w:p>
      <w:pPr>
        <w:sectPr>
          <w:pgSz w:w="11900" w:h="16838" w:orient="portrait"/>
          <w:cols w:equalWidth="0" w:num="1">
            <w:col w:w="10223"/>
          </w:cols>
          <w:pgMar w:left="236" w:top="293" w:right="1440" w:bottom="1440" w:gutter="0" w:footer="0" w:header="0"/>
        </w:sectPr>
      </w:pPr>
    </w:p>
    <w:p>
      <w:pPr>
        <w:spacing w:after="0" w:line="365" w:lineRule="exact"/>
        <w:rPr>
          <w:sz w:val="20"/>
          <w:szCs w:val="20"/>
          <w:color w:val="auto"/>
        </w:rPr>
      </w:pPr>
    </w:p>
    <w:p>
      <w:pPr>
        <w:ind w:left="3664"/>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CHARLES M. BERGER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200" w:lineRule="exact"/>
        <w:rPr>
          <w:sz w:val="20"/>
          <w:szCs w:val="20"/>
          <w:color w:val="auto"/>
        </w:rPr>
      </w:pPr>
    </w:p>
    <w:p>
      <w:pPr>
        <w:sectPr>
          <w:pgSz w:w="11900" w:h="16838" w:orient="portrait"/>
          <w:cols w:equalWidth="0" w:num="2">
            <w:col w:w="3944" w:space="0"/>
            <w:col w:w="6279"/>
          </w:cols>
          <w:pgMar w:left="236" w:top="293" w:right="1440" w:bottom="1440" w:gutter="0" w:footer="0" w:header="0"/>
          <w:type w:val="continuous"/>
        </w:sectPr>
      </w:pPr>
    </w:p>
    <w:p>
      <w:pPr>
        <w:spacing w:after="0" w:line="352"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3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304"/>
        <w:spacing w:after="0"/>
        <w:rPr>
          <w:sz w:val="20"/>
          <w:szCs w:val="20"/>
          <w:color w:val="auto"/>
        </w:rPr>
      </w:pPr>
      <w:r>
        <w:rPr>
          <w:rFonts w:ascii="Courier New" w:cs="Courier New" w:eastAsia="Courier New" w:hAnsi="Courier New"/>
          <w:sz w:val="16"/>
          <w:szCs w:val="16"/>
          <w:color w:val="auto"/>
        </w:rPr>
        <w:t>Signature</w:t>
      </w:r>
    </w:p>
    <w:p>
      <w:pPr>
        <w:ind w:left="13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Title</w:t>
      </w:r>
    </w:p>
    <w:p>
      <w:pPr>
        <w:ind w:left="11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Date</w:t>
      </w:r>
    </w:p>
    <w:p>
      <w:pPr>
        <w:ind w:left="56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15, 2000</w:t>
      </w:r>
    </w:p>
    <w:p>
      <w:pPr>
        <w:spacing w:after="0" w:line="190"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CHARLES M. BERGER</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15, 2000</w:t>
      </w:r>
    </w:p>
    <w:p>
      <w:pPr>
        <w:spacing w:after="0" w:line="5"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184" w:hanging="184"/>
        <w:spacing w:after="0"/>
        <w:tabs>
          <w:tab w:leader="none" w:pos="184"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ind w:left="4"/>
        <w:spacing w:after="0"/>
        <w:tabs>
          <w:tab w:leader="none" w:pos="4303" w:val="left"/>
          <w:tab w:leader="none" w:pos="852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June 15, 2000</w:t>
      </w:r>
    </w:p>
    <w:p>
      <w:pPr>
        <w:ind w:left="184" w:hanging="184"/>
        <w:spacing w:after="0"/>
        <w:tabs>
          <w:tab w:leader="none" w:pos="184"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179" w:lineRule="exact"/>
        <w:rPr>
          <w:sz w:val="20"/>
          <w:szCs w:val="20"/>
          <w:color w:val="auto"/>
        </w:rPr>
      </w:pPr>
    </w:p>
    <w:p>
      <w:pPr>
        <w:ind w:left="4"/>
        <w:spacing w:after="0"/>
        <w:tabs>
          <w:tab w:leader="none" w:pos="443" w:val="left"/>
          <w:tab w:leader="none" w:pos="4303" w:val="left"/>
          <w:tab w:leader="none" w:pos="8523" w:val="left"/>
        </w:tabs>
        <w:rPr>
          <w:sz w:val="20"/>
          <w:szCs w:val="20"/>
          <w:color w:val="auto"/>
        </w:rPr>
      </w:pPr>
      <w:r>
        <w:rPr>
          <w:rFonts w:ascii="Courier New" w:cs="Courier New" w:eastAsia="Courier New" w:hAnsi="Courier New"/>
          <w:sz w:val="16"/>
          <w:szCs w:val="16"/>
          <w:color w:val="auto"/>
        </w:rPr>
        <w:t>/s/</w:t>
        <w:tab/>
        <w:t>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June 15, 2000</w:t>
      </w:r>
    </w:p>
    <w:p>
      <w:pPr>
        <w:ind w:left="184" w:hanging="184"/>
        <w:spacing w:after="0"/>
        <w:tabs>
          <w:tab w:leader="none" w:pos="184"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75" w:name="page76"/>
    <w:bookmarkEnd w:id="75"/>
    <w:p>
      <w:pPr>
        <w:ind w:left="284"/>
        <w:spacing w:after="0"/>
        <w:rPr>
          <w:sz w:val="20"/>
          <w:szCs w:val="20"/>
          <w:color w:val="auto"/>
        </w:rPr>
      </w:pPr>
      <w:r>
        <w:rPr>
          <w:rFonts w:ascii="Courier New" w:cs="Courier New" w:eastAsia="Courier New" w:hAnsi="Courier New"/>
          <w:sz w:val="16"/>
          <w:szCs w:val="16"/>
          <w:color w:val="auto"/>
        </w:rPr>
        <w:t>73</w:t>
      </w: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4"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3 to Registration Statement on Form S-4 to be signed on its behalf by the undersigned, thereunto duly authorized, in the City of Columbus, State of Ohio, on June 15, 2000.</w:t>
      </w:r>
    </w:p>
    <w:p>
      <w:pPr>
        <w:spacing w:after="0" w:line="361" w:lineRule="exact"/>
        <w:rPr>
          <w:sz w:val="20"/>
          <w:szCs w:val="20"/>
          <w:color w:val="auto"/>
        </w:rPr>
      </w:pPr>
    </w:p>
    <w:p>
      <w:pPr>
        <w:ind w:left="3384"/>
        <w:spacing w:after="0"/>
        <w:rPr>
          <w:sz w:val="20"/>
          <w:szCs w:val="20"/>
          <w:color w:val="auto"/>
        </w:rPr>
      </w:pPr>
      <w:r>
        <w:rPr>
          <w:rFonts w:ascii="Courier New" w:cs="Courier New" w:eastAsia="Courier New" w:hAnsi="Courier New"/>
          <w:sz w:val="16"/>
          <w:szCs w:val="16"/>
          <w:color w:val="auto"/>
        </w:rPr>
        <w:t>SCOTTS-SIERRA INVESTMENTS INC.</w:t>
      </w:r>
    </w:p>
    <w:p>
      <w:pPr>
        <w:spacing w:after="0" w:line="360" w:lineRule="exact"/>
        <w:rPr>
          <w:sz w:val="20"/>
          <w:szCs w:val="20"/>
          <w:color w:val="auto"/>
        </w:rPr>
      </w:pPr>
    </w:p>
    <w:p>
      <w:pPr>
        <w:ind w:left="3384"/>
        <w:spacing w:after="0"/>
        <w:tabs>
          <w:tab w:leader="none" w:pos="3923" w:val="left"/>
        </w:tabs>
        <w:rPr>
          <w:sz w:val="20"/>
          <w:szCs w:val="20"/>
          <w:color w:val="auto"/>
        </w:rPr>
      </w:pPr>
      <w:r>
        <w:rPr>
          <w:rFonts w:ascii="Courier New" w:cs="Courier New" w:eastAsia="Courier New" w:hAnsi="Courier New"/>
          <w:sz w:val="16"/>
          <w:szCs w:val="16"/>
          <w:color w:val="auto"/>
        </w:rPr>
        <w:t>By:</w:t>
        <w:tab/>
        <w:t>/s/ G. ROBERT LUCAS</w:t>
      </w:r>
    </w:p>
    <w:p>
      <w:pPr>
        <w:ind w:left="3564"/>
        <w:spacing w:after="0"/>
        <w:rPr>
          <w:sz w:val="20"/>
          <w:szCs w:val="20"/>
          <w:color w:val="auto"/>
        </w:rPr>
      </w:pPr>
      <w:r>
        <w:rPr>
          <w:rFonts w:ascii="Courier New" w:cs="Courier New" w:eastAsia="Courier New" w:hAnsi="Courier New"/>
          <w:sz w:val="16"/>
          <w:szCs w:val="16"/>
          <w:color w:val="auto"/>
        </w:rPr>
        <w:t>----------------------------------------</w:t>
      </w:r>
    </w:p>
    <w:p>
      <w:pPr>
        <w:ind w:left="3664"/>
        <w:spacing w:after="0" w:line="237" w:lineRule="auto"/>
        <w:rPr>
          <w:sz w:val="20"/>
          <w:szCs w:val="20"/>
          <w:color w:val="auto"/>
        </w:rPr>
      </w:pPr>
      <w:r>
        <w:rPr>
          <w:rFonts w:ascii="Courier New" w:cs="Courier New" w:eastAsia="Courier New" w:hAnsi="Courier New"/>
          <w:sz w:val="16"/>
          <w:szCs w:val="16"/>
          <w:color w:val="auto"/>
        </w:rPr>
        <w:t>G. ROBERT LUCAS</w:t>
      </w:r>
    </w:p>
    <w:p>
      <w:pPr>
        <w:ind w:left="3664"/>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pacing w:after="0" w:line="34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3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1304"/>
        <w:spacing w:after="0"/>
        <w:rPr>
          <w:sz w:val="20"/>
          <w:szCs w:val="20"/>
          <w:color w:val="auto"/>
        </w:rPr>
      </w:pPr>
      <w:r>
        <w:rPr>
          <w:rFonts w:ascii="Courier New" w:cs="Courier New" w:eastAsia="Courier New" w:hAnsi="Courier New"/>
          <w:sz w:val="16"/>
          <w:szCs w:val="16"/>
          <w:color w:val="auto"/>
        </w:rPr>
        <w:t>Signature</w:t>
      </w:r>
    </w:p>
    <w:p>
      <w:pPr>
        <w:ind w:left="13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G. ROBERT LUCAS</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Title</w:t>
      </w:r>
    </w:p>
    <w:p>
      <w:pPr>
        <w:ind w:left="11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Date</w:t>
      </w:r>
    </w:p>
    <w:p>
      <w:pPr>
        <w:ind w:left="56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15, 2000</w:t>
      </w:r>
    </w:p>
    <w:p>
      <w:pPr>
        <w:spacing w:after="0" w:line="190"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G. ROBERT LUCAS</w:t>
      </w:r>
    </w:p>
    <w:p>
      <w:pPr>
        <w:sectPr>
          <w:pgSz w:w="11900" w:h="16838" w:orient="portrait"/>
          <w:cols w:equalWidth="0" w:num="1">
            <w:col w:w="10223"/>
          </w:cols>
          <w:pgMar w:left="236" w:top="293" w:right="1440" w:bottom="1440" w:gutter="0" w:footer="0" w:header="0"/>
          <w:type w:val="continuous"/>
        </w:sectPr>
      </w:pPr>
    </w:p>
    <w:p>
      <w:pPr>
        <w:spacing w:after="0" w:line="18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REBECCA J. BRUENING*</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REBECCA J. BRUENING</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and Treasurer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(Principal Financial and</w:t>
      </w:r>
    </w:p>
    <w:p>
      <w:pPr>
        <w:spacing w:after="0"/>
        <w:rPr>
          <w:sz w:val="20"/>
          <w:szCs w:val="20"/>
          <w:color w:val="auto"/>
        </w:rPr>
      </w:pPr>
      <w:r>
        <w:rPr>
          <w:rFonts w:ascii="Courier New" w:cs="Courier New" w:eastAsia="Courier New" w:hAnsi="Courier New"/>
          <w:sz w:val="16"/>
          <w:szCs w:val="16"/>
          <w:color w:val="auto"/>
        </w:rPr>
        <w:t>Accounting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15, 2000</w:t>
      </w:r>
    </w:p>
    <w:p>
      <w:pPr>
        <w:spacing w:after="0" w:line="567"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spacing w:after="0" w:line="16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EDWARD R. CLAGGETT*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15, 2000</w:t>
      </w:r>
    </w:p>
    <w:p>
      <w:pPr>
        <w:spacing w:after="0" w:line="5"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184" w:hanging="184"/>
        <w:spacing w:after="0"/>
        <w:tabs>
          <w:tab w:leader="none" w:pos="184"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EDWARD R. CLAGGETT</w:t>
      </w:r>
    </w:p>
    <w:p>
      <w:pPr>
        <w:spacing w:after="0" w:line="179" w:lineRule="exact"/>
        <w:rPr>
          <w:sz w:val="20"/>
          <w:szCs w:val="20"/>
          <w:color w:val="auto"/>
        </w:rPr>
      </w:pPr>
    </w:p>
    <w:p>
      <w:pPr>
        <w:ind w:left="4"/>
        <w:spacing w:after="0"/>
        <w:tabs>
          <w:tab w:leader="none" w:pos="443" w:val="left"/>
          <w:tab w:leader="none" w:pos="4303" w:val="left"/>
          <w:tab w:leader="none" w:pos="8523" w:val="left"/>
        </w:tabs>
        <w:rPr>
          <w:sz w:val="20"/>
          <w:szCs w:val="20"/>
          <w:color w:val="auto"/>
        </w:rPr>
      </w:pPr>
      <w:r>
        <w:rPr>
          <w:rFonts w:ascii="Courier New" w:cs="Courier New" w:eastAsia="Courier New" w:hAnsi="Courier New"/>
          <w:sz w:val="16"/>
          <w:szCs w:val="16"/>
          <w:color w:val="auto"/>
        </w:rPr>
        <w:t>/s/</w:t>
        <w:tab/>
        <w:t>MARGARET PULGINI*</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June 15, 2000</w:t>
      </w:r>
    </w:p>
    <w:p>
      <w:pPr>
        <w:ind w:left="184" w:hanging="184"/>
        <w:spacing w:after="0"/>
        <w:tabs>
          <w:tab w:leader="none" w:pos="184"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MARGARET PULGINI</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76" w:name="page77"/>
    <w:bookmarkEnd w:id="76"/>
    <w:p>
      <w:pPr>
        <w:ind w:left="284"/>
        <w:spacing w:after="0"/>
        <w:rPr>
          <w:sz w:val="20"/>
          <w:szCs w:val="20"/>
          <w:color w:val="auto"/>
        </w:rPr>
      </w:pPr>
      <w:r>
        <w:rPr>
          <w:rFonts w:ascii="Courier New" w:cs="Courier New" w:eastAsia="Courier New" w:hAnsi="Courier New"/>
          <w:sz w:val="16"/>
          <w:szCs w:val="16"/>
          <w:color w:val="auto"/>
        </w:rPr>
        <w:t>74</w:t>
      </w: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4"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3 to Registration Statement on Form S-4 to be signed on its behalf by the undersigned, thereunto duly authorized, in the City of Columbus, State of Ohio, on June 15, 2000.</w:t>
      </w:r>
    </w:p>
    <w:p>
      <w:pPr>
        <w:spacing w:after="0" w:line="361" w:lineRule="exact"/>
        <w:rPr>
          <w:sz w:val="20"/>
          <w:szCs w:val="20"/>
          <w:color w:val="auto"/>
        </w:rPr>
      </w:pPr>
    </w:p>
    <w:p>
      <w:pPr>
        <w:ind w:left="4964"/>
        <w:spacing w:after="0"/>
        <w:rPr>
          <w:sz w:val="20"/>
          <w:szCs w:val="20"/>
          <w:color w:val="auto"/>
        </w:rPr>
      </w:pPr>
      <w:r>
        <w:rPr>
          <w:rFonts w:ascii="Courier New" w:cs="Courier New" w:eastAsia="Courier New" w:hAnsi="Courier New"/>
          <w:sz w:val="16"/>
          <w:szCs w:val="16"/>
          <w:color w:val="auto"/>
        </w:rPr>
        <w:t>SWISS FARMS PRODUCTS, INC.</w:t>
      </w:r>
    </w:p>
    <w:p>
      <w:pPr>
        <w:spacing w:after="0" w:line="200" w:lineRule="exact"/>
        <w:rPr>
          <w:sz w:val="20"/>
          <w:szCs w:val="20"/>
          <w:color w:val="auto"/>
        </w:rPr>
      </w:pPr>
    </w:p>
    <w:p>
      <w:pPr>
        <w:spacing w:after="0" w:line="340" w:lineRule="exact"/>
        <w:rPr>
          <w:sz w:val="20"/>
          <w:szCs w:val="20"/>
          <w:color w:val="auto"/>
        </w:rPr>
      </w:pPr>
    </w:p>
    <w:p>
      <w:pPr>
        <w:ind w:left="3384"/>
        <w:spacing w:after="0"/>
        <w:tabs>
          <w:tab w:leader="none" w:pos="3923" w:val="left"/>
        </w:tabs>
        <w:rPr>
          <w:sz w:val="20"/>
          <w:szCs w:val="20"/>
          <w:color w:val="auto"/>
        </w:rPr>
      </w:pPr>
      <w:r>
        <w:rPr>
          <w:rFonts w:ascii="Courier New" w:cs="Courier New" w:eastAsia="Courier New" w:hAnsi="Courier New"/>
          <w:sz w:val="16"/>
          <w:szCs w:val="16"/>
          <w:color w:val="auto"/>
        </w:rPr>
        <w:t>By:</w:t>
        <w:tab/>
        <w:t>/s/ G. ROBERT LUCAS</w:t>
      </w:r>
    </w:p>
    <w:p>
      <w:pPr>
        <w:ind w:left="3564"/>
        <w:spacing w:after="0"/>
        <w:rPr>
          <w:sz w:val="20"/>
          <w:szCs w:val="20"/>
          <w:color w:val="auto"/>
        </w:rPr>
      </w:pPr>
      <w:r>
        <w:rPr>
          <w:rFonts w:ascii="Courier New" w:cs="Courier New" w:eastAsia="Courier New" w:hAnsi="Courier New"/>
          <w:sz w:val="16"/>
          <w:szCs w:val="16"/>
          <w:color w:val="auto"/>
        </w:rPr>
        <w:t>----------------------------------------</w:t>
      </w:r>
    </w:p>
    <w:p>
      <w:pPr>
        <w:ind w:left="3664"/>
        <w:spacing w:after="0" w:line="237" w:lineRule="auto"/>
        <w:rPr>
          <w:sz w:val="20"/>
          <w:szCs w:val="20"/>
          <w:color w:val="auto"/>
        </w:rPr>
      </w:pPr>
      <w:r>
        <w:rPr>
          <w:rFonts w:ascii="Courier New" w:cs="Courier New" w:eastAsia="Courier New" w:hAnsi="Courier New"/>
          <w:sz w:val="16"/>
          <w:szCs w:val="16"/>
          <w:color w:val="auto"/>
        </w:rPr>
        <w:t>G. ROBERT LUCAS</w:t>
      </w:r>
    </w:p>
    <w:p>
      <w:pPr>
        <w:ind w:left="3664"/>
        <w:spacing w:after="0"/>
        <w:rPr>
          <w:sz w:val="20"/>
          <w:szCs w:val="20"/>
          <w:color w:val="auto"/>
        </w:rPr>
      </w:pPr>
      <w:r>
        <w:rPr>
          <w:rFonts w:ascii="Courier New" w:cs="Courier New" w:eastAsia="Courier New" w:hAnsi="Courier New"/>
          <w:sz w:val="16"/>
          <w:szCs w:val="16"/>
          <w:color w:val="auto"/>
        </w:rPr>
        <w:t>President</w:t>
      </w:r>
    </w:p>
    <w:p>
      <w:pPr>
        <w:spacing w:after="0" w:line="200" w:lineRule="exact"/>
        <w:rPr>
          <w:sz w:val="20"/>
          <w:szCs w:val="20"/>
          <w:color w:val="auto"/>
        </w:rPr>
      </w:pPr>
    </w:p>
    <w:p>
      <w:pPr>
        <w:spacing w:after="0" w:line="34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3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1304"/>
        <w:spacing w:after="0"/>
        <w:rPr>
          <w:sz w:val="20"/>
          <w:szCs w:val="20"/>
          <w:color w:val="auto"/>
        </w:rPr>
      </w:pPr>
      <w:r>
        <w:rPr>
          <w:rFonts w:ascii="Courier New" w:cs="Courier New" w:eastAsia="Courier New" w:hAnsi="Courier New"/>
          <w:sz w:val="16"/>
          <w:szCs w:val="16"/>
          <w:color w:val="auto"/>
        </w:rPr>
        <w:t>Signature</w:t>
      </w:r>
    </w:p>
    <w:p>
      <w:pPr>
        <w:ind w:left="13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G. ROBERT LUCAS</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Title</w:t>
      </w:r>
    </w:p>
    <w:p>
      <w:pPr>
        <w:ind w:left="11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Date</w:t>
      </w:r>
    </w:p>
    <w:p>
      <w:pPr>
        <w:ind w:left="56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15, 2000</w:t>
      </w:r>
    </w:p>
    <w:p>
      <w:pPr>
        <w:spacing w:after="0" w:line="190"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G. Robert Lucas</w:t>
      </w:r>
    </w:p>
    <w:p>
      <w:pPr>
        <w:sectPr>
          <w:pgSz w:w="11900" w:h="16838" w:orient="portrait"/>
          <w:cols w:equalWidth="0" w:num="1">
            <w:col w:w="10223"/>
          </w:cols>
          <w:pgMar w:left="236" w:top="293" w:right="1440" w:bottom="1440" w:gutter="0" w:footer="0" w:header="0"/>
          <w:type w:val="continuous"/>
        </w:sectPr>
      </w:pPr>
    </w:p>
    <w:p>
      <w:pPr>
        <w:spacing w:after="0" w:line="18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REBECCA J. BRUENING*</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Rebecca J. Bruening</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and Treasurer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(Principal Financial and</w:t>
      </w:r>
    </w:p>
    <w:p>
      <w:pPr>
        <w:spacing w:after="0"/>
        <w:rPr>
          <w:sz w:val="20"/>
          <w:szCs w:val="20"/>
          <w:color w:val="auto"/>
        </w:rPr>
      </w:pPr>
      <w:r>
        <w:rPr>
          <w:rFonts w:ascii="Courier New" w:cs="Courier New" w:eastAsia="Courier New" w:hAnsi="Courier New"/>
          <w:sz w:val="16"/>
          <w:szCs w:val="16"/>
          <w:color w:val="auto"/>
        </w:rPr>
        <w:t>Accounting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15, 2000</w:t>
      </w:r>
    </w:p>
    <w:p>
      <w:pPr>
        <w:spacing w:after="0" w:line="567"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spacing w:after="0" w:line="16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EDWARD R. CLAGGETT*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15, 2000</w:t>
      </w:r>
    </w:p>
    <w:p>
      <w:pPr>
        <w:spacing w:after="0" w:line="5"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184" w:hanging="184"/>
        <w:spacing w:after="0"/>
        <w:tabs>
          <w:tab w:leader="none" w:pos="184"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EDWARD R. CLAGGETT</w:t>
      </w:r>
    </w:p>
    <w:p>
      <w:pPr>
        <w:spacing w:after="0" w:line="179" w:lineRule="exact"/>
        <w:rPr>
          <w:sz w:val="20"/>
          <w:szCs w:val="20"/>
          <w:color w:val="auto"/>
        </w:rPr>
      </w:pPr>
    </w:p>
    <w:p>
      <w:pPr>
        <w:ind w:left="4"/>
        <w:spacing w:after="0"/>
        <w:tabs>
          <w:tab w:leader="none" w:pos="443" w:val="left"/>
          <w:tab w:leader="none" w:pos="4303" w:val="left"/>
          <w:tab w:leader="none" w:pos="8523" w:val="left"/>
        </w:tabs>
        <w:rPr>
          <w:sz w:val="20"/>
          <w:szCs w:val="20"/>
          <w:color w:val="auto"/>
        </w:rPr>
      </w:pPr>
      <w:r>
        <w:rPr>
          <w:rFonts w:ascii="Courier New" w:cs="Courier New" w:eastAsia="Courier New" w:hAnsi="Courier New"/>
          <w:sz w:val="16"/>
          <w:szCs w:val="16"/>
          <w:color w:val="auto"/>
        </w:rPr>
        <w:t>/s/</w:t>
        <w:tab/>
        <w:t>JOLEEN LEGAKES*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June 15, 2000</w:t>
      </w:r>
    </w:p>
    <w:p>
      <w:pPr>
        <w:ind w:left="184" w:hanging="184"/>
        <w:spacing w:after="0"/>
        <w:tabs>
          <w:tab w:leader="none" w:pos="184"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JOLEEN LEGAKES</w:t>
      </w:r>
    </w:p>
    <w:p>
      <w:pPr>
        <w:spacing w:after="0" w:line="359"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77" w:name="page78"/>
    <w:bookmarkEnd w:id="77"/>
    <w:p>
      <w:pPr>
        <w:ind w:left="284"/>
        <w:spacing w:after="0"/>
        <w:rPr>
          <w:sz w:val="20"/>
          <w:szCs w:val="20"/>
          <w:color w:val="auto"/>
        </w:rPr>
      </w:pPr>
      <w:r>
        <w:rPr>
          <w:rFonts w:ascii="Courier New" w:cs="Courier New" w:eastAsia="Courier New" w:hAnsi="Courier New"/>
          <w:sz w:val="16"/>
          <w:szCs w:val="16"/>
          <w:color w:val="auto"/>
        </w:rPr>
        <w:t>75</w:t>
      </w:r>
    </w:p>
    <w:p>
      <w:pPr>
        <w:ind w:left="3004"/>
        <w:spacing w:after="0"/>
        <w:rPr>
          <w:sz w:val="20"/>
          <w:szCs w:val="20"/>
          <w:color w:val="auto"/>
        </w:rPr>
      </w:pPr>
      <w:r>
        <w:rPr>
          <w:rFonts w:ascii="Courier New" w:cs="Courier New" w:eastAsia="Courier New" w:hAnsi="Courier New"/>
          <w:sz w:val="16"/>
          <w:szCs w:val="16"/>
          <w:color w:val="auto"/>
        </w:rPr>
        <w:t>INDEX TO EXHIBITS</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Exhibit</w:t>
      </w:r>
    </w:p>
    <w:p>
      <w:pPr>
        <w:ind w:left="184"/>
        <w:spacing w:after="0"/>
        <w:tabs>
          <w:tab w:leader="none" w:pos="1483" w:val="left"/>
        </w:tabs>
        <w:rPr>
          <w:sz w:val="20"/>
          <w:szCs w:val="20"/>
          <w:color w:val="auto"/>
        </w:rPr>
      </w:pPr>
      <w:r>
        <w:rPr>
          <w:rFonts w:ascii="Courier New" w:cs="Courier New" w:eastAsia="Courier New" w:hAnsi="Courier New"/>
          <w:sz w:val="16"/>
          <w:szCs w:val="16"/>
          <w:color w:val="auto"/>
        </w:rPr>
        <w:t>No.</w:t>
      </w:r>
      <w:r>
        <w:rPr>
          <w:sz w:val="20"/>
          <w:szCs w:val="20"/>
          <w:color w:val="auto"/>
        </w:rPr>
        <w:tab/>
      </w:r>
      <w:r>
        <w:rPr>
          <w:rFonts w:ascii="Courier New" w:cs="Courier New" w:eastAsia="Courier New" w:hAnsi="Courier New"/>
          <w:sz w:val="16"/>
          <w:szCs w:val="16"/>
          <w:color w:val="auto"/>
        </w:rPr>
        <w:t>Description</w:t>
      </w:r>
    </w:p>
    <w:p>
      <w:pPr>
        <w:ind w:left="1504" w:hanging="1316"/>
        <w:spacing w:after="0" w:line="237" w:lineRule="auto"/>
        <w:tabs>
          <w:tab w:leader="none" w:pos="1504"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4" w:type="dxa"/>
        <w:tblCellMar>
          <w:top w:w="0" w:type="dxa"/>
          <w:left w:w="0" w:type="dxa"/>
          <w:bottom w:w="0" w:type="dxa"/>
          <w:right w:w="0" w:type="dxa"/>
        </w:tblCellMar>
      </w:tblPr>
      <w:tr>
        <w:trPr>
          <w:trHeight w:val="181"/>
        </w:trPr>
        <w:tc>
          <w:tcPr>
            <w:tcW w:w="980" w:type="dxa"/>
            <w:vAlign w:val="bottom"/>
          </w:tcPr>
          <w:p>
            <w:pPr>
              <w:spacing w:after="0"/>
              <w:rPr>
                <w:sz w:val="20"/>
                <w:szCs w:val="20"/>
                <w:color w:val="auto"/>
              </w:rPr>
            </w:pPr>
            <w:r>
              <w:rPr>
                <w:rFonts w:ascii="Courier New" w:cs="Courier New" w:eastAsia="Courier New" w:hAnsi="Courier New"/>
                <w:sz w:val="16"/>
                <w:szCs w:val="16"/>
                <w:color w:val="auto"/>
              </w:rPr>
              <w:t>2.1**</w:t>
            </w:r>
          </w:p>
        </w:tc>
        <w:tc>
          <w:tcPr>
            <w:tcW w:w="6420" w:type="dxa"/>
            <w:vAlign w:val="bottom"/>
          </w:tcPr>
          <w:p>
            <w:pPr>
              <w:ind w:left="520"/>
              <w:spacing w:after="0"/>
              <w:rPr>
                <w:sz w:val="20"/>
                <w:szCs w:val="20"/>
                <w:color w:val="auto"/>
              </w:rPr>
            </w:pPr>
            <w:r>
              <w:rPr>
                <w:rFonts w:ascii="Courier New" w:cs="Courier New" w:eastAsia="Courier New" w:hAnsi="Courier New"/>
                <w:sz w:val="16"/>
                <w:szCs w:val="16"/>
                <w:color w:val="auto"/>
                <w:w w:val="97"/>
              </w:rPr>
              <w:t>Asset Purchase Agreement dated as of November 11, 1998, between</w:t>
            </w:r>
          </w:p>
        </w:tc>
      </w:tr>
      <w:tr>
        <w:trPr>
          <w:trHeight w:val="180"/>
        </w:trPr>
        <w:tc>
          <w:tcPr>
            <w:tcW w:w="980" w:type="dxa"/>
            <w:vAlign w:val="bottom"/>
          </w:tcPr>
          <w:p>
            <w:pPr>
              <w:spacing w:after="0"/>
              <w:rPr>
                <w:sz w:val="15"/>
                <w:szCs w:val="15"/>
                <w:color w:val="auto"/>
              </w:rPr>
            </w:pPr>
          </w:p>
        </w:tc>
        <w:tc>
          <w:tcPr>
            <w:tcW w:w="6420" w:type="dxa"/>
            <w:vAlign w:val="bottom"/>
          </w:tcPr>
          <w:p>
            <w:pPr>
              <w:ind w:left="520"/>
              <w:spacing w:after="0"/>
              <w:rPr>
                <w:sz w:val="20"/>
                <w:szCs w:val="20"/>
                <w:color w:val="auto"/>
              </w:rPr>
            </w:pPr>
            <w:r>
              <w:rPr>
                <w:rFonts w:ascii="Courier New" w:cs="Courier New" w:eastAsia="Courier New" w:hAnsi="Courier New"/>
                <w:sz w:val="16"/>
                <w:szCs w:val="16"/>
                <w:color w:val="auto"/>
              </w:rPr>
              <w:t>Monsanto Company and the Registrant (incorporated herein by</w:t>
            </w:r>
          </w:p>
        </w:tc>
      </w:tr>
      <w:tr>
        <w:trPr>
          <w:trHeight w:val="180"/>
        </w:trPr>
        <w:tc>
          <w:tcPr>
            <w:tcW w:w="980" w:type="dxa"/>
            <w:vAlign w:val="bottom"/>
          </w:tcPr>
          <w:p>
            <w:pPr>
              <w:spacing w:after="0"/>
              <w:rPr>
                <w:sz w:val="15"/>
                <w:szCs w:val="15"/>
                <w:color w:val="auto"/>
              </w:rPr>
            </w:pPr>
          </w:p>
        </w:tc>
        <w:tc>
          <w:tcPr>
            <w:tcW w:w="6420" w:type="dxa"/>
            <w:vAlign w:val="bottom"/>
          </w:tcPr>
          <w:p>
            <w:pPr>
              <w:ind w:left="520"/>
              <w:spacing w:after="0"/>
              <w:rPr>
                <w:sz w:val="20"/>
                <w:szCs w:val="20"/>
                <w:color w:val="auto"/>
              </w:rPr>
            </w:pPr>
            <w:r>
              <w:rPr>
                <w:rFonts w:ascii="Courier New" w:cs="Courier New" w:eastAsia="Courier New" w:hAnsi="Courier New"/>
                <w:sz w:val="16"/>
                <w:szCs w:val="16"/>
                <w:color w:val="auto"/>
              </w:rPr>
              <w:t>reference to Exhibit 2(d) to the Registrant's Annual Report</w:t>
            </w:r>
          </w:p>
        </w:tc>
      </w:tr>
      <w:tr>
        <w:trPr>
          <w:trHeight w:val="180"/>
        </w:trPr>
        <w:tc>
          <w:tcPr>
            <w:tcW w:w="980" w:type="dxa"/>
            <w:vAlign w:val="bottom"/>
          </w:tcPr>
          <w:p>
            <w:pPr>
              <w:spacing w:after="0"/>
              <w:rPr>
                <w:sz w:val="15"/>
                <w:szCs w:val="15"/>
                <w:color w:val="auto"/>
              </w:rPr>
            </w:pPr>
          </w:p>
        </w:tc>
        <w:tc>
          <w:tcPr>
            <w:tcW w:w="6420" w:type="dxa"/>
            <w:vAlign w:val="bottom"/>
          </w:tcPr>
          <w:p>
            <w:pPr>
              <w:ind w:left="520"/>
              <w:spacing w:after="0"/>
              <w:rPr>
                <w:sz w:val="20"/>
                <w:szCs w:val="20"/>
                <w:color w:val="auto"/>
              </w:rPr>
            </w:pPr>
            <w:r>
              <w:rPr>
                <w:rFonts w:ascii="Courier New" w:cs="Courier New" w:eastAsia="Courier New" w:hAnsi="Courier New"/>
                <w:sz w:val="16"/>
                <w:szCs w:val="16"/>
                <w:color w:val="auto"/>
                <w:w w:val="97"/>
              </w:rPr>
              <w:t>on Form 10-K for the fiscal year ended September 30, 2000 (File</w:t>
            </w:r>
          </w:p>
        </w:tc>
      </w:tr>
      <w:tr>
        <w:trPr>
          <w:trHeight w:val="180"/>
        </w:trPr>
        <w:tc>
          <w:tcPr>
            <w:tcW w:w="980" w:type="dxa"/>
            <w:vAlign w:val="bottom"/>
          </w:tcPr>
          <w:p>
            <w:pPr>
              <w:spacing w:after="0"/>
              <w:rPr>
                <w:sz w:val="15"/>
                <w:szCs w:val="15"/>
                <w:color w:val="auto"/>
              </w:rPr>
            </w:pPr>
          </w:p>
        </w:tc>
        <w:tc>
          <w:tcPr>
            <w:tcW w:w="6420" w:type="dxa"/>
            <w:vAlign w:val="bottom"/>
          </w:tcPr>
          <w:p>
            <w:pPr>
              <w:ind w:left="520"/>
              <w:spacing w:after="0"/>
              <w:rPr>
                <w:sz w:val="20"/>
                <w:szCs w:val="20"/>
                <w:color w:val="auto"/>
              </w:rPr>
            </w:pPr>
            <w:r>
              <w:rPr>
                <w:rFonts w:ascii="Courier New" w:cs="Courier New" w:eastAsia="Courier New" w:hAnsi="Courier New"/>
                <w:sz w:val="16"/>
                <w:szCs w:val="16"/>
                <w:color w:val="auto"/>
              </w:rPr>
              <w:t>No. 001-13292)). Certain portions of this exhibit have been</w:t>
            </w:r>
          </w:p>
        </w:tc>
      </w:tr>
      <w:tr>
        <w:trPr>
          <w:trHeight w:val="180"/>
        </w:trPr>
        <w:tc>
          <w:tcPr>
            <w:tcW w:w="980" w:type="dxa"/>
            <w:vAlign w:val="bottom"/>
          </w:tcPr>
          <w:p>
            <w:pPr>
              <w:spacing w:after="0"/>
              <w:rPr>
                <w:sz w:val="15"/>
                <w:szCs w:val="15"/>
                <w:color w:val="auto"/>
              </w:rPr>
            </w:pPr>
          </w:p>
        </w:tc>
        <w:tc>
          <w:tcPr>
            <w:tcW w:w="6420" w:type="dxa"/>
            <w:vAlign w:val="bottom"/>
          </w:tcPr>
          <w:p>
            <w:pPr>
              <w:ind w:left="520"/>
              <w:spacing w:after="0"/>
              <w:rPr>
                <w:sz w:val="20"/>
                <w:szCs w:val="20"/>
                <w:color w:val="auto"/>
              </w:rPr>
            </w:pPr>
            <w:r>
              <w:rPr>
                <w:rFonts w:ascii="Courier New" w:cs="Courier New" w:eastAsia="Courier New" w:hAnsi="Courier New"/>
                <w:sz w:val="16"/>
                <w:szCs w:val="16"/>
                <w:color w:val="auto"/>
              </w:rPr>
              <w:t>omitted based upon a request for confidential treatment filed</w:t>
            </w:r>
          </w:p>
        </w:tc>
      </w:tr>
      <w:tr>
        <w:trPr>
          <w:trHeight w:val="180"/>
        </w:trPr>
        <w:tc>
          <w:tcPr>
            <w:tcW w:w="980" w:type="dxa"/>
            <w:vAlign w:val="bottom"/>
          </w:tcPr>
          <w:p>
            <w:pPr>
              <w:spacing w:after="0"/>
              <w:rPr>
                <w:sz w:val="15"/>
                <w:szCs w:val="15"/>
                <w:color w:val="auto"/>
              </w:rPr>
            </w:pPr>
          </w:p>
        </w:tc>
        <w:tc>
          <w:tcPr>
            <w:tcW w:w="6420" w:type="dxa"/>
            <w:vAlign w:val="bottom"/>
          </w:tcPr>
          <w:p>
            <w:pPr>
              <w:ind w:left="520"/>
              <w:spacing w:after="0"/>
              <w:rPr>
                <w:sz w:val="20"/>
                <w:szCs w:val="20"/>
                <w:color w:val="auto"/>
              </w:rPr>
            </w:pPr>
            <w:r>
              <w:rPr>
                <w:rFonts w:ascii="Courier New" w:cs="Courier New" w:eastAsia="Courier New" w:hAnsi="Courier New"/>
                <w:sz w:val="16"/>
                <w:szCs w:val="16"/>
                <w:color w:val="auto"/>
                <w:w w:val="98"/>
              </w:rPr>
              <w:t>with the Commission. The non-public information has been filed</w:t>
            </w:r>
          </w:p>
        </w:tc>
      </w:tr>
      <w:tr>
        <w:trPr>
          <w:trHeight w:val="180"/>
        </w:trPr>
        <w:tc>
          <w:tcPr>
            <w:tcW w:w="980" w:type="dxa"/>
            <w:vAlign w:val="bottom"/>
          </w:tcPr>
          <w:p>
            <w:pPr>
              <w:spacing w:after="0"/>
              <w:rPr>
                <w:sz w:val="15"/>
                <w:szCs w:val="15"/>
                <w:color w:val="auto"/>
              </w:rPr>
            </w:pPr>
          </w:p>
        </w:tc>
        <w:tc>
          <w:tcPr>
            <w:tcW w:w="6420" w:type="dxa"/>
            <w:vAlign w:val="bottom"/>
          </w:tcPr>
          <w:p>
            <w:pPr>
              <w:ind w:left="520"/>
              <w:spacing w:after="0"/>
              <w:rPr>
                <w:sz w:val="20"/>
                <w:szCs w:val="20"/>
                <w:color w:val="auto"/>
              </w:rPr>
            </w:pPr>
            <w:r>
              <w:rPr>
                <w:rFonts w:ascii="Courier New" w:cs="Courier New" w:eastAsia="Courier New" w:hAnsi="Courier New"/>
                <w:sz w:val="16"/>
                <w:szCs w:val="16"/>
                <w:color w:val="auto"/>
                <w:w w:val="97"/>
              </w:rPr>
              <w:t>separately with the Commission in connection with that request.</w:t>
            </w:r>
          </w:p>
        </w:tc>
      </w:tr>
      <w:tr>
        <w:trPr>
          <w:trHeight w:val="361"/>
        </w:trPr>
        <w:tc>
          <w:tcPr>
            <w:tcW w:w="980" w:type="dxa"/>
            <w:vAlign w:val="bottom"/>
          </w:tcPr>
          <w:p>
            <w:pPr>
              <w:spacing w:after="0"/>
              <w:rPr>
                <w:sz w:val="20"/>
                <w:szCs w:val="20"/>
                <w:color w:val="auto"/>
              </w:rPr>
            </w:pPr>
            <w:r>
              <w:rPr>
                <w:rFonts w:ascii="Courier New" w:cs="Courier New" w:eastAsia="Courier New" w:hAnsi="Courier New"/>
                <w:sz w:val="16"/>
                <w:szCs w:val="16"/>
                <w:color w:val="auto"/>
              </w:rPr>
              <w:t>2.2**</w:t>
            </w:r>
          </w:p>
        </w:tc>
        <w:tc>
          <w:tcPr>
            <w:tcW w:w="6420" w:type="dxa"/>
            <w:vAlign w:val="bottom"/>
          </w:tcPr>
          <w:p>
            <w:pPr>
              <w:ind w:left="520"/>
              <w:spacing w:after="0"/>
              <w:rPr>
                <w:sz w:val="20"/>
                <w:szCs w:val="20"/>
                <w:color w:val="auto"/>
              </w:rPr>
            </w:pPr>
            <w:r>
              <w:rPr>
                <w:rFonts w:ascii="Courier New" w:cs="Courier New" w:eastAsia="Courier New" w:hAnsi="Courier New"/>
                <w:sz w:val="16"/>
                <w:szCs w:val="16"/>
                <w:color w:val="auto"/>
                <w:w w:val="97"/>
              </w:rPr>
              <w:t>Amended and Restated Agency and Marketing Agreement dated as of</w:t>
            </w:r>
          </w:p>
        </w:tc>
      </w:tr>
      <w:tr>
        <w:trPr>
          <w:trHeight w:val="180"/>
        </w:trPr>
        <w:tc>
          <w:tcPr>
            <w:tcW w:w="980" w:type="dxa"/>
            <w:vAlign w:val="bottom"/>
          </w:tcPr>
          <w:p>
            <w:pPr>
              <w:spacing w:after="0"/>
              <w:rPr>
                <w:sz w:val="15"/>
                <w:szCs w:val="15"/>
                <w:color w:val="auto"/>
              </w:rPr>
            </w:pPr>
          </w:p>
        </w:tc>
        <w:tc>
          <w:tcPr>
            <w:tcW w:w="6420" w:type="dxa"/>
            <w:vAlign w:val="bottom"/>
          </w:tcPr>
          <w:p>
            <w:pPr>
              <w:ind w:left="520"/>
              <w:spacing w:after="0"/>
              <w:rPr>
                <w:sz w:val="20"/>
                <w:szCs w:val="20"/>
                <w:color w:val="auto"/>
              </w:rPr>
            </w:pPr>
            <w:r>
              <w:rPr>
                <w:rFonts w:ascii="Courier New" w:cs="Courier New" w:eastAsia="Courier New" w:hAnsi="Courier New"/>
                <w:sz w:val="16"/>
                <w:szCs w:val="16"/>
                <w:color w:val="auto"/>
                <w:w w:val="98"/>
              </w:rPr>
              <w:t>September 30, 1998 between Monsanto Company and the Registrant</w:t>
            </w:r>
          </w:p>
        </w:tc>
      </w:tr>
      <w:tr>
        <w:trPr>
          <w:trHeight w:val="180"/>
        </w:trPr>
        <w:tc>
          <w:tcPr>
            <w:tcW w:w="980" w:type="dxa"/>
            <w:vAlign w:val="bottom"/>
          </w:tcPr>
          <w:p>
            <w:pPr>
              <w:spacing w:after="0"/>
              <w:rPr>
                <w:sz w:val="15"/>
                <w:szCs w:val="15"/>
                <w:color w:val="auto"/>
              </w:rPr>
            </w:pPr>
          </w:p>
        </w:tc>
        <w:tc>
          <w:tcPr>
            <w:tcW w:w="6420" w:type="dxa"/>
            <w:vAlign w:val="bottom"/>
          </w:tcPr>
          <w:p>
            <w:pPr>
              <w:ind w:left="520"/>
              <w:spacing w:after="0"/>
              <w:rPr>
                <w:sz w:val="20"/>
                <w:szCs w:val="20"/>
                <w:color w:val="auto"/>
              </w:rPr>
            </w:pPr>
            <w:r>
              <w:rPr>
                <w:rFonts w:ascii="Courier New" w:cs="Courier New" w:eastAsia="Courier New" w:hAnsi="Courier New"/>
                <w:sz w:val="16"/>
                <w:szCs w:val="16"/>
                <w:color w:val="auto"/>
              </w:rPr>
              <w:t>(incorporated herein by reference to Exhibit 10(v) to the</w:t>
            </w:r>
          </w:p>
        </w:tc>
      </w:tr>
      <w:tr>
        <w:trPr>
          <w:trHeight w:val="180"/>
        </w:trPr>
        <w:tc>
          <w:tcPr>
            <w:tcW w:w="980" w:type="dxa"/>
            <w:vAlign w:val="bottom"/>
          </w:tcPr>
          <w:p>
            <w:pPr>
              <w:spacing w:after="0"/>
              <w:rPr>
                <w:sz w:val="15"/>
                <w:szCs w:val="15"/>
                <w:color w:val="auto"/>
              </w:rPr>
            </w:pPr>
          </w:p>
        </w:tc>
        <w:tc>
          <w:tcPr>
            <w:tcW w:w="6420" w:type="dxa"/>
            <w:vAlign w:val="bottom"/>
          </w:tcPr>
          <w:p>
            <w:pPr>
              <w:ind w:left="520"/>
              <w:spacing w:after="0"/>
              <w:rPr>
                <w:sz w:val="20"/>
                <w:szCs w:val="20"/>
                <w:color w:val="auto"/>
              </w:rPr>
            </w:pPr>
            <w:r>
              <w:rPr>
                <w:rFonts w:ascii="Courier New" w:cs="Courier New" w:eastAsia="Courier New" w:hAnsi="Courier New"/>
                <w:sz w:val="16"/>
                <w:szCs w:val="16"/>
                <w:color w:val="auto"/>
              </w:rPr>
              <w:t>Registrant's Annual Report on Form 10-K for the fiscal</w:t>
            </w:r>
          </w:p>
        </w:tc>
      </w:tr>
      <w:tr>
        <w:trPr>
          <w:trHeight w:val="180"/>
        </w:trPr>
        <w:tc>
          <w:tcPr>
            <w:tcW w:w="980" w:type="dxa"/>
            <w:vAlign w:val="bottom"/>
          </w:tcPr>
          <w:p>
            <w:pPr>
              <w:spacing w:after="0"/>
              <w:rPr>
                <w:sz w:val="15"/>
                <w:szCs w:val="15"/>
                <w:color w:val="auto"/>
              </w:rPr>
            </w:pPr>
          </w:p>
        </w:tc>
        <w:tc>
          <w:tcPr>
            <w:tcW w:w="6420" w:type="dxa"/>
            <w:vAlign w:val="bottom"/>
          </w:tcPr>
          <w:p>
            <w:pPr>
              <w:ind w:left="520"/>
              <w:spacing w:after="0"/>
              <w:rPr>
                <w:sz w:val="20"/>
                <w:szCs w:val="20"/>
                <w:color w:val="auto"/>
              </w:rPr>
            </w:pPr>
            <w:r>
              <w:rPr>
                <w:rFonts w:ascii="Courier New" w:cs="Courier New" w:eastAsia="Courier New" w:hAnsi="Courier New"/>
                <w:sz w:val="16"/>
                <w:szCs w:val="16"/>
                <w:color w:val="auto"/>
              </w:rPr>
              <w:t>year ended September 30, 2000 (File No. 001-13292)). Certain</w:t>
            </w:r>
          </w:p>
        </w:tc>
      </w:tr>
      <w:tr>
        <w:trPr>
          <w:trHeight w:val="180"/>
        </w:trPr>
        <w:tc>
          <w:tcPr>
            <w:tcW w:w="980" w:type="dxa"/>
            <w:vAlign w:val="bottom"/>
          </w:tcPr>
          <w:p>
            <w:pPr>
              <w:spacing w:after="0"/>
              <w:rPr>
                <w:sz w:val="15"/>
                <w:szCs w:val="15"/>
                <w:color w:val="auto"/>
              </w:rPr>
            </w:pPr>
          </w:p>
        </w:tc>
        <w:tc>
          <w:tcPr>
            <w:tcW w:w="6420" w:type="dxa"/>
            <w:vAlign w:val="bottom"/>
          </w:tcPr>
          <w:p>
            <w:pPr>
              <w:ind w:left="520"/>
              <w:spacing w:after="0"/>
              <w:rPr>
                <w:sz w:val="20"/>
                <w:szCs w:val="20"/>
                <w:color w:val="auto"/>
              </w:rPr>
            </w:pPr>
            <w:r>
              <w:rPr>
                <w:rFonts w:ascii="Courier New" w:cs="Courier New" w:eastAsia="Courier New" w:hAnsi="Courier New"/>
                <w:sz w:val="16"/>
                <w:szCs w:val="16"/>
                <w:color w:val="auto"/>
                <w:w w:val="97"/>
              </w:rPr>
              <w:t>portions of this exhibit have been omitted based upon a request</w:t>
            </w:r>
          </w:p>
        </w:tc>
      </w:tr>
      <w:tr>
        <w:trPr>
          <w:trHeight w:val="180"/>
        </w:trPr>
        <w:tc>
          <w:tcPr>
            <w:tcW w:w="980" w:type="dxa"/>
            <w:vAlign w:val="bottom"/>
          </w:tcPr>
          <w:p>
            <w:pPr>
              <w:spacing w:after="0"/>
              <w:rPr>
                <w:sz w:val="15"/>
                <w:szCs w:val="15"/>
                <w:color w:val="auto"/>
              </w:rPr>
            </w:pPr>
          </w:p>
        </w:tc>
        <w:tc>
          <w:tcPr>
            <w:tcW w:w="6420" w:type="dxa"/>
            <w:vAlign w:val="bottom"/>
          </w:tcPr>
          <w:p>
            <w:pPr>
              <w:ind w:left="520"/>
              <w:spacing w:after="0"/>
              <w:rPr>
                <w:sz w:val="20"/>
                <w:szCs w:val="20"/>
                <w:color w:val="auto"/>
              </w:rPr>
            </w:pPr>
            <w:r>
              <w:rPr>
                <w:rFonts w:ascii="Courier New" w:cs="Courier New" w:eastAsia="Courier New" w:hAnsi="Courier New"/>
                <w:sz w:val="16"/>
                <w:szCs w:val="16"/>
                <w:color w:val="auto"/>
              </w:rPr>
              <w:t>for confidential treatment filed with the Commission. The</w:t>
            </w:r>
          </w:p>
        </w:tc>
      </w:tr>
      <w:tr>
        <w:trPr>
          <w:trHeight w:val="180"/>
        </w:trPr>
        <w:tc>
          <w:tcPr>
            <w:tcW w:w="980" w:type="dxa"/>
            <w:vAlign w:val="bottom"/>
          </w:tcPr>
          <w:p>
            <w:pPr>
              <w:spacing w:after="0"/>
              <w:rPr>
                <w:sz w:val="15"/>
                <w:szCs w:val="15"/>
                <w:color w:val="auto"/>
              </w:rPr>
            </w:pPr>
          </w:p>
        </w:tc>
        <w:tc>
          <w:tcPr>
            <w:tcW w:w="6420" w:type="dxa"/>
            <w:vAlign w:val="bottom"/>
          </w:tcPr>
          <w:p>
            <w:pPr>
              <w:ind w:left="520"/>
              <w:spacing w:after="0"/>
              <w:rPr>
                <w:sz w:val="20"/>
                <w:szCs w:val="20"/>
                <w:color w:val="auto"/>
              </w:rPr>
            </w:pPr>
            <w:r>
              <w:rPr>
                <w:rFonts w:ascii="Courier New" w:cs="Courier New" w:eastAsia="Courier New" w:hAnsi="Courier New"/>
                <w:sz w:val="16"/>
                <w:szCs w:val="16"/>
                <w:color w:val="auto"/>
              </w:rPr>
              <w:t>non-public information has been filed separately with the</w:t>
            </w:r>
          </w:p>
        </w:tc>
      </w:tr>
      <w:tr>
        <w:trPr>
          <w:trHeight w:val="180"/>
        </w:trPr>
        <w:tc>
          <w:tcPr>
            <w:tcW w:w="980" w:type="dxa"/>
            <w:vAlign w:val="bottom"/>
          </w:tcPr>
          <w:p>
            <w:pPr>
              <w:spacing w:after="0"/>
              <w:rPr>
                <w:sz w:val="15"/>
                <w:szCs w:val="15"/>
                <w:color w:val="auto"/>
              </w:rPr>
            </w:pPr>
          </w:p>
        </w:tc>
        <w:tc>
          <w:tcPr>
            <w:tcW w:w="6420" w:type="dxa"/>
            <w:vAlign w:val="bottom"/>
          </w:tcPr>
          <w:p>
            <w:pPr>
              <w:ind w:left="520"/>
              <w:spacing w:after="0"/>
              <w:rPr>
                <w:sz w:val="20"/>
                <w:szCs w:val="20"/>
                <w:color w:val="auto"/>
              </w:rPr>
            </w:pPr>
            <w:r>
              <w:rPr>
                <w:rFonts w:ascii="Courier New" w:cs="Courier New" w:eastAsia="Courier New" w:hAnsi="Courier New"/>
                <w:sz w:val="16"/>
                <w:szCs w:val="16"/>
                <w:color w:val="auto"/>
              </w:rPr>
              <w:t>Commission in connection with that request.</w:t>
            </w:r>
          </w:p>
        </w:tc>
      </w:tr>
      <w:tr>
        <w:trPr>
          <w:trHeight w:val="180"/>
        </w:trPr>
        <w:tc>
          <w:tcPr>
            <w:tcW w:w="98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6420" w:type="dxa"/>
            <w:vAlign w:val="bottom"/>
          </w:tcPr>
          <w:p>
            <w:pPr>
              <w:ind w:left="520"/>
              <w:spacing w:after="0"/>
              <w:rPr>
                <w:sz w:val="20"/>
                <w:szCs w:val="20"/>
                <w:color w:val="auto"/>
              </w:rPr>
            </w:pPr>
            <w:r>
              <w:rPr>
                <w:rFonts w:ascii="Courier New" w:cs="Courier New" w:eastAsia="Courier New" w:hAnsi="Courier New"/>
                <w:sz w:val="16"/>
                <w:szCs w:val="16"/>
                <w:color w:val="auto"/>
                <w:w w:val="98"/>
              </w:rPr>
              <w:t>Indenture dated as January 20, 1999 between The Scotts Company</w:t>
            </w:r>
          </w:p>
        </w:tc>
      </w:tr>
      <w:tr>
        <w:trPr>
          <w:trHeight w:val="180"/>
        </w:trPr>
        <w:tc>
          <w:tcPr>
            <w:tcW w:w="980" w:type="dxa"/>
            <w:vAlign w:val="bottom"/>
          </w:tcPr>
          <w:p>
            <w:pPr>
              <w:spacing w:after="0"/>
              <w:rPr>
                <w:sz w:val="15"/>
                <w:szCs w:val="15"/>
                <w:color w:val="auto"/>
              </w:rPr>
            </w:pPr>
          </w:p>
        </w:tc>
        <w:tc>
          <w:tcPr>
            <w:tcW w:w="6420" w:type="dxa"/>
            <w:vAlign w:val="bottom"/>
          </w:tcPr>
          <w:p>
            <w:pPr>
              <w:ind w:left="520"/>
              <w:spacing w:after="0"/>
              <w:rPr>
                <w:sz w:val="20"/>
                <w:szCs w:val="20"/>
                <w:color w:val="auto"/>
              </w:rPr>
            </w:pPr>
            <w:r>
              <w:rPr>
                <w:rFonts w:ascii="Courier New" w:cs="Courier New" w:eastAsia="Courier New" w:hAnsi="Courier New"/>
                <w:sz w:val="16"/>
                <w:szCs w:val="16"/>
                <w:color w:val="auto"/>
              </w:rPr>
              <w:t>and State Street Bank and Trust Company, as trustee</w:t>
            </w:r>
          </w:p>
        </w:tc>
      </w:tr>
    </w:tbl>
    <w:p>
      <w:pPr>
        <w:spacing w:after="0" w:line="179" w:lineRule="exact"/>
        <w:rPr>
          <w:sz w:val="20"/>
          <w:szCs w:val="20"/>
          <w:color w:val="auto"/>
        </w:rPr>
      </w:pPr>
    </w:p>
    <w:p>
      <w:pPr>
        <w:ind w:left="1504" w:hanging="1504"/>
        <w:spacing w:after="0"/>
        <w:tabs>
          <w:tab w:leader="none" w:pos="1504"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Vorys, Sater, Seymour and Pease LLP</w:t>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1120" w:type="dxa"/>
            <w:vAlign w:val="bottom"/>
          </w:tcPr>
          <w:p>
            <w:pPr>
              <w:spacing w:after="0"/>
              <w:rPr>
                <w:sz w:val="20"/>
                <w:szCs w:val="20"/>
                <w:color w:val="auto"/>
              </w:rPr>
            </w:pPr>
            <w:r>
              <w:rPr>
                <w:rFonts w:ascii="Courier New" w:cs="Courier New" w:eastAsia="Courier New" w:hAnsi="Courier New"/>
                <w:sz w:val="16"/>
                <w:szCs w:val="16"/>
                <w:color w:val="auto"/>
              </w:rPr>
              <w:t>12</w:t>
            </w:r>
          </w:p>
        </w:tc>
        <w:tc>
          <w:tcPr>
            <w:tcW w:w="6200" w:type="dxa"/>
            <w:vAlign w:val="bottom"/>
          </w:tcPr>
          <w:p>
            <w:pPr>
              <w:ind w:left="380"/>
              <w:spacing w:after="0"/>
              <w:rPr>
                <w:sz w:val="20"/>
                <w:szCs w:val="20"/>
                <w:color w:val="auto"/>
              </w:rPr>
            </w:pPr>
            <w:r>
              <w:rPr>
                <w:rFonts w:ascii="Courier New" w:cs="Courier New" w:eastAsia="Courier New" w:hAnsi="Courier New"/>
                <w:sz w:val="16"/>
                <w:szCs w:val="16"/>
                <w:color w:val="auto"/>
              </w:rPr>
              <w:t>Computation of Ratio of Earnings to Fixed Charges</w:t>
            </w:r>
          </w:p>
        </w:tc>
      </w:tr>
      <w:tr>
        <w:trPr>
          <w:trHeight w:val="361"/>
        </w:trPr>
        <w:tc>
          <w:tcPr>
            <w:tcW w:w="112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6200" w:type="dxa"/>
            <w:vAlign w:val="bottom"/>
          </w:tcPr>
          <w:p>
            <w:pPr>
              <w:ind w:left="380"/>
              <w:spacing w:after="0"/>
              <w:rPr>
                <w:sz w:val="20"/>
                <w:szCs w:val="20"/>
                <w:color w:val="auto"/>
              </w:rPr>
            </w:pPr>
            <w:r>
              <w:rPr>
                <w:rFonts w:ascii="Courier New" w:cs="Courier New" w:eastAsia="Courier New" w:hAnsi="Courier New"/>
                <w:sz w:val="16"/>
                <w:szCs w:val="16"/>
                <w:color w:val="auto"/>
                <w:w w:val="97"/>
              </w:rPr>
              <w:t>Consent of PricewaterhouseCoopers LLP, Independent Accountants</w:t>
            </w:r>
          </w:p>
        </w:tc>
      </w:tr>
      <w:tr>
        <w:trPr>
          <w:trHeight w:val="361"/>
        </w:trPr>
        <w:tc>
          <w:tcPr>
            <w:tcW w:w="1120" w:type="dxa"/>
            <w:vAlign w:val="bottom"/>
          </w:tcPr>
          <w:p>
            <w:pPr>
              <w:spacing w:after="0"/>
              <w:rPr>
                <w:sz w:val="20"/>
                <w:szCs w:val="20"/>
                <w:color w:val="auto"/>
              </w:rPr>
            </w:pPr>
            <w:r>
              <w:rPr>
                <w:rFonts w:ascii="Courier New" w:cs="Courier New" w:eastAsia="Courier New" w:hAnsi="Courier New"/>
                <w:sz w:val="16"/>
                <w:szCs w:val="16"/>
                <w:color w:val="auto"/>
              </w:rPr>
              <w:t>23.3</w:t>
            </w:r>
          </w:p>
        </w:tc>
        <w:tc>
          <w:tcPr>
            <w:tcW w:w="6200" w:type="dxa"/>
            <w:vAlign w:val="bottom"/>
          </w:tcPr>
          <w:p>
            <w:pPr>
              <w:ind w:left="380"/>
              <w:spacing w:after="0"/>
              <w:rPr>
                <w:sz w:val="20"/>
                <w:szCs w:val="20"/>
                <w:color w:val="auto"/>
              </w:rPr>
            </w:pPr>
            <w:r>
              <w:rPr>
                <w:rFonts w:ascii="Courier New" w:cs="Courier New" w:eastAsia="Courier New" w:hAnsi="Courier New"/>
                <w:sz w:val="16"/>
                <w:szCs w:val="16"/>
                <w:color w:val="auto"/>
              </w:rPr>
              <w:t>Consent of Vorys, Sater, Seymour and Pease LLP (included in</w:t>
            </w:r>
          </w:p>
        </w:tc>
      </w:tr>
      <w:tr>
        <w:trPr>
          <w:trHeight w:val="180"/>
        </w:trPr>
        <w:tc>
          <w:tcPr>
            <w:tcW w:w="1120" w:type="dxa"/>
            <w:vAlign w:val="bottom"/>
          </w:tcPr>
          <w:p>
            <w:pPr>
              <w:spacing w:after="0"/>
              <w:rPr>
                <w:sz w:val="15"/>
                <w:szCs w:val="15"/>
                <w:color w:val="auto"/>
              </w:rPr>
            </w:pPr>
          </w:p>
        </w:tc>
        <w:tc>
          <w:tcPr>
            <w:tcW w:w="6200" w:type="dxa"/>
            <w:vAlign w:val="bottom"/>
          </w:tcPr>
          <w:p>
            <w:pPr>
              <w:ind w:left="380"/>
              <w:spacing w:after="0"/>
              <w:rPr>
                <w:sz w:val="20"/>
                <w:szCs w:val="20"/>
                <w:color w:val="auto"/>
              </w:rPr>
            </w:pPr>
            <w:r>
              <w:rPr>
                <w:rFonts w:ascii="Courier New" w:cs="Courier New" w:eastAsia="Courier New" w:hAnsi="Courier New"/>
                <w:sz w:val="16"/>
                <w:szCs w:val="16"/>
                <w:color w:val="auto"/>
              </w:rPr>
              <w:t>Exhibit 5)</w:t>
            </w:r>
          </w:p>
        </w:tc>
      </w:tr>
      <w:tr>
        <w:trPr>
          <w:trHeight w:val="180"/>
        </w:trPr>
        <w:tc>
          <w:tcPr>
            <w:tcW w:w="1120" w:type="dxa"/>
            <w:vAlign w:val="bottom"/>
          </w:tcPr>
          <w:p>
            <w:pPr>
              <w:spacing w:after="0"/>
              <w:rPr>
                <w:sz w:val="20"/>
                <w:szCs w:val="20"/>
                <w:color w:val="auto"/>
              </w:rPr>
            </w:pPr>
            <w:r>
              <w:rPr>
                <w:rFonts w:ascii="Courier New" w:cs="Courier New" w:eastAsia="Courier New" w:hAnsi="Courier New"/>
                <w:sz w:val="16"/>
                <w:szCs w:val="16"/>
                <w:color w:val="auto"/>
              </w:rPr>
              <w:t>24**</w:t>
            </w:r>
          </w:p>
        </w:tc>
        <w:tc>
          <w:tcPr>
            <w:tcW w:w="6200" w:type="dxa"/>
            <w:vAlign w:val="bottom"/>
          </w:tcPr>
          <w:p>
            <w:pPr>
              <w:ind w:left="380"/>
              <w:spacing w:after="0"/>
              <w:rPr>
                <w:sz w:val="20"/>
                <w:szCs w:val="20"/>
                <w:color w:val="auto"/>
              </w:rPr>
            </w:pPr>
            <w:r>
              <w:rPr>
                <w:rFonts w:ascii="Courier New" w:cs="Courier New" w:eastAsia="Courier New" w:hAnsi="Courier New"/>
                <w:sz w:val="16"/>
                <w:szCs w:val="16"/>
                <w:color w:val="auto"/>
              </w:rPr>
              <w:t>Powers of Attorney</w:t>
            </w:r>
          </w:p>
        </w:tc>
      </w:tr>
      <w:tr>
        <w:trPr>
          <w:trHeight w:val="361"/>
        </w:trPr>
        <w:tc>
          <w:tcPr>
            <w:tcW w:w="1120" w:type="dxa"/>
            <w:vAlign w:val="bottom"/>
          </w:tcPr>
          <w:p>
            <w:pPr>
              <w:spacing w:after="0"/>
              <w:rPr>
                <w:sz w:val="20"/>
                <w:szCs w:val="20"/>
                <w:color w:val="auto"/>
              </w:rPr>
            </w:pPr>
            <w:r>
              <w:rPr>
                <w:rFonts w:ascii="Courier New" w:cs="Courier New" w:eastAsia="Courier New" w:hAnsi="Courier New"/>
                <w:sz w:val="16"/>
                <w:szCs w:val="16"/>
                <w:color w:val="auto"/>
              </w:rPr>
              <w:t>25**</w:t>
            </w:r>
          </w:p>
        </w:tc>
        <w:tc>
          <w:tcPr>
            <w:tcW w:w="6200" w:type="dxa"/>
            <w:vAlign w:val="bottom"/>
          </w:tcPr>
          <w:p>
            <w:pPr>
              <w:ind w:left="380"/>
              <w:spacing w:after="0"/>
              <w:rPr>
                <w:sz w:val="20"/>
                <w:szCs w:val="20"/>
                <w:color w:val="auto"/>
              </w:rPr>
            </w:pPr>
            <w:r>
              <w:rPr>
                <w:rFonts w:ascii="Courier New" w:cs="Courier New" w:eastAsia="Courier New" w:hAnsi="Courier New"/>
                <w:sz w:val="16"/>
                <w:szCs w:val="16"/>
                <w:color w:val="auto"/>
              </w:rPr>
              <w:t>Form T-1 - Statement of Eligibility of Trustee</w:t>
            </w:r>
          </w:p>
        </w:tc>
      </w:tr>
      <w:tr>
        <w:trPr>
          <w:trHeight w:val="361"/>
        </w:trPr>
        <w:tc>
          <w:tcPr>
            <w:tcW w:w="1120" w:type="dxa"/>
            <w:vAlign w:val="bottom"/>
          </w:tcPr>
          <w:p>
            <w:pPr>
              <w:spacing w:after="0"/>
              <w:rPr>
                <w:sz w:val="20"/>
                <w:szCs w:val="20"/>
                <w:color w:val="auto"/>
              </w:rPr>
            </w:pPr>
            <w:r>
              <w:rPr>
                <w:rFonts w:ascii="Courier New" w:cs="Courier New" w:eastAsia="Courier New" w:hAnsi="Courier New"/>
                <w:sz w:val="16"/>
                <w:szCs w:val="16"/>
                <w:color w:val="auto"/>
              </w:rPr>
              <w:t>99**</w:t>
            </w:r>
          </w:p>
        </w:tc>
        <w:tc>
          <w:tcPr>
            <w:tcW w:w="6200" w:type="dxa"/>
            <w:vAlign w:val="bottom"/>
          </w:tcPr>
          <w:p>
            <w:pPr>
              <w:ind w:left="380"/>
              <w:spacing w:after="0"/>
              <w:rPr>
                <w:sz w:val="20"/>
                <w:szCs w:val="20"/>
                <w:color w:val="auto"/>
              </w:rPr>
            </w:pPr>
            <w:r>
              <w:rPr>
                <w:rFonts w:ascii="Courier New" w:cs="Courier New" w:eastAsia="Courier New" w:hAnsi="Courier New"/>
                <w:sz w:val="16"/>
                <w:szCs w:val="16"/>
                <w:color w:val="auto"/>
              </w:rPr>
              <w:t>Letter of Transmittal</w:t>
            </w:r>
          </w:p>
        </w:tc>
      </w:tr>
      <w:tr>
        <w:trPr>
          <w:trHeight w:val="361"/>
        </w:trPr>
        <w:tc>
          <w:tcPr>
            <w:tcW w:w="11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200" w:type="dxa"/>
            <w:vAlign w:val="bottom"/>
          </w:tcPr>
          <w:p>
            <w:pPr>
              <w:spacing w:after="0"/>
              <w:rPr>
                <w:sz w:val="24"/>
                <w:szCs w:val="24"/>
                <w:color w:val="auto"/>
              </w:rPr>
            </w:pPr>
          </w:p>
        </w:tc>
      </w:tr>
    </w:tbl>
    <w:p>
      <w:pPr>
        <w:spacing w:after="0" w:line="185" w:lineRule="exact"/>
        <w:rPr>
          <w:sz w:val="20"/>
          <w:szCs w:val="20"/>
          <w:color w:val="auto"/>
        </w:rPr>
      </w:pPr>
    </w:p>
    <w:p>
      <w:pPr>
        <w:ind w:left="4" w:right="7499" w:hanging="4"/>
        <w:spacing w:after="0" w:line="254" w:lineRule="auto"/>
        <w:tabs>
          <w:tab w:leader="none" w:pos="379"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 ** Previously filed.</w:t>
      </w:r>
    </w:p>
    <w:p>
      <w:pPr>
        <w:ind w:left="3564"/>
        <w:spacing w:after="0" w:line="234" w:lineRule="auto"/>
        <w:rPr>
          <w:sz w:val="20"/>
          <w:szCs w:val="20"/>
          <w:color w:val="auto"/>
        </w:rPr>
      </w:pPr>
      <w:r>
        <w:rPr>
          <w:rFonts w:ascii="Courier New" w:cs="Courier New" w:eastAsia="Courier New" w:hAnsi="Courier New"/>
          <w:sz w:val="16"/>
          <w:szCs w:val="16"/>
          <w:color w:val="auto"/>
        </w:rPr>
        <w:t>II-8</w:t>
      </w:r>
    </w:p>
    <w:p>
      <w:pPr>
        <w:sectPr>
          <w:pgSz w:w="11900" w:h="16838" w:orient="portrait"/>
          <w:cols w:equalWidth="0" w:num="1">
            <w:col w:w="10223"/>
          </w:cols>
          <w:pgMar w:left="236" w:top="293" w:right="1440" w:bottom="1440" w:gutter="0" w:footer="0" w:header="0"/>
        </w:sectPr>
      </w:pPr>
    </w:p>
    <w:bookmarkStart w:id="78" w:name="page79"/>
    <w:bookmarkEnd w:id="78"/>
    <w:p>
      <w:pPr>
        <w:ind w:left="284"/>
        <w:spacing w:after="0"/>
        <w:rPr>
          <w:sz w:val="20"/>
          <w:szCs w:val="20"/>
          <w:color w:val="auto"/>
        </w:rPr>
      </w:pPr>
      <w:r>
        <w:rPr>
          <w:rFonts w:ascii="Courier New" w:cs="Courier New" w:eastAsia="Courier New" w:hAnsi="Courier New"/>
          <w:sz w:val="16"/>
          <w:szCs w:val="16"/>
          <w:color w:val="auto"/>
        </w:rPr>
        <w:t>1</w:t>
      </w:r>
    </w:p>
    <w:p>
      <w:pPr>
        <w:jc w:val="right"/>
        <w:ind w:right="2719"/>
        <w:spacing w:after="0"/>
        <w:rPr>
          <w:sz w:val="20"/>
          <w:szCs w:val="20"/>
          <w:color w:val="auto"/>
        </w:rPr>
      </w:pPr>
      <w:r>
        <w:rPr>
          <w:rFonts w:ascii="Courier New" w:cs="Courier New" w:eastAsia="Courier New" w:hAnsi="Courier New"/>
          <w:sz w:val="16"/>
          <w:szCs w:val="16"/>
          <w:color w:val="auto"/>
        </w:rPr>
        <w:t>EXHIBIT 5</w:t>
      </w:r>
    </w:p>
    <w:p>
      <w:pPr>
        <w:spacing w:after="0" w:line="200" w:lineRule="exact"/>
        <w:rPr>
          <w:sz w:val="20"/>
          <w:szCs w:val="20"/>
          <w:color w:val="auto"/>
        </w:rPr>
      </w:pPr>
    </w:p>
    <w:p>
      <w:pPr>
        <w:spacing w:after="0" w:line="339" w:lineRule="exact"/>
        <w:rPr>
          <w:sz w:val="20"/>
          <w:szCs w:val="20"/>
          <w:color w:val="auto"/>
        </w:rPr>
      </w:pPr>
    </w:p>
    <w:p>
      <w:pPr>
        <w:ind w:left="1504"/>
        <w:spacing w:after="0"/>
        <w:rPr>
          <w:sz w:val="20"/>
          <w:szCs w:val="20"/>
          <w:color w:val="auto"/>
        </w:rPr>
      </w:pPr>
      <w:r>
        <w:rPr>
          <w:rFonts w:ascii="Courier New" w:cs="Courier New" w:eastAsia="Courier New" w:hAnsi="Courier New"/>
          <w:sz w:val="16"/>
          <w:szCs w:val="16"/>
          <w:color w:val="auto"/>
        </w:rPr>
        <w:t>[VORYS, SATER, SEYMOUR AND PEASE LLP LETTERHEAD]</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June 16, 2000</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The Scotts Company</w:t>
      </w:r>
    </w:p>
    <w:p>
      <w:pPr>
        <w:ind w:left="4"/>
        <w:spacing w:after="0"/>
        <w:rPr>
          <w:sz w:val="20"/>
          <w:szCs w:val="20"/>
          <w:color w:val="auto"/>
        </w:rPr>
      </w:pPr>
      <w:r>
        <w:rPr>
          <w:rFonts w:ascii="Courier New" w:cs="Courier New" w:eastAsia="Courier New" w:hAnsi="Courier New"/>
          <w:sz w:val="16"/>
          <w:szCs w:val="16"/>
          <w:color w:val="auto"/>
        </w:rPr>
        <w:t>World Headquarters</w:t>
      </w:r>
    </w:p>
    <w:p>
      <w:pPr>
        <w:ind w:left="4"/>
        <w:spacing w:after="0" w:line="237" w:lineRule="auto"/>
        <w:rPr>
          <w:sz w:val="20"/>
          <w:szCs w:val="20"/>
          <w:color w:val="auto"/>
        </w:rPr>
      </w:pPr>
      <w:r>
        <w:rPr>
          <w:rFonts w:ascii="Courier New" w:cs="Courier New" w:eastAsia="Courier New" w:hAnsi="Courier New"/>
          <w:sz w:val="16"/>
          <w:szCs w:val="16"/>
          <w:color w:val="auto"/>
        </w:rPr>
        <w:t>41 S. High Street</w:t>
      </w:r>
    </w:p>
    <w:p>
      <w:pPr>
        <w:ind w:left="4"/>
        <w:spacing w:after="0"/>
        <w:rPr>
          <w:sz w:val="20"/>
          <w:szCs w:val="20"/>
          <w:color w:val="auto"/>
        </w:rPr>
      </w:pPr>
      <w:r>
        <w:rPr>
          <w:rFonts w:ascii="Courier New" w:cs="Courier New" w:eastAsia="Courier New" w:hAnsi="Courier New"/>
          <w:sz w:val="16"/>
          <w:szCs w:val="16"/>
          <w:color w:val="auto"/>
        </w:rPr>
        <w:t>Columbus, Ohio 43215</w:t>
      </w:r>
    </w:p>
    <w:p>
      <w:pPr>
        <w:spacing w:after="0" w:line="179" w:lineRule="exact"/>
        <w:rPr>
          <w:sz w:val="20"/>
          <w:szCs w:val="20"/>
          <w:color w:val="auto"/>
        </w:rPr>
      </w:pPr>
    </w:p>
    <w:p>
      <w:pPr>
        <w:ind w:left="1684"/>
        <w:spacing w:after="0"/>
        <w:tabs>
          <w:tab w:leader="none" w:pos="2223" w:val="left"/>
        </w:tabs>
        <w:rPr>
          <w:sz w:val="20"/>
          <w:szCs w:val="20"/>
          <w:color w:val="auto"/>
        </w:rPr>
      </w:pPr>
      <w:r>
        <w:rPr>
          <w:rFonts w:ascii="Courier New" w:cs="Courier New" w:eastAsia="Courier New" w:hAnsi="Courier New"/>
          <w:sz w:val="16"/>
          <w:szCs w:val="16"/>
          <w:color w:val="auto"/>
        </w:rPr>
        <w:t>Re:</w:t>
        <w:tab/>
        <w:t>Registration Statement on Form S-4 (No. 333- 76739)</w:t>
      </w:r>
    </w:p>
    <w:p>
      <w:pPr>
        <w:ind w:left="224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Ladies and Gentlemen:</w:t>
      </w:r>
    </w:p>
    <w:p>
      <w:pPr>
        <w:spacing w:after="0" w:line="365" w:lineRule="exact"/>
        <w:rPr>
          <w:sz w:val="20"/>
          <w:szCs w:val="20"/>
          <w:color w:val="auto"/>
        </w:rPr>
      </w:pPr>
    </w:p>
    <w:p>
      <w:pPr>
        <w:ind w:left="4" w:right="2819"/>
        <w:spacing w:after="0" w:line="255" w:lineRule="auto"/>
        <w:rPr>
          <w:sz w:val="20"/>
          <w:szCs w:val="20"/>
          <w:color w:val="auto"/>
        </w:rPr>
      </w:pPr>
      <w:r>
        <w:rPr>
          <w:rFonts w:ascii="Courier New" w:cs="Courier New" w:eastAsia="Courier New" w:hAnsi="Courier New"/>
          <w:sz w:val="15"/>
          <w:szCs w:val="15"/>
          <w:color w:val="auto"/>
        </w:rPr>
        <w:t>We have acted as counsel to The Scotts Company, an Ohio corporation (the "Company"), in connection with the proposed offer and exchange (the "Exchange Offer") by the Company of (i) $330,000,000 aggregate principal amount of the Company's 8.625% Senior Subordinated Notes due 2009 (the "New Notes"), which have been registered under the Securities Act of 1933, as amended (the "Securities Act"), for (ii) an equal principal amount at maturity of its outstanding 8.625% Senior Subordinated Notes due 2009 (the "Original Notes"). The New Notes will be issued pursuant to an indenture dated as of January 21, 1999 (the "Indenture") by and between the Company, the Guarantors signatories thereto (the "Guarantors") and State Street Bank and Trust Company, as Trustee.</w:t>
      </w:r>
    </w:p>
    <w:p>
      <w:pPr>
        <w:spacing w:after="0" w:line="179"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We are giving this opinion in connection with the Registration Statement on Form S-4 (No. 333-76739), as amended, relating to the Exchange Offer (the "Registration Statement"). This opinion is being furnished in accordance with the requirements of Item 601(b)(5) of Regulation S-K of the General Rules and Regulations promulgated under the Securities Act.</w:t>
      </w:r>
    </w:p>
    <w:p>
      <w:pPr>
        <w:spacing w:after="0" w:line="368" w:lineRule="exact"/>
        <w:rPr>
          <w:sz w:val="20"/>
          <w:szCs w:val="20"/>
          <w:color w:val="auto"/>
        </w:rPr>
      </w:pPr>
    </w:p>
    <w:p>
      <w:pPr>
        <w:ind w:left="4" w:right="3099"/>
        <w:spacing w:after="0" w:line="254" w:lineRule="auto"/>
        <w:rPr>
          <w:sz w:val="20"/>
          <w:szCs w:val="20"/>
          <w:color w:val="auto"/>
        </w:rPr>
      </w:pPr>
      <w:r>
        <w:rPr>
          <w:rFonts w:ascii="Courier New" w:cs="Courier New" w:eastAsia="Courier New" w:hAnsi="Courier New"/>
          <w:sz w:val="15"/>
          <w:szCs w:val="15"/>
          <w:color w:val="auto"/>
        </w:rPr>
        <w:t>In rendering this opinion, we have examined, among other things: (i) the Registration Statement; (ii) the Indenture; (iii) the form of the New Notes;</w:t>
      </w:r>
    </w:p>
    <w:p>
      <w:pPr>
        <w:spacing w:after="0" w:line="1" w:lineRule="exact"/>
        <w:rPr>
          <w:sz w:val="20"/>
          <w:szCs w:val="20"/>
          <w:color w:val="auto"/>
        </w:rPr>
      </w:pPr>
    </w:p>
    <w:p>
      <w:pPr>
        <w:ind w:left="4" w:right="2719" w:hanging="4"/>
        <w:spacing w:after="0" w:line="238" w:lineRule="auto"/>
        <w:tabs>
          <w:tab w:leader="none" w:pos="473"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Articles of Incorporation of the Company as currently in effect; (v) the Code of Regulations of the Company as currently in effect; and (vi) the resolutions adopted by the Board of Directors of the Company or the Executive Committee thereof relating to the Exchange Offer. We have also examined originals or copies, certified or otherwise identified to my satisfaction, of such records of the Company and such other documents, certificates and records as we have deemed necessary or appropriate as a basis for the opinions set forth herein.</w:t>
      </w:r>
    </w:p>
    <w:p>
      <w:pPr>
        <w:spacing w:after="0" w:line="200" w:lineRule="exact"/>
        <w:rPr>
          <w:sz w:val="20"/>
          <w:szCs w:val="20"/>
          <w:color w:val="auto"/>
        </w:rPr>
      </w:pPr>
    </w:p>
    <w:p>
      <w:pPr>
        <w:spacing w:after="0" w:line="346" w:lineRule="exact"/>
        <w:rPr>
          <w:sz w:val="20"/>
          <w:szCs w:val="20"/>
          <w:color w:val="auto"/>
        </w:rPr>
      </w:pPr>
    </w:p>
    <w:p>
      <w:pPr>
        <w:ind w:left="4" w:right="2819"/>
        <w:spacing w:after="0" w:line="238" w:lineRule="auto"/>
        <w:rPr>
          <w:sz w:val="20"/>
          <w:szCs w:val="20"/>
          <w:color w:val="auto"/>
        </w:rPr>
      </w:pPr>
      <w:r>
        <w:rPr>
          <w:rFonts w:ascii="Courier New" w:cs="Courier New" w:eastAsia="Courier New" w:hAnsi="Courier New"/>
          <w:sz w:val="16"/>
          <w:szCs w:val="16"/>
          <w:color w:val="auto"/>
        </w:rPr>
        <w:t>In our examination, we have assumed the legal capacity of all natural persons, the genuineness of all signatures, the authenticity of all documents submitted to us as originals, the conformity to original documents of all documents submitted to us as certified or photostatic copies and the authenticity of the originals of such latter documents. In making our examination of documents executed by the parties other than the Company and the Guarantors, we have assumed that such parties had the power, corporate or other, to enter into and perform all obligations thereunder and have also assumed the due authorization by all requisite action, corporation and other, and execution and delivery by such parties of such documents and the validity and binding effect thereof. As to any facts material to the opinions expressed herein which were not independently established or verified, we have relied upon oral or written statements and representations of officers and other representatives of the Company and others. In addition, we have assumed that the terms of the Original Notes and the New Notes have been established in accordance with the terms of the Indenture.</w:t>
      </w:r>
    </w:p>
    <w:p>
      <w:pPr>
        <w:spacing w:after="0" w:line="200" w:lineRule="exact"/>
        <w:rPr>
          <w:sz w:val="20"/>
          <w:szCs w:val="20"/>
          <w:color w:val="auto"/>
        </w:rPr>
      </w:pPr>
    </w:p>
    <w:p>
      <w:pPr>
        <w:spacing w:after="0" w:line="351" w:lineRule="exact"/>
        <w:rPr>
          <w:sz w:val="20"/>
          <w:szCs w:val="20"/>
          <w:color w:val="auto"/>
        </w:rPr>
      </w:pPr>
    </w:p>
    <w:p>
      <w:pPr>
        <w:ind w:left="4" w:right="2819"/>
        <w:spacing w:after="0" w:line="256" w:lineRule="auto"/>
        <w:rPr>
          <w:sz w:val="20"/>
          <w:szCs w:val="20"/>
          <w:color w:val="auto"/>
        </w:rPr>
      </w:pPr>
      <w:r>
        <w:rPr>
          <w:rFonts w:ascii="Courier New" w:cs="Courier New" w:eastAsia="Courier New" w:hAnsi="Courier New"/>
          <w:sz w:val="15"/>
          <w:szCs w:val="15"/>
          <w:color w:val="auto"/>
        </w:rPr>
        <w:t>Our opinion is subject to: (a) the effect of applicable bankruptcy, insolvency, reorganization, moratorium, fraudulent conveyance or other similar laws now or hereafter in effect relating to creditors' rights generally and (b) the limitations imposed by general principles of equity (regardless of whether enforceability is considered in a proceeding at law or in equity).</w:t>
      </w:r>
    </w:p>
    <w:p>
      <w:pPr>
        <w:sectPr>
          <w:pgSz w:w="11900" w:h="16838" w:orient="portrait"/>
          <w:cols w:equalWidth="0" w:num="1">
            <w:col w:w="10223"/>
          </w:cols>
          <w:pgMar w:left="236" w:top="137" w:right="1440" w:bottom="1440" w:gutter="0" w:footer="0" w:header="0"/>
        </w:sectPr>
      </w:pPr>
    </w:p>
    <w:bookmarkStart w:id="79" w:name="page80"/>
    <w:bookmarkEnd w:id="79"/>
    <w:p>
      <w:pPr>
        <w:ind w:left="280"/>
        <w:spacing w:after="0"/>
        <w:rPr>
          <w:sz w:val="20"/>
          <w:szCs w:val="20"/>
          <w:color w:val="auto"/>
        </w:rPr>
      </w:pPr>
      <w:r>
        <w:rPr>
          <w:rFonts w:ascii="Courier New" w:cs="Courier New" w:eastAsia="Courier New" w:hAnsi="Courier New"/>
          <w:sz w:val="16"/>
          <w:szCs w:val="16"/>
          <w:color w:val="auto"/>
        </w:rPr>
        <w:t>2</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w:t>
      </w:r>
    </w:p>
    <w:p>
      <w:pPr>
        <w:spacing w:after="0"/>
        <w:rPr>
          <w:sz w:val="20"/>
          <w:szCs w:val="20"/>
          <w:color w:val="auto"/>
        </w:rPr>
      </w:pPr>
      <w:r>
        <w:rPr>
          <w:rFonts w:ascii="Courier New" w:cs="Courier New" w:eastAsia="Courier New" w:hAnsi="Courier New"/>
          <w:sz w:val="16"/>
          <w:szCs w:val="16"/>
          <w:color w:val="auto"/>
        </w:rPr>
        <w:t>April 18, 2000</w:t>
      </w:r>
    </w:p>
    <w:p>
      <w:pPr>
        <w:spacing w:after="0" w:line="237" w:lineRule="auto"/>
        <w:rPr>
          <w:sz w:val="20"/>
          <w:szCs w:val="20"/>
          <w:color w:val="auto"/>
        </w:rPr>
      </w:pPr>
      <w:r>
        <w:rPr>
          <w:rFonts w:ascii="Courier New" w:cs="Courier New" w:eastAsia="Courier New" w:hAnsi="Courier New"/>
          <w:sz w:val="16"/>
          <w:szCs w:val="16"/>
          <w:color w:val="auto"/>
        </w:rPr>
        <w:t>Page 2</w:t>
      </w:r>
    </w:p>
    <w:p>
      <w:pPr>
        <w:spacing w:after="0" w:line="200" w:lineRule="exact"/>
        <w:rPr>
          <w:sz w:val="20"/>
          <w:szCs w:val="20"/>
          <w:color w:val="auto"/>
        </w:rPr>
      </w:pPr>
    </w:p>
    <w:p>
      <w:pPr>
        <w:spacing w:after="0" w:line="346"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The opinions expressed herein are based upon the law and circumstances as they are in effect on the date hereof, and we assume no obligation to revise or supplement this letter in the event of future changes in the law or interpretation thereof with respect to circumstances or events that may occur subsequent to the date hereof.</w:t>
      </w:r>
    </w:p>
    <w:p>
      <w:pPr>
        <w:spacing w:after="0" w:line="368"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Based upon and subject to the foregoing, we are of the opinion that (i) the New Notes, when issued in accordance with the terms of the Indenture, duly executed by the Company, duly authenticated by the Trustee and issued and delivered against exchange of the Original Notes in accordance with the terms set forth in the Prospectus that forms a part of the Registration Statement, will constitute the legal and binding obligations of the Company and (ii) the guaranties of the New Notes by the Guarantors constitute the legal and binding obligations of each of the Guarantors, in each case, under the laws of the State of New York (which is the governing law with respect thereto).</w:t>
      </w:r>
    </w:p>
    <w:p>
      <w:pPr>
        <w:spacing w:after="0" w:line="186"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We hereby consent to the use of our name in the Registration Statement under the caption "Legal Matters" (or, if amended, a corresponding heading) and to the filing of this opinion as Exhibit 5 to the Registration Statement. In giving this consent, we do not thereby admit that we come within the category of persons whose consent is required to be filed with the Registration Statement under the provisions of the Securities Act or the rules and regulations promulgated thereunder. This opinion may not be relied upon or reproduced or delivered in any other context or by any other person without our prior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Very truly yours,</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VORYS, SATER, SEYMOUR AND PEASE LLP</w:t>
      </w:r>
    </w:p>
    <w:p>
      <w:pPr>
        <w:sectPr>
          <w:pgSz w:w="11900" w:h="16838" w:orient="portrait"/>
          <w:cols w:equalWidth="0" w:num="1">
            <w:col w:w="10219"/>
          </w:cols>
          <w:pgMar w:left="240" w:top="293" w:right="1440" w:bottom="1440" w:gutter="0" w:footer="0" w:header="0"/>
        </w:sectPr>
      </w:pPr>
    </w:p>
    <w:bookmarkStart w:id="80" w:name="page81"/>
    <w:bookmarkEnd w:id="80"/>
    <w:p>
      <w:pPr>
        <w:ind w:left="280"/>
        <w:spacing w:after="0"/>
        <w:rPr>
          <w:sz w:val="20"/>
          <w:szCs w:val="20"/>
          <w:color w:val="auto"/>
        </w:rPr>
      </w:pPr>
      <w:r>
        <w:rPr>
          <w:rFonts w:ascii="Courier New" w:cs="Courier New" w:eastAsia="Courier New" w:hAnsi="Courier New"/>
          <w:sz w:val="16"/>
          <w:szCs w:val="16"/>
          <w:color w:val="auto"/>
        </w:rPr>
        <w:t>1</w:t>
      </w:r>
    </w:p>
    <w:tbl>
      <w:tblPr>
        <w:tblLayout w:type="fixed"/>
        <w:tblInd w:w="0" w:type="dxa"/>
        <w:tblCellMar>
          <w:top w:w="0" w:type="dxa"/>
          <w:left w:w="0" w:type="dxa"/>
          <w:bottom w:w="0" w:type="dxa"/>
          <w:right w:w="0" w:type="dxa"/>
        </w:tblCellMar>
      </w:tblPr>
      <w:tr>
        <w:trPr>
          <w:trHeight w:val="180"/>
        </w:trPr>
        <w:tc>
          <w:tcPr>
            <w:tcW w:w="37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EXHIBIT 12</w:t>
            </w: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61"/>
        </w:trPr>
        <w:tc>
          <w:tcPr>
            <w:tcW w:w="502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THE SCOTTS COMPANY</w:t>
            </w: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0"/>
        </w:trPr>
        <w:tc>
          <w:tcPr>
            <w:tcW w:w="5900" w:type="dxa"/>
            <w:vAlign w:val="bottom"/>
            <w:gridSpan w:val="3"/>
          </w:tcPr>
          <w:p>
            <w:pPr>
              <w:jc w:val="right"/>
              <w:ind w:right="382"/>
              <w:spacing w:after="0"/>
              <w:rPr>
                <w:sz w:val="20"/>
                <w:szCs w:val="20"/>
                <w:color w:val="auto"/>
              </w:rPr>
            </w:pPr>
            <w:r>
              <w:rPr>
                <w:rFonts w:ascii="Courier New" w:cs="Courier New" w:eastAsia="Courier New" w:hAnsi="Courier New"/>
                <w:sz w:val="16"/>
                <w:szCs w:val="16"/>
                <w:color w:val="auto"/>
              </w:rPr>
              <w:t>STATEMENT OF COMPUTATION OF RATIO OF</w:t>
            </w: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5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EARNINGS TO FIXED CHARGES</w:t>
            </w: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5020" w:type="dxa"/>
            <w:vAlign w:val="bottom"/>
            <w:gridSpan w:val="2"/>
          </w:tcPr>
          <w:p>
            <w:pPr>
              <w:jc w:val="right"/>
              <w:ind w:right="542"/>
              <w:spacing w:after="0"/>
              <w:rPr>
                <w:sz w:val="20"/>
                <w:szCs w:val="20"/>
                <w:color w:val="auto"/>
              </w:rPr>
            </w:pPr>
            <w:r>
              <w:rPr>
                <w:rFonts w:ascii="Courier New" w:cs="Courier New" w:eastAsia="Courier New" w:hAnsi="Courier New"/>
                <w:sz w:val="16"/>
                <w:szCs w:val="16"/>
                <w:color w:val="auto"/>
              </w:rPr>
              <w:t>($ IN MILLIONS)</w:t>
            </w: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902"/>
        </w:trPr>
        <w:tc>
          <w:tcPr>
            <w:tcW w:w="3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Courier New" w:cs="Courier New" w:eastAsia="Courier New" w:hAnsi="Courier New"/>
                <w:sz w:val="16"/>
                <w:szCs w:val="16"/>
                <w:color w:val="auto"/>
                <w:w w:val="97"/>
              </w:rPr>
              <w:t>Six Months</w:t>
            </w:r>
          </w:p>
        </w:tc>
      </w:tr>
      <w:tr>
        <w:trPr>
          <w:trHeight w:val="180"/>
        </w:trPr>
        <w:tc>
          <w:tcPr>
            <w:tcW w:w="37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760" w:type="dxa"/>
            <w:vAlign w:val="bottom"/>
            <w:gridSpan w:val="3"/>
          </w:tcPr>
          <w:p>
            <w:pPr>
              <w:jc w:val="right"/>
              <w:ind w:right="302"/>
              <w:spacing w:after="0"/>
              <w:rPr>
                <w:sz w:val="20"/>
                <w:szCs w:val="20"/>
                <w:color w:val="auto"/>
              </w:rPr>
            </w:pPr>
            <w:r>
              <w:rPr>
                <w:rFonts w:ascii="Courier New" w:cs="Courier New" w:eastAsia="Courier New" w:hAnsi="Courier New"/>
                <w:sz w:val="16"/>
                <w:szCs w:val="16"/>
                <w:color w:val="auto"/>
              </w:rPr>
              <w:t>Year ended September 30,</w:t>
            </w:r>
          </w:p>
        </w:tc>
        <w:tc>
          <w:tcPr>
            <w:tcW w:w="900" w:type="dxa"/>
            <w:vAlign w:val="bottom"/>
          </w:tcPr>
          <w:p>
            <w:pPr>
              <w:spacing w:after="0"/>
              <w:rPr>
                <w:sz w:val="15"/>
                <w:szCs w:val="15"/>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ended</w:t>
            </w:r>
          </w:p>
        </w:tc>
      </w:tr>
      <w:tr>
        <w:trPr>
          <w:trHeight w:val="180"/>
        </w:trPr>
        <w:tc>
          <w:tcPr>
            <w:tcW w:w="3700" w:type="dxa"/>
            <w:vAlign w:val="bottom"/>
          </w:tcPr>
          <w:p>
            <w:pPr>
              <w:spacing w:after="0"/>
              <w:rPr>
                <w:sz w:val="15"/>
                <w:szCs w:val="15"/>
                <w:color w:val="auto"/>
              </w:rPr>
            </w:pPr>
          </w:p>
        </w:tc>
        <w:tc>
          <w:tcPr>
            <w:tcW w:w="4980" w:type="dxa"/>
            <w:vAlign w:val="bottom"/>
            <w:gridSpan w:val="5"/>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center"/>
              <w:spacing w:after="0"/>
              <w:rPr>
                <w:sz w:val="20"/>
                <w:szCs w:val="20"/>
                <w:color w:val="auto"/>
              </w:rPr>
            </w:pPr>
            <w:r>
              <w:rPr>
                <w:rFonts w:ascii="Courier New" w:cs="Courier New" w:eastAsia="Courier New" w:hAnsi="Courier New"/>
                <w:sz w:val="16"/>
                <w:szCs w:val="16"/>
                <w:color w:val="auto"/>
                <w:w w:val="96"/>
              </w:rPr>
              <w:t>April 1,</w:t>
            </w:r>
          </w:p>
        </w:tc>
      </w:tr>
      <w:tr>
        <w:trPr>
          <w:trHeight w:val="180"/>
        </w:trPr>
        <w:tc>
          <w:tcPr>
            <w:tcW w:w="3700" w:type="dxa"/>
            <w:vAlign w:val="bottom"/>
          </w:tcPr>
          <w:p>
            <w:pPr>
              <w:spacing w:after="0"/>
              <w:rPr>
                <w:sz w:val="15"/>
                <w:szCs w:val="15"/>
                <w:color w:val="auto"/>
              </w:rPr>
            </w:pPr>
          </w:p>
        </w:tc>
        <w:tc>
          <w:tcPr>
            <w:tcW w:w="13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1995</w:t>
            </w:r>
          </w:p>
        </w:tc>
        <w:tc>
          <w:tcPr>
            <w:tcW w:w="8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1996</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1997</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1998</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1999</w:t>
            </w: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2000</w:t>
            </w:r>
          </w:p>
        </w:tc>
      </w:tr>
      <w:tr>
        <w:trPr>
          <w:trHeight w:val="180"/>
        </w:trPr>
        <w:tc>
          <w:tcPr>
            <w:tcW w:w="3700" w:type="dxa"/>
            <w:vAlign w:val="bottom"/>
          </w:tcPr>
          <w:p>
            <w:pPr>
              <w:spacing w:after="0"/>
              <w:rPr>
                <w:sz w:val="15"/>
                <w:szCs w:val="15"/>
                <w:color w:val="auto"/>
              </w:rPr>
            </w:pPr>
          </w:p>
        </w:tc>
        <w:tc>
          <w:tcPr>
            <w:tcW w:w="13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center"/>
              <w:spacing w:after="0"/>
              <w:rPr>
                <w:sz w:val="20"/>
                <w:szCs w:val="20"/>
                <w:color w:val="auto"/>
              </w:rPr>
            </w:pPr>
            <w:r>
              <w:rPr>
                <w:rFonts w:ascii="Courier New" w:cs="Courier New" w:eastAsia="Courier New" w:hAnsi="Courier New"/>
                <w:sz w:val="16"/>
                <w:szCs w:val="16"/>
                <w:color w:val="auto"/>
                <w:w w:val="97"/>
              </w:rPr>
              <w:t>----------</w:t>
            </w:r>
          </w:p>
        </w:tc>
      </w:tr>
      <w:tr>
        <w:trPr>
          <w:trHeight w:val="361"/>
        </w:trPr>
        <w:tc>
          <w:tcPr>
            <w:tcW w:w="3700" w:type="dxa"/>
            <w:vAlign w:val="bottom"/>
          </w:tcPr>
          <w:p>
            <w:pPr>
              <w:spacing w:after="0"/>
              <w:rPr>
                <w:sz w:val="20"/>
                <w:szCs w:val="20"/>
                <w:color w:val="auto"/>
              </w:rPr>
            </w:pPr>
            <w:r>
              <w:rPr>
                <w:rFonts w:ascii="Courier New" w:cs="Courier New" w:eastAsia="Courier New" w:hAnsi="Courier New"/>
                <w:sz w:val="16"/>
                <w:szCs w:val="16"/>
                <w:color w:val="auto"/>
              </w:rPr>
              <w:t>Earnings:</w:t>
            </w:r>
          </w:p>
        </w:tc>
        <w:tc>
          <w:tcPr>
            <w:tcW w:w="1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0"/>
        </w:trPr>
        <w:tc>
          <w:tcPr>
            <w:tcW w:w="3700" w:type="dxa"/>
            <w:vAlign w:val="bottom"/>
          </w:tcPr>
          <w:p>
            <w:pPr>
              <w:ind w:left="460"/>
              <w:spacing w:after="0"/>
              <w:rPr>
                <w:sz w:val="20"/>
                <w:szCs w:val="20"/>
                <w:color w:val="auto"/>
              </w:rPr>
            </w:pPr>
            <w:r>
              <w:rPr>
                <w:rFonts w:ascii="Courier New" w:cs="Courier New" w:eastAsia="Courier New" w:hAnsi="Courier New"/>
                <w:sz w:val="16"/>
                <w:szCs w:val="16"/>
                <w:color w:val="auto"/>
              </w:rPr>
              <w:t>Pretax income from continuing</w:t>
            </w: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3700" w:type="dxa"/>
            <w:vAlign w:val="bottom"/>
          </w:tcPr>
          <w:p>
            <w:pPr>
              <w:ind w:left="560"/>
              <w:spacing w:after="0"/>
              <w:rPr>
                <w:sz w:val="20"/>
                <w:szCs w:val="20"/>
                <w:color w:val="auto"/>
              </w:rPr>
            </w:pPr>
            <w:r>
              <w:rPr>
                <w:rFonts w:ascii="Courier New" w:cs="Courier New" w:eastAsia="Courier New" w:hAnsi="Courier New"/>
                <w:sz w:val="16"/>
                <w:szCs w:val="16"/>
                <w:color w:val="auto"/>
              </w:rPr>
              <w:t>operations</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$36.3</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$ 1.3</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$69.6</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$61.9</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$117.0</w:t>
            </w: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$ 57.2</w:t>
            </w:r>
          </w:p>
        </w:tc>
      </w:tr>
      <w:tr>
        <w:trPr>
          <w:trHeight w:val="180"/>
        </w:trPr>
        <w:tc>
          <w:tcPr>
            <w:tcW w:w="3700" w:type="dxa"/>
            <w:vAlign w:val="bottom"/>
          </w:tcPr>
          <w:p>
            <w:pPr>
              <w:ind w:left="460"/>
              <w:spacing w:after="0"/>
              <w:rPr>
                <w:sz w:val="20"/>
                <w:szCs w:val="20"/>
                <w:color w:val="auto"/>
              </w:rPr>
            </w:pPr>
            <w:r>
              <w:rPr>
                <w:rFonts w:ascii="Courier New" w:cs="Courier New" w:eastAsia="Courier New" w:hAnsi="Courier New"/>
                <w:sz w:val="16"/>
                <w:szCs w:val="16"/>
                <w:color w:val="auto"/>
              </w:rPr>
              <w:t>Interest expense</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24.6</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25.0</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25.2</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32.2</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79.1</w:t>
            </w: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49.6</w:t>
            </w:r>
          </w:p>
        </w:tc>
      </w:tr>
      <w:tr>
        <w:trPr>
          <w:trHeight w:val="180"/>
        </w:trPr>
        <w:tc>
          <w:tcPr>
            <w:tcW w:w="3700" w:type="dxa"/>
            <w:vAlign w:val="bottom"/>
          </w:tcPr>
          <w:p>
            <w:pPr>
              <w:ind w:left="460"/>
              <w:spacing w:after="0"/>
              <w:rPr>
                <w:sz w:val="20"/>
                <w:szCs w:val="20"/>
                <w:color w:val="auto"/>
              </w:rPr>
            </w:pPr>
            <w:r>
              <w:rPr>
                <w:rFonts w:ascii="Courier New" w:cs="Courier New" w:eastAsia="Courier New" w:hAnsi="Courier New"/>
                <w:sz w:val="16"/>
                <w:szCs w:val="16"/>
                <w:color w:val="auto"/>
              </w:rPr>
              <w:t>Interest factor on rents</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4.9</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4.6</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4.1</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4.5</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6.1</w:t>
            </w: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3.2</w:t>
            </w:r>
          </w:p>
        </w:tc>
      </w:tr>
      <w:tr>
        <w:trPr>
          <w:trHeight w:val="180"/>
        </w:trPr>
        <w:tc>
          <w:tcPr>
            <w:tcW w:w="3700" w:type="dxa"/>
            <w:vAlign w:val="bottom"/>
          </w:tcPr>
          <w:p>
            <w:pPr>
              <w:ind w:left="460"/>
              <w:spacing w:after="0"/>
              <w:rPr>
                <w:sz w:val="20"/>
                <w:szCs w:val="20"/>
                <w:color w:val="auto"/>
              </w:rPr>
            </w:pPr>
            <w:r>
              <w:rPr>
                <w:rFonts w:ascii="Courier New" w:cs="Courier New" w:eastAsia="Courier New" w:hAnsi="Courier New"/>
                <w:sz w:val="16"/>
                <w:szCs w:val="16"/>
                <w:color w:val="auto"/>
              </w:rPr>
              <w:t>Losses incurred by majority-</w:t>
            </w: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3700" w:type="dxa"/>
            <w:vAlign w:val="bottom"/>
          </w:tcPr>
          <w:p>
            <w:pPr>
              <w:ind w:left="560"/>
              <w:spacing w:after="0"/>
              <w:rPr>
                <w:sz w:val="20"/>
                <w:szCs w:val="20"/>
                <w:color w:val="auto"/>
              </w:rPr>
            </w:pPr>
            <w:r>
              <w:rPr>
                <w:rFonts w:ascii="Courier New" w:cs="Courier New" w:eastAsia="Courier New" w:hAnsi="Courier New"/>
                <w:sz w:val="16"/>
                <w:szCs w:val="16"/>
                <w:color w:val="auto"/>
              </w:rPr>
              <w:t>owned subsidiaries not</w:t>
            </w: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3700" w:type="dxa"/>
            <w:vAlign w:val="bottom"/>
          </w:tcPr>
          <w:p>
            <w:pPr>
              <w:ind w:left="560"/>
              <w:spacing w:after="0"/>
              <w:rPr>
                <w:sz w:val="20"/>
                <w:szCs w:val="20"/>
                <w:color w:val="auto"/>
              </w:rPr>
            </w:pPr>
            <w:r>
              <w:rPr>
                <w:rFonts w:ascii="Courier New" w:cs="Courier New" w:eastAsia="Courier New" w:hAnsi="Courier New"/>
                <w:sz w:val="16"/>
                <w:szCs w:val="16"/>
                <w:color w:val="auto"/>
              </w:rPr>
              <w:t>recorded</w:t>
            </w:r>
          </w:p>
        </w:tc>
        <w:tc>
          <w:tcPr>
            <w:tcW w:w="13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(0.5)</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370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370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$65.8</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$30.9</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$98.9</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$98.1</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$202.0</w:t>
            </w: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$110.0</w:t>
            </w:r>
          </w:p>
        </w:tc>
      </w:tr>
      <w:tr>
        <w:trPr>
          <w:trHeight w:val="180"/>
        </w:trPr>
        <w:tc>
          <w:tcPr>
            <w:tcW w:w="370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361"/>
        </w:trPr>
        <w:tc>
          <w:tcPr>
            <w:tcW w:w="3700" w:type="dxa"/>
            <w:vAlign w:val="bottom"/>
          </w:tcPr>
          <w:p>
            <w:pPr>
              <w:spacing w:after="0"/>
              <w:rPr>
                <w:sz w:val="20"/>
                <w:szCs w:val="20"/>
                <w:color w:val="auto"/>
              </w:rPr>
            </w:pPr>
            <w:r>
              <w:rPr>
                <w:rFonts w:ascii="Courier New" w:cs="Courier New" w:eastAsia="Courier New" w:hAnsi="Courier New"/>
                <w:sz w:val="16"/>
                <w:szCs w:val="16"/>
                <w:color w:val="auto"/>
              </w:rPr>
              <w:t>Fixed charges:</w:t>
            </w:r>
          </w:p>
        </w:tc>
        <w:tc>
          <w:tcPr>
            <w:tcW w:w="1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0"/>
        </w:trPr>
        <w:tc>
          <w:tcPr>
            <w:tcW w:w="3700" w:type="dxa"/>
            <w:vAlign w:val="bottom"/>
          </w:tcPr>
          <w:p>
            <w:pPr>
              <w:ind w:left="460"/>
              <w:spacing w:after="0"/>
              <w:rPr>
                <w:sz w:val="20"/>
                <w:szCs w:val="20"/>
                <w:color w:val="auto"/>
              </w:rPr>
            </w:pPr>
            <w:r>
              <w:rPr>
                <w:rFonts w:ascii="Courier New" w:cs="Courier New" w:eastAsia="Courier New" w:hAnsi="Courier New"/>
                <w:sz w:val="16"/>
                <w:szCs w:val="16"/>
                <w:color w:val="auto"/>
              </w:rPr>
              <w:t>Interest expense</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$24.6</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$25.0</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$25.2</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$32.2</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$ 79.1</w:t>
            </w: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$ 49.6</w:t>
            </w:r>
          </w:p>
        </w:tc>
      </w:tr>
      <w:tr>
        <w:trPr>
          <w:trHeight w:val="180"/>
        </w:trPr>
        <w:tc>
          <w:tcPr>
            <w:tcW w:w="3700" w:type="dxa"/>
            <w:vAlign w:val="bottom"/>
          </w:tcPr>
          <w:p>
            <w:pPr>
              <w:ind w:left="460"/>
              <w:spacing w:after="0"/>
              <w:rPr>
                <w:sz w:val="20"/>
                <w:szCs w:val="20"/>
                <w:color w:val="auto"/>
              </w:rPr>
            </w:pPr>
            <w:r>
              <w:rPr>
                <w:rFonts w:ascii="Courier New" w:cs="Courier New" w:eastAsia="Courier New" w:hAnsi="Courier New"/>
                <w:sz w:val="16"/>
                <w:szCs w:val="16"/>
                <w:color w:val="auto"/>
              </w:rPr>
              <w:t>Interest capitalized</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0.2</w:t>
            </w:r>
          </w:p>
        </w:tc>
        <w:tc>
          <w:tcPr>
            <w:tcW w:w="8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0.4</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0.8</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w:t>
            </w: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0.7</w:t>
            </w:r>
          </w:p>
        </w:tc>
      </w:tr>
      <w:tr>
        <w:trPr>
          <w:trHeight w:val="180"/>
        </w:trPr>
        <w:tc>
          <w:tcPr>
            <w:tcW w:w="370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3700" w:type="dxa"/>
            <w:vAlign w:val="bottom"/>
          </w:tcPr>
          <w:p>
            <w:pPr>
              <w:ind w:left="940"/>
              <w:spacing w:after="0"/>
              <w:rPr>
                <w:sz w:val="20"/>
                <w:szCs w:val="20"/>
                <w:color w:val="auto"/>
              </w:rPr>
            </w:pPr>
            <w:r>
              <w:rPr>
                <w:rFonts w:ascii="Courier New" w:cs="Courier New" w:eastAsia="Courier New" w:hAnsi="Courier New"/>
                <w:sz w:val="16"/>
                <w:szCs w:val="16"/>
                <w:color w:val="auto"/>
              </w:rPr>
              <w:t>Interest incurred</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24.8</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25.0</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25.6</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33.0</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80.1</w:t>
            </w: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50.3</w:t>
            </w:r>
          </w:p>
        </w:tc>
      </w:tr>
      <w:tr>
        <w:trPr>
          <w:trHeight w:val="180"/>
        </w:trPr>
        <w:tc>
          <w:tcPr>
            <w:tcW w:w="370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3700" w:type="dxa"/>
            <w:vAlign w:val="bottom"/>
          </w:tcPr>
          <w:p>
            <w:pPr>
              <w:ind w:left="460"/>
              <w:spacing w:after="0"/>
              <w:rPr>
                <w:sz w:val="20"/>
                <w:szCs w:val="20"/>
                <w:color w:val="auto"/>
              </w:rPr>
            </w:pPr>
            <w:r>
              <w:rPr>
                <w:rFonts w:ascii="Courier New" w:cs="Courier New" w:eastAsia="Courier New" w:hAnsi="Courier New"/>
                <w:sz w:val="16"/>
                <w:szCs w:val="16"/>
                <w:color w:val="auto"/>
              </w:rPr>
              <w:t>Rent expense</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14.7</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14.0</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12.3</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13.5</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18.5</w:t>
            </w: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9.6</w:t>
            </w:r>
          </w:p>
        </w:tc>
      </w:tr>
      <w:tr>
        <w:trPr>
          <w:trHeight w:val="180"/>
        </w:trPr>
        <w:tc>
          <w:tcPr>
            <w:tcW w:w="3700" w:type="dxa"/>
            <w:vAlign w:val="bottom"/>
          </w:tcPr>
          <w:p>
            <w:pPr>
              <w:ind w:left="460"/>
              <w:spacing w:after="0"/>
              <w:rPr>
                <w:sz w:val="20"/>
                <w:szCs w:val="20"/>
                <w:color w:val="auto"/>
              </w:rPr>
            </w:pPr>
            <w:r>
              <w:rPr>
                <w:rFonts w:ascii="Courier New" w:cs="Courier New" w:eastAsia="Courier New" w:hAnsi="Courier New"/>
                <w:sz w:val="16"/>
                <w:szCs w:val="16"/>
                <w:color w:val="auto"/>
              </w:rPr>
              <w:t>Estimated interest factor</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33%</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33%</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33%</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33%</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33%</w:t>
            </w:r>
          </w:p>
        </w:tc>
      </w:tr>
      <w:tr>
        <w:trPr>
          <w:trHeight w:val="180"/>
        </w:trPr>
        <w:tc>
          <w:tcPr>
            <w:tcW w:w="370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3700" w:type="dxa"/>
            <w:vAlign w:val="bottom"/>
          </w:tcPr>
          <w:p>
            <w:pPr>
              <w:ind w:left="940"/>
              <w:spacing w:after="0"/>
              <w:rPr>
                <w:sz w:val="20"/>
                <w:szCs w:val="20"/>
                <w:color w:val="auto"/>
              </w:rPr>
            </w:pPr>
            <w:r>
              <w:rPr>
                <w:rFonts w:ascii="Courier New" w:cs="Courier New" w:eastAsia="Courier New" w:hAnsi="Courier New"/>
                <w:sz w:val="16"/>
                <w:szCs w:val="16"/>
                <w:color w:val="auto"/>
              </w:rPr>
              <w:t>Interest factor on rents</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4.9</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4.6</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4.1</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4.5</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6.1</w:t>
            </w: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3.2</w:t>
            </w:r>
          </w:p>
        </w:tc>
      </w:tr>
      <w:tr>
        <w:trPr>
          <w:trHeight w:val="180"/>
        </w:trPr>
        <w:tc>
          <w:tcPr>
            <w:tcW w:w="370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3700" w:type="dxa"/>
            <w:vAlign w:val="bottom"/>
          </w:tcPr>
          <w:p>
            <w:pPr>
              <w:ind w:left="1400"/>
              <w:spacing w:after="0"/>
              <w:rPr>
                <w:sz w:val="20"/>
                <w:szCs w:val="20"/>
                <w:color w:val="auto"/>
              </w:rPr>
            </w:pPr>
            <w:r>
              <w:rPr>
                <w:rFonts w:ascii="Courier New" w:cs="Courier New" w:eastAsia="Courier New" w:hAnsi="Courier New"/>
                <w:sz w:val="16"/>
                <w:szCs w:val="16"/>
                <w:color w:val="auto"/>
              </w:rPr>
              <w:t>Total fixed charges</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$29.7</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$29.6</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$29.7</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$37.5</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$ 86.2</w:t>
            </w: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$ 53.5</w:t>
            </w:r>
          </w:p>
        </w:tc>
      </w:tr>
      <w:tr>
        <w:trPr>
          <w:trHeight w:val="180"/>
        </w:trPr>
        <w:tc>
          <w:tcPr>
            <w:tcW w:w="370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3700" w:type="dxa"/>
            <w:vAlign w:val="bottom"/>
          </w:tcPr>
          <w:p>
            <w:pPr>
              <w:spacing w:after="0"/>
              <w:rPr>
                <w:sz w:val="20"/>
                <w:szCs w:val="20"/>
                <w:color w:val="auto"/>
              </w:rPr>
            </w:pPr>
            <w:r>
              <w:rPr>
                <w:rFonts w:ascii="Courier New" w:cs="Courier New" w:eastAsia="Courier New" w:hAnsi="Courier New"/>
                <w:sz w:val="16"/>
                <w:szCs w:val="16"/>
                <w:color w:val="auto"/>
              </w:rPr>
              <w:t>Ratio of earnings to fixed charges</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2.2</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3.3</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2.6</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2.3</w:t>
            </w: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2.1</w:t>
            </w:r>
          </w:p>
        </w:tc>
      </w:tr>
      <w:tr>
        <w:trPr>
          <w:trHeight w:val="180"/>
        </w:trPr>
        <w:tc>
          <w:tcPr>
            <w:tcW w:w="370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137" w:right="1440" w:bottom="1440" w:gutter="0" w:footer="0" w:header="0"/>
        </w:sectPr>
      </w:pPr>
    </w:p>
    <w:bookmarkStart w:id="81" w:name="page82"/>
    <w:bookmarkEnd w:id="81"/>
    <w:p>
      <w:pPr>
        <w:ind w:left="284"/>
        <w:spacing w:after="0"/>
        <w:rPr>
          <w:sz w:val="20"/>
          <w:szCs w:val="20"/>
          <w:color w:val="auto"/>
        </w:rPr>
      </w:pPr>
      <w:r>
        <w:rPr>
          <w:rFonts w:ascii="Courier New" w:cs="Courier New" w:eastAsia="Courier New" w:hAnsi="Courier New"/>
          <w:sz w:val="16"/>
          <w:szCs w:val="16"/>
          <w:color w:val="auto"/>
        </w:rPr>
        <w:t>1</w:t>
      </w:r>
    </w:p>
    <w:p>
      <w:pPr>
        <w:ind w:left="6384"/>
        <w:spacing w:after="0"/>
        <w:rPr>
          <w:sz w:val="20"/>
          <w:szCs w:val="20"/>
          <w:color w:val="auto"/>
        </w:rPr>
      </w:pPr>
      <w:r>
        <w:rPr>
          <w:rFonts w:ascii="Courier New" w:cs="Courier New" w:eastAsia="Courier New" w:hAnsi="Courier New"/>
          <w:sz w:val="16"/>
          <w:szCs w:val="16"/>
          <w:color w:val="auto"/>
        </w:rPr>
        <w:t>Exhibit 23.1</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[LOGO]</w:t>
      </w:r>
    </w:p>
    <w:p>
      <w:pPr>
        <w:spacing w:after="0" w:line="185" w:lineRule="exact"/>
        <w:rPr>
          <w:sz w:val="20"/>
          <w:szCs w:val="20"/>
          <w:color w:val="auto"/>
        </w:rPr>
      </w:pPr>
    </w:p>
    <w:p>
      <w:pPr>
        <w:ind w:left="184" w:hanging="184"/>
        <w:spacing w:after="0"/>
        <w:tabs>
          <w:tab w:leader="none" w:pos="184"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5064" w:right="2719"/>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PricewaterhouseCoopers LLP 100 East Broad Street Suite 2100</w:t>
      </w:r>
    </w:p>
    <w:p>
      <w:pPr>
        <w:spacing w:after="0" w:line="4" w:lineRule="exact"/>
        <w:rPr>
          <w:rFonts w:ascii="Courier New" w:cs="Courier New" w:eastAsia="Courier New" w:hAnsi="Courier New"/>
          <w:sz w:val="15"/>
          <w:szCs w:val="15"/>
          <w:color w:val="auto"/>
        </w:rPr>
      </w:pPr>
    </w:p>
    <w:p>
      <w:pPr>
        <w:ind w:left="5064" w:right="2899"/>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Columbus OH 43215-3671 Telephone (614) 225-8700 Facsimile (614) 224-1044</w:t>
      </w:r>
    </w:p>
    <w:p>
      <w:pPr>
        <w:spacing w:after="0" w:line="200" w:lineRule="exact"/>
        <w:rPr>
          <w:sz w:val="20"/>
          <w:szCs w:val="20"/>
          <w:color w:val="auto"/>
        </w:rPr>
      </w:pPr>
    </w:p>
    <w:p>
      <w:pPr>
        <w:spacing w:after="0" w:line="327" w:lineRule="exact"/>
        <w:rPr>
          <w:sz w:val="20"/>
          <w:szCs w:val="20"/>
          <w:color w:val="auto"/>
        </w:rPr>
      </w:pPr>
    </w:p>
    <w:p>
      <w:pPr>
        <w:ind w:left="2164"/>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65" w:lineRule="exact"/>
        <w:rPr>
          <w:sz w:val="20"/>
          <w:szCs w:val="20"/>
          <w:color w:val="auto"/>
        </w:rPr>
      </w:pPr>
    </w:p>
    <w:p>
      <w:pPr>
        <w:ind w:left="4" w:right="3099"/>
        <w:spacing w:after="0" w:line="237" w:lineRule="auto"/>
        <w:rPr>
          <w:sz w:val="20"/>
          <w:szCs w:val="20"/>
          <w:color w:val="auto"/>
        </w:rPr>
      </w:pPr>
      <w:r>
        <w:rPr>
          <w:rFonts w:ascii="Courier New" w:cs="Courier New" w:eastAsia="Courier New" w:hAnsi="Courier New"/>
          <w:sz w:val="16"/>
          <w:szCs w:val="16"/>
          <w:color w:val="auto"/>
        </w:rPr>
        <w:t>We hereby consent to the incorporation by reference in this Registration Statement on Form S-4 of The Scotts Company of our reports dated October 21, 1999 relating to the financial statements and financial statement schedules, which appear in The Scotts Company's Annual Report on Form 10-K for the year ended September 30, 1999.</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June 16, 2000</w:t>
      </w:r>
    </w:p>
    <w:sectPr>
      <w:pgSz w:w="11900" w:h="16838" w:orient="portrait"/>
      <w:cols w:equalWidth="0" w:num="1">
        <w:col w:w="10223"/>
      </w:cols>
      <w:pgMar w:left="236" w:top="1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BF72B14"/>
    <w:multiLevelType w:val="hybridMultilevel"/>
    <w:lvl w:ilvl="0">
      <w:lvlJc w:val="left"/>
      <w:lvlText w:val="(%1)"/>
      <w:numFmt w:val="decimal"/>
      <w:start w:val="1"/>
    </w:lvl>
  </w:abstractNum>
  <w:abstractNum w:abstractNumId="1">
    <w:nsid w:val="11447B73"/>
    <w:multiLevelType w:val="hybridMultilevel"/>
    <w:lvl w:ilvl="0">
      <w:lvlJc w:val="left"/>
      <w:lvlText w:val="(%1)"/>
      <w:numFmt w:val="decimal"/>
      <w:start w:val="2"/>
    </w:lvl>
  </w:abstractNum>
  <w:abstractNum w:abstractNumId="2">
    <w:nsid w:val="42963E5A"/>
    <w:multiLevelType w:val="hybridMultilevel"/>
    <w:lvl w:ilvl="0">
      <w:lvlJc w:val="left"/>
      <w:lvlText w:val="-"/>
      <w:numFmt w:val="bullet"/>
      <w:start w:val="1"/>
    </w:lvl>
  </w:abstractNum>
  <w:abstractNum w:abstractNumId="3">
    <w:nsid w:val="A0382C5"/>
    <w:multiLevelType w:val="hybridMultilevel"/>
    <w:lvl w:ilvl="0">
      <w:lvlJc w:val="left"/>
      <w:lvlText w:val="-"/>
      <w:numFmt w:val="bullet"/>
      <w:start w:val="1"/>
    </w:lvl>
  </w:abstractNum>
  <w:abstractNum w:abstractNumId="4">
    <w:nsid w:val="8F2B15E"/>
    <w:multiLevelType w:val="hybridMultilevel"/>
    <w:lvl w:ilvl="0">
      <w:lvlJc w:val="left"/>
      <w:lvlText w:val="-"/>
      <w:numFmt w:val="bullet"/>
      <w:start w:val="1"/>
    </w:lvl>
  </w:abstractNum>
  <w:abstractNum w:abstractNumId="5">
    <w:nsid w:val="1A32234B"/>
    <w:multiLevelType w:val="hybridMultilevel"/>
    <w:lvl w:ilvl="0">
      <w:lvlJc w:val="left"/>
      <w:lvlText w:val="-"/>
      <w:numFmt w:val="bullet"/>
      <w:start w:val="1"/>
    </w:lvl>
  </w:abstractNum>
  <w:abstractNum w:abstractNumId="6">
    <w:nsid w:val="3B0FD379"/>
    <w:multiLevelType w:val="hybridMultilevel"/>
    <w:lvl w:ilvl="0">
      <w:lvlJc w:val="left"/>
      <w:lvlText w:val="-"/>
      <w:numFmt w:val="bullet"/>
      <w:start w:val="1"/>
    </w:lvl>
  </w:abstractNum>
  <w:abstractNum w:abstractNumId="7">
    <w:nsid w:val="68EB2F63"/>
    <w:multiLevelType w:val="hybridMultilevel"/>
    <w:lvl w:ilvl="0">
      <w:lvlJc w:val="left"/>
      <w:lvlText w:val="-"/>
      <w:numFmt w:val="bullet"/>
      <w:start w:val="1"/>
    </w:lvl>
  </w:abstractNum>
  <w:abstractNum w:abstractNumId="8">
    <w:nsid w:val="4962813B"/>
    <w:multiLevelType w:val="hybridMultilevel"/>
    <w:lvl w:ilvl="0">
      <w:lvlJc w:val="left"/>
      <w:lvlText w:val="-"/>
      <w:numFmt w:val="bullet"/>
      <w:start w:val="1"/>
    </w:lvl>
  </w:abstractNum>
  <w:abstractNum w:abstractNumId="9">
    <w:nsid w:val="60B6DF70"/>
    <w:multiLevelType w:val="hybridMultilevel"/>
    <w:lvl w:ilvl="0">
      <w:lvlJc w:val="left"/>
      <w:lvlText w:val="-"/>
      <w:numFmt w:val="bullet"/>
      <w:start w:val="1"/>
    </w:lvl>
  </w:abstractNum>
  <w:abstractNum w:abstractNumId="10">
    <w:nsid w:val="6A5EE64"/>
    <w:multiLevelType w:val="hybridMultilevel"/>
    <w:lvl w:ilvl="0">
      <w:lvlJc w:val="left"/>
      <w:lvlText w:val="-"/>
      <w:numFmt w:val="bullet"/>
      <w:start w:val="1"/>
    </w:lvl>
  </w:abstractNum>
  <w:abstractNum w:abstractNumId="11">
    <w:nsid w:val="14330624"/>
    <w:multiLevelType w:val="hybridMultilevel"/>
    <w:lvl w:ilvl="0">
      <w:lvlJc w:val="left"/>
      <w:lvlText w:val="-"/>
      <w:numFmt w:val="bullet"/>
      <w:start w:val="1"/>
    </w:lvl>
  </w:abstractNum>
  <w:abstractNum w:abstractNumId="12">
    <w:nsid w:val="7FFFCA11"/>
    <w:multiLevelType w:val="hybridMultilevel"/>
    <w:lvl w:ilvl="0">
      <w:lvlJc w:val="left"/>
      <w:lvlText w:val="-"/>
      <w:numFmt w:val="bullet"/>
      <w:start w:val="1"/>
    </w:lvl>
  </w:abstractNum>
  <w:abstractNum w:abstractNumId="13">
    <w:nsid w:val="1A27709E"/>
    <w:multiLevelType w:val="hybridMultilevel"/>
    <w:lvl w:ilvl="0">
      <w:lvlJc w:val="left"/>
      <w:lvlText w:val="-"/>
      <w:numFmt w:val="bullet"/>
      <w:start w:val="1"/>
    </w:lvl>
  </w:abstractNum>
  <w:abstractNum w:abstractNumId="14">
    <w:nsid w:val="71EA1109"/>
    <w:multiLevelType w:val="hybridMultilevel"/>
    <w:lvl w:ilvl="0">
      <w:lvlJc w:val="left"/>
      <w:lvlText w:val="-"/>
      <w:numFmt w:val="bullet"/>
      <w:start w:val="1"/>
    </w:lvl>
    <w:lvl w:ilvl="1">
      <w:lvlJc w:val="left"/>
      <w:lvlText w:val="-"/>
      <w:numFmt w:val="bullet"/>
      <w:start w:val="1"/>
    </w:lvl>
  </w:abstractNum>
  <w:abstractNum w:abstractNumId="15">
    <w:nsid w:val="100F59DC"/>
    <w:multiLevelType w:val="hybridMultilevel"/>
    <w:lvl w:ilvl="0">
      <w:lvlJc w:val="left"/>
      <w:lvlText w:val="-"/>
      <w:numFmt w:val="bullet"/>
      <w:start w:val="1"/>
    </w:lvl>
    <w:lvl w:ilvl="1">
      <w:lvlJc w:val="left"/>
      <w:lvlText w:val="-"/>
      <w:numFmt w:val="bullet"/>
      <w:start w:val="1"/>
    </w:lvl>
  </w:abstractNum>
  <w:abstractNum w:abstractNumId="16">
    <w:nsid w:val="7FB7E0AA"/>
    <w:multiLevelType w:val="hybridMultilevel"/>
    <w:lvl w:ilvl="0">
      <w:lvlJc w:val="left"/>
      <w:lvlText w:val="-"/>
      <w:numFmt w:val="bullet"/>
      <w:start w:val="1"/>
    </w:lvl>
  </w:abstractNum>
  <w:abstractNum w:abstractNumId="17">
    <w:nsid w:val="6EB5BD4"/>
    <w:multiLevelType w:val="hybridMultilevel"/>
    <w:lvl w:ilvl="0">
      <w:lvlJc w:val="left"/>
      <w:lvlText w:val="-"/>
      <w:numFmt w:val="bullet"/>
      <w:start w:val="1"/>
    </w:lvl>
    <w:lvl w:ilvl="1">
      <w:lvlJc w:val="left"/>
      <w:lvlText w:val="-"/>
      <w:numFmt w:val="bullet"/>
      <w:start w:val="1"/>
    </w:lvl>
  </w:abstractNum>
  <w:abstractNum w:abstractNumId="18">
    <w:nsid w:val="6F6DD9AC"/>
    <w:multiLevelType w:val="hybridMultilevel"/>
    <w:lvl w:ilvl="0">
      <w:lvlJc w:val="left"/>
      <w:lvlText w:val="-"/>
      <w:numFmt w:val="bullet"/>
      <w:start w:val="1"/>
    </w:lvl>
  </w:abstractNum>
  <w:abstractNum w:abstractNumId="19">
    <w:nsid w:val="94211F2"/>
    <w:multiLevelType w:val="hybridMultilevel"/>
    <w:lvl w:ilvl="0">
      <w:lvlJc w:val="left"/>
      <w:lvlText w:val="-"/>
      <w:numFmt w:val="bullet"/>
      <w:start w:val="1"/>
    </w:lvl>
  </w:abstractNum>
  <w:abstractNum w:abstractNumId="20">
    <w:nsid w:val="885E1B"/>
    <w:multiLevelType w:val="hybridMultilevel"/>
    <w:lvl w:ilvl="0">
      <w:lvlJc w:val="left"/>
      <w:lvlText w:val="-"/>
      <w:numFmt w:val="bullet"/>
      <w:start w:val="1"/>
    </w:lvl>
    <w:lvl w:ilvl="1">
      <w:lvlJc w:val="left"/>
      <w:lvlText w:val="-"/>
      <w:numFmt w:val="bullet"/>
      <w:start w:val="1"/>
    </w:lvl>
  </w:abstractNum>
  <w:abstractNum w:abstractNumId="21">
    <w:nsid w:val="76272110"/>
    <w:multiLevelType w:val="hybridMultilevel"/>
    <w:lvl w:ilvl="0">
      <w:lvlJc w:val="left"/>
      <w:lvlText w:val="-"/>
      <w:numFmt w:val="bullet"/>
      <w:start w:val="1"/>
    </w:lvl>
  </w:abstractNum>
  <w:abstractNum w:abstractNumId="22">
    <w:nsid w:val="4C04A8AF"/>
    <w:multiLevelType w:val="hybridMultilevel"/>
    <w:lvl w:ilvl="0">
      <w:lvlJc w:val="left"/>
      <w:lvlText w:val="-"/>
      <w:numFmt w:val="bullet"/>
      <w:start w:val="1"/>
    </w:lvl>
  </w:abstractNum>
  <w:abstractNum w:abstractNumId="23">
    <w:nsid w:val="1716703B"/>
    <w:multiLevelType w:val="hybridMultilevel"/>
    <w:lvl w:ilvl="0">
      <w:lvlJc w:val="left"/>
      <w:lvlText w:val="-"/>
      <w:numFmt w:val="bullet"/>
      <w:start w:val="1"/>
    </w:lvl>
  </w:abstractNum>
  <w:abstractNum w:abstractNumId="24">
    <w:nsid w:val="14E17E33"/>
    <w:multiLevelType w:val="hybridMultilevel"/>
    <w:lvl w:ilvl="0">
      <w:lvlJc w:val="left"/>
      <w:lvlText w:val="-"/>
      <w:numFmt w:val="bullet"/>
      <w:start w:val="1"/>
    </w:lvl>
    <w:lvl w:ilvl="1">
      <w:lvlJc w:val="left"/>
      <w:lvlText w:val="-"/>
      <w:numFmt w:val="bullet"/>
      <w:start w:val="1"/>
    </w:lvl>
  </w:abstractNum>
  <w:abstractNum w:abstractNumId="25">
    <w:nsid w:val="3222E7CD"/>
    <w:multiLevelType w:val="hybridMultilevel"/>
    <w:lvl w:ilvl="0">
      <w:lvlJc w:val="left"/>
      <w:lvlText w:val="-"/>
      <w:numFmt w:val="bullet"/>
      <w:start w:val="1"/>
    </w:lvl>
  </w:abstractNum>
  <w:abstractNum w:abstractNumId="26">
    <w:nsid w:val="74DE0EE3"/>
    <w:multiLevelType w:val="hybridMultilevel"/>
    <w:lvl w:ilvl="0">
      <w:lvlJc w:val="left"/>
      <w:lvlText w:val="-"/>
      <w:numFmt w:val="bullet"/>
      <w:start w:val="1"/>
    </w:lvl>
  </w:abstractNum>
  <w:abstractNum w:abstractNumId="27">
    <w:nsid w:val="68EBC550"/>
    <w:multiLevelType w:val="hybridMultilevel"/>
    <w:lvl w:ilvl="0">
      <w:lvlJc w:val="left"/>
      <w:lvlText w:val="-"/>
      <w:numFmt w:val="bullet"/>
      <w:start w:val="1"/>
    </w:lvl>
    <w:lvl w:ilvl="1">
      <w:lvlJc w:val="left"/>
      <w:lvlText w:val="-"/>
      <w:numFmt w:val="bullet"/>
      <w:start w:val="1"/>
    </w:lvl>
  </w:abstractNum>
  <w:abstractNum w:abstractNumId="28">
    <w:nsid w:val="2DF6D648"/>
    <w:multiLevelType w:val="hybridMultilevel"/>
    <w:lvl w:ilvl="0">
      <w:lvlJc w:val="left"/>
      <w:lvlText w:val="-"/>
      <w:numFmt w:val="bullet"/>
      <w:start w:val="1"/>
    </w:lvl>
  </w:abstractNum>
  <w:abstractNum w:abstractNumId="29">
    <w:nsid w:val="46B7D447"/>
    <w:multiLevelType w:val="hybridMultilevel"/>
    <w:lvl w:ilvl="0">
      <w:lvlJc w:val="left"/>
      <w:lvlText w:val="-"/>
      <w:numFmt w:val="bullet"/>
      <w:start w:val="1"/>
    </w:lvl>
  </w:abstractNum>
  <w:abstractNum w:abstractNumId="30">
    <w:nsid w:val="4A2AC315"/>
    <w:multiLevelType w:val="hybridMultilevel"/>
    <w:lvl w:ilvl="0">
      <w:lvlJc w:val="left"/>
      <w:lvlText w:val="-"/>
      <w:numFmt w:val="bullet"/>
      <w:start w:val="1"/>
    </w:lvl>
  </w:abstractNum>
  <w:abstractNum w:abstractNumId="31">
    <w:nsid w:val="39EE015C"/>
    <w:multiLevelType w:val="hybridMultilevel"/>
    <w:lvl w:ilvl="0">
      <w:lvlJc w:val="left"/>
      <w:lvlText w:val="-"/>
      <w:numFmt w:val="bullet"/>
      <w:start w:val="1"/>
    </w:lvl>
  </w:abstractNum>
  <w:abstractNum w:abstractNumId="32">
    <w:nsid w:val="57FC4FBB"/>
    <w:multiLevelType w:val="hybridMultilevel"/>
    <w:lvl w:ilvl="0">
      <w:lvlJc w:val="left"/>
      <w:lvlText w:val="-"/>
      <w:numFmt w:val="bullet"/>
      <w:start w:val="1"/>
    </w:lvl>
  </w:abstractNum>
  <w:abstractNum w:abstractNumId="33">
    <w:nsid w:val="CC1016F"/>
    <w:multiLevelType w:val="hybridMultilevel"/>
    <w:lvl w:ilvl="0">
      <w:lvlJc w:val="left"/>
      <w:lvlText w:val="-"/>
      <w:numFmt w:val="bullet"/>
      <w:start w:val="1"/>
    </w:lvl>
  </w:abstractNum>
  <w:abstractNum w:abstractNumId="34">
    <w:nsid w:val="43F18422"/>
    <w:multiLevelType w:val="hybridMultilevel"/>
    <w:lvl w:ilvl="0">
      <w:lvlJc w:val="left"/>
      <w:lvlText w:val="-"/>
      <w:numFmt w:val="bullet"/>
      <w:start w:val="1"/>
    </w:lvl>
  </w:abstractNum>
  <w:abstractNum w:abstractNumId="35">
    <w:nsid w:val="60EF0119"/>
    <w:multiLevelType w:val="hybridMultilevel"/>
    <w:lvl w:ilvl="0">
      <w:lvlJc w:val="left"/>
      <w:lvlText w:val="-"/>
      <w:numFmt w:val="bullet"/>
      <w:start w:val="1"/>
    </w:lvl>
  </w:abstractNum>
  <w:abstractNum w:abstractNumId="36">
    <w:nsid w:val="26F324BA"/>
    <w:multiLevelType w:val="hybridMultilevel"/>
    <w:lvl w:ilvl="0">
      <w:lvlJc w:val="left"/>
      <w:lvlText w:val="-"/>
      <w:numFmt w:val="bullet"/>
      <w:start w:val="1"/>
    </w:lvl>
  </w:abstractNum>
  <w:abstractNum w:abstractNumId="37">
    <w:nsid w:val="7F01579B"/>
    <w:multiLevelType w:val="hybridMultilevel"/>
    <w:lvl w:ilvl="0">
      <w:lvlJc w:val="left"/>
      <w:lvlText w:val="-"/>
      <w:numFmt w:val="bullet"/>
      <w:start w:val="1"/>
    </w:lvl>
    <w:lvl w:ilvl="1">
      <w:lvlJc w:val="left"/>
      <w:lvlText w:val="-"/>
      <w:numFmt w:val="bullet"/>
      <w:start w:val="1"/>
    </w:lvl>
  </w:abstractNum>
  <w:abstractNum w:abstractNumId="38">
    <w:nsid w:val="49DA307D"/>
    <w:multiLevelType w:val="hybridMultilevel"/>
    <w:lvl w:ilvl="0">
      <w:lvlJc w:val="left"/>
      <w:lvlText w:val="-"/>
      <w:numFmt w:val="bullet"/>
      <w:start w:val="1"/>
    </w:lvl>
  </w:abstractNum>
  <w:abstractNum w:abstractNumId="39">
    <w:nsid w:val="7055A5F5"/>
    <w:multiLevelType w:val="hybridMultilevel"/>
    <w:lvl w:ilvl="0">
      <w:lvlJc w:val="left"/>
      <w:lvlText w:val="-"/>
      <w:numFmt w:val="bullet"/>
      <w:start w:val="1"/>
    </w:lvl>
  </w:abstractNum>
  <w:abstractNum w:abstractNumId="40">
    <w:nsid w:val="5FB8370B"/>
    <w:multiLevelType w:val="hybridMultilevel"/>
    <w:lvl w:ilvl="0">
      <w:lvlJc w:val="left"/>
      <w:lvlText w:val="-"/>
      <w:numFmt w:val="bullet"/>
      <w:start w:val="1"/>
    </w:lvl>
    <w:lvl w:ilvl="1">
      <w:lvlJc w:val="left"/>
      <w:lvlText w:val="-"/>
      <w:numFmt w:val="bullet"/>
      <w:start w:val="1"/>
    </w:lvl>
  </w:abstractNum>
  <w:abstractNum w:abstractNumId="41">
    <w:nsid w:val="50801EE1"/>
    <w:multiLevelType w:val="hybridMultilevel"/>
    <w:lvl w:ilvl="0">
      <w:lvlJc w:val="left"/>
      <w:lvlText w:val="-"/>
      <w:numFmt w:val="bullet"/>
      <w:start w:val="1"/>
    </w:lvl>
  </w:abstractNum>
  <w:abstractNum w:abstractNumId="42">
    <w:nsid w:val="488AC1A"/>
    <w:multiLevelType w:val="hybridMultilevel"/>
    <w:lvl w:ilvl="0">
      <w:lvlJc w:val="left"/>
      <w:lvlText w:val="-"/>
      <w:numFmt w:val="bullet"/>
      <w:start w:val="1"/>
    </w:lvl>
  </w:abstractNum>
  <w:abstractNum w:abstractNumId="43">
    <w:nsid w:val="5FB8011C"/>
    <w:multiLevelType w:val="hybridMultilevel"/>
    <w:lvl w:ilvl="0">
      <w:lvlJc w:val="left"/>
      <w:lvlText w:val="-"/>
      <w:numFmt w:val="bullet"/>
      <w:start w:val="1"/>
    </w:lvl>
  </w:abstractNum>
  <w:abstractNum w:abstractNumId="44">
    <w:nsid w:val="6AA78F7F"/>
    <w:multiLevelType w:val="hybridMultilevel"/>
    <w:lvl w:ilvl="0">
      <w:lvlJc w:val="left"/>
      <w:lvlText w:val="-"/>
      <w:numFmt w:val="bullet"/>
      <w:start w:val="1"/>
    </w:lvl>
  </w:abstractNum>
  <w:abstractNum w:abstractNumId="45">
    <w:nsid w:val="7672BD23"/>
    <w:multiLevelType w:val="hybridMultilevel"/>
    <w:lvl w:ilvl="0">
      <w:lvlJc w:val="left"/>
      <w:lvlText w:val="-"/>
      <w:numFmt w:val="bullet"/>
      <w:start w:val="1"/>
    </w:lvl>
    <w:lvl w:ilvl="1">
      <w:lvlJc w:val="left"/>
      <w:lvlText w:val="-"/>
      <w:numFmt w:val="bullet"/>
      <w:start w:val="1"/>
    </w:lvl>
  </w:abstractNum>
  <w:abstractNum w:abstractNumId="46">
    <w:nsid w:val="6FC75AF8"/>
    <w:multiLevelType w:val="hybridMultilevel"/>
    <w:lvl w:ilvl="0">
      <w:lvlJc w:val="left"/>
      <w:lvlText w:val="-"/>
      <w:numFmt w:val="bullet"/>
      <w:start w:val="1"/>
    </w:lvl>
  </w:abstractNum>
  <w:abstractNum w:abstractNumId="47">
    <w:nsid w:val="6A5F7029"/>
    <w:multiLevelType w:val="hybridMultilevel"/>
    <w:lvl w:ilvl="0">
      <w:lvlJc w:val="left"/>
      <w:lvlText w:val="-"/>
      <w:numFmt w:val="bullet"/>
      <w:start w:val="1"/>
    </w:lvl>
  </w:abstractNum>
  <w:abstractNum w:abstractNumId="48">
    <w:nsid w:val="7D5E18F8"/>
    <w:multiLevelType w:val="hybridMultilevel"/>
    <w:lvl w:ilvl="0">
      <w:lvlJc w:val="left"/>
      <w:lvlText w:val="-"/>
      <w:numFmt w:val="bullet"/>
      <w:start w:val="1"/>
    </w:lvl>
  </w:abstractNum>
  <w:abstractNum w:abstractNumId="49">
    <w:nsid w:val="5F3534A4"/>
    <w:multiLevelType w:val="hybridMultilevel"/>
    <w:lvl w:ilvl="0">
      <w:lvlJc w:val="left"/>
      <w:lvlText w:val="-"/>
      <w:numFmt w:val="bullet"/>
      <w:start w:val="1"/>
    </w:lvl>
    <w:lvl w:ilvl="1">
      <w:lvlJc w:val="left"/>
      <w:lvlText w:val="-"/>
      <w:numFmt w:val="bullet"/>
      <w:start w:val="1"/>
    </w:lvl>
  </w:abstractNum>
  <w:abstractNum w:abstractNumId="50">
    <w:nsid w:val="73A1821B"/>
    <w:multiLevelType w:val="hybridMultilevel"/>
    <w:lvl w:ilvl="0">
      <w:lvlJc w:val="left"/>
      <w:lvlText w:val="-"/>
      <w:numFmt w:val="bullet"/>
      <w:start w:val="1"/>
    </w:lvl>
  </w:abstractNum>
  <w:abstractNum w:abstractNumId="51">
    <w:nsid w:val="7DE67713"/>
    <w:multiLevelType w:val="hybridMultilevel"/>
    <w:lvl w:ilvl="0">
      <w:lvlJc w:val="left"/>
      <w:lvlText w:val="-"/>
      <w:numFmt w:val="bullet"/>
      <w:start w:val="1"/>
    </w:lvl>
  </w:abstractNum>
  <w:abstractNum w:abstractNumId="52">
    <w:nsid w:val="555C55B5"/>
    <w:multiLevelType w:val="hybridMultilevel"/>
    <w:lvl w:ilvl="0">
      <w:lvlJc w:val="left"/>
      <w:lvlText w:val="-"/>
      <w:numFmt w:val="bullet"/>
      <w:start w:val="1"/>
    </w:lvl>
    <w:lvl w:ilvl="1">
      <w:lvlJc w:val="left"/>
      <w:lvlText w:val="-"/>
      <w:numFmt w:val="bullet"/>
      <w:start w:val="1"/>
    </w:lvl>
  </w:abstractNum>
  <w:abstractNum w:abstractNumId="53">
    <w:nsid w:val="3FA62ACA"/>
    <w:multiLevelType w:val="hybridMultilevel"/>
    <w:lvl w:ilvl="0">
      <w:lvlJc w:val="left"/>
      <w:lvlText w:val="-"/>
      <w:numFmt w:val="bullet"/>
      <w:start w:val="1"/>
    </w:lvl>
  </w:abstractNum>
  <w:abstractNum w:abstractNumId="54">
    <w:nsid w:val="14FCE74E"/>
    <w:multiLevelType w:val="hybridMultilevel"/>
    <w:lvl w:ilvl="0">
      <w:lvlJc w:val="left"/>
      <w:lvlText w:val="-"/>
      <w:numFmt w:val="bullet"/>
      <w:start w:val="1"/>
    </w:lvl>
  </w:abstractNum>
  <w:abstractNum w:abstractNumId="55">
    <w:nsid w:val="6A3DD3E8"/>
    <w:multiLevelType w:val="hybridMultilevel"/>
    <w:lvl w:ilvl="0">
      <w:lvlJc w:val="left"/>
      <w:lvlText w:val="-"/>
      <w:numFmt w:val="bullet"/>
      <w:start w:val="1"/>
    </w:lvl>
  </w:abstractNum>
  <w:abstractNum w:abstractNumId="56">
    <w:nsid w:val="71C91298"/>
    <w:multiLevelType w:val="hybridMultilevel"/>
    <w:lvl w:ilvl="0">
      <w:lvlJc w:val="left"/>
      <w:lvlText w:val="-"/>
      <w:numFmt w:val="bullet"/>
      <w:start w:val="1"/>
    </w:lvl>
  </w:abstractNum>
  <w:abstractNum w:abstractNumId="57">
    <w:nsid w:val="9DAF632"/>
    <w:multiLevelType w:val="hybridMultilevel"/>
    <w:lvl w:ilvl="0">
      <w:lvlJc w:val="left"/>
      <w:lvlText w:val="-"/>
      <w:numFmt w:val="bullet"/>
      <w:start w:val="1"/>
    </w:lvl>
  </w:abstractNum>
  <w:abstractNum w:abstractNumId="58">
    <w:nsid w:val="53299938"/>
    <w:multiLevelType w:val="hybridMultilevel"/>
    <w:lvl w:ilvl="0">
      <w:lvlJc w:val="left"/>
      <w:lvlText w:val="-"/>
      <w:numFmt w:val="bullet"/>
      <w:start w:val="1"/>
    </w:lvl>
  </w:abstractNum>
  <w:abstractNum w:abstractNumId="59">
    <w:nsid w:val="1FBFE8E0"/>
    <w:multiLevelType w:val="hybridMultilevel"/>
    <w:lvl w:ilvl="0">
      <w:lvlJc w:val="left"/>
      <w:lvlText w:val="-"/>
      <w:numFmt w:val="bullet"/>
      <w:start w:val="1"/>
    </w:lvl>
  </w:abstractNum>
  <w:abstractNum w:abstractNumId="60">
    <w:nsid w:val="5092CA79"/>
    <w:multiLevelType w:val="hybridMultilevel"/>
    <w:lvl w:ilvl="0">
      <w:lvlJc w:val="left"/>
      <w:lvlText w:val="-"/>
      <w:numFmt w:val="bullet"/>
      <w:start w:val="1"/>
    </w:lvl>
  </w:abstractNum>
  <w:abstractNum w:abstractNumId="61">
    <w:nsid w:val="1D545C4D"/>
    <w:multiLevelType w:val="hybridMultilevel"/>
    <w:lvl w:ilvl="0">
      <w:lvlJc w:val="left"/>
      <w:lvlText w:val="-"/>
      <w:numFmt w:val="bullet"/>
      <w:start w:val="1"/>
    </w:lvl>
  </w:abstractNum>
  <w:abstractNum w:abstractNumId="62">
    <w:nsid w:val="59ADEA3D"/>
    <w:multiLevelType w:val="hybridMultilevel"/>
    <w:lvl w:ilvl="0">
      <w:lvlJc w:val="left"/>
      <w:lvlText w:val="-"/>
      <w:numFmt w:val="bullet"/>
      <w:start w:val="1"/>
    </w:lvl>
  </w:abstractNum>
  <w:abstractNum w:abstractNumId="63">
    <w:nsid w:val="288F1A34"/>
    <w:multiLevelType w:val="hybridMultilevel"/>
    <w:lvl w:ilvl="0">
      <w:lvlJc w:val="left"/>
      <w:lvlText w:val="-"/>
      <w:numFmt w:val="bullet"/>
      <w:start w:val="1"/>
    </w:lvl>
  </w:abstractNum>
  <w:abstractNum w:abstractNumId="64">
    <w:nsid w:val="2A155DBC"/>
    <w:multiLevelType w:val="hybridMultilevel"/>
    <w:lvl w:ilvl="0">
      <w:lvlJc w:val="left"/>
      <w:lvlText w:val="-"/>
      <w:numFmt w:val="bullet"/>
      <w:start w:val="1"/>
    </w:lvl>
  </w:abstractNum>
  <w:abstractNum w:abstractNumId="65">
    <w:nsid w:val="1D9F6E5F"/>
    <w:multiLevelType w:val="hybridMultilevel"/>
    <w:lvl w:ilvl="0">
      <w:lvlJc w:val="left"/>
      <w:lvlText w:val="-"/>
      <w:numFmt w:val="bullet"/>
      <w:start w:val="1"/>
    </w:lvl>
  </w:abstractNum>
  <w:abstractNum w:abstractNumId="66">
    <w:nsid w:val="97E1B4E"/>
    <w:multiLevelType w:val="hybridMultilevel"/>
    <w:lvl w:ilvl="0">
      <w:lvlJc w:val="left"/>
      <w:lvlText w:val="-"/>
      <w:numFmt w:val="bullet"/>
      <w:start w:val="1"/>
    </w:lvl>
    <w:lvl w:ilvl="1">
      <w:lvlJc w:val="left"/>
      <w:lvlText w:val="-"/>
      <w:numFmt w:val="bullet"/>
      <w:start w:val="1"/>
    </w:lvl>
  </w:abstractNum>
  <w:abstractNum w:abstractNumId="67">
    <w:nsid w:val="51088277"/>
    <w:multiLevelType w:val="hybridMultilevel"/>
    <w:lvl w:ilvl="0">
      <w:lvlJc w:val="left"/>
      <w:lvlText w:val="-"/>
      <w:numFmt w:val="bullet"/>
      <w:start w:val="1"/>
    </w:lvl>
  </w:abstractNum>
  <w:abstractNum w:abstractNumId="68">
    <w:nsid w:val="1CA0C5FA"/>
    <w:multiLevelType w:val="hybridMultilevel"/>
    <w:lvl w:ilvl="0">
      <w:lvlJc w:val="left"/>
      <w:lvlText w:val="-"/>
      <w:numFmt w:val="bullet"/>
      <w:start w:val="1"/>
    </w:lvl>
  </w:abstractNum>
  <w:abstractNum w:abstractNumId="69">
    <w:nsid w:val="53584BCB"/>
    <w:multiLevelType w:val="hybridMultilevel"/>
    <w:lvl w:ilvl="0">
      <w:lvlJc w:val="left"/>
      <w:lvlText w:val="-"/>
      <w:numFmt w:val="bullet"/>
      <w:start w:val="1"/>
    </w:lvl>
  </w:abstractNum>
  <w:abstractNum w:abstractNumId="70">
    <w:nsid w:val="415E286C"/>
    <w:multiLevelType w:val="hybridMultilevel"/>
    <w:lvl w:ilvl="0">
      <w:lvlJc w:val="left"/>
      <w:lvlText w:val="-"/>
      <w:numFmt w:val="bullet"/>
      <w:start w:val="1"/>
    </w:lvl>
  </w:abstractNum>
  <w:abstractNum w:abstractNumId="71">
    <w:nsid w:val="7C58FD05"/>
    <w:multiLevelType w:val="hybridMultilevel"/>
    <w:lvl w:ilvl="0">
      <w:lvlJc w:val="left"/>
      <w:lvlText w:val="-"/>
      <w:numFmt w:val="bullet"/>
      <w:start w:val="1"/>
    </w:lvl>
  </w:abstractNum>
  <w:abstractNum w:abstractNumId="72">
    <w:nsid w:val="23D86AAC"/>
    <w:multiLevelType w:val="hybridMultilevel"/>
    <w:lvl w:ilvl="0">
      <w:lvlJc w:val="left"/>
      <w:lvlText w:val="-"/>
      <w:numFmt w:val="bullet"/>
      <w:start w:val="1"/>
    </w:lvl>
  </w:abstractNum>
  <w:abstractNum w:abstractNumId="73">
    <w:nsid w:val="45E6D486"/>
    <w:multiLevelType w:val="hybridMultilevel"/>
    <w:lvl w:ilvl="0">
      <w:lvlJc w:val="left"/>
      <w:lvlText w:val="&quot;"/>
      <w:numFmt w:val="bullet"/>
      <w:start w:val="1"/>
    </w:lvl>
  </w:abstractNum>
  <w:abstractNum w:abstractNumId="74">
    <w:nsid w:val="5C10FE21"/>
    <w:multiLevelType w:val="hybridMultilevel"/>
    <w:lvl w:ilvl="0">
      <w:lvlJc w:val="left"/>
      <w:lvlText w:val="-"/>
      <w:numFmt w:val="bullet"/>
      <w:start w:val="1"/>
    </w:lvl>
  </w:abstractNum>
  <w:abstractNum w:abstractNumId="75">
    <w:nsid w:val="E7FFA2B"/>
    <w:multiLevelType w:val="hybridMultilevel"/>
    <w:lvl w:ilvl="0">
      <w:lvlJc w:val="left"/>
      <w:lvlText w:val="-"/>
      <w:numFmt w:val="bullet"/>
      <w:start w:val="1"/>
    </w:lvl>
    <w:lvl w:ilvl="1">
      <w:lvlJc w:val="left"/>
      <w:lvlText w:val="-"/>
      <w:numFmt w:val="bullet"/>
      <w:start w:val="1"/>
    </w:lvl>
  </w:abstractNum>
  <w:abstractNum w:abstractNumId="76">
    <w:nsid w:val="3C5991AA"/>
    <w:multiLevelType w:val="hybridMultilevel"/>
    <w:lvl w:ilvl="0">
      <w:lvlJc w:val="left"/>
      <w:lvlText w:val="-"/>
      <w:numFmt w:val="bullet"/>
      <w:start w:val="1"/>
    </w:lvl>
  </w:abstractNum>
  <w:abstractNum w:abstractNumId="77">
    <w:nsid w:val="4BD8591A"/>
    <w:multiLevelType w:val="hybridMultilevel"/>
    <w:lvl w:ilvl="0">
      <w:lvlJc w:val="left"/>
      <w:lvlText w:val="-"/>
      <w:numFmt w:val="bullet"/>
      <w:start w:val="1"/>
    </w:lvl>
  </w:abstractNum>
  <w:abstractNum w:abstractNumId="78">
    <w:nsid w:val="78DF6A55"/>
    <w:multiLevelType w:val="hybridMultilevel"/>
    <w:lvl w:ilvl="0">
      <w:lvlJc w:val="left"/>
      <w:lvlText w:val="-"/>
      <w:numFmt w:val="bullet"/>
      <w:start w:val="1"/>
    </w:lvl>
  </w:abstractNum>
  <w:abstractNum w:abstractNumId="79">
    <w:nsid w:val="39B7AAA2"/>
    <w:multiLevelType w:val="hybridMultilevel"/>
    <w:lvl w:ilvl="0">
      <w:lvlJc w:val="left"/>
      <w:lvlText w:val="-"/>
      <w:numFmt w:val="bullet"/>
      <w:start w:val="1"/>
    </w:lvl>
  </w:abstractNum>
  <w:abstractNum w:abstractNumId="80">
    <w:nsid w:val="2B0D8DBE"/>
    <w:multiLevelType w:val="hybridMultilevel"/>
    <w:lvl w:ilvl="0">
      <w:lvlJc w:val="left"/>
      <w:lvlText w:val="-"/>
      <w:numFmt w:val="bullet"/>
      <w:start w:val="1"/>
    </w:lvl>
    <w:lvl w:ilvl="1">
      <w:lvlJc w:val="left"/>
      <w:lvlText w:val="-"/>
      <w:numFmt w:val="bullet"/>
      <w:start w:val="1"/>
    </w:lvl>
  </w:abstractNum>
  <w:abstractNum w:abstractNumId="81">
    <w:nsid w:val="6C80EC70"/>
    <w:multiLevelType w:val="hybridMultilevel"/>
    <w:lvl w:ilvl="0">
      <w:lvlJc w:val="left"/>
      <w:lvlText w:val="-"/>
      <w:numFmt w:val="bullet"/>
      <w:start w:val="1"/>
    </w:lvl>
    <w:lvl w:ilvl="1">
      <w:lvlJc w:val="left"/>
      <w:lvlText w:val="-"/>
      <w:numFmt w:val="bullet"/>
      <w:start w:val="1"/>
    </w:lvl>
  </w:abstractNum>
  <w:abstractNum w:abstractNumId="82">
    <w:nsid w:val="379E21B5"/>
    <w:multiLevelType w:val="hybridMultilevel"/>
    <w:lvl w:ilvl="0">
      <w:lvlJc w:val="left"/>
      <w:lvlText w:val="-"/>
      <w:numFmt w:val="bullet"/>
      <w:start w:val="1"/>
    </w:lvl>
  </w:abstractNum>
  <w:abstractNum w:abstractNumId="83">
    <w:nsid w:val="69E373"/>
    <w:multiLevelType w:val="hybridMultilevel"/>
    <w:lvl w:ilvl="0">
      <w:lvlJc w:val="left"/>
      <w:lvlText w:val="-"/>
      <w:numFmt w:val="bullet"/>
      <w:start w:val="1"/>
    </w:lvl>
  </w:abstractNum>
  <w:abstractNum w:abstractNumId="84">
    <w:nsid w:val="2C27173B"/>
    <w:multiLevelType w:val="hybridMultilevel"/>
    <w:lvl w:ilvl="0">
      <w:lvlJc w:val="left"/>
      <w:lvlText w:val="-"/>
      <w:numFmt w:val="bullet"/>
      <w:start w:val="1"/>
    </w:lvl>
  </w:abstractNum>
  <w:abstractNum w:abstractNumId="85">
    <w:nsid w:val="4C9B0904"/>
    <w:multiLevelType w:val="hybridMultilevel"/>
    <w:lvl w:ilvl="0">
      <w:lvlJc w:val="left"/>
      <w:lvlText w:val="-"/>
      <w:numFmt w:val="bullet"/>
      <w:start w:val="1"/>
    </w:lvl>
  </w:abstractNum>
  <w:abstractNum w:abstractNumId="86">
    <w:nsid w:val="6AA7B75C"/>
    <w:multiLevelType w:val="hybridMultilevel"/>
    <w:lvl w:ilvl="0">
      <w:lvlJc w:val="left"/>
      <w:lvlText w:val="-"/>
      <w:numFmt w:val="bullet"/>
      <w:start w:val="1"/>
    </w:lvl>
  </w:abstractNum>
  <w:abstractNum w:abstractNumId="87">
    <w:nsid w:val="1DF029D3"/>
    <w:multiLevelType w:val="hybridMultilevel"/>
    <w:lvl w:ilvl="0">
      <w:lvlJc w:val="left"/>
      <w:lvlText w:val="-"/>
      <w:numFmt w:val="bullet"/>
      <w:start w:val="1"/>
    </w:lvl>
  </w:abstractNum>
  <w:abstractNum w:abstractNumId="88">
    <w:nsid w:val="5675FF36"/>
    <w:multiLevelType w:val="hybridMultilevel"/>
    <w:lvl w:ilvl="0">
      <w:lvlJc w:val="left"/>
      <w:lvlText w:val="-"/>
      <w:numFmt w:val="bullet"/>
      <w:start w:val="1"/>
    </w:lvl>
    <w:lvl w:ilvl="1">
      <w:lvlJc w:val="left"/>
      <w:lvlText w:val="-"/>
      <w:numFmt w:val="bullet"/>
      <w:start w:val="1"/>
    </w:lvl>
  </w:abstractNum>
  <w:abstractNum w:abstractNumId="89">
    <w:nsid w:val="3DD15094"/>
    <w:multiLevelType w:val="hybridMultilevel"/>
    <w:lvl w:ilvl="0">
      <w:lvlJc w:val="left"/>
      <w:lvlText w:val="-"/>
      <w:numFmt w:val="bullet"/>
      <w:start w:val="1"/>
    </w:lvl>
  </w:abstractNum>
  <w:abstractNum w:abstractNumId="90">
    <w:nsid w:val="3DB012B3"/>
    <w:multiLevelType w:val="hybridMultilevel"/>
    <w:lvl w:ilvl="0">
      <w:lvlJc w:val="left"/>
      <w:lvlText w:val="-"/>
      <w:numFmt w:val="bullet"/>
      <w:start w:val="1"/>
    </w:lvl>
    <w:lvl w:ilvl="1">
      <w:lvlJc w:val="left"/>
      <w:lvlText w:val="-"/>
      <w:numFmt w:val="bullet"/>
      <w:start w:val="1"/>
    </w:lvl>
  </w:abstractNum>
  <w:abstractNum w:abstractNumId="91">
    <w:nsid w:val="2708C9AF"/>
    <w:multiLevelType w:val="hybridMultilevel"/>
    <w:lvl w:ilvl="0">
      <w:lvlJc w:val="left"/>
      <w:lvlText w:val="-"/>
      <w:numFmt w:val="bullet"/>
      <w:start w:val="1"/>
    </w:lvl>
  </w:abstractNum>
  <w:abstractNum w:abstractNumId="92">
    <w:nsid w:val="5B25ACE2"/>
    <w:multiLevelType w:val="hybridMultilevel"/>
    <w:lvl w:ilvl="0">
      <w:lvlJc w:val="left"/>
      <w:lvlText w:val="-"/>
      <w:numFmt w:val="bullet"/>
      <w:start w:val="1"/>
    </w:lvl>
  </w:abstractNum>
  <w:abstractNum w:abstractNumId="93">
    <w:nsid w:val="175DFCF0"/>
    <w:multiLevelType w:val="hybridMultilevel"/>
    <w:lvl w:ilvl="0">
      <w:lvlJc w:val="left"/>
      <w:lvlText w:val="-"/>
      <w:numFmt w:val="bullet"/>
      <w:start w:val="1"/>
    </w:lvl>
  </w:abstractNum>
  <w:abstractNum w:abstractNumId="94">
    <w:nsid w:val="4F97E3E4"/>
    <w:multiLevelType w:val="hybridMultilevel"/>
    <w:lvl w:ilvl="0">
      <w:lvlJc w:val="left"/>
      <w:lvlText w:val="(%1)"/>
      <w:numFmt w:val="decimal"/>
      <w:start w:val="2"/>
    </w:lvl>
    <w:lvl w:ilvl="1">
      <w:lvlJc w:val="left"/>
      <w:lvlText w:val="(%2)"/>
      <w:numFmt w:val="lowerLetter"/>
      <w:start w:val="1"/>
    </w:lvl>
  </w:abstractNum>
  <w:abstractNum w:abstractNumId="95">
    <w:nsid w:val="53B0A9E"/>
    <w:multiLevelType w:val="hybridMultilevel"/>
    <w:lvl w:ilvl="0">
      <w:lvlJc w:val="left"/>
      <w:lvlText w:val="%1"/>
      <w:numFmt w:val="decimal"/>
      <w:start w:val="1"/>
    </w:lvl>
    <w:lvl w:ilvl="1">
      <w:lvlJc w:val="left"/>
      <w:lvlText w:val="(%2)"/>
      <w:numFmt w:val="lowerLetter"/>
      <w:start w:val="2"/>
    </w:lvl>
  </w:abstractNum>
  <w:abstractNum w:abstractNumId="96">
    <w:nsid w:val="34FD6B4F"/>
    <w:multiLevelType w:val="hybridMultilevel"/>
    <w:lvl w:ilvl="0">
      <w:lvlJc w:val="left"/>
      <w:lvlText w:val="(%1)"/>
      <w:numFmt w:val="decimal"/>
      <w:start w:val="3"/>
    </w:lvl>
    <w:lvl w:ilvl="1">
      <w:lvlJc w:val="left"/>
      <w:lvlText w:val="(%2)"/>
      <w:numFmt w:val="lowerLetter"/>
      <w:start w:val="1"/>
    </w:lvl>
  </w:abstractNum>
  <w:abstractNum w:abstractNumId="97">
    <w:nsid w:val="5915FF32"/>
    <w:multiLevelType w:val="hybridMultilevel"/>
    <w:lvl w:ilvl="0">
      <w:lvlJc w:val="left"/>
      <w:lvlText w:val="(%1)"/>
      <w:numFmt w:val="lowerRoman"/>
      <w:start w:val="1"/>
    </w:lvl>
  </w:abstractNum>
  <w:abstractNum w:abstractNumId="98">
    <w:nsid w:val="56438D1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99">
    <w:nsid w:val="519E3149"/>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00">
    <w:nsid w:val="2C6E4AFD"/>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101">
    <w:nsid w:val="17A1B582"/>
    <w:multiLevelType w:val="hybridMultilevel"/>
    <w:lvl w:ilvl="0">
      <w:lvlJc w:val="left"/>
      <w:lvlText w:val="5"/>
      <w:numFmt w:val="bullet"/>
      <w:start w:val="1"/>
    </w:lvl>
  </w:abstractNum>
  <w:abstractNum w:abstractNumId="102">
    <w:nsid w:val="4DF72E4E"/>
    <w:multiLevelType w:val="hybridMultilevel"/>
    <w:lvl w:ilvl="0">
      <w:lvlJc w:val="left"/>
      <w:lvlText w:val="*"/>
      <w:numFmt w:val="bullet"/>
      <w:start w:val="1"/>
    </w:lvl>
    <w:lvl w:ilvl="1">
      <w:lvlJc w:val="left"/>
      <w:lvlText w:val="(%2)"/>
      <w:numFmt w:val="lowerLetter"/>
      <w:start w:val="2"/>
    </w:lvl>
  </w:abstractNum>
  <w:abstractNum w:abstractNumId="103">
    <w:nsid w:val="5046B5A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4">
    <w:nsid w:val="5D888A0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05">
    <w:nsid w:val="2A082C70"/>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06">
    <w:nsid w:val="5EC6AFD4"/>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107">
    <w:nsid w:val="19E21BB2"/>
    <w:multiLevelType w:val="hybridMultilevel"/>
    <w:lvl w:ilvl="0">
      <w:lvlJc w:val="left"/>
      <w:lvlText w:val="-"/>
      <w:numFmt w:val="bullet"/>
      <w:start w:val="1"/>
    </w:lvl>
  </w:abstractNum>
  <w:abstractNum w:abstractNumId="108">
    <w:nsid w:val="75E0858A"/>
    <w:multiLevelType w:val="hybridMultilevel"/>
    <w:lvl w:ilvl="0">
      <w:lvlJc w:val="left"/>
      <w:lvlText w:val="-"/>
      <w:numFmt w:val="bullet"/>
      <w:start w:val="1"/>
    </w:lvl>
  </w:abstractNum>
  <w:abstractNum w:abstractNumId="109">
    <w:nsid w:val="57A61A29"/>
    <w:multiLevelType w:val="hybridMultilevel"/>
    <w:lvl w:ilvl="0">
      <w:lvlJc w:val="left"/>
      <w:lvlText w:val="-"/>
      <w:numFmt w:val="bullet"/>
      <w:start w:val="1"/>
    </w:lvl>
  </w:abstractNum>
  <w:abstractNum w:abstractNumId="110">
    <w:nsid w:val="5399C654"/>
    <w:multiLevelType w:val="hybridMultilevel"/>
    <w:lvl w:ilvl="0">
      <w:lvlJc w:val="left"/>
      <w:lvlText w:val="-"/>
      <w:numFmt w:val="bullet"/>
      <w:start w:val="1"/>
    </w:lvl>
  </w:abstractNum>
  <w:abstractNum w:abstractNumId="111">
    <w:nsid w:val="20EE1348"/>
    <w:multiLevelType w:val="hybridMultilevel"/>
    <w:lvl w:ilvl="0">
      <w:lvlJc w:val="left"/>
      <w:lvlText w:val="-"/>
      <w:numFmt w:val="bullet"/>
      <w:start w:val="1"/>
    </w:lvl>
    <w:lvl w:ilvl="1">
      <w:lvlJc w:val="left"/>
      <w:lvlText w:val="%2"/>
      <w:numFmt w:val="upperLetter"/>
      <w:start w:val="1"/>
    </w:lvl>
  </w:abstractNum>
  <w:abstractNum w:abstractNumId="112">
    <w:nsid w:val="4427069A"/>
    <w:multiLevelType w:val="hybridMultilevel"/>
    <w:lvl w:ilvl="0">
      <w:lvlJc w:val="left"/>
      <w:lvlText w:val="-"/>
      <w:numFmt w:val="bullet"/>
      <w:start w:val="1"/>
    </w:lvl>
  </w:abstractNum>
  <w:abstractNum w:abstractNumId="113">
    <w:nsid w:val="B37E80A"/>
    <w:multiLevelType w:val="hybridMultilevel"/>
    <w:lvl w:ilvl="0">
      <w:lvlJc w:val="left"/>
      <w:lvlText w:val="-"/>
      <w:numFmt w:val="bullet"/>
      <w:start w:val="1"/>
    </w:lvl>
  </w:abstractNum>
  <w:abstractNum w:abstractNumId="114">
    <w:nsid w:val="2157F6BC"/>
    <w:multiLevelType w:val="hybridMultilevel"/>
    <w:lvl w:ilvl="0">
      <w:lvlJc w:val="left"/>
      <w:lvlText w:val="-"/>
      <w:numFmt w:val="bullet"/>
      <w:start w:val="1"/>
    </w:lvl>
    <w:lvl w:ilvl="1">
      <w:lvlJc w:val="left"/>
      <w:lvlText w:val="%2"/>
      <w:numFmt w:val="upperLetter"/>
      <w:start w:val="1"/>
    </w:lvl>
  </w:abstractNum>
  <w:abstractNum w:abstractNumId="115">
    <w:nsid w:val="704E1DD5"/>
    <w:multiLevelType w:val="hybridMultilevel"/>
    <w:lvl w:ilvl="0">
      <w:lvlJc w:val="left"/>
      <w:lvlText w:val="-"/>
      <w:numFmt w:val="bullet"/>
      <w:start w:val="1"/>
    </w:lvl>
  </w:abstractNum>
  <w:abstractNum w:abstractNumId="116">
    <w:nsid w:val="57D2F10E"/>
    <w:multiLevelType w:val="hybridMultilevel"/>
    <w:lvl w:ilvl="0">
      <w:lvlJc w:val="left"/>
      <w:lvlText w:val="-"/>
      <w:numFmt w:val="bullet"/>
      <w:start w:val="1"/>
    </w:lvl>
  </w:abstractNum>
  <w:abstractNum w:abstractNumId="117">
    <w:nsid w:val="BFFAE18"/>
    <w:multiLevelType w:val="hybridMultilevel"/>
    <w:lvl w:ilvl="0">
      <w:lvlJc w:val="left"/>
      <w:lvlText w:val="-"/>
      <w:numFmt w:val="bullet"/>
      <w:start w:val="1"/>
    </w:lvl>
    <w:lvl w:ilvl="1">
      <w:lvlJc w:val="left"/>
      <w:lvlText w:val="%2"/>
      <w:numFmt w:val="upperLetter"/>
      <w:start w:val="1"/>
    </w:lvl>
  </w:abstractNum>
  <w:abstractNum w:abstractNumId="118">
    <w:nsid w:val="E3E47A8"/>
    <w:multiLevelType w:val="hybridMultilevel"/>
    <w:lvl w:ilvl="0">
      <w:lvlJc w:val="left"/>
      <w:lvlText w:val="-"/>
      <w:numFmt w:val="bullet"/>
      <w:start w:val="1"/>
    </w:lvl>
  </w:abstractNum>
  <w:abstractNum w:abstractNumId="119">
    <w:nsid w:val="2E48F044"/>
    <w:multiLevelType w:val="hybridMultilevel"/>
    <w:lvl w:ilvl="0">
      <w:lvlJc w:val="left"/>
      <w:lvlText w:val="-"/>
      <w:numFmt w:val="bullet"/>
      <w:start w:val="1"/>
    </w:lvl>
  </w:abstractNum>
  <w:abstractNum w:abstractNumId="120">
    <w:nsid w:val="49D0FEAC"/>
    <w:multiLevelType w:val="hybridMultilevel"/>
    <w:lvl w:ilvl="0">
      <w:lvlJc w:val="left"/>
      <w:lvlText w:val="-"/>
      <w:numFmt w:val="bullet"/>
      <w:start w:val="1"/>
    </w:lvl>
  </w:abstractNum>
  <w:abstractNum w:abstractNumId="121">
    <w:nsid w:val="4BEE5A5B"/>
    <w:multiLevelType w:val="hybridMultilevel"/>
    <w:lvl w:ilvl="0">
      <w:lvlJc w:val="left"/>
      <w:lvlText w:val="-"/>
      <w:numFmt w:val="bullet"/>
      <w:start w:val="1"/>
    </w:lvl>
    <w:lvl w:ilvl="1">
      <w:lvlJc w:val="left"/>
      <w:lvlText w:val="%2"/>
      <w:numFmt w:val="upperLetter"/>
      <w:start w:val="1"/>
    </w:lvl>
  </w:abstractNum>
  <w:abstractNum w:abstractNumId="122">
    <w:nsid w:val="5551B9F3"/>
    <w:multiLevelType w:val="hybridMultilevel"/>
    <w:lvl w:ilvl="0">
      <w:lvlJc w:val="left"/>
      <w:lvlText w:val="-"/>
      <w:numFmt w:val="bullet"/>
      <w:start w:val="1"/>
    </w:lvl>
  </w:abstractNum>
  <w:abstractNum w:abstractNumId="123">
    <w:nsid w:val="24F6AB8E"/>
    <w:multiLevelType w:val="hybridMultilevel"/>
    <w:lvl w:ilvl="0">
      <w:lvlJc w:val="left"/>
      <w:lvlText w:val="-"/>
      <w:numFmt w:val="bullet"/>
      <w:start w:val="1"/>
    </w:lvl>
  </w:abstractNum>
  <w:abstractNum w:abstractNumId="124">
    <w:nsid w:val="634C574C"/>
    <w:multiLevelType w:val="hybridMultilevel"/>
    <w:lvl w:ilvl="0">
      <w:lvlJc w:val="left"/>
      <w:lvlText w:val="-"/>
      <w:numFmt w:val="bullet"/>
      <w:start w:val="1"/>
    </w:lvl>
    <w:lvl w:ilvl="1">
      <w:lvlJc w:val="left"/>
      <w:lvlText w:val="%2"/>
      <w:numFmt w:val="upperLetter"/>
      <w:start w:val="1"/>
    </w:lvl>
  </w:abstractNum>
  <w:abstractNum w:abstractNumId="125">
    <w:nsid w:val="24E99DD7"/>
    <w:multiLevelType w:val="hybridMultilevel"/>
    <w:lvl w:ilvl="0">
      <w:lvlJc w:val="left"/>
      <w:lvlText w:val="-"/>
      <w:numFmt w:val="bullet"/>
      <w:start w:val="1"/>
    </w:lvl>
  </w:abstractNum>
  <w:abstractNum w:abstractNumId="126">
    <w:nsid w:val="2A31B62D"/>
    <w:multiLevelType w:val="hybridMultilevel"/>
    <w:lvl w:ilvl="0">
      <w:lvlJc w:val="left"/>
      <w:lvlText w:val="-"/>
      <w:numFmt w:val="bullet"/>
      <w:start w:val="1"/>
    </w:lvl>
  </w:abstractNum>
  <w:abstractNum w:abstractNumId="127">
    <w:nsid w:val="1849C29B"/>
    <w:multiLevelType w:val="hybridMultilevel"/>
    <w:lvl w:ilvl="0">
      <w:lvlJc w:val="left"/>
      <w:lvlText w:val="-"/>
      <w:numFmt w:val="bullet"/>
      <w:start w:val="1"/>
    </w:lvl>
  </w:abstractNum>
  <w:abstractNum w:abstractNumId="128">
    <w:nsid w:val="7DFF9D09"/>
    <w:multiLevelType w:val="hybridMultilevel"/>
    <w:lvl w:ilvl="0">
      <w:lvlJc w:val="left"/>
      <w:lvlText w:val="-"/>
      <w:numFmt w:val="bullet"/>
      <w:start w:val="1"/>
    </w:lvl>
    <w:lvl w:ilvl="1">
      <w:lvlJc w:val="left"/>
      <w:lvlText w:val="%2"/>
      <w:numFmt w:val="upperLetter"/>
      <w:start w:val="1"/>
    </w:lvl>
  </w:abstractNum>
  <w:abstractNum w:abstractNumId="129">
    <w:nsid w:val="754342"/>
    <w:multiLevelType w:val="hybridMultilevel"/>
    <w:lvl w:ilvl="0">
      <w:lvlJc w:val="left"/>
      <w:lvlText w:val="-"/>
      <w:numFmt w:val="bullet"/>
      <w:start w:val="1"/>
    </w:lvl>
  </w:abstractNum>
  <w:abstractNum w:abstractNumId="130">
    <w:nsid w:val="69E7F3E5"/>
    <w:multiLevelType w:val="hybridMultilevel"/>
    <w:lvl w:ilvl="0">
      <w:lvlJc w:val="left"/>
      <w:lvlText w:val="-"/>
      <w:numFmt w:val="bullet"/>
      <w:start w:val="1"/>
    </w:lvl>
  </w:abstractNum>
  <w:abstractNum w:abstractNumId="131">
    <w:nsid w:val="2A6DE806"/>
    <w:multiLevelType w:val="hybridMultilevel"/>
    <w:lvl w:ilvl="0">
      <w:lvlJc w:val="left"/>
      <w:lvlText w:val="-"/>
      <w:numFmt w:val="bullet"/>
      <w:start w:val="1"/>
    </w:lvl>
    <w:lvl w:ilvl="1">
      <w:lvlJc w:val="left"/>
      <w:lvlText w:val="%2"/>
      <w:numFmt w:val="upperLetter"/>
      <w:start w:val="1"/>
    </w:lvl>
  </w:abstractNum>
  <w:abstractNum w:abstractNumId="132">
    <w:nsid w:val="1816F8C4"/>
    <w:multiLevelType w:val="hybridMultilevel"/>
    <w:lvl w:ilvl="0">
      <w:lvlJc w:val="left"/>
      <w:lvlText w:val="-"/>
      <w:numFmt w:val="bullet"/>
      <w:start w:val="1"/>
    </w:lvl>
  </w:abstractNum>
  <w:abstractNum w:abstractNumId="133">
    <w:nsid w:val="37DF2233"/>
    <w:multiLevelType w:val="hybridMultilevel"/>
    <w:lvl w:ilvl="0">
      <w:lvlJc w:val="left"/>
      <w:lvlText w:val="-"/>
      <w:numFmt w:val="bullet"/>
      <w:start w:val="1"/>
    </w:lvl>
  </w:abstractNum>
  <w:abstractNum w:abstractNumId="134">
    <w:nsid w:val="7AB49DAF"/>
    <w:multiLevelType w:val="hybridMultilevel"/>
    <w:lvl w:ilvl="0">
      <w:lvlJc w:val="left"/>
      <w:lvlText w:val="-"/>
      <w:numFmt w:val="bullet"/>
      <w:start w:val="1"/>
    </w:lvl>
    <w:lvl w:ilvl="1">
      <w:lvlJc w:val="left"/>
      <w:lvlText w:val="%2"/>
      <w:numFmt w:val="upperLetter"/>
      <w:start w:val="1"/>
    </w:lvl>
  </w:abstractNum>
  <w:abstractNum w:abstractNumId="135">
    <w:nsid w:val="759F82CD"/>
    <w:multiLevelType w:val="hybridMultilevel"/>
    <w:lvl w:ilvl="0">
      <w:lvlJc w:val="left"/>
      <w:lvlText w:val="-"/>
      <w:numFmt w:val="bullet"/>
      <w:start w:val="1"/>
    </w:lvl>
  </w:abstractNum>
  <w:abstractNum w:abstractNumId="136">
    <w:nsid w:val="61E74EA3"/>
    <w:multiLevelType w:val="hybridMultilevel"/>
    <w:lvl w:ilvl="0">
      <w:lvlJc w:val="left"/>
      <w:lvlText w:val="-"/>
      <w:numFmt w:val="bullet"/>
      <w:start w:val="1"/>
    </w:lvl>
    <w:lvl w:ilvl="1">
      <w:lvlJc w:val="left"/>
      <w:lvlText w:val="%2"/>
      <w:numFmt w:val="upperLetter"/>
      <w:start w:val="1"/>
    </w:lvl>
  </w:abstractNum>
  <w:abstractNum w:abstractNumId="137">
    <w:nsid w:val="597B4D84"/>
    <w:multiLevelType w:val="hybridMultilevel"/>
    <w:lvl w:ilvl="0">
      <w:lvlJc w:val="left"/>
      <w:lvlText w:val="-"/>
      <w:numFmt w:val="bullet"/>
      <w:start w:val="1"/>
    </w:lvl>
  </w:abstractNum>
  <w:abstractNum w:abstractNumId="138">
    <w:nsid w:val="F819E7F"/>
    <w:multiLevelType w:val="hybridMultilevel"/>
    <w:lvl w:ilvl="0">
      <w:lvlJc w:val="left"/>
      <w:lvlText w:val="-"/>
      <w:numFmt w:val="bullet"/>
      <w:start w:val="1"/>
    </w:lvl>
  </w:abstractNum>
  <w:abstractNum w:abstractNumId="139">
    <w:nsid w:val="57C7D42D"/>
    <w:multiLevelType w:val="hybridMultilevel"/>
    <w:lvl w:ilvl="0">
      <w:lvlJc w:val="left"/>
      <w:lvlText w:val="-"/>
      <w:numFmt w:val="bullet"/>
      <w:start w:val="1"/>
    </w:lvl>
    <w:lvl w:ilvl="1">
      <w:lvlJc w:val="left"/>
      <w:lvlText w:val="%2"/>
      <w:numFmt w:val="upperLetter"/>
      <w:start w:val="1"/>
    </w:lvl>
  </w:abstractNum>
  <w:abstractNum w:abstractNumId="140">
    <w:nsid w:val="312167AD"/>
    <w:multiLevelType w:val="hybridMultilevel"/>
    <w:lvl w:ilvl="0">
      <w:lvlJc w:val="left"/>
      <w:lvlText w:val="-"/>
      <w:numFmt w:val="bullet"/>
      <w:start w:val="1"/>
    </w:lvl>
  </w:abstractNum>
  <w:abstractNum w:abstractNumId="141">
    <w:nsid w:val="631B64D4"/>
    <w:multiLevelType w:val="hybridMultilevel"/>
    <w:lvl w:ilvl="0">
      <w:lvlJc w:val="left"/>
      <w:lvlText w:val="-"/>
      <w:numFmt w:val="bullet"/>
      <w:start w:val="1"/>
    </w:lvl>
  </w:abstractNum>
  <w:abstractNum w:abstractNumId="142">
    <w:nsid w:val="78B5E776"/>
    <w:multiLevelType w:val="hybridMultilevel"/>
    <w:lvl w:ilvl="0">
      <w:lvlJc w:val="left"/>
      <w:lvlText w:val="-"/>
      <w:numFmt w:val="bullet"/>
      <w:start w:val="1"/>
    </w:lvl>
    <w:lvl w:ilvl="1">
      <w:lvlJc w:val="left"/>
      <w:lvlText w:val="%2"/>
      <w:numFmt w:val="upperLetter"/>
      <w:start w:val="1"/>
    </w:lvl>
  </w:abstractNum>
  <w:abstractNum w:abstractNumId="143">
    <w:nsid w:val="75486E47"/>
    <w:multiLevelType w:val="hybridMultilevel"/>
    <w:lvl w:ilvl="0">
      <w:lvlJc w:val="left"/>
      <w:lvlText w:val="-"/>
      <w:numFmt w:val="bullet"/>
      <w:start w:val="1"/>
    </w:lvl>
  </w:abstractNum>
  <w:abstractNum w:abstractNumId="144">
    <w:nsid w:val="6E534CDE"/>
    <w:multiLevelType w:val="hybridMultilevel"/>
    <w:lvl w:ilvl="0">
      <w:lvlJc w:val="left"/>
      <w:lvlText w:val="-"/>
      <w:numFmt w:val="bullet"/>
      <w:start w:val="1"/>
    </w:lvl>
  </w:abstractNum>
  <w:abstractNum w:abstractNumId="145">
    <w:nsid w:val="1A0DDE32"/>
    <w:multiLevelType w:val="hybridMultilevel"/>
    <w:lvl w:ilvl="0">
      <w:lvlJc w:val="left"/>
      <w:lvlText w:val="-"/>
      <w:numFmt w:val="bullet"/>
      <w:start w:val="1"/>
    </w:lvl>
  </w:abstractNum>
  <w:abstractNum w:abstractNumId="146">
    <w:nsid w:val="65968C1C"/>
    <w:multiLevelType w:val="hybridMultilevel"/>
    <w:lvl w:ilvl="0">
      <w:lvlJc w:val="left"/>
      <w:lvlText w:val="-"/>
      <w:numFmt w:val="bullet"/>
      <w:start w:val="1"/>
    </w:lvl>
  </w:abstractNum>
  <w:abstractNum w:abstractNumId="147">
    <w:nsid w:val="46263DEC"/>
    <w:multiLevelType w:val="hybridMultilevel"/>
    <w:lvl w:ilvl="0">
      <w:lvlJc w:val="left"/>
      <w:lvlText w:val="---"/>
      <w:numFmt w:val="bullet"/>
      <w:start w:val="1"/>
    </w:lvl>
  </w:abstractNum>
  <w:abstractNum w:abstractNumId="148">
    <w:nsid w:val="260D8C4A"/>
    <w:multiLevelType w:val="hybridMultilevel"/>
    <w:lvl w:ilvl="0">
      <w:lvlJc w:val="left"/>
      <w:lvlText w:val="5"/>
      <w:numFmt w:val="bullet"/>
      <w:start w:val="1"/>
    </w:lvl>
  </w:abstractNum>
  <w:abstractNum w:abstractNumId="149">
    <w:nsid w:val="73D4D3C4"/>
    <w:multiLevelType w:val="hybridMultilevel"/>
    <w:lvl w:ilvl="0">
      <w:lvlJc w:val="left"/>
      <w:lvlText w:val="*"/>
      <w:numFmt w:val="bullet"/>
      <w:start w:val="1"/>
    </w:lvl>
  </w:abstractNum>
  <w:abstractNum w:abstractNumId="150">
    <w:nsid w:val="746F2E30"/>
    <w:multiLevelType w:val="hybridMultilevel"/>
    <w:lvl w:ilvl="0">
      <w:lvlJc w:val="left"/>
      <w:lvlText w:val="(%1)"/>
      <w:numFmt w:val="lowerRoman"/>
      <w:start w:val="4"/>
    </w:lvl>
  </w:abstractNum>
  <w:abstractNum w:abstractNumId="151">
    <w:nsid w:val="6FDE8AF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2019-12-20T06:12:17Z</dcterms:created>
  <dcterms:modified xsi:type="dcterms:W3CDTF">2019-12-20T06:12:17Z</dcterms:modified>
</cp:coreProperties>
</file>