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 C. 20549</w:t>
      </w:r>
    </w:p>
    <w:p>
      <w:pPr>
        <w:spacing w:after="0" w:line="209"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40" w:right="1259" w:hanging="116"/>
        <w:spacing w:after="0" w:line="532" w:lineRule="auto"/>
        <w:tabs>
          <w:tab w:leader="none" w:pos="71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2008</w:t>
      </w:r>
    </w:p>
    <w:p>
      <w:pPr>
        <w:spacing w:after="0" w:line="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40" w:right="859" w:hanging="8"/>
        <w:spacing w:after="0" w:line="564" w:lineRule="auto"/>
        <w:tabs>
          <w:tab w:leader="none" w:pos="74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15(d) OF THE SECURITIES EXCHANGE ACT OF 1934 FOR THE TRANSITION PERIOD FROM ________________ TO _________________</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NUMBERS 033-47073; 333-147397; 333-154364</w:t>
      </w:r>
    </w:p>
    <w:p>
      <w:pPr>
        <w:spacing w:after="0" w:line="27" w:lineRule="exact"/>
        <w:rPr>
          <w:sz w:val="24"/>
          <w:szCs w:val="24"/>
          <w:color w:val="auto"/>
        </w:rPr>
      </w:pPr>
    </w:p>
    <w:p>
      <w:pPr>
        <w:ind w:left="3860" w:right="2279" w:hanging="3204"/>
        <w:spacing w:after="0" w:line="589" w:lineRule="auto"/>
        <w:tabs>
          <w:tab w:leader="none" w:pos="986" w:val="left"/>
        </w:tabs>
        <w:numPr>
          <w:ilvl w:val="0"/>
          <w:numId w:val="3"/>
        </w:numPr>
        <w:rPr>
          <w:rFonts w:ascii="Arial" w:cs="Arial" w:eastAsia="Arial" w:hAnsi="Arial"/>
          <w:sz w:val="16"/>
          <w:szCs w:val="16"/>
          <w:color w:val="auto"/>
        </w:rPr>
      </w:pPr>
      <w:r>
        <w:rPr>
          <w:rFonts w:ascii="Arial" w:cs="Arial" w:eastAsia="Arial" w:hAnsi="Arial"/>
          <w:sz w:val="16"/>
          <w:szCs w:val="16"/>
          <w:color w:val="auto"/>
        </w:rPr>
        <w:t>Full title of the plan and the address of the plan, if different from that of the issuer named below: The Scotts Company LLC Retirement Savings Plan</w:t>
      </w: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issuer of the securities held pursuant to the plan and the address of its principal executive office:</w:t>
      </w:r>
    </w:p>
    <w:p>
      <w:pPr>
        <w:spacing w:after="0" w:line="26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14111 Scottslawn Road</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Marysville, Ohio 43041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 w:name="page2"/>
    <w:bookmarkEnd w:id="1"/>
    <w:p>
      <w:pPr>
        <w:ind w:left="4940"/>
        <w:spacing w:after="0"/>
        <w:rPr>
          <w:sz w:val="20"/>
          <w:szCs w:val="20"/>
          <w:color w:val="auto"/>
        </w:rPr>
      </w:pPr>
      <w:r>
        <w:rPr>
          <w:rFonts w:ascii="Arial" w:cs="Arial" w:eastAsia="Arial" w:hAnsi="Arial"/>
          <w:sz w:val="18"/>
          <w:szCs w:val="18"/>
          <w:color w:val="auto"/>
        </w:rPr>
        <w:t>REQUIRED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supplemental schedule for The Scotts Company LLC Retirement Savings Plan are being 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Audited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Net Assets Available for Benefits as of December 31, 2008 and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Changes in Net Assets Available for Benefits for the Years Ended December 31, 2008 and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of Assets Held for Investment Purposes at End of Year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340" w:type="dxa"/>
            <w:vAlign w:val="bottom"/>
            <w:gridSpan w:val="3"/>
          </w:tcPr>
          <w:p>
            <w:pPr>
              <w:ind w:left="220"/>
              <w:spacing w:after="0"/>
              <w:rPr>
                <w:sz w:val="20"/>
                <w:szCs w:val="20"/>
                <w:color w:val="auto"/>
              </w:rPr>
            </w:pPr>
            <w:r>
              <w:rPr>
                <w:rFonts w:ascii="Arial" w:cs="Arial" w:eastAsia="Arial" w:hAnsi="Arial"/>
                <w:sz w:val="18"/>
                <w:szCs w:val="18"/>
                <w:color w:val="auto"/>
                <w:w w:val="90"/>
              </w:rPr>
              <w:t>Note: Other supplemental schedules required by Section 252.103-10 of the Department of Labor’s Rules and Regulations for Reporting and</w:t>
            </w:r>
          </w:p>
        </w:tc>
      </w:tr>
      <w:tr>
        <w:trPr>
          <w:trHeight w:val="230"/>
        </w:trPr>
        <w:tc>
          <w:tcPr>
            <w:tcW w:w="1080" w:type="dxa"/>
            <w:vAlign w:val="bottom"/>
          </w:tcPr>
          <w:p>
            <w:pPr>
              <w:spacing w:after="0"/>
              <w:rPr>
                <w:sz w:val="20"/>
                <w:szCs w:val="20"/>
                <w:color w:val="auto"/>
              </w:rPr>
            </w:pPr>
          </w:p>
        </w:tc>
        <w:tc>
          <w:tcPr>
            <w:tcW w:w="10340" w:type="dxa"/>
            <w:vAlign w:val="bottom"/>
            <w:gridSpan w:val="3"/>
          </w:tcPr>
          <w:p>
            <w:pPr>
              <w:ind w:left="220"/>
              <w:spacing w:after="0"/>
              <w:rPr>
                <w:sz w:val="20"/>
                <w:szCs w:val="20"/>
                <w:color w:val="auto"/>
              </w:rPr>
            </w:pPr>
            <w:r>
              <w:rPr>
                <w:rFonts w:ascii="Arial" w:cs="Arial" w:eastAsia="Arial" w:hAnsi="Arial"/>
                <w:sz w:val="18"/>
                <w:szCs w:val="18"/>
                <w:color w:val="auto"/>
              </w:rPr>
              <w:t>Disclosure under ERISA have been omitted because they are not applicable.</w:t>
            </w:r>
          </w:p>
        </w:tc>
      </w:tr>
      <w:tr>
        <w:trPr>
          <w:trHeight w:val="459"/>
        </w:trPr>
        <w:tc>
          <w:tcPr>
            <w:tcW w:w="11420" w:type="dxa"/>
            <w:vAlign w:val="bottom"/>
            <w:gridSpan w:val="4"/>
          </w:tcPr>
          <w:p>
            <w:pPr>
              <w:spacing w:after="0"/>
              <w:rPr>
                <w:sz w:val="20"/>
                <w:szCs w:val="20"/>
                <w:color w:val="auto"/>
              </w:rPr>
            </w:pPr>
            <w:r>
              <w:rPr>
                <w:rFonts w:ascii="Arial" w:cs="Arial" w:eastAsia="Arial" w:hAnsi="Arial"/>
                <w:sz w:val="18"/>
                <w:szCs w:val="18"/>
                <w:color w:val="auto"/>
              </w:rPr>
              <w:t>The following exhibit is being filed herewith:</w:t>
            </w:r>
          </w:p>
        </w:tc>
      </w:tr>
      <w:tr>
        <w:trPr>
          <w:trHeight w:val="466"/>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Consent of Independent Registered Public Accounting Firm – Meaden &amp; Moore, Ltd.</w:t>
            </w:r>
          </w:p>
        </w:tc>
      </w:tr>
      <w:tr>
        <w:trPr>
          <w:trHeight w:val="608"/>
        </w:trPr>
        <w:tc>
          <w:tcPr>
            <w:tcW w:w="1080" w:type="dxa"/>
            <w:vAlign w:val="bottom"/>
          </w:tcPr>
          <w:p>
            <w:pPr>
              <w:spacing w:after="0"/>
              <w:rPr>
                <w:sz w:val="24"/>
                <w:szCs w:val="24"/>
                <w:color w:val="auto"/>
              </w:rPr>
            </w:pPr>
          </w:p>
        </w:tc>
        <w:tc>
          <w:tcPr>
            <w:tcW w:w="10340" w:type="dxa"/>
            <w:vAlign w:val="bottom"/>
            <w:gridSpan w:val="3"/>
          </w:tcPr>
          <w:p>
            <w:pPr>
              <w:jc w:val="right"/>
              <w:ind w:right="5570"/>
              <w:spacing w:after="0"/>
              <w:rPr>
                <w:sz w:val="20"/>
                <w:szCs w:val="20"/>
                <w:color w:val="auto"/>
              </w:rPr>
            </w:pPr>
            <w:r>
              <w:rPr>
                <w:rFonts w:ascii="Arial" w:cs="Arial" w:eastAsia="Arial" w:hAnsi="Arial"/>
                <w:sz w:val="18"/>
                <w:szCs w:val="18"/>
                <w:color w:val="auto"/>
              </w:rPr>
              <w:t>2</w:t>
            </w:r>
          </w:p>
        </w:tc>
      </w:tr>
      <w:tr>
        <w:trPr>
          <w:trHeight w:val="118"/>
        </w:trPr>
        <w:tc>
          <w:tcPr>
            <w:tcW w:w="10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Date: June 18, 2009</w:t>
            </w: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30"/>
        </w:trPr>
        <w:tc>
          <w:tcPr>
            <w:tcW w:w="356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w w:val="94"/>
              </w:rPr>
              <w:t>Printed</w:t>
            </w:r>
          </w:p>
        </w:tc>
        <w:tc>
          <w:tcPr>
            <w:tcW w:w="5140" w:type="dxa"/>
            <w:vAlign w:val="bottom"/>
          </w:tcPr>
          <w:p>
            <w:pPr>
              <w:spacing w:after="0"/>
              <w:rPr>
                <w:sz w:val="20"/>
                <w:szCs w:val="20"/>
                <w:color w:val="auto"/>
              </w:rPr>
            </w:pPr>
            <w:r>
              <w:rPr>
                <w:rFonts w:ascii="Arial" w:cs="Arial" w:eastAsia="Arial" w:hAnsi="Arial"/>
                <w:sz w:val="18"/>
                <w:szCs w:val="18"/>
                <w:color w:val="auto"/>
              </w:rPr>
              <w:t>Name: David C. Evans</w:t>
            </w:r>
          </w:p>
        </w:tc>
      </w:tr>
      <w:tr>
        <w:trPr>
          <w:trHeight w:val="404"/>
        </w:trPr>
        <w:tc>
          <w:tcPr>
            <w:tcW w:w="356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Title:</w:t>
            </w:r>
          </w:p>
        </w:tc>
        <w:tc>
          <w:tcPr>
            <w:tcW w:w="5140" w:type="dxa"/>
            <w:vAlign w:val="bottom"/>
          </w:tcPr>
          <w:p>
            <w:pPr>
              <w:ind w:left="180"/>
              <w:spacing w:after="0"/>
              <w:rPr>
                <w:sz w:val="20"/>
                <w:szCs w:val="20"/>
                <w:color w:val="auto"/>
              </w:rPr>
            </w:pPr>
            <w:r>
              <w:rPr>
                <w:rFonts w:ascii="Arial" w:cs="Arial" w:eastAsia="Arial" w:hAnsi="Arial"/>
                <w:sz w:val="18"/>
                <w:szCs w:val="18"/>
                <w:color w:val="auto"/>
              </w:rPr>
              <w:t>Executive Vice President and Chief</w:t>
            </w:r>
          </w:p>
        </w:tc>
      </w:tr>
      <w:tr>
        <w:trPr>
          <w:trHeight w:val="216"/>
        </w:trPr>
        <w:tc>
          <w:tcPr>
            <w:tcW w:w="3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Financial Officer of The Scotts</w:t>
            </w:r>
          </w:p>
        </w:tc>
      </w:tr>
      <w:tr>
        <w:trPr>
          <w:trHeight w:val="230"/>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Miracle-Gro Company</w:t>
            </w:r>
          </w:p>
        </w:tc>
      </w:tr>
      <w:tr>
        <w:trPr>
          <w:trHeight w:val="608"/>
        </w:trPr>
        <w:tc>
          <w:tcPr>
            <w:tcW w:w="3560" w:type="dxa"/>
            <w:vAlign w:val="bottom"/>
          </w:tcPr>
          <w:p>
            <w:pPr>
              <w:spacing w:after="0"/>
              <w:rPr>
                <w:sz w:val="24"/>
                <w:szCs w:val="24"/>
                <w:color w:val="auto"/>
              </w:rPr>
            </w:pPr>
          </w:p>
        </w:tc>
        <w:tc>
          <w:tcPr>
            <w:tcW w:w="272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r>
      <w:tr>
        <w:trPr>
          <w:trHeight w:val="118"/>
        </w:trPr>
        <w:tc>
          <w:tcPr>
            <w:tcW w:w="35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SCOTTS COMPANY LLC RETIREMENT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THE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Statements:</w:t>
            </w: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Statements of Net Assets Available for Benefits</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ind w:left="320"/>
              <w:spacing w:after="0"/>
              <w:rPr>
                <w:sz w:val="20"/>
                <w:szCs w:val="20"/>
                <w:color w:val="auto"/>
              </w:rPr>
            </w:pPr>
            <w:r>
              <w:rPr>
                <w:rFonts w:ascii="Arial" w:cs="Arial" w:eastAsia="Arial" w:hAnsi="Arial"/>
                <w:sz w:val="18"/>
                <w:szCs w:val="18"/>
                <w:color w:val="auto"/>
              </w:rPr>
              <w:t>Statements of Changes in Net Assets Available for Benefits</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Notes to Financial Statements</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8 –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Supplemental Schedule</w:t>
            </w:r>
          </w:p>
        </w:tc>
        <w:tc>
          <w:tcPr>
            <w:tcW w:w="14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Schedule of Assets Held for Investment Purposes at End of Year</w:t>
            </w:r>
          </w:p>
        </w:tc>
        <w:tc>
          <w:tcPr>
            <w:tcW w:w="1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NOTE:</w:t>
            </w:r>
          </w:p>
        </w:tc>
        <w:tc>
          <w:tcPr>
            <w:tcW w:w="10340" w:type="dxa"/>
            <w:vAlign w:val="bottom"/>
            <w:gridSpan w:val="2"/>
          </w:tcPr>
          <w:p>
            <w:pPr>
              <w:ind w:left="220"/>
              <w:spacing w:after="0"/>
              <w:rPr>
                <w:sz w:val="20"/>
                <w:szCs w:val="20"/>
                <w:color w:val="auto"/>
              </w:rPr>
            </w:pPr>
            <w:r>
              <w:rPr>
                <w:rFonts w:ascii="Arial" w:cs="Arial" w:eastAsia="Arial" w:hAnsi="Arial"/>
                <w:sz w:val="18"/>
                <w:szCs w:val="18"/>
                <w:color w:val="auto"/>
                <w:w w:val="96"/>
              </w:rPr>
              <w:t>Other supplement schedules required by Section 252.103-10 of the Department of Labor’s Rules and Regulations for Reporting and</w:t>
            </w:r>
          </w:p>
        </w:tc>
        <w:tc>
          <w:tcPr>
            <w:tcW w:w="0" w:type="dxa"/>
            <w:vAlign w:val="bottom"/>
          </w:tcPr>
          <w:p>
            <w:pPr>
              <w:spacing w:after="0"/>
              <w:rPr>
                <w:sz w:val="1"/>
                <w:szCs w:val="1"/>
                <w:color w:val="auto"/>
              </w:rPr>
            </w:pPr>
          </w:p>
        </w:tc>
      </w:tr>
    </w:tbl>
    <w:p>
      <w:pPr>
        <w:ind w:left="1300"/>
        <w:spacing w:after="0"/>
        <w:rPr>
          <w:sz w:val="20"/>
          <w:szCs w:val="20"/>
          <w:color w:val="auto"/>
        </w:rPr>
      </w:pPr>
      <w:r>
        <w:rPr>
          <w:rFonts w:ascii="Arial" w:cs="Arial" w:eastAsia="Arial" w:hAnsi="Arial"/>
          <w:sz w:val="18"/>
          <w:szCs w:val="18"/>
          <w:color w:val="auto"/>
        </w:rPr>
        <w:t>Disclosure and ERISA have been omitted because they are 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SCOTTS COMPANY LLC RETIREMENT SAVINGS PLAN as of December 31, 2008 and 2007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2008, the Plan adopted Statement of Financial Accounting Standards ("SFAS") No. 157, "Fair Value Measurements."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SCOTTS COMPANY LLC RETIREMENT SAVINGS PLAN as of December 31, 2008 and 2007, and the changes in its net assets available for benefits for the years then ended, in conformity with accounting principles generally accepted in the United States of America.</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2008, is presented for the purpose of additional analysis and is not a required part of the financial statements but is supplemental information required by the Department of Labor's Rules and Regulations for Reporting and Disclosure under the Employee Retirement Income Security Act of 1974. The supplemental schedule is the responsibility of the Plan's management. The supplemental information has been subjected to the auditing procedures applied in our audits of the financial statements and, in our opinion, is fairly stated in all material respects in relation to the financial statements taken as a whole.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MEADEN &amp; MOORE,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June 18,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40" w:type="dxa"/>
            <w:vAlign w:val="bottom"/>
          </w:tcPr>
          <w:p>
            <w:pPr>
              <w:jc w:val="center"/>
              <w:ind w:left="2850"/>
              <w:spacing w:after="0"/>
              <w:rPr>
                <w:sz w:val="20"/>
                <w:szCs w:val="20"/>
                <w:color w:val="auto"/>
              </w:rPr>
            </w:pPr>
            <w:r>
              <w:rPr>
                <w:rFonts w:ascii="Arial" w:cs="Arial" w:eastAsia="Arial" w:hAnsi="Arial"/>
                <w:sz w:val="18"/>
                <w:szCs w:val="18"/>
                <w:color w:val="auto"/>
                <w:w w:val="95"/>
              </w:rPr>
              <w:t>STATEMENTS OF NET ASSETS AVAILABLE FOR BENEFITS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440" w:type="dxa"/>
            <w:vAlign w:val="bottom"/>
          </w:tcPr>
          <w:p>
            <w:pPr>
              <w:jc w:val="center"/>
              <w:ind w:left="2850"/>
              <w:spacing w:after="0"/>
              <w:rPr>
                <w:sz w:val="20"/>
                <w:szCs w:val="20"/>
                <w:color w:val="auto"/>
              </w:rPr>
            </w:pPr>
            <w:r>
              <w:rPr>
                <w:rFonts w:ascii="Arial" w:cs="Arial" w:eastAsia="Arial" w:hAnsi="Arial"/>
                <w:sz w:val="18"/>
                <w:szCs w:val="18"/>
                <w:color w:val="auto"/>
                <w:w w:val="92"/>
              </w:rPr>
              <w:t>The Scotts Company LLC</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jc w:val="center"/>
              <w:ind w:left="2850"/>
              <w:spacing w:after="0"/>
              <w:rPr>
                <w:sz w:val="20"/>
                <w:szCs w:val="20"/>
                <w:color w:val="auto"/>
              </w:rPr>
            </w:pPr>
            <w:r>
              <w:rPr>
                <w:rFonts w:ascii="Arial" w:cs="Arial" w:eastAsia="Arial" w:hAnsi="Arial"/>
                <w:sz w:val="18"/>
                <w:szCs w:val="18"/>
                <w:color w:val="auto"/>
                <w:w w:val="89"/>
              </w:rPr>
              <w:t>Retirement Savings Plan</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6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Employee contribution receivable</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receivable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443,701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443,701</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Alger Small Mid Cap Growth</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6,724,767</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Brandywine Blue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14,156,293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CRM Small Cap Value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2,862,183</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Dodge and Cox Stock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9,765,399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17,596,623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EuroPacific Growth Fund-Class A</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11,624,894</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19,174,580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Blue Chip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22,712,543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Contrafund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17,002,131</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26,696,055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Freedom Income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1,043,399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Freedom 2000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1,007,261</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Freedom 2005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244,098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Freedom 2010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3,476,500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5,055,818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Freedom 2015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920,556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Freedom 2020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7,736,200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10,950,002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Freedom 2025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433,376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Freedom 2030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4,641,508</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6,357,045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Freedom 2035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579,837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Freedom 2040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1,932,828</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2,050,515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Freedom 2045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462,932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Freedom 2050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342,636</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Low Price Stock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4,161,756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6,374,267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Fidelity Managed Income Portfolio</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25,959,768</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25,182,677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Fidelity Puritan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14,350,038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23,140,365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Managers Special Equity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13,468,313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PIMCO Total Return Fund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10,098,911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5,892,397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Spartan U.S. Equity Index Fund</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11,693,057</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19,832,975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The Scotts Miracle-Gro Company Common 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14,920,430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16,449,323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Participant Loans</w:t>
            </w:r>
          </w:p>
        </w:tc>
        <w:tc>
          <w:tcPr>
            <w:tcW w:w="3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6,413,780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Investments</w:t>
            </w:r>
          </w:p>
        </w:tc>
        <w:tc>
          <w:tcPr>
            <w:tcW w:w="3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5"/>
              </w:rPr>
              <w:t>172,554,538</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233,970,187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5"/>
              </w:rPr>
              <w:t>172,998,239</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233,989,590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Assets Available for Benefits at Fair Value</w:t>
            </w:r>
          </w:p>
        </w:tc>
        <w:tc>
          <w:tcPr>
            <w:tcW w:w="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5"/>
              </w:rPr>
              <w:t>172,998,239</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233,989,590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Adjustment from fair value to contract value for the Fidelity Managed Income Portfolio,</w:t>
            </w:r>
          </w:p>
        </w:tc>
        <w:tc>
          <w:tcPr>
            <w:tcW w:w="3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8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1,400,322</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 fully benefit-responsive investment contract</w:t>
            </w:r>
          </w:p>
        </w:tc>
        <w:tc>
          <w:tcPr>
            <w:tcW w:w="3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gridSpan w:val="2"/>
            <w:vMerge w:val="continue"/>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Assets Available for Benefits</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5"/>
              </w:rPr>
              <w:t>174,398,561</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234,263,263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20" w:type="dxa"/>
            <w:vAlign w:val="bottom"/>
          </w:tcPr>
          <w:p>
            <w:pPr>
              <w:jc w:val="center"/>
              <w:ind w:left="2570"/>
              <w:spacing w:after="0"/>
              <w:rPr>
                <w:sz w:val="20"/>
                <w:szCs w:val="20"/>
                <w:color w:val="auto"/>
              </w:rPr>
            </w:pPr>
            <w:r>
              <w:rPr>
                <w:rFonts w:ascii="Arial" w:cs="Arial" w:eastAsia="Arial" w:hAnsi="Arial"/>
                <w:sz w:val="18"/>
                <w:szCs w:val="18"/>
                <w:color w:val="auto"/>
                <w:w w:val="95"/>
              </w:rPr>
              <w:t>STATEMENTS OF CHANGES IN NET ASSETS AVAILABLE FOR BENEFITS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20" w:type="dxa"/>
            <w:vAlign w:val="bottom"/>
          </w:tcPr>
          <w:p>
            <w:pPr>
              <w:jc w:val="center"/>
              <w:ind w:left="2570"/>
              <w:spacing w:after="0"/>
              <w:rPr>
                <w:sz w:val="20"/>
                <w:szCs w:val="20"/>
                <w:color w:val="auto"/>
              </w:rPr>
            </w:pPr>
            <w:r>
              <w:rPr>
                <w:rFonts w:ascii="Arial" w:cs="Arial" w:eastAsia="Arial" w:hAnsi="Arial"/>
                <w:sz w:val="18"/>
                <w:szCs w:val="18"/>
                <w:color w:val="auto"/>
                <w:w w:val="92"/>
              </w:rPr>
              <w:t>The Scotts Company LLC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jc w:val="center"/>
              <w:ind w:left="2570"/>
              <w:spacing w:after="0"/>
              <w:rPr>
                <w:sz w:val="20"/>
                <w:szCs w:val="20"/>
                <w:color w:val="auto"/>
              </w:rPr>
            </w:pPr>
            <w:r>
              <w:rPr>
                <w:rFonts w:ascii="Arial" w:cs="Arial" w:eastAsia="Arial" w:hAnsi="Arial"/>
                <w:sz w:val="18"/>
                <w:szCs w:val="18"/>
                <w:color w:val="auto"/>
                <w:w w:val="89"/>
              </w:rPr>
              <w:t>Retirement Savings Plan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1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spacing w:after="0"/>
              <w:rPr>
                <w:sz w:val="20"/>
                <w:szCs w:val="20"/>
                <w:color w:val="auto"/>
              </w:rPr>
            </w:pPr>
            <w:r>
              <w:rPr>
                <w:rFonts w:ascii="Arial" w:cs="Arial" w:eastAsia="Arial" w:hAnsi="Arial"/>
                <w:sz w:val="18"/>
                <w:szCs w:val="18"/>
                <w:color w:val="auto"/>
              </w:rPr>
              <w:t>Additions to Net Assets Attributed to:</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Employer</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11,823,896</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10,150,672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Participant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11,908,349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11,335,621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Rollovers</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1,436,284</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2,239,639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25,168,529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23,725,932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Interest on participant loans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482,131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412,588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and dividend income</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7,489,583</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20,519,192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Additions</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33,140,243</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44,657,712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FFCC"/>
          </w:tcPr>
          <w:p>
            <w:pPr>
              <w:spacing w:after="0"/>
              <w:rPr>
                <w:sz w:val="20"/>
                <w:szCs w:val="20"/>
                <w:color w:val="auto"/>
              </w:rPr>
            </w:pPr>
            <w:r>
              <w:rPr>
                <w:rFonts w:ascii="Arial" w:cs="Arial" w:eastAsia="Arial" w:hAnsi="Arial"/>
                <w:sz w:val="18"/>
                <w:szCs w:val="18"/>
                <w:color w:val="auto"/>
              </w:rPr>
              <w:t>Deductions from Net Assets Attributed to:</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Benefits paid to participants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21,343,143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21,649,937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depreciation of investments</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71,572,929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7,129,322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Administrative expenses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60,676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80"/>
              <w:spacing w:after="0"/>
              <w:rPr>
                <w:sz w:val="20"/>
                <w:szCs w:val="20"/>
                <w:color w:val="auto"/>
              </w:rPr>
            </w:pPr>
            <w:r>
              <w:rPr>
                <w:rFonts w:ascii="Arial" w:cs="Arial" w:eastAsia="Arial" w:hAnsi="Arial"/>
                <w:sz w:val="18"/>
                <w:szCs w:val="18"/>
                <w:color w:val="auto"/>
              </w:rPr>
              <w:t>Total Deductions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92,976,748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28,831,398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80"/>
              <w:spacing w:after="0"/>
              <w:rPr>
                <w:sz w:val="20"/>
                <w:szCs w:val="20"/>
                <w:color w:val="auto"/>
              </w:rPr>
            </w:pPr>
            <w:r>
              <w:rPr>
                <w:rFonts w:ascii="Arial" w:cs="Arial" w:eastAsia="Arial" w:hAnsi="Arial"/>
                <w:sz w:val="18"/>
                <w:szCs w:val="18"/>
                <w:color w:val="auto"/>
              </w:rPr>
              <w:t>Net (Decrease) Increase before Plan Transfer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(59,836,505)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15,826,314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80"/>
              <w:spacing w:after="0"/>
              <w:rPr>
                <w:sz w:val="20"/>
                <w:szCs w:val="20"/>
                <w:color w:val="auto"/>
              </w:rPr>
            </w:pPr>
            <w:r>
              <w:rPr>
                <w:rFonts w:ascii="Arial" w:cs="Arial" w:eastAsia="Arial" w:hAnsi="Arial"/>
                <w:sz w:val="18"/>
                <w:szCs w:val="18"/>
                <w:color w:val="auto"/>
              </w:rPr>
              <w:t>Plan Transfer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Beginning of Year</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w w:val="95"/>
              </w:rPr>
              <w:t>234,263,263</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218,436,949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End of Year</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w w:val="95"/>
              </w:rPr>
              <w:t>174,398,561</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234,263,263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PLAN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description of The Scotts Company LLC Retirement Savings Plan (the "Plan") provides only general information. Participants should refer to the Plan document for a complete description of the Plan's provisions, such as eligibility, vesting, allocation and funding.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is a defined contribution plan covering all employees of The Scotts Company LLC (the "Company") who meet the eligibility requirements. It is subject to the provisions of the Employee Retirement Income Security Act of 1974 (ERISA).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Domestic employees (other than employees of EG Systems, Inc.) including seasonal associates of the Company are eligible to participate in the Plan on the first day of the month coinciding with or immediately following their date of employment. Employees of EG Systems, Inc. (including seasonal associates) doing business as Scotts LawnService®, a subsidiary of the Company, are eligible to receive base retirement contributions on the first day of the month after completing one year of eligible service and are eligible to make contributions and receive matching contributions on the first day of the month coinciding with or after completing 60 days of service. Effective January 1, 2003, temporary employees are not eligible to participate in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Contributions: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Plan provides for a participant to make pre-tax contributions up to 75% of eligible wages, not to exceed the annual Internal Revenue Service ("IRS") maximum deferral amount. The maximum pre-tax contributions for the years ended December 31, 2008 and 2007 were $15,500. The Plan also provides that participants who are projected to be age 50 or older by the end of the calendar year and who are making deferral contributions to the Plan may also make catch-up contributions of up to $5,000 during each of the years ended December 31, 2008 and 2007.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Employer Contributions: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pre-tax contributions dollar for dollar for the first 3% of pay and matches $0.50 on the dollar for the next 2% of participant pre-tax contributions.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are subject to limitations on annual additions and other limitations imposed by the Internal Revenue Code as defined in the Plan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Accounts: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401(k) Accounts - Each participant's account is credited with the participant's elective contributions, employer base and matching contributions, earnings and losses thereon.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Rollover contributions from other plans are also accepted provided certain specified conditions are met.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participants are immediately vested in their contributions plus actual earnings thereon. Matching and transition contributions made by the Company vest immediately. However, base contributions made by the Company vest after three years of service or immediately upon death, attainment of age 65 or permanent and total disability.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non-vested portions of participant account balances are forfeitable and used to reduce employer contributions to the Plan. Plan forfeitures used totaled $212,233 and $767,029 for the years ended December 31, 2008 and 2007,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Loans: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are permitted under certain circumstances and are subject to limitations. Participants may borrow from their account up to a maximum equal to the lesser of $50,000 or 50% of their account balance. Loans are repaid over a period not to exceed 5 years. The loans are secured by the balance in the participant's account and bear interest at rates established by Fidelity Pricing and Cash Management Services. Principal and interest are paid ratably through monthly payroll deductions.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Normal retirement age is 65; however the Plan also provides for in-service withdrawals for active employees under certain circumstances.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Participants are eligible to receive benefit payments upon termination, retirement, death or disability equal to the vested balance of the participant's account as of the business day the trustee processes the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Hardship Withdrawals: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Hardship withdrawals are permitted in accordance with Internal Revenue Service guidelines.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Upon enrollment in the Plan, a participant may direct their contributions in any or all of the investment options under the Plan.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of the Plan have been prepared on the accrual basis of accounting in accordance with generally accepted accounting principles.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Plan’s investments are stated at fair value. Quoted market prices are used to value investments. Shares of mutual funds are valued at the net asset value of shares held by the Plan at year-end.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Financial Accounting Standards Board Staff Position, FSP AAG INV-1 and SOP 94-4-1, "Reporting of Fully Benefit-Responsive Investment Contracts Held by Certain Investment Companies Subject to the AICPA Investment Company Guide and Defined-Contribution Health and Welfare and Pension Plans" (the FSP), investment contracts held by a defined-contribution plan are required to be reported at fair value. However, contract value is the relevant measurement attribute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As required by the FSP, the Statements of Net Assets Available for Benefits present the fair value of the investment contracts as well as the adjustment of the fully benefit-responsive investment contracts from fair value to contract value. The Statements of Changes in Net Assets Available for Benefits are prepared on a contract value basis.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wrapper investment is calculated by discounting the related cash flows based on current yields of similar instruments with comparable durations.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Participants' loans are valued at their outstanding balances, which approximates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investments with original term to maturity of 90 days or less. Cost approximates fair value.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presents in the Statements of Changes in Net Assets Available for Benefits the net appreciation or depreciation in the fair value of its investments, which consists of the realized gains or losses and the unrealized appreciation or depreciation on those investments. Gains and losses on sales of investments are based on the average cost method.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Fees: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for all administrative fees except those that are participant specific, such as loan establishment and maintenance fees.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Plan provides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near-term and that such changes could materially affect participant account balances and the amounts reported in the Statements of Net Assets Available for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fair values of the investments individually represent 5% or more of net assets available for benefits as of December 31:</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Fidelity Managed Income Portfolio</w:t>
            </w:r>
          </w:p>
        </w:tc>
        <w:tc>
          <w:tcPr>
            <w:tcW w:w="34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  25,959,768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  25,182,677</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Fidelity Contrafund</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17,002,131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26,696,055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The Scotts Miracle-Gro Company Common Shares</w:t>
            </w:r>
          </w:p>
        </w:tc>
        <w:tc>
          <w:tcPr>
            <w:tcW w:w="34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14,920,430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16,449,323</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Fidelity Puritan Fund</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14,350,038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23,140,365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Brandywine Blue Fund</w:t>
            </w:r>
          </w:p>
        </w:tc>
        <w:tc>
          <w:tcPr>
            <w:tcW w:w="34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14,156,293</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Spartan U.S. Equity Index Fund</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11,693,057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19,832,975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EuroPacific Growth Fund-Class A</w:t>
            </w:r>
          </w:p>
        </w:tc>
        <w:tc>
          <w:tcPr>
            <w:tcW w:w="34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11,624,894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19,174,580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PIMCO Total Return Fund</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10,098,911</w:t>
            </w:r>
          </w:p>
        </w:tc>
        <w:tc>
          <w:tcPr>
            <w:tcW w:w="2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Dodge and Cox Stock Fund</w:t>
            </w:r>
          </w:p>
        </w:tc>
        <w:tc>
          <w:tcPr>
            <w:tcW w:w="34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9,765,399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17,596,623</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Fidelity Blue Chip Fund</w:t>
            </w:r>
          </w:p>
        </w:tc>
        <w:tc>
          <w:tcPr>
            <w:tcW w:w="2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NA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22,712,543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Managers Special Equity Fund</w:t>
            </w:r>
          </w:p>
        </w:tc>
        <w:tc>
          <w:tcPr>
            <w:tcW w:w="2340" w:type="dxa"/>
            <w:vAlign w:val="bottom"/>
            <w:shd w:val="clear" w:color="auto" w:fill="CCFFCC"/>
          </w:tcPr>
          <w:p>
            <w:pPr>
              <w:spacing w:after="0"/>
              <w:rPr>
                <w:sz w:val="18"/>
                <w:szCs w:val="18"/>
                <w:color w:val="auto"/>
              </w:rPr>
            </w:pP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9"/>
              </w:rPr>
              <w:t>NA</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13,468,313</w:t>
            </w:r>
          </w:p>
        </w:tc>
        <w:tc>
          <w:tcPr>
            <w:tcW w:w="120" w:type="dxa"/>
            <w:vAlign w:val="bottom"/>
            <w:shd w:val="clear" w:color="auto" w:fill="CCFFCC"/>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CONTRACT WITH FIDELITY PRICING AND CASH MANAGEMENT SERVICES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holds a stable value investment contract, Fidelity Managed Income Portfolio, (the "Portfolio") with Fidelity Pricing Cash Management Services, the Trustee. The Portfolio is an open-end commingled pool dedicated exclusively to the management of assets of defined contribution plans. The Portfolio invests in underlying assets (typically fixed-income securities or bond funds and may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Portfolio an amount sufficient to cover unit holder redemptions and certain other payments (such as portfolio expenses), provided all the terms of the wrapper have been met. Wrappers are normally purchased from issuers rated in the top three long-term rating categories (A- or the equivalent and above). The purpose of the wrappers is to preserve the investors’ principal investment while earning interest income, providing more stabilization than a traditional investment.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Note 2, because the stable value investment contract is fully benefit-responsive, contract value is the relevant measurement attribute for that portion of the net assets available for benefits attributable to the stable value investment contract. Contract value, as reported by Fidelity Pricing and Cash Management Services, represents contributions made under the contract, plus earnings, less participant withdrawals and administrative expenses. Participants may ordinarily direct the withdrawal or transfer of all or a portion of their investment at contract value.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reserves against contract value for credit risk of the contract issuer or otherwise. The crediting interest rate is based on a formula agreed upon with the issuer. Such interest rates are reviewed on a quarterly basis for resetting.</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events may limit the ability of the Plan to transact at contract value with the issuer. Such events include the following: (1) amendments to the Plan documents (including complete or partial plan termination or merger with another plan), (2) changes to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Employee Retirement Income Security Act of 1974. The Plan administrator does not believe that the occurrence of any such value event, which would limit the Plan’s ability to transact at contract value with participants, is probable.</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stable value investment contract does not permit Fidelity Pricing and Cash Management Services to terminate the agreement prior to the scheduled maturity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The following are the average yields for the stable value investment contract for 2008 and 2007:</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8520" w:type="dxa"/>
            <w:vAlign w:val="bottom"/>
            <w:gridSpan w:val="2"/>
          </w:tcPr>
          <w:p>
            <w:pPr>
              <w:ind w:left="300"/>
              <w:spacing w:after="0"/>
              <w:rPr>
                <w:sz w:val="20"/>
                <w:szCs w:val="20"/>
                <w:color w:val="auto"/>
              </w:rPr>
            </w:pPr>
            <w:r>
              <w:rPr>
                <w:rFonts w:ascii="Arial" w:cs="Arial" w:eastAsia="Arial" w:hAnsi="Arial"/>
                <w:sz w:val="18"/>
                <w:szCs w:val="18"/>
                <w:color w:val="auto"/>
              </w:rPr>
              <w:t>Average Yields:</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Based on actual earnings</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3.74%</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4.31%</w:t>
            </w:r>
          </w:p>
        </w:tc>
      </w:tr>
      <w:tr>
        <w:trPr>
          <w:trHeight w:val="234"/>
        </w:trPr>
        <w:tc>
          <w:tcPr>
            <w:tcW w:w="30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Based on interest rates credited to participants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3.04%</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TAX STATUS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obtained a determination letter dated September 24, 2003, in which the Internal Revenue Service stated that the Plan, as amended through February 4, 2002, was in compliance with the applicable requirements of the Internal Revenue Code. The Plan administrator, the Company and the Plan's legal counsel believe that the Plan is designed and has been operated in compliance with the applicable requirements of the Internal Revenue Code. On January 31, 2007, the Company applied for a new determination letter to cover all amendments to the Plan subsequent to February 4, 2002. Accordingly, no provision for federal income taxes has been made. Subsequent to year end, the Plan received an updated determination letter dated March 6, 2009 that covered the latest amendments to the Plan.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PLAN TERMINATION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it has not expressed any intent to do so, the Company has the right under the Plan to terminate the Plan or its contributions subject to the provisions of ERISA. In the event the Plan is terminated, participants will become fully vested in their accounts.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jc w:val="center"/>
              <w:ind w:left="2330"/>
              <w:spacing w:after="0"/>
              <w:rPr>
                <w:sz w:val="20"/>
                <w:szCs w:val="20"/>
                <w:color w:val="auto"/>
              </w:rPr>
            </w:pPr>
            <w:r>
              <w:rPr>
                <w:rFonts w:ascii="Arial" w:cs="Arial" w:eastAsia="Arial" w:hAnsi="Arial"/>
                <w:sz w:val="18"/>
                <w:szCs w:val="18"/>
                <w:color w:val="auto"/>
                <w:w w:val="96"/>
              </w:rPr>
              <w:t>NOTES TO FINANCIAL STATEMENTS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40" w:type="dxa"/>
            <w:vAlign w:val="bottom"/>
          </w:tcPr>
          <w:p>
            <w:pPr>
              <w:jc w:val="center"/>
              <w:ind w:left="2330"/>
              <w:spacing w:after="0"/>
              <w:rPr>
                <w:sz w:val="20"/>
                <w:szCs w:val="20"/>
                <w:color w:val="auto"/>
              </w:rPr>
            </w:pPr>
            <w:r>
              <w:rPr>
                <w:rFonts w:ascii="Arial" w:cs="Arial" w:eastAsia="Arial" w:hAnsi="Arial"/>
                <w:sz w:val="18"/>
                <w:szCs w:val="18"/>
                <w:color w:val="auto"/>
                <w:w w:val="92"/>
              </w:rPr>
              <w:t>The Scotts Company LLC</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tcPr>
          <w:p>
            <w:pPr>
              <w:jc w:val="center"/>
              <w:ind w:left="2330"/>
              <w:spacing w:after="0"/>
              <w:rPr>
                <w:sz w:val="20"/>
                <w:szCs w:val="20"/>
                <w:color w:val="auto"/>
              </w:rPr>
            </w:pPr>
            <w:r>
              <w:rPr>
                <w:rFonts w:ascii="Arial" w:cs="Arial" w:eastAsia="Arial" w:hAnsi="Arial"/>
                <w:sz w:val="18"/>
                <w:szCs w:val="18"/>
                <w:color w:val="auto"/>
                <w:w w:val="89"/>
              </w:rPr>
              <w:t>Retirement Savings Plan</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NOTE 7. RECONCILIATION OF FINANCIAL STATEMENTS TO FORM 5500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20" w:type="dxa"/>
            <w:vAlign w:val="bottom"/>
            <w:gridSpan w:val="3"/>
          </w:tcPr>
          <w:p>
            <w:pPr>
              <w:spacing w:after="0"/>
              <w:rPr>
                <w:sz w:val="20"/>
                <w:szCs w:val="20"/>
                <w:color w:val="auto"/>
              </w:rPr>
            </w:pPr>
            <w:r>
              <w:rPr>
                <w:rFonts w:ascii="Arial" w:cs="Arial" w:eastAsia="Arial" w:hAnsi="Arial"/>
                <w:sz w:val="18"/>
                <w:szCs w:val="18"/>
                <w:color w:val="auto"/>
                <w:w w:val="93"/>
              </w:rPr>
              <w:t>The following is a reconciliation of net assets available for benefits per the financial statements to the Form 5500: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$ 174,398,561</w:t>
            </w:r>
          </w:p>
        </w:tc>
        <w:tc>
          <w:tcPr>
            <w:tcW w:w="12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5"/>
              </w:rPr>
              <w:t>234,263,263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14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(1,400,322)</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0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(273,673)</w:t>
            </w: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784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vMerge w:val="continue"/>
          </w:tcPr>
          <w:p>
            <w:pPr>
              <w:spacing w:after="0"/>
              <w:rPr>
                <w:sz w:val="20"/>
                <w:szCs w:val="20"/>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$ 172,998,239</w:t>
            </w:r>
          </w:p>
        </w:tc>
        <w:tc>
          <w:tcPr>
            <w:tcW w:w="120" w:type="dxa"/>
            <w:vAlign w:val="bottom"/>
            <w:shd w:val="clear" w:color="auto" w:fill="CCFFCC"/>
          </w:tcPr>
          <w:p>
            <w:pPr>
              <w:spacing w:after="0"/>
              <w:rPr>
                <w:sz w:val="20"/>
                <w:szCs w:val="20"/>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5"/>
              </w:rPr>
              <w:t>233,989,590</w:t>
            </w: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78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20" w:type="dxa"/>
            <w:vAlign w:val="bottom"/>
            <w:gridSpan w:val="3"/>
          </w:tcPr>
          <w:p>
            <w:pPr>
              <w:spacing w:after="0"/>
              <w:rPr>
                <w:sz w:val="20"/>
                <w:szCs w:val="20"/>
                <w:color w:val="auto"/>
              </w:rPr>
            </w:pPr>
            <w:r>
              <w:rPr>
                <w:rFonts w:ascii="Arial" w:cs="Arial" w:eastAsia="Arial" w:hAnsi="Arial"/>
                <w:sz w:val="18"/>
                <w:szCs w:val="18"/>
                <w:color w:val="auto"/>
              </w:rPr>
              <w:t>The following is a reconciliation of investment income per the financial statements to the Form 5500.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 and net depreciation of investments per the financial statements</w:t>
            </w:r>
          </w:p>
        </w:tc>
        <w:tc>
          <w:tcPr>
            <w:tcW w:w="2440" w:type="dxa"/>
            <w:vAlign w:val="bottom"/>
            <w:gridSpan w:val="7"/>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 (63,601,215)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contracts-2008</w:t>
            </w:r>
          </w:p>
        </w:tc>
        <w:tc>
          <w:tcPr>
            <w:tcW w:w="2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(1,400,322)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contracts-2007</w:t>
            </w:r>
          </w:p>
        </w:tc>
        <w:tc>
          <w:tcPr>
            <w:tcW w:w="2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273,673</w:t>
            </w:r>
          </w:p>
        </w:tc>
        <w:tc>
          <w:tcPr>
            <w:tcW w:w="100" w:type="dxa"/>
            <w:vAlign w:val="bottom"/>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7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Rounding</w:t>
            </w:r>
          </w:p>
        </w:tc>
        <w:tc>
          <w:tcPr>
            <w:tcW w:w="240" w:type="dxa"/>
            <w:vAlign w:val="bottom"/>
            <w:tcBorders>
              <w:bottom w:val="single" w:sz="8" w:color="CCFFCC"/>
            </w:tcBorders>
            <w:shd w:val="clear" w:color="auto" w:fill="CCFFCC"/>
          </w:tcPr>
          <w:p>
            <w:pPr>
              <w:spacing w:after="0"/>
              <w:rPr>
                <w:sz w:val="19"/>
                <w:szCs w:val="19"/>
                <w:color w:val="auto"/>
              </w:rPr>
            </w:pPr>
          </w:p>
        </w:tc>
        <w:tc>
          <w:tcPr>
            <w:tcW w:w="10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34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Net investment loss per the Form 5500</w:t>
            </w:r>
          </w:p>
        </w:tc>
        <w:tc>
          <w:tcPr>
            <w:tcW w:w="2440" w:type="dxa"/>
            <w:vAlign w:val="bottom"/>
            <w:gridSpan w:val="7"/>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 (64,727,863)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NOTE 8. PARTY-IN-INTEREST TRANSACTIONS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Certain Plan investments are shares of mutual funds managed by Fidelity Pricing and Cash Management Services, the Trustee as defined by the Plan and therefore, these transactions qualify as party-in-interest. Usual and customary fees were paid by the mutual fund for the investment management services.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adopted Statement of Financial Accounting Standards ("SFAS") No. 157, “Fair Value Measurements” ("SFAS 157"), effective January 1, 2008, with respect to the fair value measurement and disclosure of assets and liabilities. SFAS 157 defines fair value, establishes a framework for measuring fair value, and expands disclosures about fair value measurements. SFAS 157 defines fair value as the exchange price that would be received for an asset or paid to transfer a liability (an exit price) in the principal or the most advantageous market for the asset or liability in an orderly transaction between market participants at the measurement date. SFAS 157 establishes a three-level fair value hierarchy that prioritizes the inputs used to measure fair value. The hierarchy requires entities to maximize the use of observable inputs and minimize the use of unobservable inputs. The three levels of inputs in the fair value hierarchy under SFAS 157 are as follows:</w:t>
      </w:r>
    </w:p>
    <w:p>
      <w:pPr>
        <w:spacing w:after="0" w:line="216"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unadjusted quoted prices for identical assets or liabilities in active markets that the Plan has the ability to access.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of the asset or liability.</w:t>
      </w:r>
    </w:p>
    <w:p>
      <w:pPr>
        <w:spacing w:after="0" w:line="3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2008 and 2007.</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Mutual funds: Valued at the net asset value of shares held by the Plan at year end.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stocks: Valued at the closing price reported on the active market on which the individual securities are traded.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Participant loans: Valued at amortized cost, which approximates fair value.</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Guaranteed investment contracts: Valued at fair value by discounting the related cash flows based on current yields of similar instruments with comparable durations considering the credit worthiness of the issuer (See Note 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gridSpan w:val="4"/>
          </w:tcPr>
          <w:p>
            <w:pPr>
              <w:jc w:val="center"/>
              <w:ind w:left="530"/>
              <w:spacing w:after="0"/>
              <w:rPr>
                <w:sz w:val="20"/>
                <w:szCs w:val="20"/>
                <w:color w:val="auto"/>
              </w:rPr>
            </w:pPr>
            <w:r>
              <w:rPr>
                <w:rFonts w:ascii="Arial" w:cs="Arial" w:eastAsia="Arial" w:hAnsi="Arial"/>
                <w:sz w:val="18"/>
                <w:szCs w:val="18"/>
                <w:color w:val="auto"/>
                <w:w w:val="96"/>
              </w:rPr>
              <w:t>NOTES TO FINANCIAL STATEMENTS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92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The Scotts Company LLC</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gridSpan w:val="4"/>
          </w:tcPr>
          <w:p>
            <w:pPr>
              <w:jc w:val="center"/>
              <w:ind w:left="530"/>
              <w:spacing w:after="0"/>
              <w:rPr>
                <w:sz w:val="20"/>
                <w:szCs w:val="20"/>
                <w:color w:val="auto"/>
              </w:rPr>
            </w:pPr>
            <w:r>
              <w:rPr>
                <w:rFonts w:ascii="Arial" w:cs="Arial" w:eastAsia="Arial" w:hAnsi="Arial"/>
                <w:sz w:val="18"/>
                <w:szCs w:val="18"/>
                <w:color w:val="auto"/>
                <w:w w:val="89"/>
              </w:rPr>
              <w:t>Retirement Savings Plan</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8900" w:type="dxa"/>
            <w:vAlign w:val="bottom"/>
            <w:gridSpan w:val="10"/>
          </w:tcPr>
          <w:p>
            <w:pPr>
              <w:jc w:val="right"/>
              <w:ind w:right="20"/>
              <w:spacing w:after="0"/>
              <w:rPr>
                <w:sz w:val="20"/>
                <w:szCs w:val="20"/>
                <w:color w:val="auto"/>
              </w:rPr>
            </w:pPr>
            <w:r>
              <w:rPr>
                <w:rFonts w:ascii="Arial" w:cs="Arial" w:eastAsia="Arial" w:hAnsi="Arial"/>
                <w:sz w:val="18"/>
                <w:szCs w:val="18"/>
                <w:color w:val="auto"/>
                <w:w w:val="89"/>
              </w:rPr>
              <w:t>The following table presents the Company’s investments measured at fair value on a recurring basis at December 31, 2008:</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Level 3</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2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125,260,560</w:t>
            </w:r>
          </w:p>
        </w:tc>
        <w:tc>
          <w:tcPr>
            <w:tcW w:w="22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125,260,560</w:t>
            </w:r>
          </w:p>
        </w:tc>
        <w:tc>
          <w:tcPr>
            <w:tcW w:w="120" w:type="dxa"/>
            <w:vAlign w:val="bottom"/>
            <w:shd w:val="clear" w:color="auto" w:fill="CCFFC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Common stocks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14,920,430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14,920,430</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Stable value investment contracts</w:t>
            </w: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25,959,768</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25,959,768</w:t>
            </w:r>
          </w:p>
        </w:tc>
        <w:tc>
          <w:tcPr>
            <w:tcW w:w="120" w:type="dxa"/>
            <w:vAlign w:val="bottom"/>
            <w:shd w:val="clear" w:color="auto" w:fill="CCFFCC"/>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Participant loans</w:t>
            </w:r>
          </w:p>
        </w:tc>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6,413,780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6,413,780</w:t>
            </w:r>
          </w:p>
        </w:tc>
        <w:tc>
          <w:tcPr>
            <w:tcW w:w="120" w:type="dxa"/>
            <w:vAlign w:val="bottom"/>
          </w:tcPr>
          <w:p>
            <w:pPr>
              <w:spacing w:after="0"/>
              <w:rPr>
                <w:sz w:val="19"/>
                <w:szCs w:val="19"/>
                <w:color w:val="auto"/>
              </w:rPr>
            </w:pPr>
          </w:p>
        </w:tc>
      </w:tr>
      <w:tr>
        <w:trPr>
          <w:trHeight w:val="237"/>
        </w:trPr>
        <w:tc>
          <w:tcPr>
            <w:tcW w:w="300" w:type="dxa"/>
            <w:vAlign w:val="bottom"/>
          </w:tcPr>
          <w:p>
            <w:pPr>
              <w:spacing w:after="0"/>
              <w:rPr>
                <w:sz w:val="20"/>
                <w:szCs w:val="20"/>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 at fair value</w:t>
            </w:r>
          </w:p>
        </w:tc>
        <w:tc>
          <w:tcPr>
            <w:tcW w:w="2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140,180,990</w:t>
            </w:r>
          </w:p>
        </w:tc>
        <w:tc>
          <w:tcPr>
            <w:tcW w:w="220" w:type="dxa"/>
            <w:vAlign w:val="bottom"/>
            <w:tcBorders>
              <w:right w:val="single" w:sz="8" w:color="CCFFCC"/>
            </w:tcBorders>
            <w:shd w:val="clear" w:color="auto" w:fill="CCFFCC"/>
          </w:tcPr>
          <w:p>
            <w:pPr>
              <w:spacing w:after="0"/>
              <w:rPr>
                <w:sz w:val="20"/>
                <w:szCs w:val="20"/>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25,959,768</w:t>
            </w:r>
          </w:p>
        </w:tc>
        <w:tc>
          <w:tcPr>
            <w:tcW w:w="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6,413,780</w:t>
            </w:r>
          </w:p>
        </w:tc>
        <w:tc>
          <w:tcPr>
            <w:tcW w:w="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172,554,538</w:t>
            </w:r>
          </w:p>
        </w:tc>
        <w:tc>
          <w:tcPr>
            <w:tcW w:w="120" w:type="dxa"/>
            <w:vAlign w:val="bottom"/>
            <w:shd w:val="clear" w:color="auto" w:fill="CCFFCC"/>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3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sets forth a summary of changes in the fair value of the Plan's level 3 assets for the year ended December 31, 2008:</w:t>
      </w: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Level 3 Assets</w:t>
            </w:r>
          </w:p>
        </w:tc>
      </w:tr>
      <w:tr>
        <w:trPr>
          <w:trHeight w:val="225"/>
        </w:trPr>
        <w:tc>
          <w:tcPr>
            <w:tcW w:w="652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8"/>
                <w:szCs w:val="18"/>
                <w:b w:val="1"/>
                <w:bCs w:val="1"/>
                <w:color w:val="auto"/>
                <w:w w:val="91"/>
              </w:rPr>
              <w:t>Year Ended December 31, 2008</w:t>
            </w:r>
          </w:p>
        </w:tc>
      </w:tr>
      <w:tr>
        <w:trPr>
          <w:trHeight w:val="241"/>
        </w:trPr>
        <w:tc>
          <w:tcPr>
            <w:tcW w:w="6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Participant Loans</w:t>
            </w:r>
          </w:p>
        </w:tc>
        <w:tc>
          <w:tcPr>
            <w:tcW w:w="80" w:type="dxa"/>
            <w:vAlign w:val="bottom"/>
          </w:tcPr>
          <w:p>
            <w:pPr>
              <w:spacing w:after="0"/>
              <w:rPr>
                <w:sz w:val="20"/>
                <w:szCs w:val="20"/>
                <w:color w:val="auto"/>
              </w:rPr>
            </w:pPr>
          </w:p>
        </w:tc>
      </w:tr>
      <w:tr>
        <w:trPr>
          <w:trHeight w:val="216"/>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Balance, beginning of year</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6,123,133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Purchases, sales, issuances and settlements (net)</w:t>
            </w:r>
          </w:p>
        </w:tc>
        <w:tc>
          <w:tcPr>
            <w:tcW w:w="280" w:type="dxa"/>
            <w:vAlign w:val="bottom"/>
          </w:tcPr>
          <w:p>
            <w:pPr>
              <w:spacing w:after="0"/>
              <w:rPr>
                <w:sz w:val="18"/>
                <w:szCs w:val="18"/>
                <w:color w:val="auto"/>
              </w:rPr>
            </w:pPr>
          </w:p>
        </w:tc>
        <w:tc>
          <w:tcPr>
            <w:tcW w:w="2180" w:type="dxa"/>
            <w:vAlign w:val="bottom"/>
            <w:gridSpan w:val="2"/>
          </w:tcPr>
          <w:p>
            <w:pPr>
              <w:jc w:val="right"/>
              <w:ind w:right="80"/>
              <w:spacing w:after="0"/>
              <w:rPr>
                <w:sz w:val="20"/>
                <w:szCs w:val="20"/>
                <w:color w:val="auto"/>
              </w:rPr>
            </w:pPr>
            <w:r>
              <w:rPr>
                <w:rFonts w:ascii="Arial" w:cs="Arial" w:eastAsia="Arial" w:hAnsi="Arial"/>
                <w:sz w:val="18"/>
                <w:szCs w:val="18"/>
                <w:color w:val="auto"/>
              </w:rPr>
              <w:t>290,647</w:t>
            </w:r>
          </w:p>
        </w:tc>
      </w:tr>
      <w:tr>
        <w:trPr>
          <w:trHeight w:val="27"/>
        </w:trPr>
        <w:tc>
          <w:tcPr>
            <w:tcW w:w="6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Ending Balance</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6,413,780</w:t>
            </w: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RECENTLY ISSUED ACCOUNTING PRONOUNCEMENTS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2008, the FASB issued SFAS No. 161, "Disclosure about Derivative Instruments and Hedging Activities" ("SFAS No. 161"), which amends the disclosure requirements of SFAS No. 133, "Accounting for Derivative Instruments and Hedging Activities." SFAS 161 requires increased disclosures about derivative instruments and hedging activities and their effects on an entity's financial position, financial performance, and cash flows. SFAS 161 is effective for fiscal years beginning after November 15, 2008, with early adoption permitted. SFAS 161 is not expected to have a material impact on the Plan's financial statements.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162"), which is intended to improve financial reporting by identifying the sources of accounting principles and a consistent framework, or hierarchy, for selecting accounting principles to be used in preparing financial statements that are presented in conformity with U.S. GAAP for nongovernmental entities. SFAS 162 will be effective 60 days after U.S. Securities and Exchange Commission approves the Public Company Accounting Oversight Board's amendments to AU section 411, "The Meaning of Present Fairly in Conformity With Generally Accepted Accounting Principles". SFAS 162 is not expected to have a material impact on the Plan's financial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2009, the FASB issued three FASB Staff Positions, which provide additional guidance and enhance disclosures regarding fair value measurements and impairment of securities, FASB Staff Position No. FAS 107-1 and APB 28-1, “Interim Disclosures about Fair Value Financial Instruments,” FASB Staff Position No. FAS 115-2 and FAS 124-2, “Recognition and Presentation of Other-Than-Temporary Impairments,” and FASB Staff Position No. FAS 157-4, “Determining Fair Value When the Volume and Level of Activity for the Asset or Liability Have Significantly Decreased and Identifying Transactions That Are Not Orderly.” These staff positions 1) require that the fair value of all financial instruments be disclosed in both interim and annual reporting periods; 2) modify the criteria used to assess other-than-temporary impairments (OTTI) of debt securities and collectability of cash flows; 3) bifurcate the recognition of OTTI between earnings and other comprehensive income; 4) require expanded and more frequent disclosures about OTTI; 5) permit adjustments to estimated fair values when, due to significant decrease in the volume and level of market activity or evidence that a market is not orderly, the valuation technique does not fairly present the price at which willing market participants would transact at the measurement date; and 6) require disclosure about inputs and valuation techniques used to measure fair value for both interim and annual reporting periods. The staff positions are effective for interim reporting periods ending after June 15, 2009, with early adoption permitted. The sponsor has not determined the effect of adopting the staff positions on the net assets available for benefits and changes in those net assets.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SCHEDULE OF ASSETS HELD FOR INVESTMENT PURPOSES AT END OF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5500, Schedule H, Part IV, Line 4i</w:t>
      </w:r>
    </w:p>
    <w:p>
      <w:pPr>
        <w:spacing w:after="0" w:line="23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3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EIN 31-1414921</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Plan Number 001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color w:val="auto"/>
                <w:w w:val="94"/>
              </w:rPr>
              <w:t>(b) Identity of Issue,</w:t>
            </w:r>
          </w:p>
        </w:tc>
        <w:tc>
          <w:tcPr>
            <w:tcW w:w="680" w:type="dxa"/>
            <w:vAlign w:val="bottom"/>
          </w:tcPr>
          <w:p>
            <w:pPr>
              <w:spacing w:after="0"/>
              <w:rPr>
                <w:sz w:val="14"/>
                <w:szCs w:val="14"/>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5"/>
              </w:rPr>
              <w:t>(c) Description of Investment Including</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(e)</w:t>
            </w:r>
          </w:p>
        </w:tc>
      </w:tr>
      <w:tr>
        <w:trPr>
          <w:trHeight w:val="149"/>
        </w:trPr>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tcPr>
          <w:p>
            <w:pPr>
              <w:jc w:val="center"/>
              <w:spacing w:after="0" w:line="149" w:lineRule="exact"/>
              <w:rPr>
                <w:sz w:val="20"/>
                <w:szCs w:val="20"/>
                <w:color w:val="auto"/>
              </w:rPr>
            </w:pPr>
            <w:r>
              <w:rPr>
                <w:rFonts w:ascii="Arial" w:cs="Arial" w:eastAsia="Arial" w:hAnsi="Arial"/>
                <w:sz w:val="14"/>
                <w:szCs w:val="14"/>
                <w:color w:val="auto"/>
                <w:w w:val="94"/>
              </w:rPr>
              <w:t>Borrower, Lessor,</w:t>
            </w:r>
          </w:p>
        </w:tc>
        <w:tc>
          <w:tcPr>
            <w:tcW w:w="680" w:type="dxa"/>
            <w:vAlign w:val="bottom"/>
          </w:tcPr>
          <w:p>
            <w:pPr>
              <w:spacing w:after="0"/>
              <w:rPr>
                <w:sz w:val="12"/>
                <w:szCs w:val="12"/>
                <w:color w:val="auto"/>
              </w:rPr>
            </w:pPr>
          </w:p>
        </w:tc>
        <w:tc>
          <w:tcPr>
            <w:tcW w:w="5380" w:type="dxa"/>
            <w:vAlign w:val="bottom"/>
          </w:tcPr>
          <w:p>
            <w:pPr>
              <w:jc w:val="center"/>
              <w:spacing w:after="0" w:line="149" w:lineRule="exact"/>
              <w:rPr>
                <w:sz w:val="20"/>
                <w:szCs w:val="20"/>
                <w:color w:val="auto"/>
              </w:rPr>
            </w:pPr>
            <w:r>
              <w:rPr>
                <w:rFonts w:ascii="Arial" w:cs="Arial" w:eastAsia="Arial" w:hAnsi="Arial"/>
                <w:sz w:val="14"/>
                <w:szCs w:val="14"/>
                <w:color w:val="auto"/>
                <w:w w:val="94"/>
              </w:rPr>
              <w:t>Maturity Date, Rate of Interest,</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Current</w:t>
            </w:r>
          </w:p>
        </w:tc>
      </w:tr>
      <w:tr>
        <w:trPr>
          <w:trHeight w:val="174"/>
        </w:trPr>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220" w:type="dxa"/>
            <w:vAlign w:val="bottom"/>
          </w:tcPr>
          <w:p>
            <w:pPr>
              <w:spacing w:after="0"/>
              <w:rPr>
                <w:sz w:val="15"/>
                <w:szCs w:val="15"/>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or Similar Party</w:t>
            </w:r>
          </w:p>
        </w:tc>
        <w:tc>
          <w:tcPr>
            <w:tcW w:w="680" w:type="dxa"/>
            <w:vAlign w:val="bottom"/>
          </w:tcPr>
          <w:p>
            <w:pPr>
              <w:spacing w:after="0"/>
              <w:rPr>
                <w:sz w:val="15"/>
                <w:szCs w:val="15"/>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Collateral, Par or Maturity Value</w:t>
            </w:r>
          </w:p>
        </w:tc>
        <w:tc>
          <w:tcPr>
            <w:tcW w:w="120" w:type="dxa"/>
            <w:vAlign w:val="bottom"/>
          </w:tcPr>
          <w:p>
            <w:pPr>
              <w:spacing w:after="0"/>
              <w:rPr>
                <w:sz w:val="15"/>
                <w:szCs w:val="15"/>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Cost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5"/>
                <w:szCs w:val="15"/>
                <w:color w:val="auto"/>
              </w:rPr>
            </w:pPr>
          </w:p>
        </w:tc>
      </w:tr>
      <w:tr>
        <w:trPr>
          <w:trHeight w:val="149"/>
        </w:trPr>
        <w:tc>
          <w:tcPr>
            <w:tcW w:w="240" w:type="dxa"/>
            <w:vAlign w:val="bottom"/>
            <w:shd w:val="clear" w:color="auto" w:fill="CCFFCC"/>
          </w:tcPr>
          <w:p>
            <w:pPr>
              <w:spacing w:after="0"/>
              <w:rPr>
                <w:sz w:val="12"/>
                <w:szCs w:val="12"/>
                <w:color w:val="auto"/>
              </w:rPr>
            </w:pP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Alger Small Mid Cap Growth</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6,724,767</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Brandywine Blue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14,156,293</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spacing w:after="0"/>
              <w:rPr>
                <w:sz w:val="12"/>
                <w:szCs w:val="12"/>
                <w:color w:val="auto"/>
              </w:rPr>
            </w:pP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CRM Small Cap Value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2,862,183</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Dodge and Cox Stock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9,765,399</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spacing w:after="0"/>
              <w:rPr>
                <w:sz w:val="12"/>
                <w:szCs w:val="12"/>
                <w:color w:val="auto"/>
              </w:rPr>
            </w:pP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EuroPacific Growth Fund-Class A</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11,624,894</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Contrafund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17,002,131</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Freedom Income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1,043,399</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Freedom 2000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1,007,261</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Freedom 2005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244,098</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Freedom 2010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3,476,500</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Freedom 2015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920,556</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Freedom 2020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7,736,200</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Freedom 2025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433,376</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Freedom 2030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4,641,508</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Freedom 2035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579,837</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Freedom 2040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1,932,828</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Freedom 2045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462,932</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Freedom 2050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342,636</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Low Price Stock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4,161,756</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Fidelity Managed Income Portfolio</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Common Collective Trust</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25,959,768</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Fidelity Puritan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14,350,038</w:t>
            </w:r>
          </w:p>
        </w:tc>
        <w:tc>
          <w:tcPr>
            <w:tcW w:w="100" w:type="dxa"/>
            <w:vAlign w:val="bottom"/>
            <w:shd w:val="clear" w:color="auto" w:fill="CCFFCC"/>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31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PIMCO Total Return Fund</w:t>
            </w:r>
          </w:p>
        </w:tc>
        <w:tc>
          <w:tcPr>
            <w:tcW w:w="6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10,098,911</w:t>
            </w:r>
          </w:p>
        </w:tc>
        <w:tc>
          <w:tcPr>
            <w:tcW w:w="100" w:type="dxa"/>
            <w:vAlign w:val="bottom"/>
          </w:tcPr>
          <w:p>
            <w:pPr>
              <w:spacing w:after="0"/>
              <w:rPr>
                <w:sz w:val="12"/>
                <w:szCs w:val="12"/>
                <w:color w:val="auto"/>
              </w:rPr>
            </w:pPr>
          </w:p>
        </w:tc>
      </w:tr>
      <w:tr>
        <w:trPr>
          <w:trHeight w:val="149"/>
        </w:trPr>
        <w:tc>
          <w:tcPr>
            <w:tcW w:w="240" w:type="dxa"/>
            <w:vAlign w:val="bottom"/>
            <w:shd w:val="clear" w:color="auto" w:fill="CCFFCC"/>
          </w:tcPr>
          <w:p>
            <w:pPr>
              <w:spacing w:after="0"/>
              <w:rPr>
                <w:sz w:val="12"/>
                <w:szCs w:val="12"/>
                <w:color w:val="auto"/>
              </w:rPr>
            </w:pPr>
          </w:p>
        </w:tc>
        <w:tc>
          <w:tcPr>
            <w:tcW w:w="310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Spartan U.S. Equity Index Fund</w:t>
            </w:r>
          </w:p>
        </w:tc>
        <w:tc>
          <w:tcPr>
            <w:tcW w:w="6060" w:type="dxa"/>
            <w:vAlign w:val="bottom"/>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rPr>
              <w:t>Registered Investment Company</w:t>
            </w:r>
          </w:p>
        </w:tc>
        <w:tc>
          <w:tcPr>
            <w:tcW w:w="120" w:type="dxa"/>
            <w:vAlign w:val="bottom"/>
            <w:shd w:val="clear" w:color="auto" w:fill="CCFFCC"/>
          </w:tcPr>
          <w:p>
            <w:pPr>
              <w:spacing w:after="0"/>
              <w:rPr>
                <w:sz w:val="12"/>
                <w:szCs w:val="12"/>
                <w:color w:val="auto"/>
              </w:rPr>
            </w:pPr>
          </w:p>
        </w:tc>
        <w:tc>
          <w:tcPr>
            <w:tcW w:w="4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11,693,057</w:t>
            </w:r>
          </w:p>
        </w:tc>
        <w:tc>
          <w:tcPr>
            <w:tcW w:w="100" w:type="dxa"/>
            <w:vAlign w:val="bottom"/>
            <w:shd w:val="clear" w:color="auto" w:fill="CCFFCC"/>
          </w:tcPr>
          <w:p>
            <w:pPr>
              <w:spacing w:after="0"/>
              <w:rPr>
                <w:sz w:val="12"/>
                <w:szCs w:val="12"/>
                <w:color w:val="auto"/>
              </w:rPr>
            </w:pPr>
          </w:p>
        </w:tc>
      </w:tr>
      <w:tr>
        <w:trPr>
          <w:trHeight w:val="130"/>
        </w:trPr>
        <w:tc>
          <w:tcPr>
            <w:tcW w:w="240" w:type="dxa"/>
            <w:vAlign w:val="bottom"/>
          </w:tcPr>
          <w:p>
            <w:pPr>
              <w:spacing w:after="0"/>
              <w:rPr>
                <w:sz w:val="11"/>
                <w:szCs w:val="11"/>
                <w:color w:val="auto"/>
              </w:rPr>
            </w:pPr>
          </w:p>
        </w:tc>
        <w:tc>
          <w:tcPr>
            <w:tcW w:w="310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The Scotts Miracle-Gro Company Common</w:t>
            </w:r>
          </w:p>
        </w:tc>
        <w:tc>
          <w:tcPr>
            <w:tcW w:w="68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40" w:type="dxa"/>
            <w:vAlign w:val="bottom"/>
          </w:tcPr>
          <w:p>
            <w:pPr>
              <w:jc w:val="center"/>
              <w:spacing w:after="0"/>
              <w:rPr>
                <w:sz w:val="20"/>
                <w:szCs w:val="20"/>
                <w:color w:val="auto"/>
              </w:rPr>
            </w:pPr>
            <w:r>
              <w:rPr>
                <w:rFonts w:ascii="Arial" w:cs="Arial" w:eastAsia="Arial" w:hAnsi="Arial"/>
                <w:sz w:val="14"/>
                <w:szCs w:val="14"/>
                <w:color w:val="auto"/>
              </w:rPr>
              <w:t>*</w:t>
            </w:r>
          </w:p>
        </w:tc>
        <w:tc>
          <w:tcPr>
            <w:tcW w:w="3100" w:type="dxa"/>
            <w:vAlign w:val="bottom"/>
            <w:gridSpan w:val="2"/>
          </w:tcPr>
          <w:p>
            <w:pPr>
              <w:ind w:left="220"/>
              <w:spacing w:after="0"/>
              <w:rPr>
                <w:sz w:val="20"/>
                <w:szCs w:val="20"/>
                <w:color w:val="auto"/>
              </w:rPr>
            </w:pPr>
            <w:r>
              <w:rPr>
                <w:rFonts w:ascii="Arial" w:cs="Arial" w:eastAsia="Arial" w:hAnsi="Arial"/>
                <w:sz w:val="14"/>
                <w:szCs w:val="14"/>
                <w:color w:val="auto"/>
              </w:rPr>
              <w:t>Shares</w:t>
            </w:r>
          </w:p>
        </w:tc>
        <w:tc>
          <w:tcPr>
            <w:tcW w:w="6060" w:type="dxa"/>
            <w:vAlign w:val="bottom"/>
            <w:gridSpan w:val="2"/>
          </w:tcPr>
          <w:p>
            <w:pPr>
              <w:ind w:left="680"/>
              <w:spacing w:after="0"/>
              <w:rPr>
                <w:sz w:val="20"/>
                <w:szCs w:val="20"/>
                <w:color w:val="auto"/>
              </w:rPr>
            </w:pPr>
            <w:r>
              <w:rPr>
                <w:rFonts w:ascii="Arial" w:cs="Arial" w:eastAsia="Arial" w:hAnsi="Arial"/>
                <w:sz w:val="14"/>
                <w:szCs w:val="14"/>
                <w:color w:val="auto"/>
              </w:rPr>
              <w:t>Employer Securities</w:t>
            </w:r>
          </w:p>
        </w:tc>
        <w:tc>
          <w:tcPr>
            <w:tcW w:w="1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14,920,430</w:t>
            </w:r>
          </w:p>
        </w:tc>
        <w:tc>
          <w:tcPr>
            <w:tcW w:w="100" w:type="dxa"/>
            <w:vAlign w:val="bottom"/>
          </w:tcPr>
          <w:p>
            <w:pPr>
              <w:spacing w:after="0"/>
              <w:rPr>
                <w:sz w:val="14"/>
                <w:szCs w:val="14"/>
                <w:color w:val="auto"/>
              </w:rPr>
            </w:pPr>
          </w:p>
        </w:tc>
      </w:tr>
      <w:tr>
        <w:trPr>
          <w:trHeight w:val="156"/>
        </w:trPr>
        <w:tc>
          <w:tcPr>
            <w:tcW w:w="240" w:type="dxa"/>
            <w:vAlign w:val="bottom"/>
            <w:tcBorders>
              <w:bottom w:val="single" w:sz="8" w:color="CCFFCC"/>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3100" w:type="dxa"/>
            <w:vAlign w:val="bottom"/>
            <w:tcBorders>
              <w:bottom w:val="single" w:sz="8" w:color="CCFFCC"/>
            </w:tcBorders>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Participant Loans</w:t>
            </w:r>
          </w:p>
        </w:tc>
        <w:tc>
          <w:tcPr>
            <w:tcW w:w="6060" w:type="dxa"/>
            <w:vAlign w:val="bottom"/>
            <w:tcBorders>
              <w:bottom w:val="single" w:sz="8" w:color="CCFFCC"/>
            </w:tcBorders>
            <w:gridSpan w:val="2"/>
            <w:shd w:val="clear" w:color="auto" w:fill="CCFFCC"/>
          </w:tcPr>
          <w:p>
            <w:pPr>
              <w:ind w:left="680"/>
              <w:spacing w:after="0" w:line="149" w:lineRule="exact"/>
              <w:rPr>
                <w:sz w:val="20"/>
                <w:szCs w:val="20"/>
                <w:color w:val="auto"/>
              </w:rPr>
            </w:pPr>
            <w:r>
              <w:rPr>
                <w:rFonts w:ascii="Arial" w:cs="Arial" w:eastAsia="Arial" w:hAnsi="Arial"/>
                <w:sz w:val="14"/>
                <w:szCs w:val="14"/>
                <w:color w:val="auto"/>
                <w:w w:val="93"/>
              </w:rPr>
              <w:t>Notes receivable (interest at rates ranging from 5.0% to 10% due through January 13, 2014)</w:t>
            </w:r>
          </w:p>
        </w:tc>
        <w:tc>
          <w:tcPr>
            <w:tcW w:w="120" w:type="dxa"/>
            <w:vAlign w:val="bottom"/>
            <w:tcBorders>
              <w:bottom w:val="single" w:sz="8" w:color="CCFFCC"/>
            </w:tcBorders>
            <w:shd w:val="clear" w:color="auto" w:fill="CCFFCC"/>
          </w:tcPr>
          <w:p>
            <w:pPr>
              <w:spacing w:after="0"/>
              <w:rPr>
                <w:sz w:val="13"/>
                <w:szCs w:val="13"/>
                <w:color w:val="auto"/>
              </w:rPr>
            </w:pPr>
          </w:p>
        </w:tc>
        <w:tc>
          <w:tcPr>
            <w:tcW w:w="440" w:type="dxa"/>
            <w:vAlign w:val="bottom"/>
            <w:tcBorders>
              <w:bottom w:val="single" w:sz="8" w:color="CCFFCC"/>
            </w:tcBorders>
            <w:shd w:val="clear" w:color="auto" w:fill="CCFFCC"/>
          </w:tcPr>
          <w:p>
            <w:pPr>
              <w:ind w:left="140"/>
              <w:spacing w:after="0" w:line="149" w:lineRule="exact"/>
              <w:rPr>
                <w:sz w:val="20"/>
                <w:szCs w:val="20"/>
                <w:color w:val="auto"/>
              </w:rPr>
            </w:pPr>
            <w:r>
              <w:rPr>
                <w:rFonts w:ascii="Arial" w:cs="Arial" w:eastAsia="Arial" w:hAnsi="Arial"/>
                <w:sz w:val="14"/>
                <w:szCs w:val="14"/>
                <w:color w:val="auto"/>
              </w:rPr>
              <w:t>N/A</w:t>
            </w:r>
          </w:p>
        </w:tc>
        <w:tc>
          <w:tcPr>
            <w:tcW w:w="220" w:type="dxa"/>
            <w:vAlign w:val="bottom"/>
            <w:tcBorders>
              <w:bottom w:val="single" w:sz="8" w:color="CCFFCC"/>
            </w:tcBorders>
            <w:shd w:val="clear" w:color="auto" w:fill="CCFFCC"/>
          </w:tcPr>
          <w:p>
            <w:pPr>
              <w:spacing w:after="0"/>
              <w:rPr>
                <w:sz w:val="13"/>
                <w:szCs w:val="13"/>
                <w:color w:val="auto"/>
              </w:rPr>
            </w:pPr>
          </w:p>
        </w:tc>
        <w:tc>
          <w:tcPr>
            <w:tcW w:w="200" w:type="dxa"/>
            <w:vAlign w:val="bottom"/>
            <w:tcBorders>
              <w:bottom w:val="single" w:sz="8" w:color="auto"/>
            </w:tcBorders>
            <w:shd w:val="clear" w:color="auto" w:fill="CCFFCC"/>
          </w:tcPr>
          <w:p>
            <w:pPr>
              <w:spacing w:after="0"/>
              <w:rPr>
                <w:sz w:val="13"/>
                <w:szCs w:val="13"/>
                <w:color w:val="auto"/>
              </w:rPr>
            </w:pPr>
          </w:p>
        </w:tc>
        <w:tc>
          <w:tcPr>
            <w:tcW w:w="9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6,413,780</w:t>
            </w:r>
          </w:p>
        </w:tc>
        <w:tc>
          <w:tcPr>
            <w:tcW w:w="100" w:type="dxa"/>
            <w:vAlign w:val="bottom"/>
            <w:tcBorders>
              <w:bottom w:val="single" w:sz="8" w:color="CCFFCC"/>
            </w:tcBorders>
            <w:shd w:val="clear" w:color="auto" w:fill="CCFFCC"/>
          </w:tcPr>
          <w:p>
            <w:pPr>
              <w:spacing w:after="0"/>
              <w:rPr>
                <w:sz w:val="13"/>
                <w:szCs w:val="13"/>
                <w:color w:val="auto"/>
              </w:rPr>
            </w:pPr>
          </w:p>
        </w:tc>
      </w:tr>
      <w:tr>
        <w:trPr>
          <w:trHeight w:val="243"/>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172,554,538</w:t>
            </w:r>
          </w:p>
        </w:tc>
        <w:tc>
          <w:tcPr>
            <w:tcW w:w="1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ind w:left="460" w:hanging="373"/>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Party-in-interest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ind w:right="-1080"/>
        <w:spacing w:after="0"/>
        <w:rPr>
          <w:sz w:val="20"/>
          <w:szCs w:val="20"/>
          <w:color w:val="auto"/>
        </w:rPr>
      </w:pPr>
      <w:r>
        <w:rPr>
          <w:rFonts w:ascii="Arial" w:cs="Arial" w:eastAsia="Arial" w:hAnsi="Arial"/>
          <w:sz w:val="17"/>
          <w:szCs w:val="17"/>
          <w:color w:val="auto"/>
        </w:rPr>
        <w:t>THE SCOTTS COMPANY LLC RETIREMENT SAVINGS PLAN</w:t>
      </w:r>
    </w:p>
    <w:p>
      <w:pPr>
        <w:spacing w:after="0" w:line="264"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ANNUAL REPORT ON FORM 11-K</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FOR FISCAL YEAR ENDED DECEMBER 31, 2008</w:t>
      </w:r>
    </w:p>
    <w:p>
      <w:pPr>
        <w:spacing w:after="0" w:line="23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INDEX TO EXHIBITS</w:t>
      </w:r>
    </w:p>
    <w:p>
      <w:pPr>
        <w:spacing w:after="0" w:line="24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 Meaden &amp; Moore, Ltd.</w:t>
      </w:r>
    </w:p>
    <w:p>
      <w:pPr>
        <w:spacing w:after="0" w:line="25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79"/>
          </w:cols>
          <w:pgMar w:left="380" w:top="517"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(Forms S-8 No. 033-47073, No. 333-147397, and No. 333-154364) pertaining to The Scotts Miracle-Gro Company of our report dated June 18, 2009, with respect to the financial statements of The Scotts Company LLC Retirement Savings Plan included in this Annual Report (Form 11-K) for the fiscal years ended December 31, 2008 and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Meaden &amp; Moore,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R"/>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2019-12-10T07:59:14Z</dcterms:created>
  <dcterms:modified xsi:type="dcterms:W3CDTF">2019-12-10T07:59:14Z</dcterms:modified>
</cp:coreProperties>
</file>