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UNITED STATES</w:t>
      </w:r>
    </w:p>
    <w:p>
      <w:pPr>
        <w:jc w:val="center"/>
        <w:ind w:right="80"/>
        <w:spacing w:after="0" w:line="236" w:lineRule="auto"/>
        <w:rPr>
          <w:sz w:val="20"/>
          <w:szCs w:val="20"/>
          <w:color w:val="auto"/>
        </w:rPr>
      </w:pPr>
      <w:r>
        <w:rPr>
          <w:rFonts w:ascii="Arial" w:cs="Arial" w:eastAsia="Arial" w:hAnsi="Arial"/>
          <w:sz w:val="20"/>
          <w:szCs w:val="20"/>
          <w:b w:val="1"/>
          <w:bCs w:val="1"/>
          <w:color w:val="auto"/>
        </w:rPr>
        <w:t>SECURITIES AND EXCHANGE COMMISSION</w:t>
      </w:r>
    </w:p>
    <w:p>
      <w:pPr>
        <w:jc w:val="center"/>
        <w:ind w:right="80"/>
        <w:spacing w:after="0"/>
        <w:rPr>
          <w:sz w:val="20"/>
          <w:szCs w:val="20"/>
          <w:color w:val="auto"/>
        </w:rPr>
      </w:pPr>
      <w:r>
        <w:rPr>
          <w:rFonts w:ascii="Arial" w:cs="Arial" w:eastAsia="Arial" w:hAnsi="Arial"/>
          <w:sz w:val="20"/>
          <w:szCs w:val="20"/>
          <w:b w:val="1"/>
          <w:bCs w:val="1"/>
          <w:color w:val="auto"/>
        </w:rPr>
        <w:t>WASHINGTON, D.C. 20549</w:t>
      </w:r>
    </w:p>
    <w:p>
      <w:pPr>
        <w:spacing w:after="0" w:line="259"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FORM 10-K</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100" w:right="1580" w:hanging="407"/>
        <w:spacing w:after="0" w:line="305" w:lineRule="auto"/>
        <w:tabs>
          <w:tab w:leader="none" w:pos="11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September 30, 2006</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OR</w:t>
      </w:r>
    </w:p>
    <w:p>
      <w:pPr>
        <w:spacing w:after="0" w:line="131" w:lineRule="exact"/>
        <w:rPr>
          <w:sz w:val="20"/>
          <w:szCs w:val="20"/>
          <w:color w:val="auto"/>
        </w:rPr>
      </w:pPr>
    </w:p>
    <w:p>
      <w:pPr>
        <w:ind w:left="1100" w:hanging="407"/>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color w:val="auto"/>
              </w:rPr>
              <w:t>For the transition period from</w:t>
            </w:r>
          </w:p>
        </w:tc>
        <w:tc>
          <w:tcPr>
            <w:tcW w:w="500" w:type="dxa"/>
            <w:vAlign w:val="bottom"/>
            <w:tcBorders>
              <w:bottom w:val="single" w:sz="8" w:color="auto"/>
            </w:tcBorders>
            <w:gridSpan w:val="2"/>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w w:val="92"/>
              </w:rPr>
              <w:t>to</w:t>
            </w:r>
          </w:p>
        </w:tc>
      </w:tr>
      <w:tr>
        <w:trPr>
          <w:trHeight w:val="291"/>
        </w:trPr>
        <w:tc>
          <w:tcPr>
            <w:tcW w:w="2860" w:type="dxa"/>
            <w:vAlign w:val="bottom"/>
            <w:gridSpan w:val="4"/>
          </w:tcPr>
          <w:p>
            <w:pPr>
              <w:spacing w:after="0"/>
              <w:rPr>
                <w:sz w:val="20"/>
                <w:szCs w:val="20"/>
                <w:color w:val="auto"/>
              </w:rPr>
            </w:pPr>
            <w:r>
              <w:rPr>
                <w:rFonts w:ascii="Arial" w:cs="Arial" w:eastAsia="Arial" w:hAnsi="Arial"/>
                <w:sz w:val="18"/>
                <w:szCs w:val="18"/>
                <w:color w:val="auto"/>
              </w:rPr>
              <w:t>Commission file number 1-13292</w:t>
            </w:r>
          </w:p>
        </w:tc>
        <w:tc>
          <w:tcPr>
            <w:tcW w:w="200" w:type="dxa"/>
            <w:vAlign w:val="bottom"/>
          </w:tcPr>
          <w:p>
            <w:pPr>
              <w:spacing w:after="0"/>
              <w:rPr>
                <w:sz w:val="24"/>
                <w:szCs w:val="24"/>
                <w:color w:val="auto"/>
              </w:rPr>
            </w:pP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-205105</wp:posOffset>
            </wp:positionV>
            <wp:extent cx="317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371"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8890</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(Exact name of registrant as specified in its charter)</w:t>
      </w:r>
    </w:p>
    <w:p>
      <w:pPr>
        <w:spacing w:after="0" w:line="183"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4400" w:type="dxa"/>
            <w:vAlign w:val="bottom"/>
            <w:tcBorders>
              <w:bottom w:val="single" w:sz="8" w:color="auto"/>
            </w:tcBorders>
          </w:tcPr>
          <w:p>
            <w:pPr>
              <w:jc w:val="center"/>
              <w:ind w:left="477"/>
              <w:spacing w:after="0"/>
              <w:rPr>
                <w:sz w:val="20"/>
                <w:szCs w:val="20"/>
                <w:color w:val="auto"/>
              </w:rPr>
            </w:pPr>
            <w:r>
              <w:rPr>
                <w:rFonts w:ascii="Arial" w:cs="Arial" w:eastAsia="Arial" w:hAnsi="Arial"/>
                <w:sz w:val="18"/>
                <w:szCs w:val="18"/>
                <w:b w:val="1"/>
                <w:bCs w:val="1"/>
                <w:color w:val="auto"/>
                <w:w w:val="97"/>
              </w:rPr>
              <w:t>Ohio</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tcBorders>
              <w:bottom w:val="single" w:sz="8" w:color="auto"/>
            </w:tcBorders>
            <w:gridSpan w:val="2"/>
          </w:tcPr>
          <w:p>
            <w:pPr>
              <w:jc w:val="right"/>
              <w:ind w:right="1884"/>
              <w:spacing w:after="0"/>
              <w:rPr>
                <w:sz w:val="20"/>
                <w:szCs w:val="20"/>
                <w:color w:val="auto"/>
              </w:rPr>
            </w:pPr>
            <w:r>
              <w:rPr>
                <w:rFonts w:ascii="Arial" w:cs="Arial" w:eastAsia="Arial" w:hAnsi="Arial"/>
                <w:sz w:val="18"/>
                <w:szCs w:val="18"/>
                <w:b w:val="1"/>
                <w:bCs w:val="1"/>
                <w:color w:val="auto"/>
              </w:rPr>
              <w:t>31-1414921</w:t>
            </w:r>
          </w:p>
        </w:tc>
        <w:tc>
          <w:tcPr>
            <w:tcW w:w="760" w:type="dxa"/>
            <w:vAlign w:val="bottom"/>
          </w:tcPr>
          <w:p>
            <w:pPr>
              <w:spacing w:after="0"/>
              <w:rPr>
                <w:sz w:val="19"/>
                <w:szCs w:val="19"/>
                <w:color w:val="auto"/>
              </w:rPr>
            </w:pPr>
          </w:p>
        </w:tc>
      </w:tr>
      <w:tr>
        <w:trPr>
          <w:trHeight w:val="184"/>
        </w:trPr>
        <w:tc>
          <w:tcPr>
            <w:tcW w:w="4400" w:type="dxa"/>
            <w:vAlign w:val="bottom"/>
          </w:tcPr>
          <w:p>
            <w:pPr>
              <w:jc w:val="center"/>
              <w:ind w:left="477"/>
              <w:spacing w:after="0"/>
              <w:rPr>
                <w:sz w:val="20"/>
                <w:szCs w:val="20"/>
                <w:color w:val="auto"/>
              </w:rPr>
            </w:pPr>
            <w:r>
              <w:rPr>
                <w:rFonts w:ascii="Arial" w:cs="Arial" w:eastAsia="Arial" w:hAnsi="Arial"/>
                <w:sz w:val="14"/>
                <w:szCs w:val="14"/>
                <w:color w:val="auto"/>
              </w:rPr>
              <w:t>(State or other jurisdiction of incorporation or organization)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160" w:type="dxa"/>
            <w:vAlign w:val="bottom"/>
            <w:gridSpan w:val="2"/>
          </w:tcPr>
          <w:p>
            <w:pPr>
              <w:jc w:val="right"/>
              <w:ind w:right="2080"/>
              <w:spacing w:after="0"/>
              <w:rPr>
                <w:sz w:val="20"/>
                <w:szCs w:val="20"/>
                <w:color w:val="auto"/>
              </w:rPr>
            </w:pPr>
            <w:r>
              <w:rPr>
                <w:rFonts w:ascii="Arial" w:cs="Arial" w:eastAsia="Arial" w:hAnsi="Arial"/>
                <w:sz w:val="14"/>
                <w:szCs w:val="14"/>
                <w:color w:val="auto"/>
              </w:rPr>
              <w:t>(I.R.S. Employer Identification No.)</w:t>
            </w:r>
          </w:p>
        </w:tc>
      </w:tr>
      <w:tr>
        <w:trPr>
          <w:trHeight w:val="444"/>
        </w:trPr>
        <w:tc>
          <w:tcPr>
            <w:tcW w:w="44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14111 Scottslawn Road, Marysville, Ohio</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Borders>
              <w:bottom w:val="single" w:sz="8" w:color="auto"/>
            </w:tcBorders>
            <w:gridSpan w:val="2"/>
          </w:tcPr>
          <w:p>
            <w:pPr>
              <w:jc w:val="right"/>
              <w:ind w:right="2104"/>
              <w:spacing w:after="0"/>
              <w:rPr>
                <w:sz w:val="20"/>
                <w:szCs w:val="20"/>
                <w:color w:val="auto"/>
              </w:rPr>
            </w:pPr>
            <w:r>
              <w:rPr>
                <w:rFonts w:ascii="Arial" w:cs="Arial" w:eastAsia="Arial" w:hAnsi="Arial"/>
                <w:sz w:val="18"/>
                <w:szCs w:val="18"/>
                <w:b w:val="1"/>
                <w:bCs w:val="1"/>
                <w:color w:val="auto"/>
              </w:rPr>
              <w:t>43041</w:t>
            </w:r>
          </w:p>
        </w:tc>
        <w:tc>
          <w:tcPr>
            <w:tcW w:w="760" w:type="dxa"/>
            <w:vAlign w:val="bottom"/>
          </w:tcPr>
          <w:p>
            <w:pPr>
              <w:spacing w:after="0"/>
              <w:rPr>
                <w:sz w:val="24"/>
                <w:szCs w:val="24"/>
                <w:color w:val="auto"/>
              </w:rPr>
            </w:pPr>
          </w:p>
        </w:tc>
      </w:tr>
      <w:tr>
        <w:trPr>
          <w:trHeight w:val="184"/>
        </w:trPr>
        <w:tc>
          <w:tcPr>
            <w:tcW w:w="4400" w:type="dxa"/>
            <w:vAlign w:val="bottom"/>
          </w:tcPr>
          <w:p>
            <w:pPr>
              <w:jc w:val="center"/>
              <w:ind w:left="457"/>
              <w:spacing w:after="0"/>
              <w:rPr>
                <w:sz w:val="20"/>
                <w:szCs w:val="20"/>
                <w:color w:val="auto"/>
              </w:rPr>
            </w:pPr>
            <w:r>
              <w:rPr>
                <w:rFonts w:ascii="Arial" w:cs="Arial" w:eastAsia="Arial" w:hAnsi="Arial"/>
                <w:sz w:val="14"/>
                <w:szCs w:val="14"/>
                <w:color w:val="auto"/>
              </w:rPr>
              <w:t>(Address of principal executive offices)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160" w:type="dxa"/>
            <w:vAlign w:val="bottom"/>
            <w:gridSpan w:val="2"/>
          </w:tcPr>
          <w:p>
            <w:pPr>
              <w:ind w:left="1620"/>
              <w:spacing w:after="0"/>
              <w:rPr>
                <w:sz w:val="20"/>
                <w:szCs w:val="20"/>
                <w:color w:val="auto"/>
              </w:rPr>
            </w:pPr>
            <w:r>
              <w:rPr>
                <w:rFonts w:ascii="Arial" w:cs="Arial" w:eastAsia="Arial" w:hAnsi="Arial"/>
                <w:sz w:val="14"/>
                <w:szCs w:val="14"/>
                <w:color w:val="auto"/>
              </w:rPr>
              <w:t>(Zip Code)</w:t>
            </w:r>
          </w:p>
        </w:tc>
      </w:tr>
      <w:tr>
        <w:trPr>
          <w:trHeight w:val="323"/>
        </w:trPr>
        <w:tc>
          <w:tcPr>
            <w:tcW w:w="4400" w:type="dxa"/>
            <w:vAlign w:val="bottom"/>
          </w:tcPr>
          <w:p>
            <w:pPr>
              <w:spacing w:after="0"/>
              <w:rPr>
                <w:sz w:val="20"/>
                <w:szCs w:val="20"/>
                <w:color w:val="auto"/>
              </w:rPr>
            </w:pPr>
            <w:r>
              <w:rPr>
                <w:rFonts w:ascii="Arial" w:cs="Arial" w:eastAsia="Arial" w:hAnsi="Arial"/>
                <w:sz w:val="18"/>
                <w:szCs w:val="18"/>
                <w:color w:val="auto"/>
              </w:rPr>
              <w:t>Registrant’s telephone number, including area code:</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937-644-0011</w:t>
            </w:r>
          </w:p>
        </w:tc>
        <w:tc>
          <w:tcPr>
            <w:tcW w:w="4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5"/>
        </w:trPr>
        <w:tc>
          <w:tcPr>
            <w:tcW w:w="1068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66"/>
        </w:trPr>
        <w:tc>
          <w:tcPr>
            <w:tcW w:w="4400" w:type="dxa"/>
            <w:vAlign w:val="bottom"/>
          </w:tcPr>
          <w:p>
            <w:pPr>
              <w:ind w:left="2460"/>
              <w:spacing w:after="0"/>
              <w:rPr>
                <w:sz w:val="20"/>
                <w:szCs w:val="20"/>
                <w:color w:val="auto"/>
              </w:rPr>
            </w:pPr>
            <w:r>
              <w:rPr>
                <w:rFonts w:ascii="Arial" w:cs="Arial" w:eastAsia="Arial" w:hAnsi="Arial"/>
                <w:sz w:val="14"/>
                <w:szCs w:val="14"/>
                <w:b w:val="1"/>
                <w:bCs w:val="1"/>
                <w:u w:val="single" w:color="auto"/>
                <w:color w:val="auto"/>
              </w:rPr>
              <w:t>T</w:t>
            </w:r>
            <w:r>
              <w:rPr>
                <w:rFonts w:ascii="Arial" w:cs="Arial" w:eastAsia="Arial" w:hAnsi="Arial"/>
                <w:sz w:val="14"/>
                <w:szCs w:val="14"/>
                <w:b w:val="1"/>
                <w:bCs w:val="1"/>
                <w:color w:val="auto"/>
              </w:rPr>
              <w:t>itle of Each Class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60" w:type="dxa"/>
            <w:vAlign w:val="bottom"/>
            <w:gridSpan w:val="2"/>
          </w:tcPr>
          <w:p>
            <w:pPr>
              <w:ind w:left="200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Each Exchange On Which Registered</w:t>
            </w:r>
          </w:p>
        </w:tc>
      </w:tr>
      <w:tr>
        <w:trPr>
          <w:trHeight w:val="390"/>
        </w:trPr>
        <w:tc>
          <w:tcPr>
            <w:tcW w:w="4400" w:type="dxa"/>
            <w:vAlign w:val="bottom"/>
          </w:tcPr>
          <w:p>
            <w:pPr>
              <w:spacing w:after="0"/>
              <w:rPr>
                <w:sz w:val="20"/>
                <w:szCs w:val="20"/>
                <w:color w:val="auto"/>
              </w:rPr>
            </w:pPr>
            <w:r>
              <w:rPr>
                <w:rFonts w:ascii="Arial" w:cs="Arial" w:eastAsia="Arial" w:hAnsi="Arial"/>
                <w:sz w:val="18"/>
                <w:szCs w:val="18"/>
                <w:color w:val="auto"/>
              </w:rPr>
              <w:t>Common Shares, without par value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60" w:type="dxa"/>
            <w:vAlign w:val="bottom"/>
            <w:gridSpan w:val="2"/>
          </w:tcPr>
          <w:p>
            <w:pPr>
              <w:jc w:val="right"/>
              <w:ind w:right="2080"/>
              <w:spacing w:after="0"/>
              <w:rPr>
                <w:sz w:val="20"/>
                <w:szCs w:val="20"/>
                <w:color w:val="auto"/>
              </w:rPr>
            </w:pPr>
            <w:r>
              <w:rPr>
                <w:rFonts w:ascii="Arial" w:cs="Arial" w:eastAsia="Arial" w:hAnsi="Arial"/>
                <w:sz w:val="18"/>
                <w:szCs w:val="18"/>
                <w:color w:val="auto"/>
              </w:rPr>
              <w:t>New York Stock Exchange</w:t>
            </w:r>
          </w:p>
        </w:tc>
      </w:tr>
    </w:tbl>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17" w:lineRule="exact"/>
        <w:rPr>
          <w:sz w:val="20"/>
          <w:szCs w:val="20"/>
          <w:color w:val="auto"/>
        </w:rPr>
      </w:pPr>
    </w:p>
    <w:p>
      <w:pPr>
        <w:ind w:left="700" w:right="1760"/>
        <w:spacing w:after="0" w:line="220"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2" w:lineRule="exact"/>
        <w:rPr>
          <w:sz w:val="20"/>
          <w:szCs w:val="20"/>
          <w:color w:val="auto"/>
        </w:rPr>
      </w:pPr>
    </w:p>
    <w:p>
      <w:pPr>
        <w:ind w:left="700" w:right="1640"/>
        <w:spacing w:after="0" w:line="220"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02" w:lineRule="exact"/>
        <w:rPr>
          <w:sz w:val="20"/>
          <w:szCs w:val="20"/>
          <w:color w:val="auto"/>
        </w:rPr>
      </w:pPr>
    </w:p>
    <w:p>
      <w:pPr>
        <w:ind w:left="700" w:right="86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1" w:lineRule="exact"/>
        <w:rPr>
          <w:sz w:val="20"/>
          <w:szCs w:val="20"/>
          <w:color w:val="auto"/>
        </w:rPr>
      </w:pPr>
    </w:p>
    <w:p>
      <w:pPr>
        <w:ind w:left="700" w:right="900"/>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22" w:lineRule="exact"/>
        <w:rPr>
          <w:sz w:val="20"/>
          <w:szCs w:val="20"/>
          <w:color w:val="auto"/>
        </w:rPr>
      </w:pPr>
    </w:p>
    <w:p>
      <w:pPr>
        <w:ind w:left="700" w:right="860"/>
        <w:spacing w:after="0" w:line="232"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jc w:val="center"/>
        <w:ind w:right="60"/>
        <w:spacing w:after="0" w:line="207" w:lineRule="exact"/>
        <w:tabs>
          <w:tab w:leader="none" w:pos="1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 Non-accelerated filer o</w:t>
      </w:r>
    </w:p>
    <w:p>
      <w:pPr>
        <w:spacing w:after="0" w:line="135" w:lineRule="exact"/>
        <w:rPr>
          <w:sz w:val="20"/>
          <w:szCs w:val="20"/>
          <w:color w:val="auto"/>
        </w:rPr>
      </w:pPr>
    </w:p>
    <w:p>
      <w:pPr>
        <w:ind w:left="700" w:right="2120"/>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02" w:lineRule="exact"/>
        <w:rPr>
          <w:sz w:val="20"/>
          <w:szCs w:val="20"/>
          <w:color w:val="auto"/>
        </w:rPr>
      </w:pPr>
    </w:p>
    <w:p>
      <w:pPr>
        <w:jc w:val="both"/>
        <w:ind w:left="700" w:right="1180"/>
        <w:spacing w:after="0"/>
        <w:rPr>
          <w:sz w:val="20"/>
          <w:szCs w:val="20"/>
          <w:color w:val="auto"/>
        </w:rPr>
      </w:pPr>
      <w:r>
        <w:rPr>
          <w:rFonts w:ascii="Arial" w:cs="Arial" w:eastAsia="Arial" w:hAnsi="Arial"/>
          <w:sz w:val="18"/>
          <w:szCs w:val="18"/>
          <w:color w:val="auto"/>
        </w:rPr>
        <w:t>The aggregate market value of Common Shares (the only common equity of the registrant) held by non-affiliates of the registrant computed by reference to the price at which Common Shares were last sold as of the last business day of the registrant’s most recently completed second fiscal quarter (March 31, 2006) was approximately $2,102,627,000.</w:t>
      </w:r>
    </w:p>
    <w:p>
      <w:pPr>
        <w:spacing w:after="0" w:line="108" w:lineRule="exact"/>
        <w:rPr>
          <w:sz w:val="20"/>
          <w:szCs w:val="20"/>
          <w:color w:val="auto"/>
        </w:rPr>
      </w:pPr>
    </w:p>
    <w:p>
      <w:pPr>
        <w:ind w:left="700" w:right="1000"/>
        <w:spacing w:after="0" w:line="246"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 number of Common Shares of the registrant outstanding as of November 28, 2006 was 67,413,056.</w:t>
      </w: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DOCUMENT INCORPORATED BY REFERENCE:</w:t>
      </w:r>
    </w:p>
    <w:p>
      <w:pPr>
        <w:spacing w:after="0" w:line="117" w:lineRule="exact"/>
        <w:rPr>
          <w:sz w:val="20"/>
          <w:szCs w:val="20"/>
          <w:color w:val="auto"/>
        </w:rPr>
      </w:pPr>
    </w:p>
    <w:p>
      <w:pPr>
        <w:ind w:left="700" w:right="1580"/>
        <w:spacing w:after="0" w:line="271" w:lineRule="auto"/>
        <w:rPr>
          <w:sz w:val="20"/>
          <w:szCs w:val="20"/>
          <w:color w:val="auto"/>
        </w:rPr>
      </w:pPr>
      <w:r>
        <w:rPr>
          <w:rFonts w:ascii="Arial" w:cs="Arial" w:eastAsia="Arial" w:hAnsi="Arial"/>
          <w:sz w:val="18"/>
          <w:szCs w:val="18"/>
          <w:b w:val="1"/>
          <w:bCs w:val="1"/>
          <w:color w:val="auto"/>
        </w:rPr>
        <w:t>Portions of the definitive Proxy Statement for Registrant’s 2007 Annual Meeting of Shareholders to be held January 25, 2007,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PART I</w:t>
      </w:r>
    </w:p>
    <w:p>
      <w:pPr>
        <w:spacing w:after="0" w:line="220"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u w:val="single" w:color="auto"/>
          <w:color w:val="auto"/>
        </w:rPr>
        <w:t>BUSINESS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Company Description</w:t>
      </w:r>
    </w:p>
    <w:p>
      <w:pPr>
        <w:spacing w:after="0" w:line="144" w:lineRule="exact"/>
        <w:rPr>
          <w:sz w:val="20"/>
          <w:szCs w:val="20"/>
          <w:color w:val="auto"/>
        </w:rPr>
      </w:pPr>
    </w:p>
    <w:p>
      <w:pPr>
        <w:ind w:left="700" w:right="40" w:firstLine="402"/>
        <w:spacing w:after="0" w:line="237" w:lineRule="auto"/>
        <w:rPr>
          <w:sz w:val="20"/>
          <w:szCs w:val="20"/>
          <w:color w:val="auto"/>
        </w:rPr>
      </w:pPr>
      <w:r>
        <w:rPr>
          <w:rFonts w:ascii="Arial" w:cs="Arial" w:eastAsia="Arial" w:hAnsi="Arial"/>
          <w:sz w:val="18"/>
          <w:szCs w:val="18"/>
          <w:color w:val="auto"/>
        </w:rPr>
        <w:t>The Scotts Miracle-Gro Company, an Ohio corporation (“Scotts Miracle-Gro” and, together with its subsidiaries, the “Company”), traces its roots to two businesses launched by entrepreneurs. In 1868, Civil War veteran O.M. Scott launched a seed business in Marysville, Ohio, based on the conviction that “farmers shall have clean, weed-free fields.” Beginning in 1907, the Company expanded its reach by selling grass seed to consumers and eventually exited the agricultural market. By 1988 — both through innovation and acquisition — the Company had become a leading marketer of lawn fertilizer, grass seed and growing media products within the United States.</w:t>
      </w:r>
    </w:p>
    <w:p>
      <w:pPr>
        <w:spacing w:after="0" w:line="111" w:lineRule="exact"/>
        <w:rPr>
          <w:sz w:val="20"/>
          <w:szCs w:val="20"/>
          <w:color w:val="auto"/>
        </w:rPr>
      </w:pPr>
    </w:p>
    <w:p>
      <w:pPr>
        <w:ind w:left="700" w:right="380" w:firstLine="402"/>
        <w:spacing w:after="0" w:line="238" w:lineRule="auto"/>
        <w:rPr>
          <w:sz w:val="20"/>
          <w:szCs w:val="20"/>
          <w:color w:val="auto"/>
        </w:rPr>
      </w:pPr>
      <w:r>
        <w:rPr>
          <w:rFonts w:ascii="Arial" w:cs="Arial" w:eastAsia="Arial" w:hAnsi="Arial"/>
          <w:sz w:val="18"/>
          <w:szCs w:val="18"/>
          <w:color w:val="auto"/>
        </w:rPr>
        <w:t>Separately, Horace Hagedorn and his partner Otto Stern launched Stern’s Miracle-Gro Products, Inc. in 1951 in New York. Their easy-to-use plant food quickly revolutionized the gardening category. Through aggressive and innovative marketing, Miracle-Gro</w:t>
      </w:r>
      <w:r>
        <w:rPr>
          <w:rFonts w:ascii="Arial" w:cs="Arial" w:eastAsia="Arial" w:hAnsi="Arial"/>
          <w:sz w:val="15"/>
          <w:szCs w:val="15"/>
          <w:color w:val="auto"/>
        </w:rPr>
        <w:t>®</w:t>
      </w:r>
      <w:r>
        <w:rPr>
          <w:rFonts w:ascii="Arial" w:cs="Arial" w:eastAsia="Arial" w:hAnsi="Arial"/>
          <w:sz w:val="18"/>
          <w:szCs w:val="18"/>
          <w:color w:val="auto"/>
        </w:rPr>
        <w:t xml:space="preserve"> eventually became the leading plant food product in the gardening industry. In 1995, The Scotts Company combined with Stern’s Miracle-Gro through a series of merger transactions, marking the start of a significant evolution for the Company.</w:t>
      </w:r>
    </w:p>
    <w:p>
      <w:pPr>
        <w:spacing w:after="0" w:line="108" w:lineRule="exact"/>
        <w:rPr>
          <w:sz w:val="20"/>
          <w:szCs w:val="20"/>
          <w:color w:val="auto"/>
        </w:rPr>
      </w:pPr>
    </w:p>
    <w:p>
      <w:pPr>
        <w:ind w:left="700" w:right="20" w:firstLine="402"/>
        <w:spacing w:after="0" w:line="236" w:lineRule="auto"/>
        <w:rPr>
          <w:sz w:val="20"/>
          <w:szCs w:val="20"/>
          <w:color w:val="auto"/>
        </w:rPr>
      </w:pPr>
      <w:r>
        <w:rPr>
          <w:rFonts w:ascii="Arial" w:cs="Arial" w:eastAsia="Arial" w:hAnsi="Arial"/>
          <w:sz w:val="18"/>
          <w:szCs w:val="18"/>
          <w:color w:val="auto"/>
        </w:rPr>
        <w:t>In the late 1990’s, the Company launched a geographic and category expansion. It acquired companies with industry-leading brands in France, Germany and the United Kingdom. In fiscal 1999, the Company acquired the Ortho</w:t>
      </w:r>
      <w:r>
        <w:rPr>
          <w:rFonts w:ascii="Arial" w:cs="Arial" w:eastAsia="Arial" w:hAnsi="Arial"/>
          <w:sz w:val="15"/>
          <w:szCs w:val="15"/>
          <w:color w:val="auto"/>
        </w:rPr>
        <w:t>®</w:t>
      </w:r>
      <w:r>
        <w:rPr>
          <w:rFonts w:ascii="Arial" w:cs="Arial" w:eastAsia="Arial" w:hAnsi="Arial"/>
          <w:sz w:val="18"/>
          <w:szCs w:val="18"/>
          <w:color w:val="auto"/>
        </w:rPr>
        <w:t xml:space="preserve"> brand in the United States and exclusive rights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brand products within the United States and other specified countries, thereby adding industry-leading controls to its portfolio. The Company has rapidly expanded into the lawn care service industry with the launch of Scotts LawnService</w:t>
      </w:r>
      <w:r>
        <w:rPr>
          <w:rFonts w:ascii="Arial" w:cs="Arial" w:eastAsia="Arial" w:hAnsi="Arial"/>
          <w:sz w:val="15"/>
          <w:szCs w:val="15"/>
          <w:color w:val="auto"/>
        </w:rPr>
        <w:t>®</w:t>
      </w:r>
      <w:r>
        <w:rPr>
          <w:rFonts w:ascii="Arial" w:cs="Arial" w:eastAsia="Arial" w:hAnsi="Arial"/>
          <w:sz w:val="18"/>
          <w:szCs w:val="18"/>
          <w:color w:val="auto"/>
        </w:rPr>
        <w:t xml:space="preserve"> in 1998. Since fiscal 2002, the Company has invested nearly $100 million in the acquisitions of local and regional lawn care businesses to provide a platform for our rapid expansion throughout the U.S. In October 2004, the Company entered the fast growing outdoor living category with the acquisition of Smith &amp; Hawken, Ltd. The Company entered the North America wild bird food category in fiscal 2006 with the acquisition of Gutwein &amp; Co., Inc. and its Morning Song</w:t>
      </w:r>
      <w:r>
        <w:rPr>
          <w:rFonts w:ascii="Arial" w:cs="Arial" w:eastAsia="Arial" w:hAnsi="Arial"/>
          <w:sz w:val="15"/>
          <w:szCs w:val="15"/>
          <w:color w:val="auto"/>
        </w:rPr>
        <w:t>®</w:t>
      </w:r>
      <w:r>
        <w:rPr>
          <w:rFonts w:ascii="Arial" w:cs="Arial" w:eastAsia="Arial" w:hAnsi="Arial"/>
          <w:sz w:val="18"/>
          <w:szCs w:val="18"/>
          <w:color w:val="auto"/>
        </w:rPr>
        <w:t xml:space="preserve"> brand of bird food.</w:t>
      </w:r>
    </w:p>
    <w:p>
      <w:pPr>
        <w:spacing w:after="0" w:line="113" w:lineRule="exact"/>
        <w:rPr>
          <w:sz w:val="20"/>
          <w:szCs w:val="20"/>
          <w:color w:val="auto"/>
        </w:rPr>
      </w:pPr>
    </w:p>
    <w:p>
      <w:pPr>
        <w:ind w:left="700" w:right="240" w:firstLine="402"/>
        <w:spacing w:after="0"/>
        <w:rPr>
          <w:sz w:val="20"/>
          <w:szCs w:val="20"/>
          <w:color w:val="auto"/>
        </w:rPr>
      </w:pPr>
      <w:r>
        <w:rPr>
          <w:rFonts w:ascii="Arial" w:cs="Arial" w:eastAsia="Arial" w:hAnsi="Arial"/>
          <w:sz w:val="18"/>
          <w:szCs w:val="18"/>
          <w:color w:val="auto"/>
        </w:rPr>
        <w:t>As Scotts Miracle-Gro celebrates its 100th Anniversary in selling products to consumers, we own the leading brands in nearly every category of the lawn and garden industry. A list of some of our North America leading consumer brands is as follows:</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Category</w:t>
            </w:r>
          </w:p>
        </w:tc>
        <w:tc>
          <w:tcPr>
            <w:tcW w:w="7620" w:type="dxa"/>
            <w:vAlign w:val="bottom"/>
          </w:tcPr>
          <w:p>
            <w:pPr>
              <w:ind w:left="1200"/>
              <w:spacing w:after="0"/>
              <w:rPr>
                <w:sz w:val="20"/>
                <w:szCs w:val="20"/>
                <w:color w:val="auto"/>
              </w:rPr>
            </w:pPr>
            <w:r>
              <w:rPr>
                <w:rFonts w:ascii="Arial" w:cs="Arial" w:eastAsia="Arial" w:hAnsi="Arial"/>
                <w:sz w:val="18"/>
                <w:szCs w:val="18"/>
                <w:color w:val="auto"/>
              </w:rPr>
              <w:t>Brands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76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Lawns</w:t>
            </w:r>
          </w:p>
        </w:tc>
        <w:tc>
          <w:tcPr>
            <w:tcW w:w="7620" w:type="dxa"/>
            <w:vAlign w:val="bottom"/>
            <w:shd w:val="clear" w:color="auto" w:fill="CCEEFF"/>
          </w:tcPr>
          <w:p>
            <w:pPr>
              <w:ind w:left="1200"/>
              <w:spacing w:after="0" w:line="202" w:lineRule="exact"/>
              <w:rPr>
                <w:sz w:val="20"/>
                <w:szCs w:val="20"/>
                <w:color w:val="auto"/>
              </w:rPr>
            </w:pPr>
            <w:r>
              <w:rPr>
                <w:rFonts w:ascii="Arial" w:cs="Arial" w:eastAsia="Arial" w:hAnsi="Arial"/>
                <w:sz w:val="18"/>
                <w:szCs w:val="18"/>
                <w:color w:val="auto"/>
              </w:rPr>
              <w:t>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Gardens</w:t>
            </w:r>
          </w:p>
        </w:tc>
        <w:tc>
          <w:tcPr>
            <w:tcW w:w="7620" w:type="dxa"/>
            <w:vAlign w:val="bottom"/>
          </w:tcPr>
          <w:p>
            <w:pPr>
              <w:ind w:left="1200"/>
              <w:spacing w:after="0" w:line="202" w:lineRule="exact"/>
              <w:rPr>
                <w:sz w:val="20"/>
                <w:szCs w:val="20"/>
                <w:color w:val="auto"/>
              </w:rPr>
            </w:pP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Osmocote</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Growing Media</w:t>
            </w:r>
          </w:p>
        </w:tc>
        <w:tc>
          <w:tcPr>
            <w:tcW w:w="7620" w:type="dxa"/>
            <w:vAlign w:val="bottom"/>
            <w:shd w:val="clear" w:color="auto" w:fill="CCEEFF"/>
          </w:tcPr>
          <w:p>
            <w:pPr>
              <w:ind w:left="1200"/>
              <w:spacing w:after="0" w:line="199" w:lineRule="exact"/>
              <w:rPr>
                <w:sz w:val="20"/>
                <w:szCs w:val="20"/>
                <w:color w:val="auto"/>
              </w:rPr>
            </w:pP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Earthgro</w:t>
            </w:r>
            <w:r>
              <w:rPr>
                <w:rFonts w:ascii="Arial" w:cs="Arial" w:eastAsia="Arial" w:hAnsi="Arial"/>
                <w:sz w:val="15"/>
                <w:szCs w:val="15"/>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76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SuperSoil</w:t>
            </w:r>
            <w:r>
              <w:rPr>
                <w:rFonts w:ascii="Arial" w:cs="Arial" w:eastAsia="Arial" w:hAnsi="Arial"/>
                <w:sz w:val="15"/>
                <w:szCs w:val="15"/>
                <w:color w:val="auto"/>
              </w:rPr>
              <w:t>®</w:t>
            </w:r>
            <w:r>
              <w:rPr>
                <w:rFonts w:ascii="Arial" w:cs="Arial" w:eastAsia="Arial" w:hAnsi="Arial"/>
                <w:sz w:val="18"/>
                <w:szCs w:val="18"/>
                <w:color w:val="auto"/>
              </w:rPr>
              <w:t xml:space="preserve"> (acquired October 3, 2005)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Grass Seed</w:t>
            </w:r>
          </w:p>
        </w:tc>
        <w:tc>
          <w:tcPr>
            <w:tcW w:w="7620" w:type="dxa"/>
            <w:vAlign w:val="bottom"/>
          </w:tcPr>
          <w:p>
            <w:pPr>
              <w:ind w:left="1200"/>
              <w:spacing w:after="0" w:line="202" w:lineRule="exact"/>
              <w:rPr>
                <w:sz w:val="20"/>
                <w:szCs w:val="20"/>
                <w:color w:val="auto"/>
              </w:rPr>
            </w:pPr>
            <w:r>
              <w:rPr>
                <w:rFonts w:ascii="Arial" w:cs="Arial" w:eastAsia="Arial" w:hAnsi="Arial"/>
                <w:sz w:val="18"/>
                <w:szCs w:val="18"/>
                <w:color w:val="auto"/>
              </w:rPr>
              <w:t>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Controls</w:t>
            </w:r>
          </w:p>
        </w:tc>
        <w:tc>
          <w:tcPr>
            <w:tcW w:w="7620" w:type="dxa"/>
            <w:vAlign w:val="bottom"/>
            <w:shd w:val="clear" w:color="auto" w:fill="CCEEFF"/>
          </w:tcPr>
          <w:p>
            <w:pPr>
              <w:ind w:left="1200"/>
              <w:spacing w:after="0" w:line="202" w:lineRule="exact"/>
              <w:rPr>
                <w:sz w:val="20"/>
                <w:szCs w:val="20"/>
                <w:color w:val="auto"/>
              </w:rPr>
            </w:pPr>
            <w:r>
              <w:rPr>
                <w:rFonts w:ascii="Arial" w:cs="Arial" w:eastAsia="Arial" w:hAnsi="Arial"/>
                <w:sz w:val="18"/>
                <w:szCs w:val="18"/>
                <w:color w:val="auto"/>
              </w:rPr>
              <w:t>Ortho</w:t>
            </w:r>
            <w:r>
              <w:rPr>
                <w:rFonts w:ascii="Arial" w:cs="Arial" w:eastAsia="Arial" w:hAnsi="Arial"/>
                <w:sz w:val="15"/>
                <w:szCs w:val="15"/>
                <w:color w:val="auto"/>
              </w:rPr>
              <w:t>®</w:t>
            </w:r>
            <w:r>
              <w:rPr>
                <w:rFonts w:ascii="Arial" w:cs="Arial" w:eastAsia="Arial" w:hAnsi="Arial"/>
                <w:sz w:val="18"/>
                <w:szCs w:val="18"/>
                <w:color w:val="auto"/>
              </w:rPr>
              <w:t>; Bug-B-Gon</w:t>
            </w:r>
            <w:r>
              <w:rPr>
                <w:rFonts w:ascii="Arial" w:cs="Arial" w:eastAsia="Arial" w:hAnsi="Arial"/>
                <w:sz w:val="15"/>
                <w:szCs w:val="15"/>
                <w:color w:val="auto"/>
              </w:rPr>
              <w:t>®</w:t>
            </w:r>
            <w:r>
              <w:rPr>
                <w:rFonts w:ascii="Arial" w:cs="Arial" w:eastAsia="Arial" w:hAnsi="Arial"/>
                <w:sz w:val="18"/>
                <w:szCs w:val="18"/>
                <w:color w:val="auto"/>
              </w:rPr>
              <w:t>; Weed-B-Gon</w:t>
            </w:r>
            <w:r>
              <w:rPr>
                <w:rFonts w:ascii="Arial" w:cs="Arial" w:eastAsia="Arial" w:hAnsi="Arial"/>
                <w:sz w:val="15"/>
                <w:szCs w:val="15"/>
                <w:color w:val="auto"/>
              </w:rPr>
              <w:t>®</w:t>
            </w:r>
            <w:r>
              <w:rPr>
                <w:rFonts w:ascii="Arial" w:cs="Arial" w:eastAsia="Arial" w:hAnsi="Arial"/>
                <w:sz w:val="18"/>
                <w:szCs w:val="18"/>
                <w:color w:val="auto"/>
              </w:rPr>
              <w:t>; Roundup</w:t>
            </w:r>
            <w:r>
              <w:rPr>
                <w:rFonts w:ascii="Arial" w:cs="Arial" w:eastAsia="Arial" w:hAnsi="Arial"/>
                <w:sz w:val="15"/>
                <w:szCs w:val="15"/>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Outdoor Living</w:t>
            </w:r>
          </w:p>
        </w:tc>
        <w:tc>
          <w:tcPr>
            <w:tcW w:w="7620" w:type="dxa"/>
            <w:vAlign w:val="bottom"/>
          </w:tcPr>
          <w:p>
            <w:pPr>
              <w:ind w:left="1200"/>
              <w:spacing w:after="0" w:line="202" w:lineRule="exact"/>
              <w:rPr>
                <w:sz w:val="20"/>
                <w:szCs w:val="20"/>
                <w:color w:val="auto"/>
              </w:rPr>
            </w:pPr>
            <w:r>
              <w:rPr>
                <w:rFonts w:ascii="Arial" w:cs="Arial" w:eastAsia="Arial" w:hAnsi="Arial"/>
                <w:sz w:val="18"/>
                <w:szCs w:val="18"/>
                <w:color w:val="auto"/>
              </w:rPr>
              <w:t>Smith &amp; Hawken</w:t>
            </w:r>
            <w:r>
              <w:rPr>
                <w:rFonts w:ascii="Arial" w:cs="Arial" w:eastAsia="Arial" w:hAnsi="Arial"/>
                <w:sz w:val="15"/>
                <w:szCs w:val="15"/>
                <w:color w:val="auto"/>
              </w:rPr>
              <w:t>®</w:t>
            </w:r>
            <w:r>
              <w:rPr>
                <w:rFonts w:ascii="Arial" w:cs="Arial" w:eastAsia="Arial" w:hAnsi="Arial"/>
                <w:sz w:val="18"/>
                <w:szCs w:val="18"/>
                <w:color w:val="auto"/>
              </w:rPr>
              <w:t xml:space="preserve"> (acquired October 2, 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Wild Bird Food</w:t>
            </w:r>
          </w:p>
        </w:tc>
        <w:tc>
          <w:tcPr>
            <w:tcW w:w="7620" w:type="dxa"/>
            <w:vAlign w:val="bottom"/>
            <w:shd w:val="clear" w:color="auto" w:fill="CCEEFF"/>
          </w:tcPr>
          <w:p>
            <w:pPr>
              <w:ind w:left="1200"/>
              <w:spacing w:after="0" w:line="202" w:lineRule="exact"/>
              <w:rPr>
                <w:sz w:val="20"/>
                <w:szCs w:val="20"/>
                <w:color w:val="auto"/>
              </w:rPr>
            </w:pPr>
            <w:r>
              <w:rPr>
                <w:rFonts w:ascii="Arial" w:cs="Arial" w:eastAsia="Arial" w:hAnsi="Arial"/>
                <w:sz w:val="18"/>
                <w:szCs w:val="18"/>
                <w:color w:val="auto"/>
              </w:rPr>
              <w:t>Morning Song</w:t>
            </w:r>
            <w:r>
              <w:rPr>
                <w:rFonts w:ascii="Arial" w:cs="Arial" w:eastAsia="Arial" w:hAnsi="Arial"/>
                <w:sz w:val="15"/>
                <w:szCs w:val="15"/>
                <w:color w:val="auto"/>
              </w:rPr>
              <w:t>®</w:t>
            </w:r>
            <w:r>
              <w:rPr>
                <w:rFonts w:ascii="Arial" w:cs="Arial" w:eastAsia="Arial" w:hAnsi="Arial"/>
                <w:sz w:val="18"/>
                <w:szCs w:val="18"/>
                <w:color w:val="auto"/>
              </w:rPr>
              <w:t xml:space="preserve"> (acquired November 18, 2005)</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00" w:right="100" w:firstLine="402"/>
        <w:spacing w:after="0" w:line="238" w:lineRule="auto"/>
        <w:rPr>
          <w:sz w:val="20"/>
          <w:szCs w:val="20"/>
          <w:color w:val="auto"/>
        </w:rPr>
      </w:pPr>
      <w:r>
        <w:rPr>
          <w:rFonts w:ascii="Arial" w:cs="Arial" w:eastAsia="Arial" w:hAnsi="Arial"/>
          <w:sz w:val="18"/>
          <w:szCs w:val="18"/>
          <w:color w:val="auto"/>
        </w:rPr>
        <w:t>In addition, we have the following significant brands in Europe: Miracle-Gro</w:t>
      </w:r>
      <w:r>
        <w:rPr>
          <w:rFonts w:ascii="Arial" w:cs="Arial" w:eastAsia="Arial" w:hAnsi="Arial"/>
          <w:sz w:val="15"/>
          <w:szCs w:val="15"/>
          <w:color w:val="auto"/>
        </w:rPr>
        <w:t>®</w:t>
      </w:r>
      <w:r>
        <w:rPr>
          <w:rFonts w:ascii="Arial" w:cs="Arial" w:eastAsia="Arial" w:hAnsi="Arial"/>
          <w:sz w:val="18"/>
          <w:szCs w:val="18"/>
          <w:color w:val="auto"/>
        </w:rPr>
        <w:t xml:space="preserve"> plant fertilizers, Weedol</w:t>
      </w:r>
      <w:r>
        <w:rPr>
          <w:rFonts w:ascii="Arial" w:cs="Arial" w:eastAsia="Arial" w:hAnsi="Arial"/>
          <w:sz w:val="15"/>
          <w:szCs w:val="15"/>
          <w:color w:val="auto"/>
        </w:rPr>
        <w:t>®</w:t>
      </w:r>
      <w:r>
        <w:rPr>
          <w:rFonts w:ascii="Arial" w:cs="Arial" w:eastAsia="Arial" w:hAnsi="Arial"/>
          <w:sz w:val="18"/>
          <w:szCs w:val="18"/>
          <w:color w:val="auto"/>
        </w:rPr>
        <w:t xml:space="preserve"> and Pathclear</w:t>
      </w:r>
      <w:r>
        <w:rPr>
          <w:rFonts w:ascii="Arial" w:cs="Arial" w:eastAsia="Arial" w:hAnsi="Arial"/>
          <w:sz w:val="15"/>
          <w:szCs w:val="15"/>
          <w:color w:val="auto"/>
        </w:rPr>
        <w:t>®</w:t>
      </w:r>
      <w:r>
        <w:rPr>
          <w:rFonts w:ascii="Arial" w:cs="Arial" w:eastAsia="Arial" w:hAnsi="Arial"/>
          <w:sz w:val="18"/>
          <w:szCs w:val="18"/>
          <w:color w:val="auto"/>
        </w:rPr>
        <w:t xml:space="preserve"> herbicides, EverGreen</w:t>
      </w:r>
      <w:r>
        <w:rPr>
          <w:rFonts w:ascii="Arial" w:cs="Arial" w:eastAsia="Arial" w:hAnsi="Arial"/>
          <w:sz w:val="15"/>
          <w:szCs w:val="15"/>
          <w:color w:val="auto"/>
        </w:rPr>
        <w:t>®</w:t>
      </w:r>
      <w:r>
        <w:rPr>
          <w:rFonts w:ascii="Arial" w:cs="Arial" w:eastAsia="Arial" w:hAnsi="Arial"/>
          <w:sz w:val="18"/>
          <w:szCs w:val="18"/>
          <w:color w:val="auto"/>
        </w:rPr>
        <w:t xml:space="preserve"> lawn fertilizers and Levington</w:t>
      </w:r>
      <w:r>
        <w:rPr>
          <w:rFonts w:ascii="Arial" w:cs="Arial" w:eastAsia="Arial" w:hAnsi="Arial"/>
          <w:sz w:val="15"/>
          <w:szCs w:val="15"/>
          <w:color w:val="auto"/>
        </w:rPr>
        <w:t>®</w:t>
      </w:r>
      <w:r>
        <w:rPr>
          <w:rFonts w:ascii="Arial" w:cs="Arial" w:eastAsia="Arial" w:hAnsi="Arial"/>
          <w:sz w:val="18"/>
          <w:szCs w:val="18"/>
          <w:color w:val="auto"/>
        </w:rPr>
        <w:t xml:space="preserve"> growing media in the United Kingdom; KB</w:t>
      </w:r>
      <w:r>
        <w:rPr>
          <w:rFonts w:ascii="Arial" w:cs="Arial" w:eastAsia="Arial" w:hAnsi="Arial"/>
          <w:sz w:val="15"/>
          <w:szCs w:val="15"/>
          <w:color w:val="auto"/>
        </w:rPr>
        <w:t>®</w:t>
      </w:r>
      <w:r>
        <w:rPr>
          <w:rFonts w:ascii="Arial" w:cs="Arial" w:eastAsia="Arial" w:hAnsi="Arial"/>
          <w:sz w:val="18"/>
          <w:szCs w:val="18"/>
          <w:color w:val="auto"/>
        </w:rPr>
        <w:t xml:space="preserve"> and Fertiligène</w:t>
      </w:r>
      <w:r>
        <w:rPr>
          <w:rFonts w:ascii="Arial" w:cs="Arial" w:eastAsia="Arial" w:hAnsi="Arial"/>
          <w:sz w:val="15"/>
          <w:szCs w:val="15"/>
          <w:color w:val="auto"/>
        </w:rPr>
        <w:t>®</w:t>
      </w:r>
      <w:r>
        <w:rPr>
          <w:rFonts w:ascii="Arial" w:cs="Arial" w:eastAsia="Arial" w:hAnsi="Arial"/>
          <w:sz w:val="18"/>
          <w:szCs w:val="18"/>
          <w:color w:val="auto"/>
        </w:rPr>
        <w:t xml:space="preserve"> in France; Celaflor</w:t>
      </w:r>
      <w:r>
        <w:rPr>
          <w:rFonts w:ascii="Arial" w:cs="Arial" w:eastAsia="Arial" w:hAnsi="Arial"/>
          <w:sz w:val="15"/>
          <w:szCs w:val="15"/>
          <w:color w:val="auto"/>
        </w:rPr>
        <w:t>®</w:t>
      </w:r>
      <w:r>
        <w:rPr>
          <w:rFonts w:ascii="Arial" w:cs="Arial" w:eastAsia="Arial" w:hAnsi="Arial"/>
          <w:sz w:val="18"/>
          <w:szCs w:val="18"/>
          <w:color w:val="auto"/>
        </w:rPr>
        <w:t>, Nexa-Lotte</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in Germany and Austria; and ASEF</w:t>
      </w:r>
      <w:r>
        <w:rPr>
          <w:rFonts w:ascii="Arial" w:cs="Arial" w:eastAsia="Arial" w:hAnsi="Arial"/>
          <w:sz w:val="15"/>
          <w:szCs w:val="15"/>
          <w:color w:val="auto"/>
        </w:rPr>
        <w:t>®</w:t>
      </w:r>
      <w:r>
        <w:rPr>
          <w:rFonts w:ascii="Arial" w:cs="Arial" w:eastAsia="Arial" w:hAnsi="Arial"/>
          <w:sz w:val="18"/>
          <w:szCs w:val="18"/>
          <w:color w:val="auto"/>
        </w:rPr>
        <w:t>, KB</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in Belgium, the Netherlands and Luxembourg (the “Benelux countries”). Roundup</w:t>
      </w:r>
      <w:r>
        <w:rPr>
          <w:rFonts w:ascii="Arial" w:cs="Arial" w:eastAsia="Arial" w:hAnsi="Arial"/>
          <w:sz w:val="15"/>
          <w:szCs w:val="15"/>
          <w:color w:val="auto"/>
        </w:rPr>
        <w:t>®</w:t>
      </w:r>
      <w:r>
        <w:rPr>
          <w:rFonts w:ascii="Arial" w:cs="Arial" w:eastAsia="Arial" w:hAnsi="Arial"/>
          <w:sz w:val="18"/>
          <w:szCs w:val="18"/>
          <w:color w:val="auto"/>
        </w:rPr>
        <w:t xml:space="preserve"> is also a significant brand in the United Kingdom, France, Germany and other European markets.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Business Segments</w:t>
      </w:r>
    </w:p>
    <w:p>
      <w:pPr>
        <w:spacing w:after="0" w:line="14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fiscal 2006, we divided our business into the following reportable segments:</w:t>
      </w:r>
    </w:p>
    <w:p>
      <w:pPr>
        <w:spacing w:after="0" w:line="117" w:lineRule="exact"/>
        <w:rPr>
          <w:sz w:val="20"/>
          <w:szCs w:val="20"/>
          <w:color w:val="auto"/>
        </w:rPr>
      </w:pPr>
    </w:p>
    <w:p>
      <w:pPr>
        <w:ind w:left="1300" w:hanging="202"/>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09"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 Roundup</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Monsanto Technolo</w:t>
      </w:r>
      <w:r>
        <w:rPr>
          <w:rFonts w:ascii="Arial" w:cs="Arial" w:eastAsia="Arial" w:hAnsi="Arial"/>
          <w:sz w:val="18"/>
          <w:szCs w:val="18"/>
          <w:u w:val="single" w:color="auto"/>
          <w:color w:val="auto"/>
        </w:rPr>
        <w:t>gy L</w:t>
      </w:r>
      <w:r>
        <w:rPr>
          <w:rFonts w:ascii="Arial" w:cs="Arial" w:eastAsia="Arial" w:hAnsi="Arial"/>
          <w:sz w:val="18"/>
          <w:szCs w:val="18"/>
          <w:color w:val="auto"/>
        </w:rPr>
        <w:t>LC, a company affiliated with Monsanto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-180340</wp:posOffset>
            </wp:positionV>
            <wp:extent cx="823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1"/>
          <w:szCs w:val="11"/>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w:t>
      </w:r>
    </w:p>
    <w:p>
      <w:pPr>
        <w:spacing w:after="0" w:line="106"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and</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&amp; Other.</w:t>
      </w:r>
    </w:p>
    <w:p>
      <w:pPr>
        <w:spacing w:after="0" w:line="117" w:lineRule="exact"/>
        <w:rPr>
          <w:sz w:val="20"/>
          <w:szCs w:val="20"/>
          <w:color w:val="auto"/>
        </w:rPr>
      </w:pPr>
    </w:p>
    <w:p>
      <w:pPr>
        <w:ind w:left="700" w:right="100" w:firstLine="397"/>
        <w:spacing w:after="0"/>
        <w:rPr>
          <w:sz w:val="20"/>
          <w:szCs w:val="20"/>
          <w:color w:val="auto"/>
        </w:rPr>
      </w:pPr>
      <w:r>
        <w:rPr>
          <w:rFonts w:ascii="Arial" w:cs="Arial" w:eastAsia="Arial" w:hAnsi="Arial"/>
          <w:sz w:val="18"/>
          <w:szCs w:val="18"/>
          <w:color w:val="auto"/>
        </w:rPr>
        <w:t>These reportable segments are consistent with the Company’s structure and the management of these units. Financial information about these segments for the three years ended September 30, 2006 is presented in Note 21 of the Notes to Consolidated Financial Statements.</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North America</w:t>
      </w:r>
    </w:p>
    <w:p>
      <w:pPr>
        <w:spacing w:after="0" w:line="144" w:lineRule="exact"/>
        <w:rPr>
          <w:sz w:val="20"/>
          <w:szCs w:val="20"/>
          <w:color w:val="auto"/>
        </w:rPr>
      </w:pPr>
    </w:p>
    <w:p>
      <w:pPr>
        <w:ind w:left="700" w:firstLine="397"/>
        <w:spacing w:after="0" w:line="238" w:lineRule="auto"/>
        <w:rPr>
          <w:sz w:val="20"/>
          <w:szCs w:val="20"/>
          <w:color w:val="auto"/>
        </w:rPr>
      </w:pPr>
      <w:r>
        <w:rPr>
          <w:rFonts w:ascii="Arial" w:cs="Arial" w:eastAsia="Arial" w:hAnsi="Arial"/>
          <w:sz w:val="18"/>
          <w:szCs w:val="18"/>
          <w:color w:val="auto"/>
        </w:rPr>
        <w:t>In our North America segment, the Company manufactures and markets products that provide easy, reliable and effective assistance to homeowners who seek to nurture beautiful, weed- and pest-free lawns, gardens and indoor plants. These products incorporate many of the best technologies available. In addition, we manufacture and market a broad line of professional products designed to meet the specific needs of commercial nurseries, greenhouses and specialty crop growers in North America. The North America segment sells products in the following categories:</w:t>
      </w:r>
    </w:p>
    <w:p>
      <w:pPr>
        <w:spacing w:after="0" w:line="104" w:lineRule="exact"/>
        <w:rPr>
          <w:sz w:val="20"/>
          <w:szCs w:val="20"/>
          <w:color w:val="auto"/>
        </w:rPr>
      </w:pPr>
    </w:p>
    <w:p>
      <w:pPr>
        <w:ind w:left="700" w:right="40" w:firstLine="397"/>
        <w:spacing w:after="0"/>
        <w:rPr>
          <w:sz w:val="20"/>
          <w:szCs w:val="20"/>
          <w:color w:val="auto"/>
        </w:rPr>
      </w:pPr>
      <w:r>
        <w:rPr>
          <w:rFonts w:ascii="Arial" w:cs="Arial" w:eastAsia="Arial" w:hAnsi="Arial"/>
          <w:sz w:val="16"/>
          <w:szCs w:val="16"/>
          <w:b w:val="1"/>
          <w:bCs w:val="1"/>
          <w:u w:val="single" w:color="auto"/>
          <w:color w:val="auto"/>
        </w:rPr>
        <w:t>Lawns</w:t>
      </w:r>
      <w:r>
        <w:rPr>
          <w:rFonts w:ascii="Arial" w:cs="Arial" w:eastAsia="Arial" w:hAnsi="Arial"/>
          <w:sz w:val="16"/>
          <w:szCs w:val="16"/>
          <w:b w:val="1"/>
          <w:bCs w:val="1"/>
          <w:color w:val="auto"/>
        </w:rPr>
        <w:t xml:space="preserve"> </w:t>
      </w:r>
      <w:r>
        <w:rPr>
          <w:rFonts w:ascii="Arial" w:cs="Arial" w:eastAsia="Arial" w:hAnsi="Arial"/>
          <w:sz w:val="18"/>
          <w:szCs w:val="18"/>
          <w:color w:val="auto"/>
        </w:rPr>
        <w:t>A complete line of granular lawn fertilizer and combination products which include fertilizer and crabgrass</w:t>
      </w:r>
      <w:r>
        <w:rPr>
          <w:rFonts w:ascii="Arial" w:cs="Arial" w:eastAsia="Arial" w:hAnsi="Arial"/>
          <w:sz w:val="16"/>
          <w:szCs w:val="16"/>
          <w:b w:val="1"/>
          <w:bCs w:val="1"/>
          <w:color w:val="auto"/>
        </w:rPr>
        <w:t xml:space="preserve"> </w:t>
      </w:r>
      <w:r>
        <w:rPr>
          <w:rFonts w:ascii="Arial" w:cs="Arial" w:eastAsia="Arial" w:hAnsi="Arial"/>
          <w:sz w:val="18"/>
          <w:szCs w:val="18"/>
          <w:color w:val="auto"/>
        </w:rPr>
        <w:t>control, weed control or pest control is sold under the Scotts</w:t>
      </w:r>
      <w:r>
        <w:rPr>
          <w:rFonts w:ascii="Arial" w:cs="Arial" w:eastAsia="Arial" w:hAnsi="Arial"/>
          <w:sz w:val="15"/>
          <w:szCs w:val="15"/>
          <w:color w:val="auto"/>
        </w:rPr>
        <w:t>®</w:t>
      </w:r>
      <w:r>
        <w:rPr>
          <w:rFonts w:ascii="Arial" w:cs="Arial" w:eastAsia="Arial" w:hAnsi="Arial"/>
          <w:sz w:val="18"/>
          <w:szCs w:val="18"/>
          <w:color w:val="auto"/>
        </w:rPr>
        <w:t xml:space="preserve"> Turf Builder</w:t>
      </w:r>
      <w:r>
        <w:rPr>
          <w:rFonts w:ascii="Arial" w:cs="Arial" w:eastAsia="Arial" w:hAnsi="Arial"/>
          <w:sz w:val="15"/>
          <w:szCs w:val="15"/>
          <w:color w:val="auto"/>
        </w:rPr>
        <w:t>®</w:t>
      </w:r>
      <w:r>
        <w:rPr>
          <w:rFonts w:ascii="Arial" w:cs="Arial" w:eastAsia="Arial" w:hAnsi="Arial"/>
          <w:sz w:val="18"/>
          <w:szCs w:val="18"/>
          <w:color w:val="auto"/>
        </w:rPr>
        <w:t xml:space="preserve"> brand name. The Turf Builder</w:t>
      </w:r>
      <w:r>
        <w:rPr>
          <w:rFonts w:ascii="Arial" w:cs="Arial" w:eastAsia="Arial" w:hAnsi="Arial"/>
          <w:sz w:val="15"/>
          <w:szCs w:val="15"/>
          <w:color w:val="auto"/>
        </w:rPr>
        <w:t>®</w:t>
      </w:r>
      <w:r>
        <w:rPr>
          <w:rFonts w:ascii="Arial" w:cs="Arial" w:eastAsia="Arial" w:hAnsi="Arial"/>
          <w:sz w:val="18"/>
          <w:szCs w:val="18"/>
          <w:color w:val="auto"/>
        </w:rPr>
        <w:t xml:space="preserve"> line of products is designed to make it easy for do-it-yourself consumers to select and properly apply the right product in the right quantity for their lawns.</w:t>
      </w:r>
    </w:p>
    <w:p>
      <w:pPr>
        <w:spacing w:after="0" w:line="104" w:lineRule="exact"/>
        <w:rPr>
          <w:sz w:val="20"/>
          <w:szCs w:val="20"/>
          <w:color w:val="auto"/>
        </w:rPr>
      </w:pPr>
    </w:p>
    <w:p>
      <w:pPr>
        <w:ind w:left="700" w:right="80" w:firstLine="397"/>
        <w:spacing w:after="0"/>
        <w:rPr>
          <w:sz w:val="20"/>
          <w:szCs w:val="20"/>
          <w:color w:val="auto"/>
        </w:rPr>
      </w:pPr>
      <w:r>
        <w:rPr>
          <w:rFonts w:ascii="Arial" w:cs="Arial" w:eastAsia="Arial" w:hAnsi="Arial"/>
          <w:sz w:val="16"/>
          <w:szCs w:val="16"/>
          <w:b w:val="1"/>
          <w:bCs w:val="1"/>
          <w:u w:val="single" w:color="auto"/>
          <w:color w:val="auto"/>
        </w:rPr>
        <w:t>Gardens</w:t>
      </w:r>
      <w:r>
        <w:rPr>
          <w:rFonts w:ascii="Arial" w:cs="Arial" w:eastAsia="Arial" w:hAnsi="Arial"/>
          <w:sz w:val="16"/>
          <w:szCs w:val="16"/>
          <w:b w:val="1"/>
          <w:bCs w:val="1"/>
          <w:color w:val="auto"/>
        </w:rPr>
        <w:t xml:space="preserve"> </w:t>
      </w:r>
      <w:r>
        <w:rPr>
          <w:rFonts w:ascii="Arial" w:cs="Arial" w:eastAsia="Arial" w:hAnsi="Arial"/>
          <w:sz w:val="18"/>
          <w:szCs w:val="18"/>
          <w:color w:val="auto"/>
        </w:rPr>
        <w:t>A complete line of plant foods is marketed under the Miracle-Gro</w:t>
      </w:r>
      <w:r>
        <w:rPr>
          <w:rFonts w:ascii="Arial" w:cs="Arial" w:eastAsia="Arial" w:hAnsi="Arial"/>
          <w:sz w:val="15"/>
          <w:szCs w:val="15"/>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brand name. In fiscal 2006, we introduced</w:t>
      </w:r>
      <w:r>
        <w:rPr>
          <w:rFonts w:ascii="Arial" w:cs="Arial" w:eastAsia="Arial" w:hAnsi="Arial"/>
          <w:sz w:val="16"/>
          <w:szCs w:val="16"/>
          <w:b w:val="1"/>
          <w:bCs w:val="1"/>
          <w:color w:val="auto"/>
        </w:rPr>
        <w:t xml:space="preserve"> </w:t>
      </w: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xml:space="preserve"> LiquaFeed</w:t>
      </w:r>
      <w:r>
        <w:rPr>
          <w:rFonts w:ascii="Arial" w:cs="Arial" w:eastAsia="Arial" w:hAnsi="Arial"/>
          <w:sz w:val="15"/>
          <w:szCs w:val="15"/>
          <w:color w:val="auto"/>
        </w:rPr>
        <w:t>®</w:t>
      </w:r>
      <w:r>
        <w:rPr>
          <w:rFonts w:ascii="Arial" w:cs="Arial" w:eastAsia="Arial" w:hAnsi="Arial"/>
          <w:sz w:val="18"/>
          <w:szCs w:val="18"/>
          <w:color w:val="auto"/>
        </w:rPr>
        <w:t>, an innovative product that allows consumers to easily feed and water their outdoor plants simultaneously. In addition to our high-quality water-soluble plant food, we have liquid plant foods, and a continuous-release line of plant foods for extended feeding and convenience.</w:t>
      </w:r>
    </w:p>
    <w:p>
      <w:pPr>
        <w:spacing w:after="0" w:line="104" w:lineRule="exact"/>
        <w:rPr>
          <w:sz w:val="20"/>
          <w:szCs w:val="20"/>
          <w:color w:val="auto"/>
        </w:rPr>
      </w:pPr>
    </w:p>
    <w:p>
      <w:pPr>
        <w:ind w:left="700" w:right="60" w:firstLine="397"/>
        <w:spacing w:after="0" w:line="239" w:lineRule="auto"/>
        <w:rPr>
          <w:sz w:val="20"/>
          <w:szCs w:val="20"/>
          <w:color w:val="auto"/>
        </w:rPr>
      </w:pPr>
      <w:r>
        <w:rPr>
          <w:rFonts w:ascii="Arial" w:cs="Arial" w:eastAsia="Arial" w:hAnsi="Arial"/>
          <w:sz w:val="16"/>
          <w:szCs w:val="16"/>
          <w:b w:val="1"/>
          <w:bCs w:val="1"/>
          <w:u w:val="single" w:color="auto"/>
          <w:color w:val="auto"/>
        </w:rPr>
        <w:t>Growing Media</w:t>
      </w:r>
      <w:r>
        <w:rPr>
          <w:rFonts w:ascii="Arial" w:cs="Arial" w:eastAsia="Arial" w:hAnsi="Arial"/>
          <w:sz w:val="16"/>
          <w:szCs w:val="16"/>
          <w:b w:val="1"/>
          <w:bCs w:val="1"/>
          <w:color w:val="auto"/>
        </w:rPr>
        <w:t xml:space="preserve"> </w:t>
      </w:r>
      <w:r>
        <w:rPr>
          <w:rFonts w:ascii="Arial" w:cs="Arial" w:eastAsia="Arial" w:hAnsi="Arial"/>
          <w:sz w:val="18"/>
          <w:szCs w:val="18"/>
          <w:color w:val="auto"/>
        </w:rPr>
        <w:t>A complete line of growing media products for indoor and outdoor uses is marketed under the Miracle-Gro</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Earthgro</w:t>
      </w:r>
      <w:r>
        <w:rPr>
          <w:rFonts w:ascii="Arial" w:cs="Arial" w:eastAsia="Arial" w:hAnsi="Arial"/>
          <w:sz w:val="15"/>
          <w:szCs w:val="15"/>
          <w:color w:val="auto"/>
        </w:rPr>
        <w:t>®</w:t>
      </w:r>
      <w:r>
        <w:rPr>
          <w:rFonts w:ascii="Arial" w:cs="Arial" w:eastAsia="Arial" w:hAnsi="Arial"/>
          <w:sz w:val="18"/>
          <w:szCs w:val="18"/>
          <w:color w:val="auto"/>
        </w:rPr>
        <w:t>, Nature Scapes</w:t>
      </w:r>
      <w:r>
        <w:rPr>
          <w:rFonts w:ascii="Arial" w:cs="Arial" w:eastAsia="Arial" w:hAnsi="Arial"/>
          <w:sz w:val="15"/>
          <w:szCs w:val="15"/>
          <w:color w:val="auto"/>
        </w:rPr>
        <w:t>®</w:t>
      </w:r>
      <w:r>
        <w:rPr>
          <w:rFonts w:ascii="Arial" w:cs="Arial" w:eastAsia="Arial" w:hAnsi="Arial"/>
          <w:sz w:val="18"/>
          <w:szCs w:val="18"/>
          <w:color w:val="auto"/>
        </w:rPr>
        <w:t>, Whitney Farms and SuperSoil brand names, as well as other labels. These products include potting mix, garden soils, topsoil, manures, sphagnum peat and decorative barks and mulches. The addition of the Miracle-Gro</w:t>
      </w:r>
      <w:r>
        <w:rPr>
          <w:rFonts w:ascii="Arial" w:cs="Arial" w:eastAsia="Arial" w:hAnsi="Arial"/>
          <w:sz w:val="15"/>
          <w:szCs w:val="15"/>
          <w:color w:val="auto"/>
        </w:rPr>
        <w:t>®</w:t>
      </w:r>
      <w:r>
        <w:rPr>
          <w:rFonts w:ascii="Arial" w:cs="Arial" w:eastAsia="Arial" w:hAnsi="Arial"/>
          <w:sz w:val="18"/>
          <w:szCs w:val="18"/>
          <w:color w:val="auto"/>
        </w:rPr>
        <w:t xml:space="preserve"> brand name and fertilizer to potting mix and garden soils has turned previously low-margin commodity products into value-added category leaders.</w:t>
      </w:r>
    </w:p>
    <w:p>
      <w:pPr>
        <w:spacing w:after="0" w:line="104" w:lineRule="exact"/>
        <w:rPr>
          <w:sz w:val="20"/>
          <w:szCs w:val="20"/>
          <w:color w:val="auto"/>
        </w:rPr>
      </w:pPr>
    </w:p>
    <w:p>
      <w:pPr>
        <w:ind w:left="700" w:right="320" w:firstLine="397"/>
        <w:spacing w:after="0" w:line="238" w:lineRule="auto"/>
        <w:rPr>
          <w:sz w:val="20"/>
          <w:szCs w:val="20"/>
          <w:color w:val="auto"/>
        </w:rPr>
      </w:pPr>
      <w:r>
        <w:rPr>
          <w:rFonts w:ascii="Arial" w:cs="Arial" w:eastAsia="Arial" w:hAnsi="Arial"/>
          <w:sz w:val="16"/>
          <w:szCs w:val="16"/>
          <w:b w:val="1"/>
          <w:bCs w:val="1"/>
          <w:u w:val="single" w:color="auto"/>
          <w:color w:val="auto"/>
        </w:rPr>
        <w:t>Grass Seed</w:t>
      </w:r>
      <w:r>
        <w:rPr>
          <w:rFonts w:ascii="Arial" w:cs="Arial" w:eastAsia="Arial" w:hAnsi="Arial"/>
          <w:sz w:val="16"/>
          <w:szCs w:val="16"/>
          <w:b w:val="1"/>
          <w:bCs w:val="1"/>
          <w:color w:val="auto"/>
        </w:rPr>
        <w:t xml:space="preserve"> </w:t>
      </w:r>
      <w:r>
        <w:rPr>
          <w:rFonts w:ascii="Arial" w:cs="Arial" w:eastAsia="Arial" w:hAnsi="Arial"/>
          <w:sz w:val="18"/>
          <w:szCs w:val="18"/>
          <w:color w:val="auto"/>
        </w:rPr>
        <w:t>We offer a broad line of grass seed products for both the consumer and the professional user. The fiscal</w:t>
      </w:r>
      <w:r>
        <w:rPr>
          <w:rFonts w:ascii="Arial" w:cs="Arial" w:eastAsia="Arial" w:hAnsi="Arial"/>
          <w:sz w:val="16"/>
          <w:szCs w:val="16"/>
          <w:b w:val="1"/>
          <w:bCs w:val="1"/>
          <w:color w:val="auto"/>
        </w:rPr>
        <w:t xml:space="preserve"> </w:t>
      </w:r>
      <w:r>
        <w:rPr>
          <w:rFonts w:ascii="Arial" w:cs="Arial" w:eastAsia="Arial" w:hAnsi="Arial"/>
          <w:sz w:val="18"/>
          <w:szCs w:val="18"/>
          <w:color w:val="auto"/>
        </w:rPr>
        <w:t>2006 acquisitions of certain brands and assets from Turf-Seed, Inc. and Landmark Seed Company allowed for the integration of these companies’ extensive professional grass seed sales and distribution networks with the Company’s existing professional presence and industry-leading brands in the consumer grass seed market. Our leading grass seed products are sold under the Scotts</w:t>
      </w:r>
      <w:r>
        <w:rPr>
          <w:rFonts w:ascii="Arial" w:cs="Arial" w:eastAsia="Arial" w:hAnsi="Arial"/>
          <w:sz w:val="15"/>
          <w:szCs w:val="15"/>
          <w:color w:val="auto"/>
        </w:rPr>
        <w:t>®</w:t>
      </w:r>
      <w:r>
        <w:rPr>
          <w:rFonts w:ascii="Arial" w:cs="Arial" w:eastAsia="Arial" w:hAnsi="Arial"/>
          <w:sz w:val="18"/>
          <w:szCs w:val="18"/>
          <w:color w:val="auto"/>
        </w:rPr>
        <w:t xml:space="preserve"> Pure Premium</w:t>
      </w:r>
      <w:r>
        <w:rPr>
          <w:rFonts w:ascii="Arial" w:cs="Arial" w:eastAsia="Arial" w:hAnsi="Arial"/>
          <w:sz w:val="15"/>
          <w:szCs w:val="15"/>
          <w:color w:val="auto"/>
        </w:rPr>
        <w:t>®</w:t>
      </w:r>
      <w:r>
        <w:rPr>
          <w:rFonts w:ascii="Arial" w:cs="Arial" w:eastAsia="Arial" w:hAnsi="Arial"/>
          <w:sz w:val="18"/>
          <w:szCs w:val="18"/>
          <w:color w:val="auto"/>
        </w:rPr>
        <w:t>, Classic</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r>
        <w:rPr>
          <w:rFonts w:ascii="Arial" w:cs="Arial" w:eastAsia="Arial" w:hAnsi="Arial"/>
          <w:sz w:val="18"/>
          <w:szCs w:val="18"/>
          <w:color w:val="auto"/>
        </w:rPr>
        <w:t xml:space="preserve"> and PatchMaster</w:t>
      </w:r>
      <w:r>
        <w:rPr>
          <w:rFonts w:ascii="Arial" w:cs="Arial" w:eastAsia="Arial" w:hAnsi="Arial"/>
          <w:sz w:val="15"/>
          <w:szCs w:val="15"/>
          <w:color w:val="auto"/>
        </w:rPr>
        <w:t>®</w:t>
      </w:r>
      <w:r>
        <w:rPr>
          <w:rFonts w:ascii="Arial" w:cs="Arial" w:eastAsia="Arial" w:hAnsi="Arial"/>
          <w:sz w:val="18"/>
          <w:szCs w:val="18"/>
          <w:color w:val="auto"/>
        </w:rPr>
        <w:t xml:space="preserve"> brand names in the consumer market and the Scotts Turf-Seed</w:t>
      </w:r>
      <w:r>
        <w:rPr>
          <w:rFonts w:ascii="Arial" w:cs="Arial" w:eastAsia="Arial" w:hAnsi="Arial"/>
          <w:sz w:val="10"/>
          <w:szCs w:val="10"/>
          <w:color w:val="auto"/>
        </w:rPr>
        <w:t>TM</w:t>
      </w:r>
      <w:r>
        <w:rPr>
          <w:rFonts w:ascii="Arial" w:cs="Arial" w:eastAsia="Arial" w:hAnsi="Arial"/>
          <w:sz w:val="18"/>
          <w:szCs w:val="18"/>
          <w:color w:val="auto"/>
        </w:rPr>
        <w:t xml:space="preserve"> and the Scotts Landmark</w:t>
      </w:r>
      <w:r>
        <w:rPr>
          <w:rFonts w:ascii="Arial" w:cs="Arial" w:eastAsia="Arial" w:hAnsi="Arial"/>
          <w:sz w:val="10"/>
          <w:szCs w:val="10"/>
          <w:color w:val="auto"/>
        </w:rPr>
        <w:t>TM</w:t>
      </w:r>
      <w:r>
        <w:rPr>
          <w:rFonts w:ascii="Arial" w:cs="Arial" w:eastAsia="Arial" w:hAnsi="Arial"/>
          <w:sz w:val="18"/>
          <w:szCs w:val="18"/>
          <w:color w:val="auto"/>
        </w:rPr>
        <w:t xml:space="preserve"> brand names in the professional market.</w:t>
      </w:r>
    </w:p>
    <w:p>
      <w:pPr>
        <w:spacing w:after="0" w:line="105" w:lineRule="exact"/>
        <w:rPr>
          <w:sz w:val="20"/>
          <w:szCs w:val="20"/>
          <w:color w:val="auto"/>
        </w:rPr>
      </w:pPr>
    </w:p>
    <w:p>
      <w:pPr>
        <w:ind w:left="700" w:right="20" w:firstLine="397"/>
        <w:spacing w:after="0"/>
        <w:rPr>
          <w:sz w:val="20"/>
          <w:szCs w:val="20"/>
          <w:color w:val="auto"/>
        </w:rPr>
      </w:pPr>
      <w:r>
        <w:rPr>
          <w:rFonts w:ascii="Arial" w:cs="Arial" w:eastAsia="Arial" w:hAnsi="Arial"/>
          <w:sz w:val="16"/>
          <w:szCs w:val="16"/>
          <w:b w:val="1"/>
          <w:bCs w:val="1"/>
          <w:u w:val="single" w:color="auto"/>
          <w:color w:val="auto"/>
        </w:rPr>
        <w:t>Controls</w:t>
      </w:r>
      <w:r>
        <w:rPr>
          <w:rFonts w:ascii="Arial" w:cs="Arial" w:eastAsia="Arial" w:hAnsi="Arial"/>
          <w:sz w:val="16"/>
          <w:szCs w:val="16"/>
          <w:b w:val="1"/>
          <w:bCs w:val="1"/>
          <w:color w:val="auto"/>
        </w:rPr>
        <w:t xml:space="preserve"> </w:t>
      </w:r>
      <w:r>
        <w:rPr>
          <w:rFonts w:ascii="Arial" w:cs="Arial" w:eastAsia="Arial" w:hAnsi="Arial"/>
          <w:sz w:val="18"/>
          <w:szCs w:val="18"/>
          <w:color w:val="auto"/>
        </w:rPr>
        <w:t>A broad line of weed control, indoor and outdoor pest control and plant disease control products is marketed</w:t>
      </w:r>
      <w:r>
        <w:rPr>
          <w:rFonts w:ascii="Arial" w:cs="Arial" w:eastAsia="Arial" w:hAnsi="Arial"/>
          <w:sz w:val="16"/>
          <w:szCs w:val="16"/>
          <w:b w:val="1"/>
          <w:bCs w:val="1"/>
          <w:color w:val="auto"/>
        </w:rPr>
        <w:t xml:space="preserve"> </w:t>
      </w:r>
      <w:r>
        <w:rPr>
          <w:rFonts w:ascii="Arial" w:cs="Arial" w:eastAsia="Arial" w:hAnsi="Arial"/>
          <w:sz w:val="18"/>
          <w:szCs w:val="18"/>
          <w:color w:val="auto"/>
        </w:rPr>
        <w:t>under the Ortho</w:t>
      </w:r>
      <w:r>
        <w:rPr>
          <w:rFonts w:ascii="Arial" w:cs="Arial" w:eastAsia="Arial" w:hAnsi="Arial"/>
          <w:sz w:val="15"/>
          <w:szCs w:val="15"/>
          <w:color w:val="auto"/>
        </w:rPr>
        <w:t>®</w:t>
      </w:r>
      <w:r>
        <w:rPr>
          <w:rFonts w:ascii="Arial" w:cs="Arial" w:eastAsia="Arial" w:hAnsi="Arial"/>
          <w:sz w:val="18"/>
          <w:szCs w:val="18"/>
          <w:color w:val="auto"/>
        </w:rPr>
        <w:t xml:space="preserve"> brand name. Ortho</w:t>
      </w:r>
      <w:r>
        <w:rPr>
          <w:rFonts w:ascii="Arial" w:cs="Arial" w:eastAsia="Arial" w:hAnsi="Arial"/>
          <w:sz w:val="15"/>
          <w:szCs w:val="15"/>
          <w:color w:val="auto"/>
        </w:rPr>
        <w:t>®</w:t>
      </w:r>
      <w:r>
        <w:rPr>
          <w:rFonts w:ascii="Arial" w:cs="Arial" w:eastAsia="Arial" w:hAnsi="Arial"/>
          <w:sz w:val="18"/>
          <w:szCs w:val="18"/>
          <w:color w:val="auto"/>
        </w:rPr>
        <w:t xml:space="preserve"> products are available in aerosol, liquid ready-to-use, concentrated, granular and dust forms. Ortho</w:t>
      </w:r>
      <w:r>
        <w:rPr>
          <w:rFonts w:ascii="Arial" w:cs="Arial" w:eastAsia="Arial" w:hAnsi="Arial"/>
          <w:sz w:val="15"/>
          <w:szCs w:val="15"/>
          <w:color w:val="auto"/>
        </w:rPr>
        <w:t>®</w:t>
      </w:r>
      <w:r>
        <w:rPr>
          <w:rFonts w:ascii="Arial" w:cs="Arial" w:eastAsia="Arial" w:hAnsi="Arial"/>
          <w:sz w:val="18"/>
          <w:szCs w:val="18"/>
          <w:color w:val="auto"/>
        </w:rPr>
        <w:t xml:space="preserve"> control products include Weed-B-Gon</w:t>
      </w:r>
      <w:r>
        <w:rPr>
          <w:rFonts w:ascii="Arial" w:cs="Arial" w:eastAsia="Arial" w:hAnsi="Arial"/>
          <w:sz w:val="15"/>
          <w:szCs w:val="15"/>
          <w:color w:val="auto"/>
        </w:rPr>
        <w:t>®</w:t>
      </w:r>
      <w:r>
        <w:rPr>
          <w:rFonts w:ascii="Arial" w:cs="Arial" w:eastAsia="Arial" w:hAnsi="Arial"/>
          <w:sz w:val="18"/>
          <w:szCs w:val="18"/>
          <w:color w:val="auto"/>
        </w:rPr>
        <w:t>, Bug-B-Gon</w:t>
      </w:r>
      <w:r>
        <w:rPr>
          <w:rFonts w:ascii="Arial" w:cs="Arial" w:eastAsia="Arial" w:hAnsi="Arial"/>
          <w:sz w:val="15"/>
          <w:szCs w:val="15"/>
          <w:color w:val="auto"/>
        </w:rPr>
        <w:t>®</w:t>
      </w:r>
      <w:r>
        <w:rPr>
          <w:rFonts w:ascii="Arial" w:cs="Arial" w:eastAsia="Arial" w:hAnsi="Arial"/>
          <w:sz w:val="18"/>
          <w:szCs w:val="18"/>
          <w:color w:val="auto"/>
        </w:rPr>
        <w:t>, Home Defense MAX</w:t>
      </w:r>
      <w:r>
        <w:rPr>
          <w:rFonts w:ascii="Arial" w:cs="Arial" w:eastAsia="Arial" w:hAnsi="Arial"/>
          <w:sz w:val="15"/>
          <w:szCs w:val="15"/>
          <w:color w:val="auto"/>
        </w:rPr>
        <w:t>®</w:t>
      </w:r>
      <w:r>
        <w:rPr>
          <w:rFonts w:ascii="Arial" w:cs="Arial" w:eastAsia="Arial" w:hAnsi="Arial"/>
          <w:sz w:val="18"/>
          <w:szCs w:val="18"/>
          <w:color w:val="auto"/>
        </w:rPr>
        <w:t>, Ortho MAX</w:t>
      </w:r>
      <w:r>
        <w:rPr>
          <w:rFonts w:ascii="Arial" w:cs="Arial" w:eastAsia="Arial" w:hAnsi="Arial"/>
          <w:sz w:val="15"/>
          <w:szCs w:val="15"/>
          <w:color w:val="auto"/>
        </w:rPr>
        <w:t>®</w:t>
      </w:r>
      <w:r>
        <w:rPr>
          <w:rFonts w:ascii="Arial" w:cs="Arial" w:eastAsia="Arial" w:hAnsi="Arial"/>
          <w:sz w:val="18"/>
          <w:szCs w:val="18"/>
          <w:color w:val="auto"/>
        </w:rPr>
        <w:t>, Brush-B-Gon</w:t>
      </w:r>
      <w:r>
        <w:rPr>
          <w:rFonts w:ascii="Arial" w:cs="Arial" w:eastAsia="Arial" w:hAnsi="Arial"/>
          <w:sz w:val="15"/>
          <w:szCs w:val="15"/>
          <w:color w:val="auto"/>
        </w:rPr>
        <w:t>®</w:t>
      </w:r>
      <w:r>
        <w:rPr>
          <w:rFonts w:ascii="Arial" w:cs="Arial" w:eastAsia="Arial" w:hAnsi="Arial"/>
          <w:sz w:val="18"/>
          <w:szCs w:val="18"/>
          <w:color w:val="auto"/>
        </w:rPr>
        <w:t>, RosePride</w:t>
      </w:r>
      <w:r>
        <w:rPr>
          <w:rFonts w:ascii="Arial" w:cs="Arial" w:eastAsia="Arial" w:hAnsi="Arial"/>
          <w:sz w:val="15"/>
          <w:szCs w:val="15"/>
          <w:color w:val="auto"/>
        </w:rPr>
        <w:t>®</w:t>
      </w:r>
      <w:r>
        <w:rPr>
          <w:rFonts w:ascii="Arial" w:cs="Arial" w:eastAsia="Arial" w:hAnsi="Arial"/>
          <w:sz w:val="18"/>
          <w:szCs w:val="18"/>
          <w:color w:val="auto"/>
        </w:rPr>
        <w:t>, Ortho-Klor</w:t>
      </w:r>
      <w:r>
        <w:rPr>
          <w:rFonts w:ascii="Arial" w:cs="Arial" w:eastAsia="Arial" w:hAnsi="Arial"/>
          <w:sz w:val="15"/>
          <w:szCs w:val="15"/>
          <w:color w:val="auto"/>
        </w:rPr>
        <w:t>®</w:t>
      </w:r>
      <w:r>
        <w:rPr>
          <w:rFonts w:ascii="Arial" w:cs="Arial" w:eastAsia="Arial" w:hAnsi="Arial"/>
          <w:sz w:val="18"/>
          <w:szCs w:val="18"/>
          <w:color w:val="auto"/>
        </w:rPr>
        <w:t xml:space="preserve"> and Orthene</w:t>
      </w:r>
      <w:r>
        <w:rPr>
          <w:rFonts w:ascii="Arial" w:cs="Arial" w:eastAsia="Arial" w:hAnsi="Arial"/>
          <w:sz w:val="15"/>
          <w:szCs w:val="15"/>
          <w:color w:val="auto"/>
        </w:rPr>
        <w:t>®</w:t>
      </w:r>
      <w:r>
        <w:rPr>
          <w:rFonts w:ascii="Arial" w:cs="Arial" w:eastAsia="Arial" w:hAnsi="Arial"/>
          <w:sz w:val="18"/>
          <w:szCs w:val="18"/>
          <w:color w:val="auto"/>
        </w:rPr>
        <w:t xml:space="preserve"> Fire Ant Killer.</w:t>
      </w:r>
    </w:p>
    <w:p>
      <w:pPr>
        <w:spacing w:after="0" w:line="108" w:lineRule="exact"/>
        <w:rPr>
          <w:sz w:val="20"/>
          <w:szCs w:val="20"/>
          <w:color w:val="auto"/>
        </w:rPr>
      </w:pPr>
    </w:p>
    <w:p>
      <w:pPr>
        <w:ind w:left="700" w:right="80" w:firstLine="397"/>
        <w:spacing w:after="0" w:line="238" w:lineRule="auto"/>
        <w:rPr>
          <w:sz w:val="20"/>
          <w:szCs w:val="20"/>
          <w:color w:val="auto"/>
        </w:rPr>
      </w:pPr>
      <w:r>
        <w:rPr>
          <w:rFonts w:ascii="Arial" w:cs="Arial" w:eastAsia="Arial" w:hAnsi="Arial"/>
          <w:sz w:val="18"/>
          <w:szCs w:val="18"/>
          <w:color w:val="auto"/>
        </w:rPr>
        <w:t>In fiscal 1999, the Company entered into a long-term marketing agreement with Monsanto and became Monsanto’s exclusive agent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non-selective herbicide products in the consumer lawn and garden market within the United States and other specified countries, including Australia, Austria, Belgium, Canada, France, Germany, Holland and the United Kingdom. (See the “Roundup</w:t>
      </w:r>
      <w:r>
        <w:rPr>
          <w:rFonts w:ascii="Arial" w:cs="Arial" w:eastAsia="Arial" w:hAnsi="Arial"/>
          <w:sz w:val="15"/>
          <w:szCs w:val="15"/>
          <w:color w:val="auto"/>
        </w:rPr>
        <w:t>®</w:t>
      </w:r>
      <w:r>
        <w:rPr>
          <w:rFonts w:ascii="Arial" w:cs="Arial" w:eastAsia="Arial" w:hAnsi="Arial"/>
          <w:sz w:val="18"/>
          <w:szCs w:val="18"/>
          <w:color w:val="auto"/>
        </w:rPr>
        <w:t xml:space="preserve"> Marketing Agreement” discussion later in this Item 1 for a more detailed explanation of the Company’s agreement with Monsanto.)</w:t>
      </w:r>
    </w:p>
    <w:p>
      <w:pPr>
        <w:spacing w:after="0" w:line="104" w:lineRule="exact"/>
        <w:rPr>
          <w:sz w:val="20"/>
          <w:szCs w:val="20"/>
          <w:color w:val="auto"/>
        </w:rPr>
      </w:pPr>
    </w:p>
    <w:p>
      <w:pPr>
        <w:ind w:left="700" w:right="220" w:firstLine="397"/>
        <w:spacing w:after="0"/>
        <w:rPr>
          <w:sz w:val="20"/>
          <w:szCs w:val="20"/>
          <w:color w:val="auto"/>
        </w:rPr>
      </w:pPr>
      <w:r>
        <w:rPr>
          <w:rFonts w:ascii="Arial" w:cs="Arial" w:eastAsia="Arial" w:hAnsi="Arial"/>
          <w:sz w:val="16"/>
          <w:szCs w:val="16"/>
          <w:b w:val="1"/>
          <w:bCs w:val="1"/>
          <w:u w:val="single" w:color="auto"/>
          <w:color w:val="auto"/>
        </w:rPr>
        <w:t>Wild Bird Food</w:t>
      </w:r>
      <w:r>
        <w:rPr>
          <w:rFonts w:ascii="Arial" w:cs="Arial" w:eastAsia="Arial" w:hAnsi="Arial"/>
          <w:sz w:val="16"/>
          <w:szCs w:val="16"/>
          <w:b w:val="1"/>
          <w:bCs w:val="1"/>
          <w:color w:val="auto"/>
        </w:rPr>
        <w:t xml:space="preserve"> </w:t>
      </w:r>
      <w:r>
        <w:rPr>
          <w:rFonts w:ascii="Arial" w:cs="Arial" w:eastAsia="Arial" w:hAnsi="Arial"/>
          <w:sz w:val="18"/>
          <w:szCs w:val="18"/>
          <w:color w:val="auto"/>
        </w:rPr>
        <w:t>Effective November 18, 2005, the Company acquired Gutwein &amp; Co., Inc. (“Gutwein”). Through its</w:t>
      </w:r>
      <w:r>
        <w:rPr>
          <w:rFonts w:ascii="Arial" w:cs="Arial" w:eastAsia="Arial" w:hAnsi="Arial"/>
          <w:sz w:val="16"/>
          <w:szCs w:val="16"/>
          <w:b w:val="1"/>
          <w:bCs w:val="1"/>
          <w:color w:val="auto"/>
        </w:rPr>
        <w:t xml:space="preserve"> </w:t>
      </w:r>
      <w:r>
        <w:rPr>
          <w:rFonts w:ascii="Arial" w:cs="Arial" w:eastAsia="Arial" w:hAnsi="Arial"/>
          <w:sz w:val="18"/>
          <w:szCs w:val="18"/>
          <w:color w:val="auto"/>
        </w:rPr>
        <w:t>Morning Song</w:t>
      </w:r>
      <w:r>
        <w:rPr>
          <w:rFonts w:ascii="Arial" w:cs="Arial" w:eastAsia="Arial" w:hAnsi="Arial"/>
          <w:sz w:val="15"/>
          <w:szCs w:val="15"/>
          <w:color w:val="auto"/>
        </w:rPr>
        <w:t>®</w:t>
      </w:r>
      <w:r>
        <w:rPr>
          <w:rFonts w:ascii="Arial" w:cs="Arial" w:eastAsia="Arial" w:hAnsi="Arial"/>
          <w:sz w:val="18"/>
          <w:szCs w:val="18"/>
          <w:color w:val="auto"/>
        </w:rPr>
        <w:t xml:space="preserve"> brand, Gutwein is a leader in the growing North America wild bird food category, generating approximately $80.0 million in annual revenues. Morning Song</w:t>
      </w:r>
      <w:r>
        <w:rPr>
          <w:rFonts w:ascii="Arial" w:cs="Arial" w:eastAsia="Arial" w:hAnsi="Arial"/>
          <w:sz w:val="15"/>
          <w:szCs w:val="15"/>
          <w:color w:val="auto"/>
        </w:rPr>
        <w:t>®</w:t>
      </w:r>
      <w:r>
        <w:rPr>
          <w:rFonts w:ascii="Arial" w:cs="Arial" w:eastAsia="Arial" w:hAnsi="Arial"/>
          <w:sz w:val="18"/>
          <w:szCs w:val="18"/>
          <w:color w:val="auto"/>
        </w:rPr>
        <w:t xml:space="preserve"> products are sold at leading mass retailers, grocery, pet and general merchandise stores.</w:t>
      </w:r>
    </w:p>
    <w:p>
      <w:pPr>
        <w:ind w:left="5620"/>
        <w:spacing w:after="0"/>
        <w:rPr>
          <w:sz w:val="20"/>
          <w:szCs w:val="20"/>
          <w:color w:val="auto"/>
        </w:rPr>
      </w:pPr>
      <w:r>
        <w:rPr>
          <w:rFonts w:ascii="Arial" w:cs="Arial" w:eastAsia="Arial" w:hAnsi="Arial"/>
          <w:sz w:val="11"/>
          <w:szCs w:val="11"/>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right="60" w:firstLine="402"/>
        <w:spacing w:after="0" w:line="239" w:lineRule="auto"/>
        <w:rPr>
          <w:sz w:val="20"/>
          <w:szCs w:val="20"/>
          <w:color w:val="auto"/>
        </w:rPr>
      </w:pPr>
      <w:r>
        <w:rPr>
          <w:rFonts w:ascii="Arial" w:cs="Arial" w:eastAsia="Arial" w:hAnsi="Arial"/>
          <w:sz w:val="16"/>
          <w:szCs w:val="16"/>
          <w:b w:val="1"/>
          <w:bCs w:val="1"/>
          <w:u w:val="single" w:color="auto"/>
          <w:color w:val="auto"/>
        </w:rPr>
        <w:t>Other Consumer Products</w:t>
      </w:r>
      <w:r>
        <w:rPr>
          <w:rFonts w:ascii="Arial" w:cs="Arial" w:eastAsia="Arial" w:hAnsi="Arial"/>
          <w:sz w:val="16"/>
          <w:szCs w:val="16"/>
          <w:b w:val="1"/>
          <w:bCs w:val="1"/>
          <w:color w:val="auto"/>
        </w:rPr>
        <w:t xml:space="preserve"> </w:t>
      </w:r>
      <w:r>
        <w:rPr>
          <w:rFonts w:ascii="Arial" w:cs="Arial" w:eastAsia="Arial" w:hAnsi="Arial"/>
          <w:sz w:val="18"/>
          <w:szCs w:val="18"/>
          <w:color w:val="auto"/>
        </w:rPr>
        <w:t>The Company also manufactures and markets several lines of high-quality lawn spreaders</w:t>
      </w:r>
      <w:r>
        <w:rPr>
          <w:rFonts w:ascii="Arial" w:cs="Arial" w:eastAsia="Arial" w:hAnsi="Arial"/>
          <w:sz w:val="16"/>
          <w:szCs w:val="16"/>
          <w:b w:val="1"/>
          <w:bCs w:val="1"/>
          <w:color w:val="auto"/>
        </w:rPr>
        <w:t xml:space="preserve"> </w:t>
      </w:r>
      <w:r>
        <w:rPr>
          <w:rFonts w:ascii="Arial" w:cs="Arial" w:eastAsia="Arial" w:hAnsi="Arial"/>
          <w:sz w:val="18"/>
          <w:szCs w:val="18"/>
          <w:color w:val="auto"/>
        </w:rPr>
        <w:t>under the Scotts</w:t>
      </w:r>
      <w:r>
        <w:rPr>
          <w:rFonts w:ascii="Arial" w:cs="Arial" w:eastAsia="Arial" w:hAnsi="Arial"/>
          <w:sz w:val="15"/>
          <w:szCs w:val="15"/>
          <w:color w:val="auto"/>
        </w:rPr>
        <w:t>®</w:t>
      </w:r>
      <w:r>
        <w:rPr>
          <w:rFonts w:ascii="Arial" w:cs="Arial" w:eastAsia="Arial" w:hAnsi="Arial"/>
          <w:sz w:val="18"/>
          <w:szCs w:val="18"/>
          <w:color w:val="auto"/>
        </w:rPr>
        <w:t xml:space="preserve"> brand name — Deluxe EdgeGuard</w:t>
      </w:r>
      <w:r>
        <w:rPr>
          <w:rFonts w:ascii="Arial" w:cs="Arial" w:eastAsia="Arial" w:hAnsi="Arial"/>
          <w:sz w:val="15"/>
          <w:szCs w:val="15"/>
          <w:color w:val="auto"/>
        </w:rPr>
        <w:t>®</w:t>
      </w:r>
      <w:r>
        <w:rPr>
          <w:rFonts w:ascii="Arial" w:cs="Arial" w:eastAsia="Arial" w:hAnsi="Arial"/>
          <w:sz w:val="18"/>
          <w:szCs w:val="18"/>
          <w:color w:val="auto"/>
        </w:rPr>
        <w:t xml:space="preserve"> spreaders, SpeedyGreen</w:t>
      </w:r>
      <w:r>
        <w:rPr>
          <w:rFonts w:ascii="Arial" w:cs="Arial" w:eastAsia="Arial" w:hAnsi="Arial"/>
          <w:sz w:val="15"/>
          <w:szCs w:val="15"/>
          <w:color w:val="auto"/>
        </w:rPr>
        <w:t>®</w:t>
      </w:r>
      <w:r>
        <w:rPr>
          <w:rFonts w:ascii="Arial" w:cs="Arial" w:eastAsia="Arial" w:hAnsi="Arial"/>
          <w:sz w:val="18"/>
          <w:szCs w:val="18"/>
          <w:color w:val="auto"/>
        </w:rPr>
        <w:t xml:space="preserve"> rotary spreaders, AccuGreen</w:t>
      </w:r>
      <w:r>
        <w:rPr>
          <w:rFonts w:ascii="Arial" w:cs="Arial" w:eastAsia="Arial" w:hAnsi="Arial"/>
          <w:sz w:val="15"/>
          <w:szCs w:val="15"/>
          <w:color w:val="auto"/>
        </w:rPr>
        <w:t>®</w:t>
      </w:r>
      <w:r>
        <w:rPr>
          <w:rFonts w:ascii="Arial" w:cs="Arial" w:eastAsia="Arial" w:hAnsi="Arial"/>
          <w:sz w:val="18"/>
          <w:szCs w:val="18"/>
          <w:color w:val="auto"/>
        </w:rPr>
        <w:t xml:space="preserve"> drop spreaders and Handy Green</w:t>
      </w:r>
      <w:r>
        <w:rPr>
          <w:rFonts w:ascii="Arial" w:cs="Arial" w:eastAsia="Arial" w:hAnsi="Arial"/>
          <w:sz w:val="15"/>
          <w:szCs w:val="15"/>
          <w:color w:val="auto"/>
        </w:rPr>
        <w:t>®</w:t>
      </w:r>
      <w:r>
        <w:rPr>
          <w:rFonts w:ascii="Arial" w:cs="Arial" w:eastAsia="Arial" w:hAnsi="Arial"/>
          <w:sz w:val="18"/>
          <w:szCs w:val="18"/>
          <w:color w:val="auto"/>
        </w:rPr>
        <w:t>II handheld spreaders. We sell a line of hose-end applicators for water-soluble plant foods such as Miracle-Gro</w:t>
      </w:r>
      <w:r>
        <w:rPr>
          <w:rFonts w:ascii="Arial" w:cs="Arial" w:eastAsia="Arial" w:hAnsi="Arial"/>
          <w:sz w:val="15"/>
          <w:szCs w:val="15"/>
          <w:color w:val="auto"/>
        </w:rPr>
        <w:t>®</w:t>
      </w:r>
      <w:r>
        <w:rPr>
          <w:rFonts w:ascii="Arial" w:cs="Arial" w:eastAsia="Arial" w:hAnsi="Arial"/>
          <w:sz w:val="18"/>
          <w:szCs w:val="18"/>
          <w:color w:val="auto"/>
        </w:rPr>
        <w:t xml:space="preserve"> products, and lines of applicators under the Ortho</w:t>
      </w:r>
      <w:r>
        <w:rPr>
          <w:rFonts w:ascii="Arial" w:cs="Arial" w:eastAsia="Arial" w:hAnsi="Arial"/>
          <w:sz w:val="15"/>
          <w:szCs w:val="15"/>
          <w:color w:val="auto"/>
        </w:rPr>
        <w:t>®</w:t>
      </w:r>
      <w:r>
        <w:rPr>
          <w:rFonts w:ascii="Arial" w:cs="Arial" w:eastAsia="Arial" w:hAnsi="Arial"/>
          <w:sz w:val="18"/>
          <w:szCs w:val="18"/>
          <w:color w:val="auto"/>
        </w:rPr>
        <w:t>, Dial ’N Spray</w:t>
      </w:r>
      <w:r>
        <w:rPr>
          <w:rFonts w:ascii="Arial" w:cs="Arial" w:eastAsia="Arial" w:hAnsi="Arial"/>
          <w:sz w:val="15"/>
          <w:szCs w:val="15"/>
          <w:color w:val="auto"/>
        </w:rPr>
        <w:t>®</w:t>
      </w:r>
      <w:r>
        <w:rPr>
          <w:rFonts w:ascii="Arial" w:cs="Arial" w:eastAsia="Arial" w:hAnsi="Arial"/>
          <w:sz w:val="18"/>
          <w:szCs w:val="18"/>
          <w:color w:val="auto"/>
        </w:rPr>
        <w:t>, and Pull ’N Spray</w:t>
      </w:r>
      <w:r>
        <w:rPr>
          <w:rFonts w:ascii="Arial" w:cs="Arial" w:eastAsia="Arial" w:hAnsi="Arial"/>
          <w:sz w:val="15"/>
          <w:szCs w:val="15"/>
          <w:color w:val="auto"/>
        </w:rPr>
        <w:t>®</w:t>
      </w:r>
      <w:r>
        <w:rPr>
          <w:rFonts w:ascii="Arial" w:cs="Arial" w:eastAsia="Arial" w:hAnsi="Arial"/>
          <w:sz w:val="18"/>
          <w:szCs w:val="18"/>
          <w:color w:val="auto"/>
        </w:rPr>
        <w:t xml:space="preserve"> trademarks for the diluted application of control products sold in the concentrated form.</w:t>
      </w:r>
    </w:p>
    <w:p>
      <w:pPr>
        <w:spacing w:after="0" w:line="10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businesses are also included in the results of the North America segment:</w:t>
      </w:r>
    </w:p>
    <w:p>
      <w:pPr>
        <w:spacing w:after="0" w:line="113" w:lineRule="exact"/>
        <w:rPr>
          <w:sz w:val="20"/>
          <w:szCs w:val="20"/>
          <w:color w:val="auto"/>
        </w:rPr>
      </w:pPr>
    </w:p>
    <w:p>
      <w:pPr>
        <w:ind w:left="700" w:firstLine="402"/>
        <w:spacing w:after="0" w:line="239" w:lineRule="auto"/>
        <w:rPr>
          <w:sz w:val="20"/>
          <w:szCs w:val="20"/>
          <w:color w:val="auto"/>
        </w:rPr>
      </w:pPr>
      <w:r>
        <w:rPr>
          <w:rFonts w:ascii="Arial" w:cs="Arial" w:eastAsia="Arial" w:hAnsi="Arial"/>
          <w:sz w:val="16"/>
          <w:szCs w:val="16"/>
          <w:b w:val="1"/>
          <w:bCs w:val="1"/>
          <w:u w:val="single" w:color="auto"/>
          <w:color w:val="auto"/>
        </w:rPr>
        <w:t>North American Professional</w:t>
      </w:r>
      <w:r>
        <w:rPr>
          <w:rFonts w:ascii="Arial" w:cs="Arial" w:eastAsia="Arial" w:hAnsi="Arial"/>
          <w:sz w:val="16"/>
          <w:szCs w:val="16"/>
          <w:b w:val="1"/>
          <w:bCs w:val="1"/>
          <w:color w:val="auto"/>
        </w:rPr>
        <w:t xml:space="preserve"> </w:t>
      </w:r>
      <w:r>
        <w:rPr>
          <w:rFonts w:ascii="Arial" w:cs="Arial" w:eastAsia="Arial" w:hAnsi="Arial"/>
          <w:sz w:val="18"/>
          <w:szCs w:val="18"/>
          <w:color w:val="auto"/>
        </w:rPr>
        <w:t>The Company sells professional products to commercial nurseries, greenhouses and</w:t>
      </w:r>
      <w:r>
        <w:rPr>
          <w:rFonts w:ascii="Arial" w:cs="Arial" w:eastAsia="Arial" w:hAnsi="Arial"/>
          <w:sz w:val="16"/>
          <w:szCs w:val="16"/>
          <w:b w:val="1"/>
          <w:bCs w:val="1"/>
          <w:color w:val="auto"/>
        </w:rPr>
        <w:t xml:space="preserve"> </w:t>
      </w:r>
      <w:r>
        <w:rPr>
          <w:rFonts w:ascii="Arial" w:cs="Arial" w:eastAsia="Arial" w:hAnsi="Arial"/>
          <w:sz w:val="18"/>
          <w:szCs w:val="18"/>
          <w:color w:val="auto"/>
        </w:rPr>
        <w:t>specialty crop growers in North America, the Caribbean and throughout Latin America, the Far East, New Zealand and Japan. Our professional products include a broad line of sophisticated controlled-release fertilizers, water-soluble fertilizers, pesticide products and wetting agents which are sold under brand names that include Banrot</w:t>
      </w:r>
      <w:r>
        <w:rPr>
          <w:rFonts w:ascii="Arial" w:cs="Arial" w:eastAsia="Arial" w:hAnsi="Arial"/>
          <w:sz w:val="15"/>
          <w:szCs w:val="15"/>
          <w:color w:val="auto"/>
        </w:rPr>
        <w:t>®</w:t>
      </w:r>
      <w:r>
        <w:rPr>
          <w:rFonts w:ascii="Arial" w:cs="Arial" w:eastAsia="Arial" w:hAnsi="Arial"/>
          <w:sz w:val="18"/>
          <w:szCs w:val="18"/>
          <w:color w:val="auto"/>
        </w:rPr>
        <w:t>, Miracle-Gro</w:t>
      </w:r>
      <w:r>
        <w:rPr>
          <w:rFonts w:ascii="Arial" w:cs="Arial" w:eastAsia="Arial" w:hAnsi="Arial"/>
          <w:sz w:val="15"/>
          <w:szCs w:val="15"/>
          <w:color w:val="auto"/>
        </w:rPr>
        <w:t>®</w:t>
      </w:r>
      <w:r>
        <w:rPr>
          <w:rFonts w:ascii="Arial" w:cs="Arial" w:eastAsia="Arial" w:hAnsi="Arial"/>
          <w:sz w:val="18"/>
          <w:szCs w:val="18"/>
          <w:color w:val="auto"/>
        </w:rPr>
        <w:t>, Osmocote</w:t>
      </w:r>
      <w:r>
        <w:rPr>
          <w:rFonts w:ascii="Arial" w:cs="Arial" w:eastAsia="Arial" w:hAnsi="Arial"/>
          <w:sz w:val="15"/>
          <w:szCs w:val="15"/>
          <w:color w:val="auto"/>
        </w:rPr>
        <w:t>®</w:t>
      </w:r>
      <w:r>
        <w:rPr>
          <w:rFonts w:ascii="Arial" w:cs="Arial" w:eastAsia="Arial" w:hAnsi="Arial"/>
          <w:sz w:val="18"/>
          <w:szCs w:val="18"/>
          <w:color w:val="auto"/>
        </w:rPr>
        <w:t>, Peters</w:t>
      </w:r>
      <w:r>
        <w:rPr>
          <w:rFonts w:ascii="Arial" w:cs="Arial" w:eastAsia="Arial" w:hAnsi="Arial"/>
          <w:sz w:val="15"/>
          <w:szCs w:val="15"/>
          <w:color w:val="auto"/>
        </w:rPr>
        <w:t>®</w:t>
      </w:r>
      <w:r>
        <w:rPr>
          <w:rFonts w:ascii="Arial" w:cs="Arial" w:eastAsia="Arial" w:hAnsi="Arial"/>
          <w:sz w:val="18"/>
          <w:szCs w:val="18"/>
          <w:color w:val="auto"/>
        </w:rPr>
        <w:t>, Poly-S</w:t>
      </w:r>
      <w:r>
        <w:rPr>
          <w:rFonts w:ascii="Arial" w:cs="Arial" w:eastAsia="Arial" w:hAnsi="Arial"/>
          <w:sz w:val="15"/>
          <w:szCs w:val="15"/>
          <w:color w:val="auto"/>
        </w:rPr>
        <w:t>®</w:t>
      </w:r>
      <w:r>
        <w:rPr>
          <w:rFonts w:ascii="Arial" w:cs="Arial" w:eastAsia="Arial" w:hAnsi="Arial"/>
          <w:sz w:val="18"/>
          <w:szCs w:val="18"/>
          <w:color w:val="auto"/>
        </w:rPr>
        <w:t>, Rout</w:t>
      </w:r>
      <w:r>
        <w:rPr>
          <w:rFonts w:ascii="Arial" w:cs="Arial" w:eastAsia="Arial" w:hAnsi="Arial"/>
          <w:sz w:val="15"/>
          <w:szCs w:val="15"/>
          <w:color w:val="auto"/>
        </w:rPr>
        <w:t>®</w:t>
      </w:r>
      <w:r>
        <w:rPr>
          <w:rFonts w:ascii="Arial" w:cs="Arial" w:eastAsia="Arial" w:hAnsi="Arial"/>
          <w:sz w:val="18"/>
          <w:szCs w:val="18"/>
          <w:color w:val="auto"/>
        </w:rPr>
        <w:t>, ScottKote</w:t>
      </w:r>
      <w:r>
        <w:rPr>
          <w:rFonts w:ascii="Arial" w:cs="Arial" w:eastAsia="Arial" w:hAnsi="Arial"/>
          <w:sz w:val="15"/>
          <w:szCs w:val="15"/>
          <w:color w:val="auto"/>
        </w:rPr>
        <w:t>®</w:t>
      </w:r>
      <w:r>
        <w:rPr>
          <w:rFonts w:ascii="Arial" w:cs="Arial" w:eastAsia="Arial" w:hAnsi="Arial"/>
          <w:sz w:val="18"/>
          <w:szCs w:val="18"/>
          <w:color w:val="auto"/>
        </w:rPr>
        <w:t>, Sierrablen</w:t>
      </w:r>
      <w:r>
        <w:rPr>
          <w:rFonts w:ascii="Arial" w:cs="Arial" w:eastAsia="Arial" w:hAnsi="Arial"/>
          <w:sz w:val="15"/>
          <w:szCs w:val="15"/>
          <w:color w:val="auto"/>
        </w:rPr>
        <w:t>®</w:t>
      </w:r>
      <w:r>
        <w:rPr>
          <w:rFonts w:ascii="Arial" w:cs="Arial" w:eastAsia="Arial" w:hAnsi="Arial"/>
          <w:sz w:val="18"/>
          <w:szCs w:val="18"/>
          <w:color w:val="auto"/>
        </w:rPr>
        <w:t>, Shamrock</w:t>
      </w:r>
      <w:r>
        <w:rPr>
          <w:rFonts w:ascii="Arial" w:cs="Arial" w:eastAsia="Arial" w:hAnsi="Arial"/>
          <w:sz w:val="15"/>
          <w:szCs w:val="15"/>
          <w:color w:val="auto"/>
        </w:rPr>
        <w:t>®</w:t>
      </w:r>
      <w:r>
        <w:rPr>
          <w:rFonts w:ascii="Arial" w:cs="Arial" w:eastAsia="Arial" w:hAnsi="Arial"/>
          <w:sz w:val="18"/>
          <w:szCs w:val="18"/>
          <w:color w:val="auto"/>
        </w:rPr>
        <w:t xml:space="preserve"> and Sierra</w:t>
      </w:r>
      <w:r>
        <w:rPr>
          <w:rFonts w:ascii="Arial" w:cs="Arial" w:eastAsia="Arial" w:hAnsi="Arial"/>
          <w:sz w:val="15"/>
          <w:szCs w:val="15"/>
          <w:color w:val="auto"/>
        </w:rPr>
        <w:t>®</w:t>
      </w:r>
      <w:r>
        <w:rPr>
          <w:rFonts w:ascii="Arial" w:cs="Arial" w:eastAsia="Arial" w:hAnsi="Arial"/>
          <w:sz w:val="18"/>
          <w:szCs w:val="18"/>
          <w:color w:val="auto"/>
        </w:rPr>
        <w:t>.</w:t>
      </w:r>
    </w:p>
    <w:p>
      <w:pPr>
        <w:spacing w:after="0" w:line="104" w:lineRule="exact"/>
        <w:rPr>
          <w:sz w:val="20"/>
          <w:szCs w:val="20"/>
          <w:color w:val="auto"/>
        </w:rPr>
      </w:pPr>
    </w:p>
    <w:p>
      <w:pPr>
        <w:ind w:left="700" w:right="60" w:firstLine="402"/>
        <w:spacing w:after="0" w:line="242" w:lineRule="auto"/>
        <w:rPr>
          <w:sz w:val="20"/>
          <w:szCs w:val="20"/>
          <w:color w:val="auto"/>
        </w:rPr>
      </w:pPr>
      <w:r>
        <w:rPr>
          <w:rFonts w:ascii="Arial" w:cs="Arial" w:eastAsia="Arial" w:hAnsi="Arial"/>
          <w:sz w:val="16"/>
          <w:szCs w:val="16"/>
          <w:b w:val="1"/>
          <w:bCs w:val="1"/>
          <w:u w:val="single" w:color="auto"/>
          <w:color w:val="auto"/>
        </w:rPr>
        <w:t>Canada</w:t>
      </w:r>
      <w:r>
        <w:rPr>
          <w:rFonts w:ascii="Arial" w:cs="Arial" w:eastAsia="Arial" w:hAnsi="Arial"/>
          <w:sz w:val="16"/>
          <w:szCs w:val="16"/>
          <w:b w:val="1"/>
          <w:bCs w:val="1"/>
          <w:color w:val="auto"/>
        </w:rPr>
        <w:t xml:space="preserve"> </w:t>
      </w:r>
      <w:r>
        <w:rPr>
          <w:rFonts w:ascii="Arial" w:cs="Arial" w:eastAsia="Arial" w:hAnsi="Arial"/>
          <w:sz w:val="18"/>
          <w:szCs w:val="18"/>
          <w:color w:val="auto"/>
        </w:rPr>
        <w:t>The Company believes it is the leading marketer of branded consumer lawn and garden products in the</w:t>
      </w:r>
      <w:r>
        <w:rPr>
          <w:rFonts w:ascii="Arial" w:cs="Arial" w:eastAsia="Arial" w:hAnsi="Arial"/>
          <w:sz w:val="16"/>
          <w:szCs w:val="16"/>
          <w:b w:val="1"/>
          <w:bCs w:val="1"/>
          <w:color w:val="auto"/>
        </w:rPr>
        <w:t xml:space="preserve"> </w:t>
      </w:r>
      <w:r>
        <w:rPr>
          <w:rFonts w:ascii="Arial" w:cs="Arial" w:eastAsia="Arial" w:hAnsi="Arial"/>
          <w:sz w:val="18"/>
          <w:szCs w:val="18"/>
          <w:color w:val="auto"/>
        </w:rPr>
        <w:t>Canadian market. We sell a full range of lawn and garden fertilizer, control products, grass seed, spreaders, and value-added growing media products under the 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r>
        <w:rPr>
          <w:rFonts w:ascii="Arial" w:cs="Arial" w:eastAsia="Arial" w:hAnsi="Arial"/>
          <w:sz w:val="18"/>
          <w:szCs w:val="18"/>
          <w:color w:val="auto"/>
        </w:rPr>
        <w:t>, Miracle-Gro</w:t>
      </w:r>
      <w:r>
        <w:rPr>
          <w:rFonts w:ascii="Arial" w:cs="Arial" w:eastAsia="Arial" w:hAnsi="Arial"/>
          <w:sz w:val="15"/>
          <w:szCs w:val="15"/>
          <w:color w:val="auto"/>
        </w:rPr>
        <w:t>®</w:t>
      </w:r>
      <w:r>
        <w:rPr>
          <w:rFonts w:ascii="Arial" w:cs="Arial" w:eastAsia="Arial" w:hAnsi="Arial"/>
          <w:sz w:val="18"/>
          <w:szCs w:val="18"/>
          <w:color w:val="auto"/>
        </w:rPr>
        <w:t>, Killex</w:t>
      </w:r>
      <w:r>
        <w:rPr>
          <w:rFonts w:ascii="Arial" w:cs="Arial" w:eastAsia="Arial" w:hAnsi="Arial"/>
          <w:sz w:val="15"/>
          <w:szCs w:val="15"/>
          <w:color w:val="auto"/>
        </w:rPr>
        <w:t>®</w:t>
      </w:r>
      <w:r>
        <w:rPr>
          <w:rFonts w:ascii="Arial" w:cs="Arial" w:eastAsia="Arial" w:hAnsi="Arial"/>
          <w:sz w:val="18"/>
          <w:szCs w:val="18"/>
          <w:color w:val="auto"/>
        </w:rPr>
        <w:t>, and Roundup</w:t>
      </w:r>
      <w:r>
        <w:rPr>
          <w:rFonts w:ascii="Arial" w:cs="Arial" w:eastAsia="Arial" w:hAnsi="Arial"/>
          <w:sz w:val="15"/>
          <w:szCs w:val="15"/>
          <w:color w:val="auto"/>
        </w:rPr>
        <w:t>®</w:t>
      </w:r>
      <w:r>
        <w:rPr>
          <w:rFonts w:ascii="Arial" w:cs="Arial" w:eastAsia="Arial" w:hAnsi="Arial"/>
          <w:sz w:val="18"/>
          <w:szCs w:val="18"/>
          <w:color w:val="auto"/>
        </w:rPr>
        <w:t xml:space="preserve"> brands.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Scotts LawnService</w:t>
      </w:r>
      <w:r>
        <w:rPr>
          <w:rFonts w:ascii="Arial" w:cs="Arial" w:eastAsia="Arial" w:hAnsi="Arial"/>
          <w:sz w:val="27"/>
          <w:szCs w:val="27"/>
          <w:b w:val="1"/>
          <w:bCs w:val="1"/>
          <w:color w:val="auto"/>
          <w:vertAlign w:val="superscript"/>
        </w:rPr>
        <w:t>®</w:t>
      </w:r>
    </w:p>
    <w:p>
      <w:pPr>
        <w:spacing w:after="0" w:line="18" w:lineRule="exact"/>
        <w:rPr>
          <w:sz w:val="20"/>
          <w:szCs w:val="20"/>
          <w:color w:val="auto"/>
        </w:rPr>
      </w:pPr>
    </w:p>
    <w:p>
      <w:pPr>
        <w:ind w:left="700" w:right="20" w:firstLine="402"/>
        <w:spacing w:after="0" w:line="239" w:lineRule="auto"/>
        <w:rPr>
          <w:sz w:val="20"/>
          <w:szCs w:val="20"/>
          <w:color w:val="auto"/>
        </w:rPr>
      </w:pPr>
      <w:r>
        <w:rPr>
          <w:rFonts w:ascii="Arial" w:cs="Arial" w:eastAsia="Arial" w:hAnsi="Arial"/>
          <w:sz w:val="18"/>
          <w:szCs w:val="18"/>
          <w:color w:val="auto"/>
        </w:rPr>
        <w:t>Through this segment, the Company provides residential lawn care, lawn aeration, tree and shrub care and external pest control services in the United States. These services consist primarily of fertilizer, weed control, pest control and disease control applications. As of September 30, 2006, Scotts LawnService</w:t>
      </w:r>
      <w:r>
        <w:rPr>
          <w:rFonts w:ascii="Arial" w:cs="Arial" w:eastAsia="Arial" w:hAnsi="Arial"/>
          <w:sz w:val="15"/>
          <w:szCs w:val="15"/>
          <w:color w:val="auto"/>
        </w:rPr>
        <w:t>®</w:t>
      </w:r>
      <w:r>
        <w:rPr>
          <w:rFonts w:ascii="Arial" w:cs="Arial" w:eastAsia="Arial" w:hAnsi="Arial"/>
          <w:sz w:val="18"/>
          <w:szCs w:val="18"/>
          <w:color w:val="auto"/>
        </w:rPr>
        <w:t xml:space="preserve"> had 77 company-operated locations serving 44 metropolitan markets and 82 independent franchises primarily operating in secondary markets.</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International</w:t>
      </w:r>
    </w:p>
    <w:p>
      <w:pPr>
        <w:spacing w:after="0" w:line="144" w:lineRule="exact"/>
        <w:rPr>
          <w:sz w:val="20"/>
          <w:szCs w:val="20"/>
          <w:color w:val="auto"/>
        </w:rPr>
      </w:pPr>
    </w:p>
    <w:p>
      <w:pPr>
        <w:ind w:left="700" w:firstLine="402"/>
        <w:spacing w:after="0"/>
        <w:rPr>
          <w:sz w:val="20"/>
          <w:szCs w:val="20"/>
          <w:color w:val="auto"/>
        </w:rPr>
      </w:pPr>
      <w:r>
        <w:rPr>
          <w:rFonts w:ascii="Arial" w:cs="Arial" w:eastAsia="Arial" w:hAnsi="Arial"/>
          <w:sz w:val="18"/>
          <w:szCs w:val="18"/>
          <w:color w:val="auto"/>
        </w:rPr>
        <w:t>In the International segment, the Company sells consumer lawn and garden products in more than 25 countries outside of North America. We also sell a broad line of professional products throughout Europe to commercial nurseries, greenhouses and specialty retailers.</w:t>
      </w:r>
    </w:p>
    <w:p>
      <w:pPr>
        <w:spacing w:after="0" w:line="108" w:lineRule="exact"/>
        <w:rPr>
          <w:sz w:val="20"/>
          <w:szCs w:val="20"/>
          <w:color w:val="auto"/>
        </w:rPr>
      </w:pPr>
    </w:p>
    <w:p>
      <w:pPr>
        <w:ind w:left="700" w:right="140" w:firstLine="402"/>
        <w:spacing w:after="0" w:line="238" w:lineRule="auto"/>
        <w:rPr>
          <w:sz w:val="20"/>
          <w:szCs w:val="20"/>
          <w:color w:val="auto"/>
        </w:rPr>
      </w:pPr>
      <w:r>
        <w:rPr>
          <w:rFonts w:ascii="Arial" w:cs="Arial" w:eastAsia="Arial" w:hAnsi="Arial"/>
          <w:sz w:val="18"/>
          <w:szCs w:val="18"/>
          <w:color w:val="auto"/>
        </w:rPr>
        <w:t>International products and brand names vary from country to country depending upon the brand name strength and the nature of our strategic relationships in a given country. For example, in the United Kingdom, we sell Miracle-Gro</w:t>
      </w:r>
      <w:r>
        <w:rPr>
          <w:rFonts w:ascii="Arial" w:cs="Arial" w:eastAsia="Arial" w:hAnsi="Arial"/>
          <w:sz w:val="15"/>
          <w:szCs w:val="15"/>
          <w:color w:val="auto"/>
        </w:rPr>
        <w:t>®</w:t>
      </w:r>
      <w:r>
        <w:rPr>
          <w:rFonts w:ascii="Arial" w:cs="Arial" w:eastAsia="Arial" w:hAnsi="Arial"/>
          <w:sz w:val="18"/>
          <w:szCs w:val="18"/>
          <w:color w:val="auto"/>
        </w:rPr>
        <w:t xml:space="preserve"> plant fertilizers, Weedol</w:t>
      </w:r>
      <w:r>
        <w:rPr>
          <w:rFonts w:ascii="Arial" w:cs="Arial" w:eastAsia="Arial" w:hAnsi="Arial"/>
          <w:sz w:val="15"/>
          <w:szCs w:val="15"/>
          <w:color w:val="auto"/>
        </w:rPr>
        <w:t>®</w:t>
      </w:r>
      <w:r>
        <w:rPr>
          <w:rFonts w:ascii="Arial" w:cs="Arial" w:eastAsia="Arial" w:hAnsi="Arial"/>
          <w:sz w:val="18"/>
          <w:szCs w:val="18"/>
          <w:color w:val="auto"/>
        </w:rPr>
        <w:t xml:space="preserve"> and Pathclear</w:t>
      </w:r>
      <w:r>
        <w:rPr>
          <w:rFonts w:ascii="Arial" w:cs="Arial" w:eastAsia="Arial" w:hAnsi="Arial"/>
          <w:sz w:val="15"/>
          <w:szCs w:val="15"/>
          <w:color w:val="auto"/>
        </w:rPr>
        <w:t>®</w:t>
      </w:r>
      <w:r>
        <w:rPr>
          <w:rFonts w:ascii="Arial" w:cs="Arial" w:eastAsia="Arial" w:hAnsi="Arial"/>
          <w:sz w:val="18"/>
          <w:szCs w:val="18"/>
          <w:color w:val="auto"/>
        </w:rPr>
        <w:t xml:space="preserve"> herbicides, EverGreen</w:t>
      </w:r>
      <w:r>
        <w:rPr>
          <w:rFonts w:ascii="Arial" w:cs="Arial" w:eastAsia="Arial" w:hAnsi="Arial"/>
          <w:sz w:val="15"/>
          <w:szCs w:val="15"/>
          <w:color w:val="auto"/>
        </w:rPr>
        <w:t>®</w:t>
      </w:r>
      <w:r>
        <w:rPr>
          <w:rFonts w:ascii="Arial" w:cs="Arial" w:eastAsia="Arial" w:hAnsi="Arial"/>
          <w:sz w:val="18"/>
          <w:szCs w:val="18"/>
          <w:color w:val="auto"/>
        </w:rPr>
        <w:t xml:space="preserve"> lawn fertilizers and Levington</w:t>
      </w:r>
      <w:r>
        <w:rPr>
          <w:rFonts w:ascii="Arial" w:cs="Arial" w:eastAsia="Arial" w:hAnsi="Arial"/>
          <w:sz w:val="15"/>
          <w:szCs w:val="15"/>
          <w:color w:val="auto"/>
        </w:rPr>
        <w:t>®</w:t>
      </w:r>
      <w:r>
        <w:rPr>
          <w:rFonts w:ascii="Arial" w:cs="Arial" w:eastAsia="Arial" w:hAnsi="Arial"/>
          <w:sz w:val="18"/>
          <w:szCs w:val="18"/>
          <w:color w:val="auto"/>
        </w:rPr>
        <w:t xml:space="preserve"> growing media. Our other International brands include KB</w:t>
      </w:r>
      <w:r>
        <w:rPr>
          <w:rFonts w:ascii="Arial" w:cs="Arial" w:eastAsia="Arial" w:hAnsi="Arial"/>
          <w:sz w:val="15"/>
          <w:szCs w:val="15"/>
          <w:color w:val="auto"/>
        </w:rPr>
        <w:t>®</w:t>
      </w:r>
      <w:r>
        <w:rPr>
          <w:rFonts w:ascii="Arial" w:cs="Arial" w:eastAsia="Arial" w:hAnsi="Arial"/>
          <w:sz w:val="18"/>
          <w:szCs w:val="18"/>
          <w:color w:val="auto"/>
        </w:rPr>
        <w:t xml:space="preserve"> and Fertiligène</w:t>
      </w:r>
      <w:r>
        <w:rPr>
          <w:rFonts w:ascii="Arial" w:cs="Arial" w:eastAsia="Arial" w:hAnsi="Arial"/>
          <w:sz w:val="15"/>
          <w:szCs w:val="15"/>
          <w:color w:val="auto"/>
        </w:rPr>
        <w:t>®</w:t>
      </w:r>
      <w:r>
        <w:rPr>
          <w:rFonts w:ascii="Arial" w:cs="Arial" w:eastAsia="Arial" w:hAnsi="Arial"/>
          <w:sz w:val="18"/>
          <w:szCs w:val="18"/>
          <w:color w:val="auto"/>
        </w:rPr>
        <w:t xml:space="preserve"> in France, Celaflor</w:t>
      </w:r>
      <w:r>
        <w:rPr>
          <w:rFonts w:ascii="Arial" w:cs="Arial" w:eastAsia="Arial" w:hAnsi="Arial"/>
          <w:sz w:val="15"/>
          <w:szCs w:val="15"/>
          <w:color w:val="auto"/>
        </w:rPr>
        <w:t>®</w:t>
      </w:r>
      <w:r>
        <w:rPr>
          <w:rFonts w:ascii="Arial" w:cs="Arial" w:eastAsia="Arial" w:hAnsi="Arial"/>
          <w:sz w:val="18"/>
          <w:szCs w:val="18"/>
          <w:color w:val="auto"/>
        </w:rPr>
        <w:t>, Nexa-Lotte</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in Germany and Austria, and ASEF</w:t>
      </w:r>
      <w:r>
        <w:rPr>
          <w:rFonts w:ascii="Arial" w:cs="Arial" w:eastAsia="Arial" w:hAnsi="Arial"/>
          <w:sz w:val="15"/>
          <w:szCs w:val="15"/>
          <w:color w:val="auto"/>
        </w:rPr>
        <w:t>®</w:t>
      </w:r>
      <w:r>
        <w:rPr>
          <w:rFonts w:ascii="Arial" w:cs="Arial" w:eastAsia="Arial" w:hAnsi="Arial"/>
          <w:sz w:val="18"/>
          <w:szCs w:val="18"/>
          <w:color w:val="auto"/>
        </w:rPr>
        <w:t>, KB</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in the Benelux countries. As noted earlier, Roundup</w:t>
      </w:r>
      <w:r>
        <w:rPr>
          <w:rFonts w:ascii="Arial" w:cs="Arial" w:eastAsia="Arial" w:hAnsi="Arial"/>
          <w:sz w:val="15"/>
          <w:szCs w:val="15"/>
          <w:color w:val="auto"/>
        </w:rPr>
        <w:t>®</w:t>
      </w:r>
      <w:r>
        <w:rPr>
          <w:rFonts w:ascii="Arial" w:cs="Arial" w:eastAsia="Arial" w:hAnsi="Arial"/>
          <w:sz w:val="18"/>
          <w:szCs w:val="18"/>
          <w:color w:val="auto"/>
        </w:rPr>
        <w:t xml:space="preserve"> is also a significant brand in Europe.</w:t>
      </w:r>
    </w:p>
    <w:p>
      <w:pPr>
        <w:spacing w:after="0" w:line="108" w:lineRule="exact"/>
        <w:rPr>
          <w:sz w:val="20"/>
          <w:szCs w:val="20"/>
          <w:color w:val="auto"/>
        </w:rPr>
      </w:pPr>
    </w:p>
    <w:p>
      <w:pPr>
        <w:ind w:left="700" w:right="60" w:firstLine="402"/>
        <w:spacing w:after="0" w:line="275" w:lineRule="auto"/>
        <w:rPr>
          <w:sz w:val="20"/>
          <w:szCs w:val="20"/>
          <w:color w:val="auto"/>
        </w:rPr>
      </w:pPr>
      <w:r>
        <w:rPr>
          <w:rFonts w:ascii="Arial" w:cs="Arial" w:eastAsia="Arial" w:hAnsi="Arial"/>
          <w:sz w:val="17"/>
          <w:szCs w:val="17"/>
          <w:color w:val="auto"/>
        </w:rPr>
        <w:t>For information concerning risks attendant to our foreign operations, please see “ITEM 1A. RISK FACTORS — Cautionary Statement on Forward-Looking Statements — European Economic Conditions and Foreign Currency Exposures.”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Corporate &amp; Other</w:t>
      </w:r>
    </w:p>
    <w:p>
      <w:pPr>
        <w:spacing w:after="0" w:line="139" w:lineRule="exact"/>
        <w:rPr>
          <w:sz w:val="20"/>
          <w:szCs w:val="20"/>
          <w:color w:val="auto"/>
        </w:rPr>
      </w:pPr>
    </w:p>
    <w:p>
      <w:pPr>
        <w:ind w:left="700" w:right="20" w:firstLine="402"/>
        <w:spacing w:after="0"/>
        <w:rPr>
          <w:sz w:val="20"/>
          <w:szCs w:val="20"/>
          <w:color w:val="auto"/>
        </w:rPr>
      </w:pPr>
      <w:r>
        <w:rPr>
          <w:rFonts w:ascii="Arial" w:cs="Arial" w:eastAsia="Arial" w:hAnsi="Arial"/>
          <w:sz w:val="16"/>
          <w:szCs w:val="16"/>
          <w:b w:val="1"/>
          <w:bCs w:val="1"/>
          <w:u w:val="single" w:color="auto"/>
          <w:color w:val="auto"/>
        </w:rPr>
        <w:t>Smith &amp; Hawken</w:t>
      </w:r>
      <w:r>
        <w:rPr>
          <w:rFonts w:ascii="Arial" w:cs="Arial" w:eastAsia="Arial" w:hAnsi="Arial"/>
          <w:sz w:val="13"/>
          <w:szCs w:val="13"/>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Effective October 2, 2004, the Company acquired Smith &amp; Hawken</w:t>
      </w:r>
      <w:r>
        <w:rPr>
          <w:rFonts w:ascii="Arial" w:cs="Arial" w:eastAsia="Arial" w:hAnsi="Arial"/>
          <w:sz w:val="15"/>
          <w:szCs w:val="15"/>
          <w:color w:val="auto"/>
        </w:rPr>
        <w:t>®</w:t>
      </w:r>
      <w:r>
        <w:rPr>
          <w:rFonts w:ascii="Arial" w:cs="Arial" w:eastAsia="Arial" w:hAnsi="Arial"/>
          <w:sz w:val="18"/>
          <w:szCs w:val="18"/>
          <w:color w:val="auto"/>
        </w:rPr>
        <w:t>, a leading brand in the fast</w:t>
      </w:r>
      <w:r>
        <w:rPr>
          <w:rFonts w:ascii="Arial" w:cs="Arial" w:eastAsia="Arial" w:hAnsi="Arial"/>
          <w:sz w:val="16"/>
          <w:szCs w:val="16"/>
          <w:b w:val="1"/>
          <w:bCs w:val="1"/>
          <w:color w:val="auto"/>
        </w:rPr>
        <w:t xml:space="preserve"> </w:t>
      </w:r>
      <w:r>
        <w:rPr>
          <w:rFonts w:ascii="Arial" w:cs="Arial" w:eastAsia="Arial" w:hAnsi="Arial"/>
          <w:sz w:val="18"/>
          <w:szCs w:val="18"/>
          <w:color w:val="auto"/>
        </w:rPr>
        <w:t>growing outdoor living and gardening lifestyle category. Smith &amp; Hawken</w:t>
      </w:r>
      <w:r>
        <w:rPr>
          <w:rFonts w:ascii="Arial" w:cs="Arial" w:eastAsia="Arial" w:hAnsi="Arial"/>
          <w:sz w:val="15"/>
          <w:szCs w:val="15"/>
          <w:color w:val="auto"/>
        </w:rPr>
        <w:t>®</w:t>
      </w:r>
      <w:r>
        <w:rPr>
          <w:rFonts w:ascii="Arial" w:cs="Arial" w:eastAsia="Arial" w:hAnsi="Arial"/>
          <w:sz w:val="18"/>
          <w:szCs w:val="18"/>
          <w:color w:val="auto"/>
        </w:rPr>
        <w:t xml:space="preserve"> products, which include high-end outdoor furniture, pottery, garden tools, gardening containers and live goods, are sold in the United States through its 58 retail stores, as well as through catalog and Internet sales.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Competitive Marketplace</w:t>
      </w:r>
    </w:p>
    <w:p>
      <w:pPr>
        <w:spacing w:after="0" w:line="144" w:lineRule="exact"/>
        <w:rPr>
          <w:sz w:val="20"/>
          <w:szCs w:val="20"/>
          <w:color w:val="auto"/>
        </w:rPr>
      </w:pPr>
    </w:p>
    <w:p>
      <w:pPr>
        <w:ind w:left="700" w:right="40" w:firstLine="402"/>
        <w:spacing w:after="0" w:line="237" w:lineRule="auto"/>
        <w:rPr>
          <w:sz w:val="20"/>
          <w:szCs w:val="20"/>
          <w:color w:val="auto"/>
        </w:rPr>
      </w:pPr>
      <w:r>
        <w:rPr>
          <w:rFonts w:ascii="Arial" w:cs="Arial" w:eastAsia="Arial" w:hAnsi="Arial"/>
          <w:sz w:val="18"/>
          <w:szCs w:val="18"/>
          <w:color w:val="auto"/>
        </w:rPr>
        <w:t>Our major customers include home improvement centers, mass merchandisers, warehouse clubs, large hardware chains, independent hardware stores, nurseries, garden centers, food and drug stores, commercial nurseries and greenhouses, and specialty crop growers. Each of our segments participates in markets that are highly competitive and many of our competitors sell their products at prices lower than ours. The Company attributes its market leadership and continued success in the lawn and garden category to our industry-leading brands, innovative products, award-winning advertising, supply chain excellence, highly knowledgeable field sales and merchandising organization, and the strength of our relationships with major retailers in our product categories.</w:t>
      </w:r>
    </w:p>
    <w:p>
      <w:pPr>
        <w:spacing w:after="0" w:line="2" w:lineRule="exact"/>
        <w:rPr>
          <w:sz w:val="20"/>
          <w:szCs w:val="20"/>
          <w:color w:val="auto"/>
        </w:rPr>
      </w:pPr>
    </w:p>
    <w:p>
      <w:pPr>
        <w:ind w:left="5680"/>
        <w:spacing w:after="0"/>
        <w:rPr>
          <w:sz w:val="20"/>
          <w:szCs w:val="20"/>
          <w:color w:val="auto"/>
        </w:rPr>
      </w:pPr>
      <w:r>
        <w:rPr>
          <w:rFonts w:ascii="Arial" w:cs="Arial" w:eastAsia="Arial" w:hAnsi="Arial"/>
          <w:sz w:val="11"/>
          <w:szCs w:val="11"/>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In the North American consumer do-it-yourself lawn and garden markets and pest control markets, we compete primarily against “control label” products as well as branded products. “Control label” products are those sold under a retailer-owned label or a supplier-owned label, which are sold exclusively at a specific retail chain. The control label products that we compete with include Vigoro</w:t>
      </w:r>
      <w:r>
        <w:rPr>
          <w:rFonts w:ascii="Arial" w:cs="Arial" w:eastAsia="Arial" w:hAnsi="Arial"/>
          <w:sz w:val="15"/>
          <w:szCs w:val="15"/>
          <w:color w:val="auto"/>
        </w:rPr>
        <w:t>®</w:t>
      </w:r>
      <w:r>
        <w:rPr>
          <w:rFonts w:ascii="Arial" w:cs="Arial" w:eastAsia="Arial" w:hAnsi="Arial"/>
          <w:sz w:val="18"/>
          <w:szCs w:val="18"/>
          <w:color w:val="auto"/>
        </w:rPr>
        <w:t xml:space="preserve"> products sold at Home Depot, Sta-Green</w:t>
      </w:r>
      <w:r>
        <w:rPr>
          <w:rFonts w:ascii="Arial" w:cs="Arial" w:eastAsia="Arial" w:hAnsi="Arial"/>
          <w:sz w:val="15"/>
          <w:szCs w:val="15"/>
          <w:color w:val="auto"/>
        </w:rPr>
        <w:t>®</w:t>
      </w:r>
      <w:r>
        <w:rPr>
          <w:rFonts w:ascii="Arial" w:cs="Arial" w:eastAsia="Arial" w:hAnsi="Arial"/>
          <w:sz w:val="18"/>
          <w:szCs w:val="18"/>
          <w:color w:val="auto"/>
        </w:rPr>
        <w:t xml:space="preserve"> products sold at Lowe’s, and KGro</w:t>
      </w:r>
      <w:r>
        <w:rPr>
          <w:rFonts w:ascii="Arial" w:cs="Arial" w:eastAsia="Arial" w:hAnsi="Arial"/>
          <w:sz w:val="15"/>
          <w:szCs w:val="15"/>
          <w:color w:val="auto"/>
        </w:rPr>
        <w:t>®</w:t>
      </w:r>
      <w:r>
        <w:rPr>
          <w:rFonts w:ascii="Arial" w:cs="Arial" w:eastAsia="Arial" w:hAnsi="Arial"/>
          <w:sz w:val="18"/>
          <w:szCs w:val="18"/>
          <w:color w:val="auto"/>
        </w:rPr>
        <w:t xml:space="preserve"> products sold at Kmart. Our competitors in branded lawn and garden products and the consumer pest control markets include Spectrum Brands, Bayer AG, Central Garden &amp; Pet Company, Garden Tech, Enforcer Products, Inc., Green Light Company and Lebanon Chemical Corp.</w:t>
      </w:r>
    </w:p>
    <w:p>
      <w:pPr>
        <w:spacing w:after="0" w:line="109" w:lineRule="exact"/>
        <w:rPr>
          <w:sz w:val="20"/>
          <w:szCs w:val="20"/>
          <w:color w:val="auto"/>
        </w:rPr>
      </w:pPr>
    </w:p>
    <w:p>
      <w:pPr>
        <w:ind w:left="700" w:right="300" w:firstLine="402"/>
        <w:spacing w:after="0" w:line="275" w:lineRule="auto"/>
        <w:rPr>
          <w:sz w:val="20"/>
          <w:szCs w:val="20"/>
          <w:color w:val="auto"/>
        </w:rPr>
      </w:pPr>
      <w:r>
        <w:rPr>
          <w:rFonts w:ascii="Arial" w:cs="Arial" w:eastAsia="Arial" w:hAnsi="Arial"/>
          <w:sz w:val="17"/>
          <w:szCs w:val="17"/>
          <w:color w:val="auto"/>
        </w:rPr>
        <w:t>With respect to growing media products, in addition to nationally distributed, branded competitive products, we face competition from regional competitors who compete primarily on the basis of price for commodity growing media business.</w:t>
      </w:r>
    </w:p>
    <w:p>
      <w:pPr>
        <w:spacing w:after="0" w:line="79" w:lineRule="exact"/>
        <w:rPr>
          <w:sz w:val="20"/>
          <w:szCs w:val="20"/>
          <w:color w:val="auto"/>
        </w:rPr>
      </w:pPr>
    </w:p>
    <w:p>
      <w:pPr>
        <w:ind w:left="700" w:right="480" w:firstLine="402"/>
        <w:spacing w:after="0" w:line="238" w:lineRule="auto"/>
        <w:rPr>
          <w:sz w:val="20"/>
          <w:szCs w:val="20"/>
          <w:color w:val="auto"/>
        </w:rPr>
      </w:pPr>
      <w:r>
        <w:rPr>
          <w:rFonts w:ascii="Arial" w:cs="Arial" w:eastAsia="Arial" w:hAnsi="Arial"/>
          <w:sz w:val="18"/>
          <w:szCs w:val="18"/>
          <w:color w:val="auto"/>
        </w:rPr>
        <w:t>In the North American professional horticulture markets, we face a broad range of competition from numerous companies ranging in size from multi-national chemical and fertilizer companies such as Dow AgroSciences Company, Uniroyal Chemical Corporation and Chisso-Asahi Fertilizer Co. Ltd., to smaller, specialized companies such as Pursell Technologies, Inc., Sun Gro-U.S. (a division of Hines Horticulture, Inc.) and Fafard, Inc. Some of these competitors have significant financial resources and research departments.</w:t>
      </w:r>
    </w:p>
    <w:p>
      <w:pPr>
        <w:spacing w:after="0" w:line="108" w:lineRule="exact"/>
        <w:rPr>
          <w:sz w:val="20"/>
          <w:szCs w:val="20"/>
          <w:color w:val="auto"/>
        </w:rPr>
      </w:pPr>
    </w:p>
    <w:p>
      <w:pPr>
        <w:ind w:left="700" w:right="40" w:firstLine="402"/>
        <w:spacing w:after="0" w:line="239" w:lineRule="auto"/>
        <w:rPr>
          <w:sz w:val="20"/>
          <w:szCs w:val="20"/>
          <w:color w:val="auto"/>
        </w:rPr>
      </w:pPr>
      <w:r>
        <w:rPr>
          <w:rFonts w:ascii="Arial" w:cs="Arial" w:eastAsia="Arial" w:hAnsi="Arial"/>
          <w:sz w:val="18"/>
          <w:szCs w:val="18"/>
          <w:color w:val="auto"/>
        </w:rPr>
        <w:t>We have the second largest market share position in the U.S. do-it-for-me lawn care service market. We compete against TruGreen-ChemLawn</w:t>
      </w:r>
      <w:r>
        <w:rPr>
          <w:rFonts w:ascii="Arial" w:cs="Arial" w:eastAsia="Arial" w:hAnsi="Arial"/>
          <w:sz w:val="15"/>
          <w:szCs w:val="15"/>
          <w:color w:val="auto"/>
        </w:rPr>
        <w:t>®</w:t>
      </w:r>
      <w:r>
        <w:rPr>
          <w:rFonts w:ascii="Arial" w:cs="Arial" w:eastAsia="Arial" w:hAnsi="Arial"/>
          <w:sz w:val="18"/>
          <w:szCs w:val="18"/>
          <w:color w:val="auto"/>
        </w:rPr>
        <w:t>, a division of ServiceMaster, which has the leading market share in the U.S. lawn care service market and has a substantially larger share of this market than Scotts LawnService</w:t>
      </w:r>
      <w:r>
        <w:rPr>
          <w:rFonts w:ascii="Arial" w:cs="Arial" w:eastAsia="Arial" w:hAnsi="Arial"/>
          <w:sz w:val="15"/>
          <w:szCs w:val="15"/>
          <w:color w:val="auto"/>
        </w:rPr>
        <w:t>®</w:t>
      </w:r>
      <w:r>
        <w:rPr>
          <w:rFonts w:ascii="Arial" w:cs="Arial" w:eastAsia="Arial" w:hAnsi="Arial"/>
          <w:sz w:val="18"/>
          <w:szCs w:val="18"/>
          <w:color w:val="auto"/>
        </w:rPr>
        <w:t>, as well as numerous regional and local lawn care services operations.</w:t>
      </w:r>
    </w:p>
    <w:p>
      <w:pPr>
        <w:spacing w:after="0" w:line="107" w:lineRule="exact"/>
        <w:rPr>
          <w:sz w:val="20"/>
          <w:szCs w:val="20"/>
          <w:color w:val="auto"/>
        </w:rPr>
      </w:pPr>
    </w:p>
    <w:p>
      <w:pPr>
        <w:ind w:left="700" w:right="40" w:firstLine="402"/>
        <w:spacing w:after="0"/>
        <w:rPr>
          <w:sz w:val="20"/>
          <w:szCs w:val="20"/>
          <w:color w:val="auto"/>
        </w:rPr>
      </w:pPr>
      <w:r>
        <w:rPr>
          <w:rFonts w:ascii="Arial" w:cs="Arial" w:eastAsia="Arial" w:hAnsi="Arial"/>
          <w:sz w:val="18"/>
          <w:szCs w:val="18"/>
          <w:color w:val="auto"/>
        </w:rPr>
        <w:t>Internationally, we face strong competition in the consumer do-it-yourself lawn and garden market, particularly in Europe. Our competitors in the European Union include Bayer AG, Kali &amp; Salz (which owns the Compo, Algoflash brands) and a variety of local companies.</w:t>
      </w:r>
    </w:p>
    <w:p>
      <w:pPr>
        <w:spacing w:after="0" w:line="108" w:lineRule="exact"/>
        <w:rPr>
          <w:sz w:val="20"/>
          <w:szCs w:val="20"/>
          <w:color w:val="auto"/>
        </w:rPr>
      </w:pPr>
    </w:p>
    <w:p>
      <w:pPr>
        <w:ind w:left="700" w:right="240" w:firstLine="402"/>
        <w:spacing w:after="0" w:line="239" w:lineRule="auto"/>
        <w:rPr>
          <w:sz w:val="20"/>
          <w:szCs w:val="20"/>
          <w:color w:val="auto"/>
        </w:rPr>
      </w:pPr>
      <w:r>
        <w:rPr>
          <w:rFonts w:ascii="Arial" w:cs="Arial" w:eastAsia="Arial" w:hAnsi="Arial"/>
          <w:sz w:val="18"/>
          <w:szCs w:val="18"/>
          <w:color w:val="auto"/>
        </w:rPr>
        <w:t>The International professional horticulture markets in which we compete are also very competitive, particularly the markets for controlled-release and water-soluble fertilizer products. We have numerous U.S. and European competitors in these international markets, including Pursell Industries, Inc., Compo GmbH, a subsidiary of Kali &amp; Salz, Norsk Hydro ASA, Haifa Chemicals Ltd. and Kemira Oyj.</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Significant Customers</w:t>
      </w:r>
    </w:p>
    <w:p>
      <w:pPr>
        <w:spacing w:after="0" w:line="144"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Approximately 70% of our worldwide net sales in fiscal 2006 were made by our North America segment. Within the North America segment, approximately 30% of our net sales in fiscal 2006 were made to Home Depot, 16% to Wal*Mart and 15% to Lowe’s. We face strong competition for the business of these significant customers. The loss of any of these customers or a substantial decrease in the volume or profitability of our business with any of these customers could have a material adverse effect on our earnings and profits.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Competitive Strengths</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Strong Brands</w:t>
      </w:r>
    </w:p>
    <w:p>
      <w:pPr>
        <w:spacing w:after="0" w:line="144" w:lineRule="exact"/>
        <w:rPr>
          <w:sz w:val="20"/>
          <w:szCs w:val="20"/>
          <w:color w:val="auto"/>
        </w:rPr>
      </w:pPr>
    </w:p>
    <w:p>
      <w:pPr>
        <w:ind w:left="700" w:right="200" w:firstLine="402"/>
        <w:spacing w:after="0"/>
        <w:rPr>
          <w:sz w:val="20"/>
          <w:szCs w:val="20"/>
          <w:color w:val="auto"/>
        </w:rPr>
      </w:pPr>
      <w:r>
        <w:rPr>
          <w:rFonts w:ascii="Arial" w:cs="Arial" w:eastAsia="Arial" w:hAnsi="Arial"/>
          <w:sz w:val="18"/>
          <w:szCs w:val="18"/>
          <w:color w:val="auto"/>
        </w:rPr>
        <w:t>By far, the Company considers its industry-leading brands to be its single largest competitive advantage, though hardly its only advantage. The Company believes it has the leading market share in every major U.S. category in which its North American business competes. The Company also owns many of the leading brands in the European marketplace.</w:t>
      </w:r>
    </w:p>
    <w:p>
      <w:pPr>
        <w:spacing w:after="0" w:line="108" w:lineRule="exact"/>
        <w:rPr>
          <w:sz w:val="20"/>
          <w:szCs w:val="20"/>
          <w:color w:val="auto"/>
        </w:rPr>
      </w:pPr>
    </w:p>
    <w:p>
      <w:pPr>
        <w:ind w:left="700" w:right="80" w:firstLine="402"/>
        <w:spacing w:after="0" w:line="238" w:lineRule="auto"/>
        <w:rPr>
          <w:sz w:val="20"/>
          <w:szCs w:val="20"/>
          <w:color w:val="auto"/>
        </w:rPr>
      </w:pPr>
      <w:r>
        <w:rPr>
          <w:rFonts w:ascii="Arial" w:cs="Arial" w:eastAsia="Arial" w:hAnsi="Arial"/>
          <w:sz w:val="18"/>
          <w:szCs w:val="18"/>
          <w:color w:val="auto"/>
        </w:rPr>
        <w:t>Scotts Miracle-Gro has helped to build the awareness of its brands through a continuous increase in its investment in advertising. As a result, consumer awareness of the Company’s key brands — especially in the United States — rivals that of nearly any other consumer products company. The strength of the Scotts</w:t>
      </w:r>
      <w:r>
        <w:rPr>
          <w:rFonts w:ascii="Arial" w:cs="Arial" w:eastAsia="Arial" w:hAnsi="Arial"/>
          <w:sz w:val="15"/>
          <w:szCs w:val="15"/>
          <w:color w:val="auto"/>
        </w:rPr>
        <w:t>®</w:t>
      </w:r>
      <w:r>
        <w:rPr>
          <w:rFonts w:ascii="Arial" w:cs="Arial" w:eastAsia="Arial" w:hAnsi="Arial"/>
          <w:sz w:val="18"/>
          <w:szCs w:val="18"/>
          <w:color w:val="auto"/>
        </w:rPr>
        <w:t xml:space="preserve"> brand, in particular, has been a critical aspect of the success of Scotts LawnService</w:t>
      </w:r>
      <w:r>
        <w:rPr>
          <w:rFonts w:ascii="Arial" w:cs="Arial" w:eastAsia="Arial" w:hAnsi="Arial"/>
          <w:sz w:val="15"/>
          <w:szCs w:val="15"/>
          <w:color w:val="auto"/>
        </w:rPr>
        <w:t>®</w:t>
      </w:r>
      <w:r>
        <w:rPr>
          <w:rFonts w:ascii="Arial" w:cs="Arial" w:eastAsia="Arial" w:hAnsi="Arial"/>
          <w:sz w:val="18"/>
          <w:szCs w:val="18"/>
          <w:color w:val="auto"/>
        </w:rPr>
        <w:t>. The Company believes it has successfully grown its service business because of the high level of consumer confidence associated with the Scotts</w:t>
      </w:r>
      <w:r>
        <w:rPr>
          <w:rFonts w:ascii="Arial" w:cs="Arial" w:eastAsia="Arial" w:hAnsi="Arial"/>
          <w:sz w:val="15"/>
          <w:szCs w:val="15"/>
          <w:color w:val="auto"/>
        </w:rPr>
        <w:t>®</w:t>
      </w:r>
      <w:r>
        <w:rPr>
          <w:rFonts w:ascii="Arial" w:cs="Arial" w:eastAsia="Arial" w:hAnsi="Arial"/>
          <w:sz w:val="18"/>
          <w:szCs w:val="18"/>
          <w:color w:val="auto"/>
        </w:rPr>
        <w:t xml:space="preserve"> brand.</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Trademarks, Patents and Licenses</w:t>
      </w:r>
    </w:p>
    <w:p>
      <w:pPr>
        <w:spacing w:after="0" w:line="144" w:lineRule="exact"/>
        <w:rPr>
          <w:sz w:val="20"/>
          <w:szCs w:val="20"/>
          <w:color w:val="auto"/>
        </w:rPr>
      </w:pPr>
    </w:p>
    <w:p>
      <w:pPr>
        <w:ind w:left="700" w:right="300" w:firstLine="402"/>
        <w:spacing w:after="0" w:line="243" w:lineRule="auto"/>
        <w:rPr>
          <w:sz w:val="20"/>
          <w:szCs w:val="20"/>
          <w:color w:val="auto"/>
        </w:rPr>
      </w:pPr>
      <w:r>
        <w:rPr>
          <w:rFonts w:ascii="Arial" w:cs="Arial" w:eastAsia="Arial" w:hAnsi="Arial"/>
          <w:sz w:val="18"/>
          <w:szCs w:val="18"/>
          <w:color w:val="auto"/>
        </w:rPr>
        <w:t>The Company considers its brands, patents and licenses all to be key competitive advantages. We pursue a vigorous brand protection strategy consisting of registration and maint</w:t>
      </w:r>
      <w:r>
        <w:rPr>
          <w:rFonts w:ascii="Arial" w:cs="Arial" w:eastAsia="Arial" w:hAnsi="Arial"/>
          <w:sz w:val="18"/>
          <w:szCs w:val="18"/>
          <w:u w:val="single" w:color="auto"/>
          <w:color w:val="auto"/>
        </w:rPr>
        <w:t>enan</w:t>
      </w:r>
      <w:r>
        <w:rPr>
          <w:rFonts w:ascii="Arial" w:cs="Arial" w:eastAsia="Arial" w:hAnsi="Arial"/>
          <w:sz w:val="18"/>
          <w:szCs w:val="18"/>
          <w:color w:val="auto"/>
        </w:rPr>
        <w:t>ce of key</w:t>
      </w:r>
    </w:p>
    <w:p>
      <w:pPr>
        <w:ind w:left="5680"/>
        <w:spacing w:after="0"/>
        <w:rPr>
          <w:sz w:val="20"/>
          <w:szCs w:val="20"/>
          <w:color w:val="auto"/>
        </w:rPr>
      </w:pPr>
      <w:r>
        <w:rPr>
          <w:rFonts w:ascii="Arial" w:cs="Arial" w:eastAsia="Arial" w:hAnsi="Arial"/>
          <w:sz w:val="11"/>
          <w:szCs w:val="11"/>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700" w:right="120"/>
        <w:spacing w:after="0" w:line="239" w:lineRule="auto"/>
        <w:rPr>
          <w:sz w:val="20"/>
          <w:szCs w:val="20"/>
          <w:color w:val="auto"/>
        </w:rPr>
      </w:pPr>
      <w:r>
        <w:rPr>
          <w:rFonts w:ascii="Arial" w:cs="Arial" w:eastAsia="Arial" w:hAnsi="Arial"/>
          <w:sz w:val="18"/>
          <w:szCs w:val="18"/>
          <w:color w:val="auto"/>
        </w:rPr>
        <w:t>trademarks and proactive monitoring and enforcement activities to protect against infringement. The Scotts</w:t>
      </w:r>
      <w:r>
        <w:rPr>
          <w:rFonts w:ascii="Arial" w:cs="Arial" w:eastAsia="Arial" w:hAnsi="Arial"/>
          <w:sz w:val="15"/>
          <w:szCs w:val="15"/>
          <w:color w:val="auto"/>
        </w:rPr>
        <w:t>®</w:t>
      </w:r>
      <w:r>
        <w:rPr>
          <w:rFonts w:ascii="Arial" w:cs="Arial" w:eastAsia="Arial" w:hAnsi="Arial"/>
          <w:sz w:val="18"/>
          <w:szCs w:val="18"/>
          <w:color w:val="auto"/>
        </w:rPr>
        <w:t>, Miracle-Gro</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Smith &amp; Hawken</w:t>
      </w:r>
      <w:r>
        <w:rPr>
          <w:rFonts w:ascii="Arial" w:cs="Arial" w:eastAsia="Arial" w:hAnsi="Arial"/>
          <w:sz w:val="15"/>
          <w:szCs w:val="15"/>
          <w:color w:val="auto"/>
        </w:rPr>
        <w:t>®</w:t>
      </w:r>
      <w:r>
        <w:rPr>
          <w:rFonts w:ascii="Arial" w:cs="Arial" w:eastAsia="Arial" w:hAnsi="Arial"/>
          <w:sz w:val="18"/>
          <w:szCs w:val="18"/>
          <w:color w:val="auto"/>
        </w:rPr>
        <w:t xml:space="preserve"> and Ortho</w:t>
      </w:r>
      <w:r>
        <w:rPr>
          <w:rFonts w:ascii="Arial" w:cs="Arial" w:eastAsia="Arial" w:hAnsi="Arial"/>
          <w:sz w:val="15"/>
          <w:szCs w:val="15"/>
          <w:color w:val="auto"/>
        </w:rPr>
        <w:t>®</w:t>
      </w:r>
      <w:r>
        <w:rPr>
          <w:rFonts w:ascii="Arial" w:cs="Arial" w:eastAsia="Arial" w:hAnsi="Arial"/>
          <w:sz w:val="18"/>
          <w:szCs w:val="18"/>
          <w:color w:val="auto"/>
        </w:rPr>
        <w:t xml:space="preserve"> brand names and logos, as well as a number of product trademarks, including Turf Builder</w:t>
      </w:r>
      <w:r>
        <w:rPr>
          <w:rFonts w:ascii="Arial" w:cs="Arial" w:eastAsia="Arial" w:hAnsi="Arial"/>
          <w:sz w:val="15"/>
          <w:szCs w:val="15"/>
          <w:color w:val="auto"/>
        </w:rPr>
        <w:t>®</w:t>
      </w:r>
      <w:r>
        <w:rPr>
          <w:rFonts w:ascii="Arial" w:cs="Arial" w:eastAsia="Arial" w:hAnsi="Arial"/>
          <w:sz w:val="18"/>
          <w:szCs w:val="18"/>
          <w:color w:val="auto"/>
        </w:rPr>
        <w:t>, Osmocote</w:t>
      </w:r>
      <w:r>
        <w:rPr>
          <w:rFonts w:ascii="Arial" w:cs="Arial" w:eastAsia="Arial" w:hAnsi="Arial"/>
          <w:sz w:val="15"/>
          <w:szCs w:val="15"/>
          <w:color w:val="auto"/>
        </w:rPr>
        <w:t>®</w:t>
      </w:r>
      <w:r>
        <w:rPr>
          <w:rFonts w:ascii="Arial" w:cs="Arial" w:eastAsia="Arial" w:hAnsi="Arial"/>
          <w:sz w:val="18"/>
          <w:szCs w:val="18"/>
          <w:color w:val="auto"/>
        </w:rPr>
        <w:t xml:space="preserve"> and Bug-B-Gon</w:t>
      </w:r>
      <w:r>
        <w:rPr>
          <w:rFonts w:ascii="Arial" w:cs="Arial" w:eastAsia="Arial" w:hAnsi="Arial"/>
          <w:sz w:val="15"/>
          <w:szCs w:val="15"/>
          <w:color w:val="auto"/>
        </w:rPr>
        <w:t>®</w:t>
      </w:r>
      <w:r>
        <w:rPr>
          <w:rFonts w:ascii="Arial" w:cs="Arial" w:eastAsia="Arial" w:hAnsi="Arial"/>
          <w:sz w:val="18"/>
          <w:szCs w:val="18"/>
          <w:color w:val="auto"/>
        </w:rPr>
        <w:t>, are federally and/or internationally registered and are considered material to our business.</w:t>
      </w:r>
    </w:p>
    <w:p>
      <w:pPr>
        <w:spacing w:after="0" w:line="110" w:lineRule="exact"/>
        <w:rPr>
          <w:sz w:val="20"/>
          <w:szCs w:val="20"/>
          <w:color w:val="auto"/>
        </w:rPr>
      </w:pPr>
    </w:p>
    <w:p>
      <w:pPr>
        <w:ind w:left="700" w:right="80" w:firstLine="397"/>
        <w:spacing w:after="0" w:line="237" w:lineRule="auto"/>
        <w:rPr>
          <w:sz w:val="20"/>
          <w:szCs w:val="20"/>
          <w:color w:val="auto"/>
        </w:rPr>
      </w:pPr>
      <w:r>
        <w:rPr>
          <w:rFonts w:ascii="Arial" w:cs="Arial" w:eastAsia="Arial" w:hAnsi="Arial"/>
          <w:sz w:val="18"/>
          <w:szCs w:val="18"/>
          <w:color w:val="auto"/>
        </w:rPr>
        <w:t>As of September 30, 2006, we held 95 issued patents in the United States covering fertilizer, chemical and growing media compositions and processes; grass varieties; and mechanical dispensing devices such as applicators, spreaders and sprayers. Many of these have similar patents which have also been issued or are pending internationally, bringing our total worldwide patent portfolio to 419 United States and International patents and applications. The issued patents provide protection generally extending to 20 years from the date of filing, subject to the payment of applicable governmental maintenance and annuity fees. Accordingly, many of our patents will extend well into the next decade.</w:t>
      </w:r>
    </w:p>
    <w:p>
      <w:pPr>
        <w:spacing w:after="0" w:line="111" w:lineRule="exact"/>
        <w:rPr>
          <w:sz w:val="20"/>
          <w:szCs w:val="20"/>
          <w:color w:val="auto"/>
        </w:rPr>
      </w:pPr>
    </w:p>
    <w:p>
      <w:pPr>
        <w:ind w:left="700" w:firstLine="397"/>
        <w:spacing w:after="0" w:line="238" w:lineRule="auto"/>
        <w:rPr>
          <w:sz w:val="20"/>
          <w:szCs w:val="20"/>
          <w:color w:val="auto"/>
        </w:rPr>
      </w:pPr>
      <w:r>
        <w:rPr>
          <w:rFonts w:ascii="Arial" w:cs="Arial" w:eastAsia="Arial" w:hAnsi="Arial"/>
          <w:sz w:val="18"/>
          <w:szCs w:val="18"/>
          <w:color w:val="auto"/>
        </w:rPr>
        <w:t>In addition, we continue to file new patent applications each year covering new, commercially significant developments conceived by our R&amp;D associates. Currently, we have 137 pending patent applications, worldwide, including 19 pending U.S. applications some of which have been allowed for issuance of patents. We also hold exclusive and non-exclusive patent licenses and supply arrangements with various active ingredient and raw material suppliers, permitting the use and sale of additional patented fertilizers, pesticides and mechanical devices.</w:t>
      </w:r>
    </w:p>
    <w:p>
      <w:pPr>
        <w:spacing w:after="0" w:line="108" w:lineRule="exact"/>
        <w:rPr>
          <w:sz w:val="20"/>
          <w:szCs w:val="20"/>
          <w:color w:val="auto"/>
        </w:rPr>
      </w:pPr>
    </w:p>
    <w:p>
      <w:pPr>
        <w:ind w:left="700" w:right="200" w:firstLine="397"/>
        <w:spacing w:after="0" w:line="237" w:lineRule="auto"/>
        <w:rPr>
          <w:sz w:val="20"/>
          <w:szCs w:val="20"/>
          <w:color w:val="auto"/>
        </w:rPr>
      </w:pPr>
      <w:r>
        <w:rPr>
          <w:rFonts w:ascii="Arial" w:cs="Arial" w:eastAsia="Arial" w:hAnsi="Arial"/>
          <w:sz w:val="18"/>
          <w:szCs w:val="18"/>
          <w:color w:val="auto"/>
        </w:rPr>
        <w:t>During fiscal 2006, we were granted 3 United States and 31 foreign national patents. Representative of the patent coverage provided by these new patents are coated fertilizers that are specifically formulated to act as starter fertilizers for new plantings; containers having metering apparatus for control of liquid dispensing; and the design of spray devices. Internationally, we continue to extend patent coverage of our core fertilizer technologies including controlled-release and water-soluble products and the like. We also are extending protection of our developments in regard to growing media and mechanical devices such as applicator, sprayer and spreader technologies to additional countries within our Canadian, European, Asian/Pacific and South American markets.</w:t>
      </w:r>
    </w:p>
    <w:p>
      <w:pPr>
        <w:spacing w:after="0" w:line="109" w:lineRule="exact"/>
        <w:rPr>
          <w:sz w:val="20"/>
          <w:szCs w:val="20"/>
          <w:color w:val="auto"/>
        </w:rPr>
      </w:pPr>
    </w:p>
    <w:p>
      <w:pPr>
        <w:ind w:left="700" w:right="120" w:firstLine="397"/>
        <w:spacing w:after="0"/>
        <w:rPr>
          <w:sz w:val="20"/>
          <w:szCs w:val="20"/>
          <w:color w:val="auto"/>
        </w:rPr>
      </w:pPr>
      <w:r>
        <w:rPr>
          <w:rFonts w:ascii="Arial" w:cs="Arial" w:eastAsia="Arial" w:hAnsi="Arial"/>
          <w:sz w:val="18"/>
          <w:szCs w:val="18"/>
          <w:color w:val="auto"/>
        </w:rPr>
        <w:t>Eight United States patents expired in fiscal 2006. These expired patents covered sulfur coated fertilizer compositions; granular controlled-release coated fertilizers; Kentucky Bluegrass and St. Augustine Grass plant varieties; and various mechanical devices. The loss of these patents is not expected to materially affect our business.</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Supply Chain and Sales Force</w:t>
      </w:r>
    </w:p>
    <w:p>
      <w:pPr>
        <w:spacing w:after="0" w:line="144" w:lineRule="exact"/>
        <w:rPr>
          <w:sz w:val="20"/>
          <w:szCs w:val="20"/>
          <w:color w:val="auto"/>
        </w:rPr>
      </w:pPr>
    </w:p>
    <w:p>
      <w:pPr>
        <w:ind w:left="700" w:right="360" w:firstLine="397"/>
        <w:spacing w:after="0" w:line="239" w:lineRule="auto"/>
        <w:rPr>
          <w:sz w:val="20"/>
          <w:szCs w:val="20"/>
          <w:color w:val="auto"/>
        </w:rPr>
      </w:pPr>
      <w:r>
        <w:rPr>
          <w:rFonts w:ascii="Arial" w:cs="Arial" w:eastAsia="Arial" w:hAnsi="Arial"/>
          <w:sz w:val="18"/>
          <w:szCs w:val="18"/>
          <w:color w:val="auto"/>
        </w:rPr>
        <w:t>Because the Company sells a substantial majority of its products to a small number of retail accounts, it is critical to maintain strong relationships with these partners. We believe our supply chain and sales force have become major competitive advantages that have allowed us to build relationships with our key retail partners that is unrivaled in the industry.</w:t>
      </w:r>
    </w:p>
    <w:p>
      <w:pPr>
        <w:spacing w:after="0" w:line="107" w:lineRule="exact"/>
        <w:rPr>
          <w:sz w:val="20"/>
          <w:szCs w:val="20"/>
          <w:color w:val="auto"/>
        </w:rPr>
      </w:pPr>
    </w:p>
    <w:p>
      <w:pPr>
        <w:ind w:left="700" w:right="120" w:firstLine="397"/>
        <w:spacing w:after="0" w:line="238" w:lineRule="auto"/>
        <w:rPr>
          <w:sz w:val="20"/>
          <w:szCs w:val="20"/>
          <w:color w:val="auto"/>
        </w:rPr>
      </w:pPr>
      <w:r>
        <w:rPr>
          <w:rFonts w:ascii="Arial" w:cs="Arial" w:eastAsia="Arial" w:hAnsi="Arial"/>
          <w:sz w:val="18"/>
          <w:szCs w:val="18"/>
          <w:color w:val="auto"/>
        </w:rPr>
        <w:t>Major investments in technology have allowed the Company’s supply chain to be a more efficient supplier to its key retail accounts. The Company considers its order fill rate — which measures the accuracy of shipments — to be an important measure of customer service. In fiscal 2006, the Company achieved a customer service rate of 99.2 percent in its core North American business, its highest ever. Additionally, the supply chain has helped the Company to significantly improve its inventory turns over the past several years, as well as those of its retail partners.</w:t>
      </w:r>
    </w:p>
    <w:p>
      <w:pPr>
        <w:spacing w:after="0" w:line="108" w:lineRule="exact"/>
        <w:rPr>
          <w:sz w:val="20"/>
          <w:szCs w:val="20"/>
          <w:color w:val="auto"/>
        </w:rPr>
      </w:pPr>
    </w:p>
    <w:p>
      <w:pPr>
        <w:ind w:left="700" w:right="40" w:firstLine="397"/>
        <w:spacing w:after="0" w:line="237" w:lineRule="auto"/>
        <w:rPr>
          <w:sz w:val="20"/>
          <w:szCs w:val="20"/>
          <w:color w:val="auto"/>
        </w:rPr>
      </w:pPr>
      <w:r>
        <w:rPr>
          <w:rFonts w:ascii="Arial" w:cs="Arial" w:eastAsia="Arial" w:hAnsi="Arial"/>
          <w:sz w:val="18"/>
          <w:szCs w:val="18"/>
          <w:color w:val="auto"/>
        </w:rPr>
        <w:t>The Company’s nationwide sales force is another major competitive advantage. By increasing the size of the sales force over several years, the Company has taken a more proactive role in helping our retail partners merchandise the lawn and garden department and maximize the productivity of this space. In addition to working closely with our retail partners on building merchandising displays, taking orders, etc., our sales force works directly with consumers as well. By serving as “in-store counselors” on weekends, our associates help consumers answer their lawn and garden questions, which, we believe, drives higher sales of our products.</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Research and Development</w:t>
      </w:r>
    </w:p>
    <w:p>
      <w:pPr>
        <w:spacing w:after="0" w:line="144" w:lineRule="exact"/>
        <w:rPr>
          <w:sz w:val="20"/>
          <w:szCs w:val="20"/>
          <w:color w:val="auto"/>
        </w:rPr>
      </w:pPr>
    </w:p>
    <w:p>
      <w:pPr>
        <w:ind w:left="700" w:right="200" w:firstLine="397"/>
        <w:spacing w:after="0" w:line="239" w:lineRule="auto"/>
        <w:rPr>
          <w:sz w:val="20"/>
          <w:szCs w:val="20"/>
          <w:color w:val="auto"/>
        </w:rPr>
      </w:pPr>
      <w:r>
        <w:rPr>
          <w:rFonts w:ascii="Arial" w:cs="Arial" w:eastAsia="Arial" w:hAnsi="Arial"/>
          <w:sz w:val="18"/>
          <w:szCs w:val="18"/>
          <w:color w:val="auto"/>
        </w:rPr>
        <w:t>As the Company views its commitment to innovation as a competitive advantage, the Company continually invests in research and development to improve existing or develop new products, manufacturing processes and packaging and delivery systems. Spending on research and development was $35.1 million, $38.0 million and $34.4 million in fiscal 2006, fiscal 2005, and fiscal 2004, including</w:t>
      </w:r>
    </w:p>
    <w:p>
      <w:pPr>
        <w:ind w:left="5620"/>
        <w:spacing w:after="0"/>
        <w:rPr>
          <w:sz w:val="20"/>
          <w:szCs w:val="20"/>
          <w:color w:val="auto"/>
        </w:rPr>
      </w:pPr>
      <w:r>
        <w:rPr>
          <w:rFonts w:ascii="Arial" w:cs="Arial" w:eastAsia="Arial" w:hAnsi="Arial"/>
          <w:sz w:val="11"/>
          <w:szCs w:val="11"/>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0"/>
        <w:spacing w:after="0" w:line="239" w:lineRule="auto"/>
        <w:rPr>
          <w:sz w:val="20"/>
          <w:szCs w:val="20"/>
          <w:color w:val="auto"/>
        </w:rPr>
      </w:pPr>
      <w:r>
        <w:rPr>
          <w:rFonts w:ascii="Arial" w:cs="Arial" w:eastAsia="Arial" w:hAnsi="Arial"/>
          <w:sz w:val="18"/>
          <w:szCs w:val="18"/>
          <w:color w:val="auto"/>
        </w:rPr>
        <w:t>registrations of $8.2 million, $7.5 million and $6.8 million, respectively. The Company’s long-standing commitment to innovation is evidenced by a portfolio of patents worldwide that supports many of our fertilizers, grass seeds and application devices. In addition to the benefits of our own research and development, we benefit from the research and development activities of our suppliers.</w:t>
      </w:r>
    </w:p>
    <w:p>
      <w:pPr>
        <w:spacing w:after="0" w:line="107" w:lineRule="exact"/>
        <w:rPr>
          <w:sz w:val="20"/>
          <w:szCs w:val="20"/>
          <w:color w:val="auto"/>
        </w:rPr>
      </w:pPr>
    </w:p>
    <w:p>
      <w:pPr>
        <w:ind w:left="700" w:right="80" w:firstLine="402"/>
        <w:spacing w:after="0"/>
        <w:rPr>
          <w:sz w:val="20"/>
          <w:szCs w:val="20"/>
          <w:color w:val="auto"/>
        </w:rPr>
      </w:pPr>
      <w:r>
        <w:rPr>
          <w:rFonts w:ascii="Arial" w:cs="Arial" w:eastAsia="Arial" w:hAnsi="Arial"/>
          <w:sz w:val="18"/>
          <w:szCs w:val="18"/>
          <w:color w:val="auto"/>
        </w:rPr>
        <w:t>Our research and development worldwide headquarters is located at the Dwight G. Scott Research Center in Marysville, Ohio. We also have research and development facilities in the United Kingdom, France, the Netherlands and Sydney, Australia, as well as several research field stations located throughout the United States.</w:t>
      </w:r>
    </w:p>
    <w:p>
      <w:pPr>
        <w:spacing w:after="0" w:line="108"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The Company’s biotechnology program is evidence of its commitment to responsible research in search of more effective and easier-to-use products that are preferred by consumers and are better for the environment. By employing technology already proven in agriculture, the Company is working to develop turf varieties that could one day require less maintenance, less water and fewer chemical inputs to resist insects, weeds and disease.</w:t>
      </w:r>
    </w:p>
    <w:p>
      <w:pPr>
        <w:spacing w:after="0" w:line="107" w:lineRule="exact"/>
        <w:rPr>
          <w:sz w:val="20"/>
          <w:szCs w:val="20"/>
          <w:color w:val="auto"/>
        </w:rPr>
      </w:pPr>
    </w:p>
    <w:p>
      <w:pPr>
        <w:ind w:left="700" w:right="80" w:firstLine="402"/>
        <w:spacing w:after="0" w:line="248" w:lineRule="auto"/>
        <w:rPr>
          <w:sz w:val="20"/>
          <w:szCs w:val="20"/>
          <w:color w:val="auto"/>
        </w:rPr>
      </w:pPr>
      <w:r>
        <w:rPr>
          <w:rFonts w:ascii="Arial" w:cs="Arial" w:eastAsia="Arial" w:hAnsi="Arial"/>
          <w:sz w:val="17"/>
          <w:szCs w:val="17"/>
          <w:color w:val="auto"/>
        </w:rPr>
        <w:t>Before a product enhanced with biotechnology may be sold in the United States, it must be “deregulated” by appropriate governmental agencies. Deregulation involves compliance with the rules and regulations of, and cooperation with, the United States Department of Agriculture (the “USDA”), Animal and Plant Health Inspection Service, the United States Environmental Protection Agency (the “U.S. EPA”) and/or the Food and Drug Administration (the “FDA”). As part of the deregulation process for any product enhanced with biotechnology, we are required to present evidence to the USDA in the form of scientifically rigorous studies showing that the product poses no additional toxicological or ecological risk than products of the same species that have not been enhanced with biotechnology. We are also required to satisfy other agencies, such as the</w:t>
      </w:r>
    </w:p>
    <w:p>
      <w:pPr>
        <w:spacing w:after="0" w:line="4" w:lineRule="exact"/>
        <w:rPr>
          <w:sz w:val="20"/>
          <w:szCs w:val="20"/>
          <w:color w:val="auto"/>
        </w:rPr>
      </w:pPr>
    </w:p>
    <w:p>
      <w:pPr>
        <w:ind w:left="700" w:right="180"/>
        <w:spacing w:after="0" w:line="239" w:lineRule="auto"/>
        <w:rPr>
          <w:sz w:val="20"/>
          <w:szCs w:val="20"/>
          <w:color w:val="auto"/>
        </w:rPr>
      </w:pPr>
      <w:r>
        <w:rPr>
          <w:rFonts w:ascii="Arial" w:cs="Arial" w:eastAsia="Arial" w:hAnsi="Arial"/>
          <w:sz w:val="18"/>
          <w:szCs w:val="18"/>
          <w:color w:val="auto"/>
        </w:rPr>
        <w:t>U.S. EPA and the FDA, as to their appropriate areas of regulatory authority. This process typically takes years to complete and also includes at least two opportunities for public comment. Therefore, any enhanced product for which we seek commercialization through submission of a petition for deregulation will be subjected to rigorous and thorough governmental regulatory review.</w:t>
      </w:r>
    </w:p>
    <w:p>
      <w:pPr>
        <w:spacing w:after="0" w:line="107"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We submitted a petition for deregulation of a non-residential turfgrass product enhanced with biotechnology to the USDA on April 14, 2003. This turfgrass has been shown, through our research trials, to provide simple, more flexible and better weed control for golf courses in a manner we believe is more environmentally friendly. The USDA has a variety of options in adjudicating a petition to “deregulate” a biotechnology-derived plant product. The USDA has decided to employ the formal Environmental Impact Statement (“EIS”) process to judge the acceptability of our petition for deregulation. We welcome this process as the most thorough evaluative step available to the USDA.</w:t>
      </w:r>
    </w:p>
    <w:p>
      <w:pPr>
        <w:spacing w:after="0" w:line="111" w:lineRule="exact"/>
        <w:rPr>
          <w:sz w:val="20"/>
          <w:szCs w:val="20"/>
          <w:color w:val="auto"/>
        </w:rPr>
      </w:pPr>
    </w:p>
    <w:p>
      <w:pPr>
        <w:ind w:left="700" w:right="40" w:firstLine="402"/>
        <w:spacing w:after="0" w:line="239" w:lineRule="auto"/>
        <w:rPr>
          <w:sz w:val="20"/>
          <w:szCs w:val="20"/>
          <w:color w:val="auto"/>
        </w:rPr>
      </w:pPr>
      <w:r>
        <w:rPr>
          <w:rFonts w:ascii="Arial" w:cs="Arial" w:eastAsia="Arial" w:hAnsi="Arial"/>
          <w:sz w:val="18"/>
          <w:szCs w:val="18"/>
          <w:color w:val="auto"/>
        </w:rPr>
        <w:t>We believe there is a substantial market for turfgrass products enhanced with biotechnology, and our product, if approved, can capture a significant portion of this market. However, there can be no assurance our petition for deregulation of this product will be approved, or if approved and commercially introduced, this product will generate any revenues or contribute to our earnings.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Roundup</w:t>
      </w:r>
      <w:r>
        <w:rPr>
          <w:rFonts w:ascii="Arial" w:cs="Arial" w:eastAsia="Arial" w:hAnsi="Arial"/>
          <w:sz w:val="27"/>
          <w:szCs w:val="27"/>
          <w:b w:val="1"/>
          <w:bCs w:val="1"/>
          <w:color w:val="auto"/>
          <w:vertAlign w:val="superscript"/>
        </w:rPr>
        <w:t>®</w:t>
      </w:r>
      <w:r>
        <w:rPr>
          <w:rFonts w:ascii="Arial" w:cs="Arial" w:eastAsia="Arial" w:hAnsi="Arial"/>
          <w:sz w:val="16"/>
          <w:szCs w:val="16"/>
          <w:b w:val="1"/>
          <w:bCs w:val="1"/>
          <w:color w:val="auto"/>
        </w:rPr>
        <w:t xml:space="preserve"> Marketing Agreement</w:t>
      </w:r>
    </w:p>
    <w:p>
      <w:pPr>
        <w:spacing w:after="0" w:line="18" w:lineRule="exact"/>
        <w:rPr>
          <w:sz w:val="20"/>
          <w:szCs w:val="20"/>
          <w:color w:val="auto"/>
        </w:rPr>
      </w:pPr>
    </w:p>
    <w:p>
      <w:pPr>
        <w:ind w:left="700" w:right="180" w:firstLine="402"/>
        <w:spacing w:after="0" w:line="239" w:lineRule="auto"/>
        <w:rPr>
          <w:sz w:val="20"/>
          <w:szCs w:val="20"/>
          <w:color w:val="auto"/>
        </w:rPr>
      </w:pPr>
      <w:r>
        <w:rPr>
          <w:rFonts w:ascii="Arial" w:cs="Arial" w:eastAsia="Arial" w:hAnsi="Arial"/>
          <w:sz w:val="18"/>
          <w:szCs w:val="18"/>
          <w:color w:val="auto"/>
        </w:rPr>
        <w:t>Under the terms of the marketing agreement with Monsanto, the Company is Monsanto’s exclusive agent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products (with additional rights to new products containing glyphosate or other similar non-selective herbicides) in the consumer lawn and garden market within the United States and other specified countries, including Australia, Austria, Belgium, Canada, France, Germany, Holland and the United Kingdom.</w:t>
      </w:r>
    </w:p>
    <w:p>
      <w:pPr>
        <w:spacing w:after="0" w:line="107" w:lineRule="exact"/>
        <w:rPr>
          <w:sz w:val="20"/>
          <w:szCs w:val="20"/>
          <w:color w:val="auto"/>
        </w:rPr>
      </w:pPr>
    </w:p>
    <w:p>
      <w:pPr>
        <w:ind w:left="700" w:right="20" w:firstLine="402"/>
        <w:spacing w:after="0" w:line="239" w:lineRule="auto"/>
        <w:rPr>
          <w:sz w:val="20"/>
          <w:szCs w:val="20"/>
          <w:color w:val="auto"/>
        </w:rPr>
      </w:pPr>
      <w:r>
        <w:rPr>
          <w:rFonts w:ascii="Arial" w:cs="Arial" w:eastAsia="Arial" w:hAnsi="Arial"/>
          <w:sz w:val="18"/>
          <w:szCs w:val="18"/>
          <w:color w:val="auto"/>
        </w:rPr>
        <w:t>Under the marketing agreement, we and Monsanto are jointly responsible for developing global consumer and trade marketing programs for consumer Roundup</w:t>
      </w:r>
      <w:r>
        <w:rPr>
          <w:rFonts w:ascii="Arial" w:cs="Arial" w:eastAsia="Arial" w:hAnsi="Arial"/>
          <w:sz w:val="15"/>
          <w:szCs w:val="15"/>
          <w:color w:val="auto"/>
        </w:rPr>
        <w:t>®</w:t>
      </w:r>
      <w:r>
        <w:rPr>
          <w:rFonts w:ascii="Arial" w:cs="Arial" w:eastAsia="Arial" w:hAnsi="Arial"/>
          <w:sz w:val="18"/>
          <w:szCs w:val="18"/>
          <w:color w:val="auto"/>
        </w:rPr>
        <w:t>. We have assumed responsibility for sales support, merchandising, distribution and logistics for consumer Roundup</w:t>
      </w:r>
      <w:r>
        <w:rPr>
          <w:rFonts w:ascii="Arial" w:cs="Arial" w:eastAsia="Arial" w:hAnsi="Arial"/>
          <w:sz w:val="15"/>
          <w:szCs w:val="15"/>
          <w:color w:val="auto"/>
        </w:rPr>
        <w:t>®</w:t>
      </w:r>
      <w:r>
        <w:rPr>
          <w:rFonts w:ascii="Arial" w:cs="Arial" w:eastAsia="Arial" w:hAnsi="Arial"/>
          <w:sz w:val="18"/>
          <w:szCs w:val="18"/>
          <w:color w:val="auto"/>
        </w:rPr>
        <w:t>. Monsanto continues to own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and provides significant oversight of its brand. In addition, Monsanto continues to own and operate the agricultural Roundup</w:t>
      </w:r>
      <w:r>
        <w:rPr>
          <w:rFonts w:ascii="Arial" w:cs="Arial" w:eastAsia="Arial" w:hAnsi="Arial"/>
          <w:sz w:val="15"/>
          <w:szCs w:val="15"/>
          <w:color w:val="auto"/>
        </w:rPr>
        <w:t>®</w:t>
      </w:r>
      <w:r>
        <w:rPr>
          <w:rFonts w:ascii="Arial" w:cs="Arial" w:eastAsia="Arial" w:hAnsi="Arial"/>
          <w:sz w:val="18"/>
          <w:szCs w:val="18"/>
          <w:color w:val="auto"/>
        </w:rPr>
        <w:t xml:space="preserve"> business.</w:t>
      </w:r>
    </w:p>
    <w:p>
      <w:pPr>
        <w:spacing w:after="0" w:line="105" w:lineRule="exact"/>
        <w:rPr>
          <w:sz w:val="20"/>
          <w:szCs w:val="20"/>
          <w:color w:val="auto"/>
        </w:rPr>
      </w:pPr>
    </w:p>
    <w:p>
      <w:pPr>
        <w:ind w:left="700" w:right="80" w:firstLine="402"/>
        <w:spacing w:after="0" w:line="238" w:lineRule="auto"/>
        <w:rPr>
          <w:sz w:val="20"/>
          <w:szCs w:val="20"/>
          <w:color w:val="auto"/>
        </w:rPr>
      </w:pPr>
      <w:r>
        <w:rPr>
          <w:rFonts w:ascii="Arial" w:cs="Arial" w:eastAsia="Arial" w:hAnsi="Arial"/>
          <w:sz w:val="18"/>
          <w:szCs w:val="18"/>
          <w:color w:val="auto"/>
        </w:rPr>
        <w:t>We are compensated under the marketing agreement based on the success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the markets covered by the agreement. We receive a graduated commission to the extent that the earnings before interest and taxes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the included markets exceed specified thresholds. Regardless of these earnings, we are required to make an annual contribution payment against the overall expenses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For</w:t>
      </w:r>
    </w:p>
    <w:p>
      <w:pPr>
        <w:spacing w:after="0" w:line="4" w:lineRule="exact"/>
        <w:rPr>
          <w:sz w:val="20"/>
          <w:szCs w:val="20"/>
          <w:color w:val="auto"/>
        </w:rPr>
      </w:pPr>
    </w:p>
    <w:p>
      <w:pPr>
        <w:ind w:left="5680"/>
        <w:spacing w:after="0"/>
        <w:rPr>
          <w:sz w:val="20"/>
          <w:szCs w:val="20"/>
          <w:color w:val="auto"/>
        </w:rPr>
      </w:pPr>
      <w:r>
        <w:rPr>
          <w:rFonts w:ascii="Arial" w:cs="Arial" w:eastAsia="Arial" w:hAnsi="Arial"/>
          <w:sz w:val="11"/>
          <w:szCs w:val="11"/>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540"/>
        <w:spacing w:after="0" w:line="246" w:lineRule="auto"/>
        <w:rPr>
          <w:sz w:val="20"/>
          <w:szCs w:val="20"/>
          <w:color w:val="auto"/>
        </w:rPr>
      </w:pPr>
      <w:r>
        <w:rPr>
          <w:rFonts w:ascii="Arial" w:cs="Arial" w:eastAsia="Arial" w:hAnsi="Arial"/>
          <w:sz w:val="18"/>
          <w:szCs w:val="18"/>
          <w:color w:val="auto"/>
        </w:rPr>
        <w:t>fiscal 2006, and until 2018 or the earlier termination of the agreement, the minimum annual contribution payment will be $20 million.</w:t>
      </w:r>
    </w:p>
    <w:p>
      <w:pPr>
        <w:spacing w:after="0" w:line="102"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net sales in the Company’s Consolidated Statements of Operations. For fiscal 2006, fiscal 2005 and fiscal 2004, the net amount earned under the marketing agreement was income of $39.9 million, an expense of $5.3 million (including a $45.7 million charge for contribution payments previously deferred under the marketing agreement), and income of $28.5 million, respectively. For further details, see Note 3 of the Notes to Consolidated Financial Statements.</w:t>
      </w:r>
    </w:p>
    <w:p>
      <w:pPr>
        <w:spacing w:after="0" w:line="111"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The marketing agreement has no definite term, except as it relates to the European Union countries. With respect to the European Union countries, the term of the marketing agreement has been extended through September 30, 2008. The parties may agree to renew the agreement with respect to the European Union countries for two successive terms ending on September 30, 2015 and 2018, with a separate determination being made by the parties at least six months prior to the expiration of each such term as to whether to commence a subsequent renewal term. However, if Monsanto does not agree to either of the remaining renewal terms with respect to the European Union countries, the commission structure will be renegotiated within the terms of the marketing agreement.</w:t>
      </w:r>
    </w:p>
    <w:p>
      <w:pPr>
        <w:spacing w:after="0" w:line="109" w:lineRule="exact"/>
        <w:rPr>
          <w:sz w:val="20"/>
          <w:szCs w:val="20"/>
          <w:color w:val="auto"/>
        </w:rPr>
      </w:pPr>
    </w:p>
    <w:p>
      <w:pPr>
        <w:ind w:left="700" w:right="20" w:firstLine="402"/>
        <w:spacing w:after="0" w:line="238" w:lineRule="auto"/>
        <w:rPr>
          <w:sz w:val="20"/>
          <w:szCs w:val="20"/>
          <w:color w:val="auto"/>
        </w:rPr>
      </w:pPr>
      <w:r>
        <w:rPr>
          <w:rFonts w:ascii="Arial" w:cs="Arial" w:eastAsia="Arial" w:hAnsi="Arial"/>
          <w:sz w:val="18"/>
          <w:szCs w:val="18"/>
          <w:color w:val="auto"/>
        </w:rPr>
        <w:t>Monsanto has the right to terminate the marketing agreement upon certain specified events of default by us, including an uncured material breach, material fraud, material misconduct or egregious injury to the Roundup</w:t>
      </w:r>
      <w:r>
        <w:rPr>
          <w:rFonts w:ascii="Arial" w:cs="Arial" w:eastAsia="Arial" w:hAnsi="Arial"/>
          <w:sz w:val="15"/>
          <w:szCs w:val="15"/>
          <w:color w:val="auto"/>
        </w:rPr>
        <w:t>®</w:t>
      </w:r>
      <w:r>
        <w:rPr>
          <w:rFonts w:ascii="Arial" w:cs="Arial" w:eastAsia="Arial" w:hAnsi="Arial"/>
          <w:sz w:val="18"/>
          <w:szCs w:val="18"/>
          <w:color w:val="auto"/>
        </w:rPr>
        <w:t xml:space="preserve"> brand. Monsanto also has the right to terminate the agreement upon a change of control of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addition, Monsanto may terminate the agreement within specified regions, including North America, for specified declines in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w:t>
      </w:r>
    </w:p>
    <w:p>
      <w:pPr>
        <w:spacing w:after="0" w:line="108" w:lineRule="exact"/>
        <w:rPr>
          <w:sz w:val="20"/>
          <w:szCs w:val="20"/>
          <w:color w:val="auto"/>
        </w:rPr>
      </w:pPr>
    </w:p>
    <w:p>
      <w:pPr>
        <w:ind w:left="700" w:right="40" w:firstLine="402"/>
        <w:spacing w:after="0" w:line="239" w:lineRule="auto"/>
        <w:rPr>
          <w:sz w:val="20"/>
          <w:szCs w:val="20"/>
          <w:color w:val="auto"/>
        </w:rPr>
      </w:pPr>
      <w:r>
        <w:rPr>
          <w:rFonts w:ascii="Arial" w:cs="Arial" w:eastAsia="Arial" w:hAnsi="Arial"/>
          <w:sz w:val="18"/>
          <w:szCs w:val="18"/>
          <w:color w:val="auto"/>
        </w:rPr>
        <w:t>The Company has rights similar to Monsanto’s to terminate the marketing agreement upon an uncured material breach, material fraud or material willful misconduct by Monsanto. In addition, we may terminate the agreement upon Monsanto’s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or in certain other circumstances, in which case we would not be able to collect the termination fee described below.</w:t>
      </w:r>
    </w:p>
    <w:p>
      <w:pPr>
        <w:spacing w:after="0" w:line="107" w:lineRule="exact"/>
        <w:rPr>
          <w:sz w:val="20"/>
          <w:szCs w:val="20"/>
          <w:color w:val="auto"/>
        </w:rPr>
      </w:pPr>
    </w:p>
    <w:p>
      <w:pPr>
        <w:ind w:left="700" w:right="120" w:firstLine="402"/>
        <w:spacing w:after="0" w:line="237" w:lineRule="auto"/>
        <w:rPr>
          <w:sz w:val="20"/>
          <w:szCs w:val="20"/>
          <w:color w:val="auto"/>
        </w:rPr>
      </w:pPr>
      <w:r>
        <w:rPr>
          <w:rFonts w:ascii="Arial" w:cs="Arial" w:eastAsia="Arial" w:hAnsi="Arial"/>
          <w:sz w:val="18"/>
          <w:szCs w:val="18"/>
          <w:color w:val="auto"/>
        </w:rPr>
        <w:t>If Monsanto terminates the marketing agreement upon a change of control of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prior to September 30, 2008, we will be entitled to a termination fee in excess of $100 million. If we terminate the agreement upon an uncured material breach, material fraud or material willful misconduct by Monsanto, we will be entitled to receive a termination fee in excess of $100 million if the termination occurs prior to September 30, 2008. The termination fee declines over time from in excess of $100 million to a minimum of $16 million for terminations between September 30, 2008 and September 30, 2018.</w:t>
      </w:r>
    </w:p>
    <w:p>
      <w:pPr>
        <w:spacing w:after="0" w:line="108"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Monsanto has agreed to provide us with notice of any proposed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allow us to participate in the sale process and negotiate in good faith with us with respect to a sale. In the event we acquire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such a sale, we would receive credit against the purchase price in the amount of the termination fee that would otherwise have been paid to us upon termination by Monsanto of the marketing agreement upon the sale. If Monsanto decides to sell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to another party, we must let Monsanto know whether we intend to terminate the marketing agreement and forfeit any right to a termination fee or whether we will agree to continue to perform under the agreement on behalf of the purchaser, unless and until the purchaser terminates our services and pays any applicable termination fee.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Strategic Initiatives</w:t>
      </w:r>
    </w:p>
    <w:p>
      <w:pPr>
        <w:spacing w:after="0" w:line="144" w:lineRule="exact"/>
        <w:rPr>
          <w:sz w:val="20"/>
          <w:szCs w:val="20"/>
          <w:color w:val="auto"/>
        </w:rPr>
      </w:pPr>
    </w:p>
    <w:p>
      <w:pPr>
        <w:ind w:left="700" w:right="240" w:firstLine="402"/>
        <w:spacing w:after="0"/>
        <w:rPr>
          <w:sz w:val="20"/>
          <w:szCs w:val="20"/>
          <w:color w:val="auto"/>
        </w:rPr>
      </w:pPr>
      <w:r>
        <w:rPr>
          <w:rFonts w:ascii="Arial" w:cs="Arial" w:eastAsia="Arial" w:hAnsi="Arial"/>
          <w:sz w:val="18"/>
          <w:szCs w:val="18"/>
          <w:color w:val="auto"/>
        </w:rPr>
        <w:t>The Company has developed a strategic plan that focuses its efforts and capitalizes on its strengths to further own the relationship with its consumers and distance itself from the competition. The execution of this strategy will sustain future growth and further secure the Company’s franchise. The critical elements of this strategy are as follows.</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Profit and Marketing Improvement Plan</w:t>
      </w:r>
    </w:p>
    <w:p>
      <w:pPr>
        <w:spacing w:after="0" w:line="144" w:lineRule="exact"/>
        <w:rPr>
          <w:sz w:val="20"/>
          <w:szCs w:val="20"/>
          <w:color w:val="auto"/>
        </w:rPr>
      </w:pPr>
    </w:p>
    <w:p>
      <w:pPr>
        <w:ind w:left="700" w:right="380" w:firstLine="402"/>
        <w:spacing w:after="0"/>
        <w:rPr>
          <w:sz w:val="20"/>
          <w:szCs w:val="20"/>
          <w:color w:val="auto"/>
        </w:rPr>
      </w:pPr>
      <w:r>
        <w:rPr>
          <w:rFonts w:ascii="Arial" w:cs="Arial" w:eastAsia="Arial" w:hAnsi="Arial"/>
          <w:sz w:val="18"/>
          <w:szCs w:val="18"/>
          <w:color w:val="auto"/>
        </w:rPr>
        <w:t>In fiscal 2005, we initiated a plan called Project Excellence to significantly strengthen the Company which led to a significant reduction of purchasing and selling, general and administrative costs by reducing headcount and implementing better business processes. Savings from this program allowed</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1"/>
          <w:szCs w:val="11"/>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0"/>
        <w:spacing w:after="0"/>
        <w:rPr>
          <w:sz w:val="20"/>
          <w:szCs w:val="20"/>
          <w:color w:val="auto"/>
        </w:rPr>
      </w:pPr>
      <w:r>
        <w:rPr>
          <w:rFonts w:ascii="Arial" w:cs="Arial" w:eastAsia="Arial" w:hAnsi="Arial"/>
          <w:sz w:val="18"/>
          <w:szCs w:val="18"/>
          <w:color w:val="auto"/>
        </w:rPr>
        <w:t>the Company to increase advertising and promotional expenditures in the North America consumer business by approximately 18 percent in fiscal 2006. The Company estimates the program also resulted in approximately $25 million in pre-tax profit improvement for the year.</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Exploiting New Lawn &amp; Garden Opportunities</w:t>
      </w:r>
    </w:p>
    <w:p>
      <w:pPr>
        <w:spacing w:after="0" w:line="144" w:lineRule="exact"/>
        <w:rPr>
          <w:sz w:val="20"/>
          <w:szCs w:val="20"/>
          <w:color w:val="auto"/>
        </w:rPr>
      </w:pPr>
    </w:p>
    <w:p>
      <w:pPr>
        <w:ind w:left="700" w:right="80" w:firstLine="397"/>
        <w:spacing w:after="0" w:line="237" w:lineRule="auto"/>
        <w:rPr>
          <w:sz w:val="20"/>
          <w:szCs w:val="20"/>
          <w:color w:val="auto"/>
        </w:rPr>
      </w:pPr>
      <w:r>
        <w:rPr>
          <w:rFonts w:ascii="Arial" w:cs="Arial" w:eastAsia="Arial" w:hAnsi="Arial"/>
          <w:sz w:val="18"/>
          <w:szCs w:val="18"/>
          <w:color w:val="auto"/>
        </w:rPr>
        <w:t>We believe that the power of our brands provides us with significant opportunities to expand our business into adjacent lawn and garden categories. In October 2004, we acquired Smith &amp; Hawken</w:t>
      </w:r>
      <w:r>
        <w:rPr>
          <w:rFonts w:ascii="Arial" w:cs="Arial" w:eastAsia="Arial" w:hAnsi="Arial"/>
          <w:sz w:val="15"/>
          <w:szCs w:val="15"/>
          <w:color w:val="auto"/>
        </w:rPr>
        <w:t>®</w:t>
      </w:r>
      <w:r>
        <w:rPr>
          <w:rFonts w:ascii="Arial" w:cs="Arial" w:eastAsia="Arial" w:hAnsi="Arial"/>
          <w:sz w:val="18"/>
          <w:szCs w:val="18"/>
          <w:color w:val="auto"/>
        </w:rPr>
        <w:t>, a leading brand in the fast growing outdoor living and gardening lifestyle category. The addition of the Smith &amp; Hawken</w:t>
      </w:r>
      <w:r>
        <w:rPr>
          <w:rFonts w:ascii="Arial" w:cs="Arial" w:eastAsia="Arial" w:hAnsi="Arial"/>
          <w:sz w:val="15"/>
          <w:szCs w:val="15"/>
          <w:color w:val="auto"/>
        </w:rPr>
        <w:t>®</w:t>
      </w:r>
      <w:r>
        <w:rPr>
          <w:rFonts w:ascii="Arial" w:cs="Arial" w:eastAsia="Arial" w:hAnsi="Arial"/>
          <w:sz w:val="18"/>
          <w:szCs w:val="18"/>
          <w:color w:val="auto"/>
        </w:rPr>
        <w:t xml:space="preserve"> brand and its network of retail stores, catalog and Internet sales will be the foundation for our future expansion into “outdoor living” categories. In November 2005, we acquired Gutwein whose Morning Song</w:t>
      </w:r>
      <w:r>
        <w:rPr>
          <w:rFonts w:ascii="Arial" w:cs="Arial" w:eastAsia="Arial" w:hAnsi="Arial"/>
          <w:sz w:val="15"/>
          <w:szCs w:val="15"/>
          <w:color w:val="auto"/>
        </w:rPr>
        <w:t>®</w:t>
      </w:r>
      <w:r>
        <w:rPr>
          <w:rFonts w:ascii="Arial" w:cs="Arial" w:eastAsia="Arial" w:hAnsi="Arial"/>
          <w:sz w:val="18"/>
          <w:szCs w:val="18"/>
          <w:color w:val="auto"/>
        </w:rPr>
        <w:t xml:space="preserve"> brand is a leader in the North America wild bird food category. This is the Company’s first entrance into this attractive and growing category.</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Strengthen our International Business</w:t>
      </w:r>
    </w:p>
    <w:p>
      <w:pPr>
        <w:spacing w:after="0" w:line="144" w:lineRule="exact"/>
        <w:rPr>
          <w:sz w:val="20"/>
          <w:szCs w:val="20"/>
          <w:color w:val="auto"/>
        </w:rPr>
      </w:pPr>
    </w:p>
    <w:p>
      <w:pPr>
        <w:ind w:left="700" w:right="40" w:firstLine="397"/>
        <w:spacing w:after="0" w:line="253" w:lineRule="auto"/>
        <w:rPr>
          <w:sz w:val="20"/>
          <w:szCs w:val="20"/>
          <w:color w:val="auto"/>
        </w:rPr>
      </w:pPr>
      <w:r>
        <w:rPr>
          <w:rFonts w:ascii="Arial" w:cs="Arial" w:eastAsia="Arial" w:hAnsi="Arial"/>
          <w:sz w:val="17"/>
          <w:szCs w:val="17"/>
          <w:color w:val="auto"/>
        </w:rPr>
        <w:t>We have explored the strategic options for our International business and determined that the best option for maximizing shareholder value is to sharpen our focus for the business by: (i) improving our competitive position; (ii) reducing costs in the business to improve profitability and to allow for marketing investments; and (iii) aligning the organization by category rather than by geography to better leverage our knowledge of the marketplace and the consumer. We plan to achieve these goals through a variety of initiatives, including reducing the complexity of the business and the product portfolio, improving supply chain efficiency and effectiveness, and aggressively pursuing new business opportunities.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Expanding Scotts LawnService</w:t>
      </w:r>
      <w:r>
        <w:rPr>
          <w:rFonts w:ascii="Arial" w:cs="Arial" w:eastAsia="Arial" w:hAnsi="Arial"/>
          <w:sz w:val="27"/>
          <w:szCs w:val="27"/>
          <w:b w:val="1"/>
          <w:bCs w:val="1"/>
          <w:color w:val="auto"/>
          <w:vertAlign w:val="superscript"/>
        </w:rPr>
        <w:t>®</w:t>
      </w:r>
    </w:p>
    <w:p>
      <w:pPr>
        <w:spacing w:after="0" w:line="18" w:lineRule="exact"/>
        <w:rPr>
          <w:sz w:val="20"/>
          <w:szCs w:val="20"/>
          <w:color w:val="auto"/>
        </w:rPr>
      </w:pPr>
    </w:p>
    <w:p>
      <w:pPr>
        <w:ind w:left="700" w:firstLine="397"/>
        <w:spacing w:after="0" w:line="236" w:lineRule="auto"/>
        <w:rPr>
          <w:sz w:val="20"/>
          <w:szCs w:val="20"/>
          <w:color w:val="auto"/>
        </w:rPr>
      </w:pPr>
      <w:r>
        <w:rPr>
          <w:rFonts w:ascii="Arial" w:cs="Arial" w:eastAsia="Arial" w:hAnsi="Arial"/>
          <w:sz w:val="18"/>
          <w:szCs w:val="18"/>
          <w:color w:val="auto"/>
        </w:rPr>
        <w:t>The number of lawn owners who want to maintain their lawns and gardens but do not want to do it themselves represents a significant portion of the total market. We recognize that our portfolio of well-known brands provides us with a unique ability to extend our business into lawn and garden services and the strength of our brands provides us with a significant competitive advantage in acquiring new customers. We have spent the past several years developing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model. The business has grown significantly from revenues of $41.2 million in fiscal 2001 to revenues of $205.7 million in fiscal 2006. This growth has come from geographic expansion, acquisitions and organic growth fueled by our highly effective direct marketing programs. We invested $4.4 million in lawn service acquisitions in fiscal 2006. We anticipate continuing to make selective acquisitions in fiscal 2007 and beyond. Significant investments will continue to be made in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infrastructure in order to continually improve our customer service throughout the organization and leverage scale economies as we continue to grow.</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Returning Cash to Shareholders</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Given the Company’s strong performance and consistent cash flows, our Board of Directors has undertaken several</w:t>
      </w:r>
    </w:p>
    <w:p>
      <w:pPr>
        <w:ind w:left="700"/>
        <w:spacing w:after="0" w:line="234" w:lineRule="auto"/>
        <w:rPr>
          <w:sz w:val="20"/>
          <w:szCs w:val="20"/>
          <w:color w:val="auto"/>
        </w:rPr>
      </w:pPr>
      <w:r>
        <w:rPr>
          <w:rFonts w:ascii="Arial" w:cs="Arial" w:eastAsia="Arial" w:hAnsi="Arial"/>
          <w:sz w:val="18"/>
          <w:szCs w:val="18"/>
          <w:color w:val="auto"/>
        </w:rPr>
        <w:t>actions over the past eighteen months to return cash to our shareholders. We began paying a regular quarterly cash</w:t>
      </w:r>
    </w:p>
    <w:p>
      <w:pPr>
        <w:ind w:left="700"/>
        <w:spacing w:after="0" w:line="235" w:lineRule="auto"/>
        <w:rPr>
          <w:sz w:val="20"/>
          <w:szCs w:val="20"/>
          <w:color w:val="auto"/>
        </w:rPr>
      </w:pPr>
      <w:r>
        <w:rPr>
          <w:rFonts w:ascii="Arial" w:cs="Arial" w:eastAsia="Arial" w:hAnsi="Arial"/>
          <w:sz w:val="18"/>
          <w:szCs w:val="18"/>
          <w:color w:val="auto"/>
        </w:rPr>
        <w:t>dividend of 12.5 cents per share in the fourth quarter of fiscal 2005. In fiscal 2006, our Board launched a five-year</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$500 million share repurchase program pursuant to which we have repurchased 2.0 common shares for $87.9 million.</w:t>
      </w:r>
    </w:p>
    <w:p>
      <w:pPr>
        <w:spacing w:after="0" w:line="117"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color w:val="auto"/>
        </w:rPr>
        <w:t>Most recently, on December 12, 2006, we announced that we intend to implement a recapitalization plan that would expand upon and accelerate returns to shareholders beyond the current $500 million program (which has been canceled) by returning $750 million to our shareholders. Pursuant to this plan, we intend to repurchase up to $ 250 million of our common shares with the remainder paid as a special one-time cash dividend during the second quarter of fiscal 2007. These actions reflect management’s confidence in the continued growth of the Company coupled with strong and consistent cash flows that can support higher levels of debt.</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Seasonality and Backlog</w:t>
      </w:r>
    </w:p>
    <w:p>
      <w:pPr>
        <w:spacing w:after="0" w:line="144" w:lineRule="exact"/>
        <w:rPr>
          <w:sz w:val="20"/>
          <w:szCs w:val="20"/>
          <w:color w:val="auto"/>
        </w:rPr>
      </w:pPr>
    </w:p>
    <w:p>
      <w:pPr>
        <w:ind w:left="700" w:right="240" w:firstLine="397"/>
        <w:spacing w:after="0" w:line="243" w:lineRule="auto"/>
        <w:rPr>
          <w:sz w:val="20"/>
          <w:szCs w:val="20"/>
          <w:color w:val="auto"/>
        </w:rPr>
      </w:pPr>
      <w:r>
        <w:rPr>
          <w:rFonts w:ascii="Arial" w:cs="Arial" w:eastAsia="Arial" w:hAnsi="Arial"/>
          <w:sz w:val="18"/>
          <w:szCs w:val="18"/>
          <w:color w:val="auto"/>
        </w:rPr>
        <w:t>Our business is highly seasonal with 70% to 75% of our annual net sales occurring in our combined second and third fiscal quarters.</w:t>
      </w:r>
    </w:p>
    <w:p>
      <w:pPr>
        <w:ind w:left="5620"/>
        <w:spacing w:after="0"/>
        <w:rPr>
          <w:sz w:val="20"/>
          <w:szCs w:val="20"/>
          <w:color w:val="auto"/>
        </w:rPr>
      </w:pPr>
      <w:r>
        <w:rPr>
          <w:rFonts w:ascii="Arial" w:cs="Arial" w:eastAsia="Arial" w:hAnsi="Arial"/>
          <w:sz w:val="11"/>
          <w:szCs w:val="1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00" w:right="120" w:firstLine="402"/>
        <w:spacing w:after="0"/>
        <w:rPr>
          <w:sz w:val="20"/>
          <w:szCs w:val="20"/>
          <w:color w:val="auto"/>
        </w:rPr>
      </w:pPr>
      <w:r>
        <w:rPr>
          <w:rFonts w:ascii="Arial" w:cs="Arial" w:eastAsia="Arial" w:hAnsi="Arial"/>
          <w:sz w:val="18"/>
          <w:szCs w:val="18"/>
          <w:color w:val="auto"/>
        </w:rPr>
        <w:t>Consistent with prior years, we anticipate significant orders for the upcoming spring season will start to be received late in the winter and continue through the spring season. Historically, substantially all orders are received and shipped within the same fiscal year with minimal carryover of open orders at the end of the fiscal year.</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Raw Materials</w:t>
      </w:r>
    </w:p>
    <w:p>
      <w:pPr>
        <w:spacing w:after="0" w:line="144"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We purchase raw materials for our products from various sources that we presently consider to be adequate, and no one source is considered essential to any of our segments or to our business as a whole. We are subject to market risk from fluctuating market prices of certain raw materials, including urea and other chemicals as well as paper and plastic products. Our objectives surrounding the procurement of these materials are to ensure continuous supply and to minimize costs. We seek to achieve these objectives through negotiation of contracts with favorable terms directly with vendors. When appropriate, we will procure a certain percentage of our needs in advance of the season to secure pre-determined prices. Occasionally, we hedge certain commodities to improve predictability and control costs.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Manufacturing and Distribution</w:t>
      </w:r>
    </w:p>
    <w:p>
      <w:pPr>
        <w:spacing w:after="0" w:line="144"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We manufacture products for our North American consumer business at our facilities in Marysville, Ohio, Ft. Madison, Iowa and Temecula, California, as well as use a number of third party contract packers in the United States and Canada. In addition, the Company manufactures growing media products in 26 regional facilities located throughout North America. The primary distribution centers for our North American consumer business are managed by the Company and strategically placed across the United States.</w:t>
      </w:r>
    </w:p>
    <w:p>
      <w:pPr>
        <w:spacing w:after="0" w:line="108" w:lineRule="exact"/>
        <w:rPr>
          <w:sz w:val="20"/>
          <w:szCs w:val="20"/>
          <w:color w:val="auto"/>
        </w:rPr>
      </w:pPr>
    </w:p>
    <w:p>
      <w:pPr>
        <w:ind w:left="700" w:right="20" w:firstLine="402"/>
        <w:spacing w:after="0" w:line="238" w:lineRule="auto"/>
        <w:rPr>
          <w:sz w:val="20"/>
          <w:szCs w:val="20"/>
          <w:color w:val="auto"/>
        </w:rPr>
      </w:pPr>
      <w:r>
        <w:rPr>
          <w:rFonts w:ascii="Arial" w:cs="Arial" w:eastAsia="Arial" w:hAnsi="Arial"/>
          <w:sz w:val="18"/>
          <w:szCs w:val="18"/>
          <w:color w:val="auto"/>
        </w:rPr>
        <w:t>We also manufacture horticultural products for our North America and International professional businesses at a leased fertilizer manufacturing facility in Charleston, South Carolina and a Company-owned site in Heerlen, the Netherlands. The remaining products for our professional businesses are produced at other Company-owned facilities and subcontractors in the United States and Europe. The majority of shipments to customers are made via common carriers or through distributors in the United States and a network of public warehouses and distributors in Europe.</w:t>
      </w:r>
    </w:p>
    <w:p>
      <w:pPr>
        <w:spacing w:after="0" w:line="108" w:lineRule="exact"/>
        <w:rPr>
          <w:sz w:val="20"/>
          <w:szCs w:val="20"/>
          <w:color w:val="auto"/>
        </w:rPr>
      </w:pPr>
    </w:p>
    <w:p>
      <w:pPr>
        <w:ind w:left="700" w:right="40" w:firstLine="402"/>
        <w:spacing w:after="0" w:line="261" w:lineRule="auto"/>
        <w:rPr>
          <w:sz w:val="20"/>
          <w:szCs w:val="20"/>
          <w:color w:val="auto"/>
        </w:rPr>
      </w:pPr>
      <w:r>
        <w:rPr>
          <w:rFonts w:ascii="Arial" w:cs="Arial" w:eastAsia="Arial" w:hAnsi="Arial"/>
          <w:sz w:val="17"/>
          <w:szCs w:val="17"/>
          <w:color w:val="auto"/>
        </w:rPr>
        <w:t>We manufacture the non-growing media products for our International business at our facilities in Howden, the United Kingdom and Bourth, France. We also utilize a number of third party contract packers. The primary distribution centers for our International businesses are located in the United Kingdom, France and Germany and are managed by a logistics provider.</w:t>
      </w:r>
    </w:p>
    <w:p>
      <w:pPr>
        <w:spacing w:after="0" w:line="92" w:lineRule="exact"/>
        <w:rPr>
          <w:sz w:val="20"/>
          <w:szCs w:val="20"/>
          <w:color w:val="auto"/>
        </w:rPr>
      </w:pPr>
    </w:p>
    <w:p>
      <w:pPr>
        <w:jc w:val="both"/>
        <w:ind w:left="700" w:right="140" w:firstLine="402"/>
        <w:spacing w:after="0"/>
        <w:rPr>
          <w:sz w:val="20"/>
          <w:szCs w:val="20"/>
          <w:color w:val="auto"/>
        </w:rPr>
      </w:pPr>
      <w:r>
        <w:rPr>
          <w:rFonts w:ascii="Arial" w:cs="Arial" w:eastAsia="Arial" w:hAnsi="Arial"/>
          <w:sz w:val="18"/>
          <w:szCs w:val="18"/>
          <w:color w:val="auto"/>
        </w:rPr>
        <w:t>The growing media products for our International segment are produced at our facilities in Hatfield, the United Kingdom and Hautmont, France and at a number of third party contract packers. Growing media products are generally shipped direct without passing through a distribution center.</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Employees</w:t>
      </w:r>
    </w:p>
    <w:p>
      <w:pPr>
        <w:spacing w:after="0" w:line="144" w:lineRule="exact"/>
        <w:rPr>
          <w:sz w:val="20"/>
          <w:szCs w:val="20"/>
          <w:color w:val="auto"/>
        </w:rPr>
      </w:pPr>
    </w:p>
    <w:p>
      <w:pPr>
        <w:ind w:left="700" w:right="60" w:firstLine="402"/>
        <w:spacing w:after="0"/>
        <w:rPr>
          <w:sz w:val="20"/>
          <w:szCs w:val="20"/>
          <w:color w:val="auto"/>
        </w:rPr>
      </w:pPr>
      <w:r>
        <w:rPr>
          <w:rFonts w:ascii="Arial" w:cs="Arial" w:eastAsia="Arial" w:hAnsi="Arial"/>
          <w:sz w:val="18"/>
          <w:szCs w:val="18"/>
          <w:color w:val="auto"/>
        </w:rPr>
        <w:t>As of September 30, 2006, we employed 4,718 full-time employees in the United States and an additional 1,002 full-time employees located outside the United States. During peak sales and production periods, we utilize seasonal and temporary labor.</w:t>
      </w:r>
    </w:p>
    <w:p>
      <w:pPr>
        <w:spacing w:after="0" w:line="108" w:lineRule="exact"/>
        <w:rPr>
          <w:sz w:val="20"/>
          <w:szCs w:val="20"/>
          <w:color w:val="auto"/>
        </w:rPr>
      </w:pPr>
    </w:p>
    <w:p>
      <w:pPr>
        <w:ind w:left="700" w:right="100" w:firstLine="402"/>
        <w:spacing w:after="0" w:line="236" w:lineRule="auto"/>
        <w:rPr>
          <w:sz w:val="20"/>
          <w:szCs w:val="20"/>
          <w:color w:val="auto"/>
        </w:rPr>
      </w:pPr>
      <w:r>
        <w:rPr>
          <w:rFonts w:ascii="Arial" w:cs="Arial" w:eastAsia="Arial" w:hAnsi="Arial"/>
          <w:sz w:val="18"/>
          <w:szCs w:val="18"/>
          <w:color w:val="auto"/>
        </w:rPr>
        <w:t>None of our U.S. employees are members of a union. Approximately 45 of our full-time U.K. employees are members of the Transport and General Workers Union and have full collective bargaining rights. An undisclosed number of our full-time employees at our office in Ecully, France are members of the Confederation Francaise Democratique du Travail and Confederation Generale du Travail, participation in which is confidential under French law. In addition, a number of union and non-union full-time employees are members of works councils at three sites in Bourth, Hautmont and Ecully, France, and a number of non-union employees are members of works councils in Ingelheim, Germany. In the Waardenburg office in the Netherlands, a small number of the approximately 130 employees are members of a workers union, but we are not responsible for collective bargaining negotiations with this union. In the Netherlands, we are governed by the Works Councils Act with respect to the union. Works councils represent employees on labor and employment matters and manage social benefits.</w:t>
      </w:r>
    </w:p>
    <w:p>
      <w:pPr>
        <w:spacing w:after="0" w:line="112" w:lineRule="exact"/>
        <w:rPr>
          <w:sz w:val="20"/>
          <w:szCs w:val="20"/>
          <w:color w:val="auto"/>
        </w:rPr>
      </w:pPr>
    </w:p>
    <w:p>
      <w:pPr>
        <w:ind w:left="700" w:right="140" w:firstLine="402"/>
        <w:spacing w:after="0" w:line="243" w:lineRule="auto"/>
        <w:rPr>
          <w:sz w:val="20"/>
          <w:szCs w:val="20"/>
          <w:color w:val="auto"/>
        </w:rPr>
      </w:pPr>
      <w:r>
        <w:rPr>
          <w:rFonts w:ascii="Arial" w:cs="Arial" w:eastAsia="Arial" w:hAnsi="Arial"/>
          <w:sz w:val="18"/>
          <w:szCs w:val="18"/>
          <w:color w:val="auto"/>
        </w:rPr>
        <w:t>We believe we have good relationships with our employees in the United States, and both unionized and non-unionized International employees.</w:t>
      </w:r>
    </w:p>
    <w:p>
      <w:pPr>
        <w:ind w:left="5660"/>
        <w:spacing w:after="0"/>
        <w:rPr>
          <w:sz w:val="20"/>
          <w:szCs w:val="20"/>
          <w:color w:val="auto"/>
        </w:rPr>
      </w:pPr>
      <w:r>
        <w:rPr>
          <w:rFonts w:ascii="Arial" w:cs="Arial" w:eastAsia="Arial" w:hAnsi="Arial"/>
          <w:sz w:val="11"/>
          <w:szCs w:val="11"/>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Environmental and Regulatory Considerations</w:t>
      </w:r>
    </w:p>
    <w:p>
      <w:pPr>
        <w:spacing w:after="0" w:line="144"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be registered with the U.S. EPA (and similar state agencies) before they can be sold. The inability to obtain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 Fertilizer and growing media products are also subject to state and foreign labeling regulations. Our manufacturing operations are subject to waste, water and air quality permitting and other regulatory requirements of federal and state agencies.</w:t>
      </w:r>
    </w:p>
    <w:p>
      <w:pPr>
        <w:spacing w:after="0" w:line="113" w:lineRule="exact"/>
        <w:rPr>
          <w:sz w:val="20"/>
          <w:szCs w:val="20"/>
          <w:color w:val="auto"/>
        </w:rPr>
      </w:pPr>
    </w:p>
    <w:p>
      <w:pPr>
        <w:ind w:left="700" w:right="20" w:firstLine="402"/>
        <w:spacing w:after="0" w:line="237" w:lineRule="auto"/>
        <w:rPr>
          <w:sz w:val="20"/>
          <w:szCs w:val="20"/>
          <w:color w:val="auto"/>
        </w:rPr>
      </w:pPr>
      <w:r>
        <w:rPr>
          <w:rFonts w:ascii="Arial" w:cs="Arial" w:eastAsia="Arial" w:hAnsi="Arial"/>
          <w:sz w:val="18"/>
          <w:szCs w:val="18"/>
          <w:color w:val="auto"/>
        </w:rPr>
        <w:t>The Food Quality Protection Act, enacted by the U.S. Congress in August 1996, establishes a standard for food-use pesticides, which standard is the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We cannot predict the outcome or the severity of the effect of these continuing evaluations.</w:t>
      </w:r>
    </w:p>
    <w:p>
      <w:pPr>
        <w:spacing w:after="0" w:line="109" w:lineRule="exact"/>
        <w:rPr>
          <w:sz w:val="20"/>
          <w:szCs w:val="20"/>
          <w:color w:val="auto"/>
        </w:rPr>
      </w:pPr>
    </w:p>
    <w:p>
      <w:pPr>
        <w:ind w:left="700" w:right="40" w:firstLine="402"/>
        <w:spacing w:after="0" w:line="237" w:lineRule="auto"/>
        <w:rPr>
          <w:sz w:val="20"/>
          <w:szCs w:val="20"/>
          <w:color w:val="auto"/>
        </w:rPr>
      </w:pPr>
      <w:r>
        <w:rPr>
          <w:rFonts w:ascii="Arial" w:cs="Arial" w:eastAsia="Arial" w:hAnsi="Arial"/>
          <w:sz w:val="18"/>
          <w:szCs w:val="18"/>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We believe we are operating in substantial compliance with, or taking action aimed at ensuring compliance with, these laws and regulations.</w:t>
      </w:r>
    </w:p>
    <w:p>
      <w:pPr>
        <w:spacing w:after="0" w:line="109" w:lineRule="exact"/>
        <w:rPr>
          <w:sz w:val="20"/>
          <w:szCs w:val="20"/>
          <w:color w:val="auto"/>
        </w:rPr>
      </w:pPr>
    </w:p>
    <w:p>
      <w:pPr>
        <w:ind w:left="700" w:right="80" w:firstLine="402"/>
        <w:spacing w:after="0" w:line="237" w:lineRule="auto"/>
        <w:rPr>
          <w:sz w:val="20"/>
          <w:szCs w:val="20"/>
          <w:color w:val="auto"/>
        </w:rPr>
      </w:pPr>
      <w:r>
        <w:rPr>
          <w:rFonts w:ascii="Arial" w:cs="Arial" w:eastAsia="Arial" w:hAnsi="Arial"/>
          <w:sz w:val="18"/>
          <w:szCs w:val="18"/>
          <w:color w:val="auto"/>
        </w:rPr>
        <w:t>State and federal authorities generally require growing media facilities to obtain permits (sometimes on an annual basis) in order to harvest peat and to discharge storm water run-off or water pumped from peat deposits. The state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Regulatory Actions</w:t>
      </w:r>
    </w:p>
    <w:p>
      <w:pPr>
        <w:spacing w:after="0" w:line="144"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In 1997, the Ohio Environmental Protection Agency (the “Ohio EPA”) initiated an enforcement action against us with respect to alleged surface water violations and inadequate wastewater treatment capabilities at our Marysville, Ohio facility and seeking corrective action under the federal Resource Conservation and Recovery Act. The action related to discharges from on-site waste water treatment and several discontinued on-site disposal areas, which date back to the early operations of the Marysville facility that we had already been assessing and, in some cases, remediating, on a voluntary basis. We are remediating the Marysville site under the terms of a consent order under the oversight of the Ohio EPA.</w:t>
      </w:r>
    </w:p>
    <w:p>
      <w:pPr>
        <w:spacing w:after="0" w:line="111" w:lineRule="exact"/>
        <w:rPr>
          <w:sz w:val="20"/>
          <w:szCs w:val="20"/>
          <w:color w:val="auto"/>
        </w:rPr>
      </w:pPr>
    </w:p>
    <w:p>
      <w:pPr>
        <w:ind w:left="700" w:right="60" w:firstLine="402"/>
        <w:spacing w:after="0" w:line="238" w:lineRule="auto"/>
        <w:rPr>
          <w:sz w:val="20"/>
          <w:szCs w:val="20"/>
          <w:color w:val="auto"/>
        </w:rPr>
      </w:pPr>
      <w:r>
        <w:rPr>
          <w:rFonts w:ascii="Arial" w:cs="Arial" w:eastAsia="Arial" w:hAnsi="Arial"/>
          <w:sz w:val="18"/>
          <w:szCs w:val="18"/>
          <w:color w:val="auto"/>
        </w:rPr>
        <w:t>We completed negotiations with the Philadelphia District of the U.S. Army Corps of Engineers regarding the terms of site remediation and the resolution of the Corps’ civil penalty demand in connection with our prior peat harvesting operations at our Lafayette, New Jersey facility. A final consent decree was entered into on October 18, 2004 that required us to perform five years of wetland monitoring, and the completion of additional actions if after five years, the monitoring indicates the wetlands have not developed satisfactorily.</w:t>
      </w:r>
    </w:p>
    <w:p>
      <w:pPr>
        <w:spacing w:after="0" w:line="108" w:lineRule="exact"/>
        <w:rPr>
          <w:sz w:val="20"/>
          <w:szCs w:val="20"/>
          <w:color w:val="auto"/>
        </w:rPr>
      </w:pPr>
    </w:p>
    <w:p>
      <w:pPr>
        <w:ind w:left="700" w:right="80" w:firstLine="402"/>
        <w:spacing w:after="0"/>
        <w:rPr>
          <w:sz w:val="20"/>
          <w:szCs w:val="20"/>
          <w:color w:val="auto"/>
        </w:rPr>
      </w:pPr>
      <w:r>
        <w:rPr>
          <w:rFonts w:ascii="Arial" w:cs="Arial" w:eastAsia="Arial" w:hAnsi="Arial"/>
          <w:sz w:val="18"/>
          <w:szCs w:val="18"/>
          <w:color w:val="auto"/>
        </w:rPr>
        <w:t>At September 30, 2006, $4.2 million was accrued for the environmental and regulatory matters described herein, the majority of which is for site remediation. Most of the costs accrued as of September 30, 2006 are expected to be paid in fiscal 2007; however, payments could be made for a period thereaf</w:t>
      </w:r>
      <w:r>
        <w:rPr>
          <w:rFonts w:ascii="Arial" w:cs="Arial" w:eastAsia="Arial" w:hAnsi="Arial"/>
          <w:sz w:val="18"/>
          <w:szCs w:val="18"/>
          <w:u w:val="single" w:color="auto"/>
          <w:color w:val="auto"/>
        </w:rPr>
        <w:t>ter.</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00" w:firstLine="402"/>
        <w:spacing w:after="0"/>
        <w:rPr>
          <w:sz w:val="20"/>
          <w:szCs w:val="20"/>
          <w:color w:val="auto"/>
        </w:rPr>
      </w:pPr>
      <w:r>
        <w:rPr>
          <w:rFonts w:ascii="Arial" w:cs="Arial" w:eastAsia="Arial" w:hAnsi="Arial"/>
          <w:sz w:val="18"/>
          <w:szCs w:val="18"/>
          <w:color w:val="auto"/>
        </w:rPr>
        <w:t>We believe the amounts accrued as of September 30, 2006 are adequate to cover our known environmental exposures based on current facts and estimates of likely outcome. However, the adequacy of these accruals is based on several significant assumptions, including the following:</w:t>
      </w:r>
    </w:p>
    <w:p>
      <w:pPr>
        <w:spacing w:after="0" w:line="108" w:lineRule="exact"/>
        <w:rPr>
          <w:sz w:val="20"/>
          <w:szCs w:val="20"/>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have identified all of the significant sites that must be remediated;</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there are no significant conditions of potential contamination that are unknown to us; and</w:t>
      </w:r>
    </w:p>
    <w:p>
      <w:pPr>
        <w:spacing w:after="0" w:line="103" w:lineRule="exact"/>
        <w:rPr>
          <w:rFonts w:ascii="Arial" w:cs="Arial" w:eastAsia="Arial" w:hAnsi="Arial"/>
          <w:sz w:val="18"/>
          <w:szCs w:val="18"/>
          <w:color w:val="auto"/>
        </w:rPr>
      </w:pPr>
    </w:p>
    <w:p>
      <w:pPr>
        <w:ind w:left="1300" w:right="6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108" w:lineRule="exact"/>
        <w:rPr>
          <w:sz w:val="20"/>
          <w:szCs w:val="20"/>
          <w:color w:val="auto"/>
        </w:rPr>
      </w:pPr>
    </w:p>
    <w:p>
      <w:pPr>
        <w:ind w:left="700" w:right="240" w:firstLine="402"/>
        <w:spacing w:after="0" w:line="246"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02" w:lineRule="exact"/>
        <w:rPr>
          <w:sz w:val="20"/>
          <w:szCs w:val="20"/>
          <w:color w:val="auto"/>
        </w:rPr>
      </w:pPr>
    </w:p>
    <w:p>
      <w:pPr>
        <w:jc w:val="both"/>
        <w:ind w:left="700" w:firstLine="402"/>
        <w:spacing w:after="0"/>
        <w:rPr>
          <w:sz w:val="20"/>
          <w:szCs w:val="20"/>
          <w:color w:val="auto"/>
        </w:rPr>
      </w:pPr>
      <w:r>
        <w:rPr>
          <w:rFonts w:ascii="Arial" w:cs="Arial" w:eastAsia="Arial" w:hAnsi="Arial"/>
          <w:sz w:val="18"/>
          <w:szCs w:val="18"/>
          <w:color w:val="auto"/>
        </w:rPr>
        <w:t>During fiscal 2006, fiscal 2005 and fiscal 2004, we expensed approximately $2.4 million, $3.7 million, and $3.3 million for environmental matters. There were no material capital expenditures during the last three fiscal years related to environmental or regulatory matters.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General Information</w:t>
      </w:r>
    </w:p>
    <w:p>
      <w:pPr>
        <w:spacing w:after="0" w:line="144" w:lineRule="exact"/>
        <w:rPr>
          <w:sz w:val="20"/>
          <w:szCs w:val="20"/>
          <w:color w:val="auto"/>
        </w:rPr>
      </w:pPr>
    </w:p>
    <w:p>
      <w:pPr>
        <w:ind w:left="700" w:right="40" w:firstLine="402"/>
        <w:spacing w:after="0" w:line="237" w:lineRule="auto"/>
        <w:rPr>
          <w:sz w:val="20"/>
          <w:szCs w:val="20"/>
          <w:color w:val="auto"/>
        </w:rPr>
      </w:pPr>
      <w:r>
        <w:rPr>
          <w:rFonts w:ascii="Arial" w:cs="Arial" w:eastAsia="Arial" w:hAnsi="Arial"/>
          <w:sz w:val="18"/>
          <w:szCs w:val="18"/>
          <w:color w:val="auto"/>
        </w:rPr>
        <w:t>The Company maintains a website at http://investor.scotts.com (this uniform resource locator, or URL, is an inactive textual reference only and is not intended to incorporate our website into this Form 10-K). We file reports with the Securities and Exchange Commission (the “SEC”) and make available, free of charge, on or through our website, our annual reports on Form 10-K, quarterly reports on Form 10-Q, current reports on Form 8-K, proxy and information statements and amendments to those reports filed or furnished pursuant to Section 13(a) or 15(d) of the Securities Exchange Act of 1934, as amended, as soon as reasonably practicable after we electronically file such material with, or furnish it to, the SEC.</w:t>
      </w:r>
    </w:p>
    <w:p>
      <w:pPr>
        <w:spacing w:after="0" w:line="111" w:lineRule="exact"/>
        <w:rPr>
          <w:sz w:val="20"/>
          <w:szCs w:val="20"/>
          <w:color w:val="auto"/>
        </w:rPr>
      </w:pPr>
    </w:p>
    <w:p>
      <w:pPr>
        <w:ind w:left="700" w:right="20" w:firstLine="402"/>
        <w:spacing w:after="0" w:line="236" w:lineRule="auto"/>
        <w:rPr>
          <w:sz w:val="20"/>
          <w:szCs w:val="20"/>
          <w:color w:val="auto"/>
        </w:rPr>
      </w:pPr>
      <w:r>
        <w:rPr>
          <w:rFonts w:ascii="Arial" w:cs="Arial" w:eastAsia="Arial" w:hAnsi="Arial"/>
          <w:sz w:val="18"/>
          <w:szCs w:val="18"/>
          <w:color w:val="auto"/>
        </w:rPr>
        <w:t>On March 18, 2005, we consummated the restructuring of our corporate structure into a holding company structure by merging The Scotts Company (“Scotts”) which had been the public company, into a newly-created, wholly-owned, second-tier Ohio limited liability company, The Scotts Company LLC (“Scotts LLC”), pursuant to the Agreement and Plan of Merger, dated as of December 13, 2004 (the “Merger Agreement”), among Scotts, Scotts LLC and Scotts Miracle-Gro. As a result of this restructuring merger, each of Scotts’ common shares issued and outstanding immediately prior to the consummation of the restructuring merger was automatically converted into one fully paid and nonassessable common share of Scotts Miracle-Gro. Scotts Miracle-Gro became the public company successor to Scotts and Scotts LLC a direct, wholly-owned subsidiary of Scotts Miracle-Gro. The restructuring merger did not affect the new parent holding company’s management, corporate governance or capital stock structure. In addition, the consolidated assets and liabilities of Scotts Miracle-Gro and its subsidiaries (including Scotts LLC) immediately after the restructuring merger were the same as the consolidated assets and liabilities of Scotts and its subsidiaries immediately before the restructuring merger.</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Financial Information About Geographic Areas</w:t>
      </w:r>
    </w:p>
    <w:p>
      <w:pPr>
        <w:spacing w:after="0" w:line="144" w:lineRule="exact"/>
        <w:rPr>
          <w:sz w:val="20"/>
          <w:szCs w:val="20"/>
          <w:color w:val="auto"/>
        </w:rPr>
      </w:pPr>
    </w:p>
    <w:p>
      <w:pPr>
        <w:ind w:left="700" w:right="40" w:firstLine="402"/>
        <w:spacing w:after="0"/>
        <w:rPr>
          <w:sz w:val="20"/>
          <w:szCs w:val="20"/>
          <w:color w:val="auto"/>
        </w:rPr>
      </w:pPr>
      <w:r>
        <w:rPr>
          <w:rFonts w:ascii="Arial" w:cs="Arial" w:eastAsia="Arial" w:hAnsi="Arial"/>
          <w:sz w:val="18"/>
          <w:szCs w:val="18"/>
          <w:color w:val="auto"/>
        </w:rPr>
        <w:t>For certain information concerning our International revenues and long-lived assets, see “ITEM 7. MANAGEMENT’S DISCUSSION AND ANALYSIS OF FINANCIAL CONDITION AND RESULTS OF OPERATIONS” and Note 21 of the Notes to Consolidated Financial Statements.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Cautionary Statement on Forward-Looking Statements</w:t>
      </w:r>
    </w:p>
    <w:p>
      <w:pPr>
        <w:spacing w:after="0" w:line="144"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We have made and will make “forward-looking statements” within the meaning of Section 27A of the Securities Act of 1933 and Section 21E of the Securities Exchange Act of 1934 in our 2006 Annual Report, in this Annual Report on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419" w:right="9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0" w:firstLine="402"/>
        <w:spacing w:after="0" w:line="23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08"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Some forward-looking statements that we make in our 2006 Annual Report, in this Annual Report on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Products</w:t>
      </w:r>
    </w:p>
    <w:p>
      <w:pPr>
        <w:spacing w:after="0" w:line="139"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Perceptions that the products we produce and market are not safe could adversely affect us and contribute to the risk we will be subjected to legal action. We manufacture and market a number of complex chemical products, such as fertilizers, growing media, herbicides and pesticides, bearing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our reputation, involve us in litigation, damage our brand names and have a material adverse affect on our business.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Weather and Seasonality</w:t>
      </w:r>
    </w:p>
    <w:p>
      <w:pPr>
        <w:spacing w:after="0" w:line="139"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Weather conditions in North America and Europe can have a significant impact on the timing of sales in the spring selling season and overall annual sales. An abnormally wet and/or cold spring throughout North America or Europe could adversely affect both fertilizer and pesticide sales and, therefore, our financial results. Because our products are used primarily in the spring and summer, our business is highly seasonal. For the past three fiscal years, 70% to 75% of our annual net sales have occurred in the second and third fiscal quarters combined. Our working capital needs and borrowings peak toward the end of our second fiscal quarter because we are incurring expenditures in preparation for the spring selling season while the majority of our revenue collections occur in our third fiscal quarter. If cash on hand is insufficient to pay our obligations as they come due, including interest payments or operating expenses, at a time when we are unable to draw on our credit facility, this seasonality could have a material adverse effect on our ability to conduct our business. Adverse weather conditions could heighten this risk.</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ind w:left="700" w:right="60" w:firstLine="402"/>
        <w:spacing w:after="0" w:line="238" w:lineRule="auto"/>
        <w:rPr>
          <w:sz w:val="20"/>
          <w:szCs w:val="20"/>
          <w:color w:val="auto"/>
        </w:rPr>
      </w:pPr>
      <w:r>
        <w:rPr>
          <w:rFonts w:ascii="Arial" w:cs="Arial" w:eastAsia="Arial" w:hAnsi="Arial"/>
          <w:sz w:val="18"/>
          <w:szCs w:val="18"/>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The strong competition that we face in all of our markets may prevent us from achieving our revenue goals, which may have a material adverse affect on our financial condition and results of operations.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Customer Concentration</w:t>
      </w:r>
    </w:p>
    <w:p>
      <w:pPr>
        <w:spacing w:after="0" w:line="139"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In the North America segment, net sales represented approximately 70% of our worldwide net sales in fiscal 2006. Our top three North American retail customers together accounted for 61% of our North America segment fiscal 2006 net sales and 42% of our outstanding accounts receivable as of September 30, 2006. Home Depot, Wal*Mart and Lowe’s represented approximately 30%, 16% and 15%, respectively, of our fiscal 2006 North America net sales. The loss of, or reduction in orders from, Home Depot, Wal*Mart,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 on our financial condition and results of operations.</w:t>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00" w:firstLine="402"/>
        <w:spacing w:after="0" w:line="238" w:lineRule="auto"/>
        <w:rPr>
          <w:sz w:val="20"/>
          <w:szCs w:val="20"/>
          <w:color w:val="auto"/>
        </w:rPr>
      </w:pPr>
      <w:r>
        <w:rPr>
          <w:rFonts w:ascii="Arial" w:cs="Arial" w:eastAsia="Arial" w:hAnsi="Arial"/>
          <w:sz w:val="18"/>
          <w:szCs w:val="18"/>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income from operations may be increasingly sensitive to deterioration in the financial condition of, or other adverse developments involving our relationship with, one or more customers.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Significant Agreement</w:t>
      </w:r>
    </w:p>
    <w:p>
      <w:pPr>
        <w:spacing w:after="0" w:line="137" w:lineRule="exact"/>
        <w:rPr>
          <w:sz w:val="20"/>
          <w:szCs w:val="20"/>
          <w:color w:val="auto"/>
        </w:rPr>
      </w:pPr>
    </w:p>
    <w:p>
      <w:pPr>
        <w:ind w:left="700" w:firstLine="402"/>
        <w:spacing w:after="0" w:line="254" w:lineRule="auto"/>
        <w:rPr>
          <w:sz w:val="20"/>
          <w:szCs w:val="20"/>
          <w:color w:val="auto"/>
        </w:rPr>
      </w:pPr>
      <w:r>
        <w:rPr>
          <w:rFonts w:ascii="Arial" w:cs="Arial" w:eastAsia="Arial" w:hAnsi="Arial"/>
          <w:sz w:val="17"/>
          <w:szCs w:val="17"/>
          <w:color w:val="auto"/>
        </w:rPr>
        <w:t>If we were to commit a serious default under the marketing agreement with Monsanto for consumer Roundup</w:t>
      </w:r>
      <w:r>
        <w:rPr>
          <w:rFonts w:ascii="Arial" w:cs="Arial" w:eastAsia="Arial" w:hAnsi="Arial"/>
          <w:sz w:val="14"/>
          <w:szCs w:val="14"/>
          <w:color w:val="auto"/>
        </w:rPr>
        <w:t>®</w:t>
      </w:r>
      <w:r>
        <w:rPr>
          <w:rFonts w:ascii="Arial" w:cs="Arial" w:eastAsia="Arial" w:hAnsi="Arial"/>
          <w:sz w:val="17"/>
          <w:szCs w:val="17"/>
          <w:color w:val="auto"/>
        </w:rPr>
        <w:t xml:space="preserve"> products, Monsanto may have the right to terminate the agreement. If Monsanto was to terminate the marketing agreement for cause, we would not be entitled to any termination fee, and we would lose all, or a significant portion, of the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 (1) over a cumulative three fiscal year period; or (2) by more than 5% for each of two consecutive years.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Debt</w:t>
      </w:r>
    </w:p>
    <w:p>
      <w:pPr>
        <w:spacing w:after="0" w:line="139" w:lineRule="exact"/>
        <w:rPr>
          <w:sz w:val="20"/>
          <w:szCs w:val="20"/>
          <w:color w:val="auto"/>
        </w:rPr>
      </w:pPr>
    </w:p>
    <w:p>
      <w:pPr>
        <w:ind w:left="700" w:right="80" w:firstLine="402"/>
        <w:spacing w:after="0"/>
        <w:rPr>
          <w:sz w:val="20"/>
          <w:szCs w:val="20"/>
          <w:color w:val="auto"/>
        </w:rPr>
      </w:pPr>
      <w:r>
        <w:rPr>
          <w:rFonts w:ascii="Arial" w:cs="Arial" w:eastAsia="Arial" w:hAnsi="Arial"/>
          <w:sz w:val="18"/>
          <w:szCs w:val="18"/>
          <w:color w:val="auto"/>
        </w:rPr>
        <w:t>We have a significant amount of debt that could adversely affect our financial health and prevent us from fulfilling our obligations. Our debt levels will increase as a result of our plan to return $750 million to shareholders in the second quarter of fiscal 2007. Our substantial indebtedness could have important consequences. For example, it could:</w:t>
      </w:r>
    </w:p>
    <w:p>
      <w:pPr>
        <w:spacing w:after="0" w:line="108"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outstanding indebtedness;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03" w:lineRule="exact"/>
        <w:rPr>
          <w:rFonts w:ascii="Arial" w:cs="Arial" w:eastAsia="Arial" w:hAnsi="Arial"/>
          <w:sz w:val="18"/>
          <w:szCs w:val="18"/>
          <w:color w:val="auto"/>
        </w:rPr>
      </w:pPr>
    </w:p>
    <w:p>
      <w:pPr>
        <w:jc w:val="both"/>
        <w:ind w:left="1300" w:right="22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94"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103" w:lineRule="exact"/>
        <w:rPr>
          <w:rFonts w:ascii="Arial" w:cs="Arial" w:eastAsia="Arial" w:hAnsi="Arial"/>
          <w:sz w:val="18"/>
          <w:szCs w:val="18"/>
          <w:color w:val="auto"/>
        </w:rPr>
      </w:pPr>
    </w:p>
    <w:p>
      <w:pPr>
        <w:ind w:left="1300" w:right="620" w:hanging="202"/>
        <w:spacing w:after="0" w:line="24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w:t>
      </w:r>
    </w:p>
    <w:p>
      <w:pPr>
        <w:spacing w:after="0" w:line="102" w:lineRule="exact"/>
        <w:rPr>
          <w:sz w:val="20"/>
          <w:szCs w:val="20"/>
          <w:color w:val="auto"/>
        </w:rPr>
      </w:pPr>
    </w:p>
    <w:p>
      <w:pPr>
        <w:jc w:val="both"/>
        <w:ind w:left="700" w:right="20" w:firstLine="402"/>
        <w:spacing w:after="0"/>
        <w:rPr>
          <w:sz w:val="20"/>
          <w:szCs w:val="20"/>
          <w:color w:val="auto"/>
        </w:rPr>
      </w:pPr>
      <w:r>
        <w:rPr>
          <w:rFonts w:ascii="Arial" w:cs="Arial" w:eastAsia="Arial" w:hAnsi="Arial"/>
          <w:sz w:val="18"/>
          <w:szCs w:val="18"/>
          <w:color w:val="auto"/>
        </w:rPr>
        <w:t>Our ability to make payments and to refinance our indebtedness, to fund planned capital expenditures, acquisitions, and to pay dividends will depend on our ability to generate cash in the future. This, to some extent, is subject to general economic, financial, competitive, legislative, regulatory and other factors that are beyond our control.</w:t>
      </w:r>
    </w:p>
    <w:p>
      <w:pPr>
        <w:spacing w:after="0" w:line="108" w:lineRule="exact"/>
        <w:rPr>
          <w:sz w:val="20"/>
          <w:szCs w:val="20"/>
          <w:color w:val="auto"/>
        </w:rPr>
      </w:pPr>
    </w:p>
    <w:p>
      <w:pPr>
        <w:ind w:left="700" w:right="40" w:firstLine="402"/>
        <w:spacing w:after="0" w:line="239" w:lineRule="auto"/>
        <w:rPr>
          <w:sz w:val="20"/>
          <w:szCs w:val="20"/>
          <w:color w:val="auto"/>
        </w:rPr>
      </w:pPr>
      <w:r>
        <w:rPr>
          <w:rFonts w:ascii="Arial" w:cs="Arial" w:eastAsia="Arial" w:hAnsi="Arial"/>
          <w:sz w:val="18"/>
          <w:szCs w:val="18"/>
          <w:color w:val="auto"/>
        </w:rPr>
        <w:t>We cannot provide assurance that our business will generate sufficient cash flow from operating activities or that future borrowings will be available to us under our credit facility in amounts sufficient to enable us to pay our indebtedness or to fund our other liquidity needs. We may need to refinance all or a portion of our indebtedness, on or before maturity. We cannot assure you that we would be able to refinance any of our indebtedness on commercially reasonable terms or at all.</w:t>
      </w:r>
    </w:p>
    <w:p>
      <w:pPr>
        <w:spacing w:after="0" w:line="107" w:lineRule="exact"/>
        <w:rPr>
          <w:sz w:val="20"/>
          <w:szCs w:val="20"/>
          <w:color w:val="auto"/>
        </w:rPr>
      </w:pPr>
    </w:p>
    <w:p>
      <w:pPr>
        <w:ind w:left="700" w:right="60" w:firstLine="402"/>
        <w:spacing w:after="0" w:line="237" w:lineRule="auto"/>
        <w:rPr>
          <w:sz w:val="20"/>
          <w:szCs w:val="20"/>
          <w:color w:val="auto"/>
        </w:rPr>
      </w:pPr>
      <w:r>
        <w:rPr>
          <w:rFonts w:ascii="Arial" w:cs="Arial" w:eastAsia="Arial" w:hAnsi="Arial"/>
          <w:sz w:val="18"/>
          <w:szCs w:val="18"/>
          <w:color w:val="auto"/>
        </w:rPr>
        <w:t>Our existing credit facility contains, and the new credit facilities will contain, restrictive covenants and cross default provisions that require us to maintain specified financial ratios. Our ability to satisfy those financial ratios can be affected by events beyond our control, and we cannot be assured we will satisfy those ratios. A breach of any of these financial ratio covenants or other covenants could result in a default. Upon the occurrence of an event of default, the lenders could elect to declare the applicable outstanding indebtedness due immediately and payable and terminate all commitments to extend further credit. We cannot be sure that our lenders would waive a default or that we could pay the indebtedness in full if it were accelerated.</w:t>
      </w:r>
    </w:p>
    <w:p>
      <w:pPr>
        <w:spacing w:after="0" w:line="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Ownership Concentration</w:t>
      </w:r>
    </w:p>
    <w:p>
      <w:pPr>
        <w:spacing w:after="0" w:line="139" w:lineRule="exact"/>
        <w:rPr>
          <w:sz w:val="20"/>
          <w:szCs w:val="20"/>
          <w:color w:val="auto"/>
        </w:rPr>
      </w:pPr>
    </w:p>
    <w:p>
      <w:pPr>
        <w:ind w:left="700" w:right="420" w:firstLine="402"/>
        <w:spacing w:after="0"/>
        <w:rPr>
          <w:sz w:val="20"/>
          <w:szCs w:val="20"/>
          <w:color w:val="auto"/>
        </w:rPr>
      </w:pPr>
      <w:r>
        <w:rPr>
          <w:rFonts w:ascii="Arial" w:cs="Arial" w:eastAsia="Arial" w:hAnsi="Arial"/>
          <w:sz w:val="18"/>
          <w:szCs w:val="18"/>
          <w:color w:val="auto"/>
        </w:rPr>
        <w:t>Hagedorn Partnership, L.P. beneficially owned approximately 31% of our outstanding common shares as of November 28, 2006, and has sufficient voting power to significantly influence the election of directors and the approval of other actions requiring the approval of our shareholders.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Regulatory and Environmental</w:t>
      </w:r>
    </w:p>
    <w:p>
      <w:pPr>
        <w:spacing w:after="0" w:line="139"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be registered with the U.S. EPA (and similar state agencies) before they can be sold. The inability to obtain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w:t>
      </w:r>
    </w:p>
    <w:p>
      <w:pPr>
        <w:spacing w:after="0" w:line="109"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The Food Quality Protection Act, enacted by the U.S. Congress in August 1996, establishes a standard for food-use pesticides, which standard is the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For example, in December 2000, the U.S. EPA reached agreement with various parties, including manufacturers of the active ingredient diazinon, regarding a phased withdrawal from retailers by December 2004 of residential uses of products containing diazinon, also used in our lawn and garden products. We cannot predict the outcome or the severity of the effect of their continuing evaluations.</w:t>
      </w:r>
    </w:p>
    <w:p>
      <w:pPr>
        <w:spacing w:after="0" w:line="112" w:lineRule="exact"/>
        <w:rPr>
          <w:sz w:val="20"/>
          <w:szCs w:val="20"/>
          <w:color w:val="auto"/>
        </w:rPr>
      </w:pPr>
    </w:p>
    <w:p>
      <w:pPr>
        <w:ind w:left="700" w:right="20" w:firstLine="402"/>
        <w:spacing w:after="0" w:line="252" w:lineRule="auto"/>
        <w:rPr>
          <w:sz w:val="20"/>
          <w:szCs w:val="20"/>
          <w:color w:val="auto"/>
        </w:rPr>
      </w:pPr>
      <w:r>
        <w:rPr>
          <w:rFonts w:ascii="Arial" w:cs="Arial" w:eastAsia="Arial" w:hAnsi="Arial"/>
          <w:sz w:val="17"/>
          <w:szCs w:val="17"/>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may require users to post notices on properties to which products have been or will be applied, may require notification to individuals in the vicinity that products will be applied in the future or may ban the use of certain ingredients.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00" w:lineRule="exact"/>
        <w:rPr>
          <w:sz w:val="20"/>
          <w:szCs w:val="20"/>
          <w:color w:val="auto"/>
        </w:rPr>
      </w:pPr>
    </w:p>
    <w:p>
      <w:pPr>
        <w:ind w:left="700" w:right="240" w:firstLine="402"/>
        <w:spacing w:after="0" w:line="239" w:lineRule="auto"/>
        <w:rPr>
          <w:sz w:val="20"/>
          <w:szCs w:val="20"/>
          <w:color w:val="auto"/>
        </w:rPr>
      </w:pPr>
      <w:r>
        <w:rPr>
          <w:rFonts w:ascii="Arial" w:cs="Arial" w:eastAsia="Arial" w:hAnsi="Arial"/>
          <w:sz w:val="18"/>
          <w:szCs w:val="18"/>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07" w:lineRule="exact"/>
        <w:rPr>
          <w:sz w:val="20"/>
          <w:szCs w:val="20"/>
          <w:color w:val="auto"/>
        </w:rPr>
      </w:pPr>
    </w:p>
    <w:p>
      <w:pPr>
        <w:ind w:left="700" w:right="60" w:firstLine="402"/>
        <w:spacing w:after="0" w:line="246"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handling and storage of waste, air and water discharges from our facilities.</w:t>
      </w:r>
    </w:p>
    <w:p>
      <w:pPr>
        <w:spacing w:after="0" w:line="102" w:lineRule="exact"/>
        <w:rPr>
          <w:sz w:val="20"/>
          <w:szCs w:val="20"/>
          <w:color w:val="auto"/>
        </w:rPr>
      </w:pPr>
    </w:p>
    <w:p>
      <w:pPr>
        <w:ind w:left="700" w:right="540" w:firstLine="402"/>
        <w:spacing w:after="0" w:line="275" w:lineRule="auto"/>
        <w:rPr>
          <w:sz w:val="20"/>
          <w:szCs w:val="20"/>
          <w:color w:val="auto"/>
        </w:rPr>
      </w:pPr>
      <w:r>
        <w:rPr>
          <w:rFonts w:ascii="Arial" w:cs="Arial" w:eastAsia="Arial" w:hAnsi="Arial"/>
          <w:sz w:val="17"/>
          <w:szCs w:val="17"/>
          <w:color w:val="auto"/>
        </w:rPr>
        <w:t>The adequacy of our current environmental reserves and future provisions is based on our operating in substantial compliance with applicable environmental and public health laws and regulations and several significant assumptions:</w:t>
      </w:r>
    </w:p>
    <w:p>
      <w:pPr>
        <w:spacing w:after="0" w:line="79"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have identified all of the significant sites that must be remediated;</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there are no significant conditions of potential contamination that are unknown to us; and</w:t>
      </w:r>
    </w:p>
    <w:p>
      <w:pPr>
        <w:spacing w:after="0" w:line="103" w:lineRule="exact"/>
        <w:rPr>
          <w:rFonts w:ascii="Arial" w:cs="Arial" w:eastAsia="Arial" w:hAnsi="Arial"/>
          <w:sz w:val="18"/>
          <w:szCs w:val="18"/>
          <w:color w:val="auto"/>
        </w:rPr>
      </w:pPr>
    </w:p>
    <w:p>
      <w:pPr>
        <w:ind w:left="1300" w:right="1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108" w:lineRule="exact"/>
        <w:rPr>
          <w:sz w:val="20"/>
          <w:szCs w:val="20"/>
          <w:color w:val="auto"/>
        </w:rPr>
      </w:pPr>
    </w:p>
    <w:p>
      <w:pPr>
        <w:ind w:left="700" w:right="40" w:firstLine="402"/>
        <w:spacing w:after="0" w:line="243" w:lineRule="auto"/>
        <w:rPr>
          <w:sz w:val="20"/>
          <w:szCs w:val="20"/>
          <w:color w:val="auto"/>
        </w:rPr>
      </w:pPr>
      <w:r>
        <w:rPr>
          <w:rFonts w:ascii="Arial" w:cs="Arial" w:eastAsia="Arial" w:hAnsi="Arial"/>
          <w:sz w:val="18"/>
          <w:szCs w:val="18"/>
          <w:color w:val="auto"/>
        </w:rPr>
        <w:t xml:space="preserve">If there is a significant change in the facts and circumstances surrounding these assumptions or if we are found not to be in substantial compliance with applicable environmental and </w:t>
      </w:r>
      <w:r>
        <w:rPr>
          <w:rFonts w:ascii="Arial" w:cs="Arial" w:eastAsia="Arial" w:hAnsi="Arial"/>
          <w:sz w:val="18"/>
          <w:szCs w:val="18"/>
          <w:u w:val="single" w:color="auto"/>
          <w:color w:val="auto"/>
        </w:rPr>
        <w:t>publ</w:t>
      </w:r>
      <w:r>
        <w:rPr>
          <w:rFonts w:ascii="Arial" w:cs="Arial" w:eastAsia="Arial" w:hAnsi="Arial"/>
          <w:sz w:val="18"/>
          <w:szCs w:val="18"/>
          <w:color w:val="auto"/>
        </w:rPr>
        <w:t>ic health laws</w:t>
      </w:r>
    </w:p>
    <w:p>
      <w:pPr>
        <w:ind w:left="5660"/>
        <w:spacing w:after="0"/>
        <w:rPr>
          <w:sz w:val="20"/>
          <w:szCs w:val="20"/>
          <w:color w:val="auto"/>
        </w:rPr>
      </w:pPr>
      <w:r>
        <w:rPr>
          <w:rFonts w:ascii="Arial" w:cs="Arial" w:eastAsia="Arial" w:hAnsi="Arial"/>
          <w:sz w:val="11"/>
          <w:szCs w:val="11"/>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580"/>
        <w:spacing w:after="0" w:line="246" w:lineRule="auto"/>
        <w:rPr>
          <w:sz w:val="20"/>
          <w:szCs w:val="20"/>
          <w:color w:val="auto"/>
        </w:rPr>
      </w:pPr>
      <w:r>
        <w:rPr>
          <w:rFonts w:ascii="Arial" w:cs="Arial" w:eastAsia="Arial" w:hAnsi="Arial"/>
          <w:sz w:val="18"/>
          <w:szCs w:val="18"/>
          <w:color w:val="auto"/>
        </w:rPr>
        <w:t>and regulations, it could have a material impact on future environmental capital expenditures and other environmental expenses and our results of operations, financial position and cash flows.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European Economic Conditions and Foreign Currency Exposures</w:t>
      </w:r>
    </w:p>
    <w:p>
      <w:pPr>
        <w:spacing w:after="0" w:line="139" w:lineRule="exact"/>
        <w:rPr>
          <w:sz w:val="20"/>
          <w:szCs w:val="20"/>
          <w:color w:val="auto"/>
        </w:rPr>
      </w:pPr>
    </w:p>
    <w:p>
      <w:pPr>
        <w:ind w:left="700" w:right="120" w:firstLine="397"/>
        <w:spacing w:after="0"/>
        <w:rPr>
          <w:sz w:val="20"/>
          <w:szCs w:val="20"/>
          <w:color w:val="auto"/>
        </w:rPr>
      </w:pPr>
      <w:r>
        <w:rPr>
          <w:rFonts w:ascii="Arial" w:cs="Arial" w:eastAsia="Arial" w:hAnsi="Arial"/>
          <w:sz w:val="18"/>
          <w:szCs w:val="18"/>
          <w:color w:val="auto"/>
        </w:rPr>
        <w:t>We currently operate manufacturing, sales and service facilities outside of North America, particularly in the United Kingdom, Germany, France and the Netherlands. In fiscal 2006, International net sales accounted for approximately 15% of our total net sales. Accordingly, we are subject to risks associated with operations in foreign countries, including:</w:t>
      </w:r>
    </w:p>
    <w:p>
      <w:pPr>
        <w:spacing w:after="0" w:line="108"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 and</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17" w:lineRule="exact"/>
        <w:rPr>
          <w:sz w:val="20"/>
          <w:szCs w:val="20"/>
          <w:color w:val="auto"/>
        </w:rPr>
      </w:pPr>
    </w:p>
    <w:p>
      <w:pPr>
        <w:ind w:left="700" w:right="20" w:firstLine="397"/>
        <w:spacing w:after="0" w:line="239"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Restructuring Activities</w:t>
      </w:r>
    </w:p>
    <w:p>
      <w:pPr>
        <w:spacing w:after="0" w:line="139" w:lineRule="exact"/>
        <w:rPr>
          <w:sz w:val="20"/>
          <w:szCs w:val="20"/>
          <w:color w:val="auto"/>
        </w:rPr>
      </w:pPr>
    </w:p>
    <w:p>
      <w:pPr>
        <w:ind w:left="700" w:right="40" w:firstLine="397"/>
        <w:spacing w:after="0" w:line="238" w:lineRule="auto"/>
        <w:rPr>
          <w:sz w:val="20"/>
          <w:szCs w:val="20"/>
          <w:color w:val="auto"/>
        </w:rPr>
      </w:pPr>
      <w:r>
        <w:rPr>
          <w:rFonts w:ascii="Arial" w:cs="Arial" w:eastAsia="Arial" w:hAnsi="Arial"/>
          <w:sz w:val="18"/>
          <w:szCs w:val="18"/>
          <w:color w:val="auto"/>
        </w:rPr>
        <w:t>In June 2005, we commenced a long-term strategic improvement plan, focused on improving organizational effectiveness, implementing better business processes and reducing selling, general and administrative (“SG&amp;A”) expenses. This reorganization places significant pressure on many SG&amp;A functions to reduce headcount and streamline activities. While management believes these efforts will ultimately generate even stronger financial results, there can be no assurance that the plan will achieve all of its expected savings.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Pressures</w:t>
      </w:r>
    </w:p>
    <w:p>
      <w:pPr>
        <w:spacing w:after="0" w:line="139" w:lineRule="exact"/>
        <w:rPr>
          <w:sz w:val="20"/>
          <w:szCs w:val="20"/>
          <w:color w:val="auto"/>
        </w:rPr>
      </w:pPr>
    </w:p>
    <w:p>
      <w:pPr>
        <w:ind w:left="700" w:right="100" w:firstLine="397"/>
        <w:spacing w:after="0" w:line="238" w:lineRule="auto"/>
        <w:rPr>
          <w:sz w:val="20"/>
          <w:szCs w:val="20"/>
          <w:color w:val="auto"/>
        </w:rPr>
      </w:pPr>
      <w:r>
        <w:rPr>
          <w:rFonts w:ascii="Arial" w:cs="Arial" w:eastAsia="Arial" w:hAnsi="Arial"/>
          <w:sz w:val="18"/>
          <w:szCs w:val="18"/>
          <w:color w:val="auto"/>
        </w:rPr>
        <w:t>Our ability to manage our cost structure can be adversely affected by movements in commodity and other raw material prices, such as those experienced in fiscal 2006. Market conditions may limit the Company’s ability to raise selling prices to offset increases in our input costs. The uniqueness of our technologies can limit our ability to locate alternative supplies for certain products. For certain materials, new sources of supply may have to be qualified under regulatory standards, which can require additional investment and delay bringing the product to market.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Manufacturing</w:t>
      </w:r>
    </w:p>
    <w:p>
      <w:pPr>
        <w:spacing w:after="0" w:line="139" w:lineRule="exact"/>
        <w:rPr>
          <w:sz w:val="20"/>
          <w:szCs w:val="20"/>
          <w:color w:val="auto"/>
        </w:rPr>
      </w:pPr>
    </w:p>
    <w:p>
      <w:pPr>
        <w:ind w:left="700" w:right="140" w:firstLine="397"/>
        <w:spacing w:after="0" w:line="239" w:lineRule="auto"/>
        <w:rPr>
          <w:sz w:val="20"/>
          <w:szCs w:val="20"/>
          <w:color w:val="auto"/>
        </w:rPr>
      </w:pPr>
      <w:r>
        <w:rPr>
          <w:rFonts w:ascii="Arial" w:cs="Arial" w:eastAsia="Arial" w:hAnsi="Arial"/>
          <w:sz w:val="18"/>
          <w:szCs w:val="18"/>
          <w:color w:val="auto"/>
        </w:rPr>
        <w:t>We use a combination of internal and outsourced facilities to manufacture our products. We are subject to the inherent risks in such activities, including product quality, safety, licensing requirements and other regulatory issues, environmental events, loss or impairment of key manufacturing sites, disruptions in logistics, labor disputes and industrial accidents. Furthermore, we are subject to natural disasters and other factors over which the Company has no control.</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Acquisitions</w:t>
      </w:r>
    </w:p>
    <w:p>
      <w:pPr>
        <w:spacing w:after="0" w:line="137"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color w:val="auto"/>
        </w:rPr>
        <w:t>From time to time we make strategic acquisitions, including the October 2004 acquisition of Smith &amp; Hawken</w:t>
      </w:r>
      <w:r>
        <w:rPr>
          <w:rFonts w:ascii="Arial" w:cs="Arial" w:eastAsia="Arial" w:hAnsi="Arial"/>
          <w:sz w:val="15"/>
          <w:szCs w:val="15"/>
          <w:color w:val="auto"/>
        </w:rPr>
        <w:t>®</w:t>
      </w:r>
      <w:r>
        <w:rPr>
          <w:rFonts w:ascii="Arial" w:cs="Arial" w:eastAsia="Arial" w:hAnsi="Arial"/>
          <w:sz w:val="18"/>
          <w:szCs w:val="18"/>
          <w:color w:val="auto"/>
        </w:rPr>
        <w:t>, the October 2005 acquisition of Rod McLellan Company (RMC), the November 2005 acquisition of Gutwein (Morning Song</w:t>
      </w:r>
      <w:r>
        <w:rPr>
          <w:rFonts w:ascii="Arial" w:cs="Arial" w:eastAsia="Arial" w:hAnsi="Arial"/>
          <w:sz w:val="15"/>
          <w:szCs w:val="15"/>
          <w:color w:val="auto"/>
        </w:rPr>
        <w:t>®</w:t>
      </w:r>
      <w:r>
        <w:rPr>
          <w:rFonts w:ascii="Arial" w:cs="Arial" w:eastAsia="Arial" w:hAnsi="Arial"/>
          <w:sz w:val="18"/>
          <w:szCs w:val="18"/>
          <w:color w:val="auto"/>
        </w:rPr>
        <w:t>), the May 2006 acquisition of certain assets of Turf-Seed, Inc. and the June 2006 acquisition of certain assets of the Landmark Seed Company. Acquisitions have inherent risks, such as obtaining necessary regulatory approvals, retaining key personnel, integration of the acquired business, and achievement of planned synergies and projections. We have approximately $880 million of goodwill and intangible assets as of September 30, 2006, primarily related to prior acquisitions. Uncertainty regarding the future performance of the acquired businesses also results in the risk of future impairment charges related to the associated goodwill and intangible assets.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139" w:lineRule="exact"/>
        <w:rPr>
          <w:sz w:val="20"/>
          <w:szCs w:val="20"/>
          <w:color w:val="auto"/>
        </w:rPr>
      </w:pPr>
    </w:p>
    <w:p>
      <w:pPr>
        <w:ind w:left="700" w:firstLine="402"/>
        <w:spacing w:after="0"/>
        <w:rPr>
          <w:sz w:val="20"/>
          <w:szCs w:val="20"/>
          <w:color w:val="auto"/>
        </w:rPr>
      </w:pPr>
      <w:r>
        <w:rPr>
          <w:rFonts w:ascii="Arial" w:cs="Arial" w:eastAsia="Arial" w:hAnsi="Arial"/>
          <w:sz w:val="18"/>
          <w:szCs w:val="18"/>
          <w:color w:val="auto"/>
        </w:rPr>
        <w:t>We lease land from the Union County Community Improvement Corporation in Marysville, Ohio for our headquarters and for our research and development facilities. We own property in Marysville, Ohio for our manufacturing and distribution facilities. Combined, these facilities are situated on approximately 875 acres of land.</w:t>
      </w:r>
    </w:p>
    <w:p>
      <w:pPr>
        <w:spacing w:after="0" w:line="108"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The North America segment owns two additional research facilities located in Apopka, Florida; and Gervais, Oregon. We own a production facility, which encompasses 27 acres, in Fort Madison, Iowa and lease a spreader and other durable components manufacturing facility in Temecula, California. We also lease a controlled-release fertilizer manufacturing facility in Charleston, South Carolina. We operate 26 growing media facilities in North America — 19 of which are owned by us and five of which are leased. Most of our growing media facilities include production lines, warehouses, offices and field processing areas. We lease sales offices in Atlanta, Georgia; Troy, Michigan; Mooresville, North Carolina; Rolling Meadows, Illinois; and Bentonville, Arkansas. We also lease a facility in Mississauga, Ontario that serves as the headquarters for our Canadian subsidiary.</w:t>
      </w:r>
    </w:p>
    <w:p>
      <w:pPr>
        <w:spacing w:after="0" w:line="11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owns an office in Albany, Oregon for Landmark Seed.</w:t>
      </w:r>
    </w:p>
    <w:p>
      <w:pPr>
        <w:spacing w:after="0" w:line="115" w:lineRule="exact"/>
        <w:rPr>
          <w:sz w:val="20"/>
          <w:szCs w:val="20"/>
          <w:color w:val="auto"/>
        </w:rPr>
      </w:pPr>
    </w:p>
    <w:p>
      <w:pPr>
        <w:ind w:left="700" w:right="80" w:firstLine="402"/>
        <w:spacing w:after="0" w:line="249"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conducts its company-owned operations from 77 leased facilities, primarily office/warehouse units in industrial/office parks, across the United States serving 44 metropolitan markets.</w:t>
      </w:r>
    </w:p>
    <w:p>
      <w:pPr>
        <w:spacing w:after="0" w:line="97" w:lineRule="exact"/>
        <w:rPr>
          <w:sz w:val="20"/>
          <w:szCs w:val="20"/>
          <w:color w:val="auto"/>
        </w:rPr>
      </w:pPr>
    </w:p>
    <w:p>
      <w:pPr>
        <w:ind w:left="700" w:firstLine="402"/>
        <w:spacing w:after="0" w:line="249" w:lineRule="auto"/>
        <w:rPr>
          <w:sz w:val="20"/>
          <w:szCs w:val="20"/>
          <w:color w:val="auto"/>
        </w:rPr>
      </w:pPr>
      <w:r>
        <w:rPr>
          <w:rFonts w:ascii="Arial" w:cs="Arial" w:eastAsia="Arial" w:hAnsi="Arial"/>
          <w:sz w:val="18"/>
          <w:szCs w:val="18"/>
          <w:color w:val="auto"/>
        </w:rPr>
        <w:t>Smith &amp; Hawken</w:t>
      </w:r>
      <w:r>
        <w:rPr>
          <w:rFonts w:ascii="Arial" w:cs="Arial" w:eastAsia="Arial" w:hAnsi="Arial"/>
          <w:sz w:val="15"/>
          <w:szCs w:val="15"/>
          <w:color w:val="auto"/>
        </w:rPr>
        <w:t>®</w:t>
      </w:r>
      <w:r>
        <w:rPr>
          <w:rFonts w:ascii="Arial" w:cs="Arial" w:eastAsia="Arial" w:hAnsi="Arial"/>
          <w:sz w:val="18"/>
          <w:szCs w:val="18"/>
          <w:color w:val="auto"/>
        </w:rPr>
        <w:t xml:space="preserve"> operates 58 retail stores, which are all leased facilities primarily in shopping centers across the United States. It leases its main headquarters in Novato, California.</w:t>
      </w:r>
    </w:p>
    <w:p>
      <w:pPr>
        <w:spacing w:after="0" w:line="100" w:lineRule="exact"/>
        <w:rPr>
          <w:sz w:val="20"/>
          <w:szCs w:val="20"/>
          <w:color w:val="auto"/>
        </w:rPr>
      </w:pPr>
    </w:p>
    <w:p>
      <w:pPr>
        <w:ind w:left="700" w:right="60" w:firstLine="402"/>
        <w:spacing w:after="0" w:line="236" w:lineRule="auto"/>
        <w:rPr>
          <w:sz w:val="20"/>
          <w:szCs w:val="20"/>
          <w:color w:val="auto"/>
        </w:rPr>
      </w:pPr>
      <w:r>
        <w:rPr>
          <w:rFonts w:ascii="Arial" w:cs="Arial" w:eastAsia="Arial" w:hAnsi="Arial"/>
          <w:sz w:val="18"/>
          <w:szCs w:val="18"/>
          <w:color w:val="auto"/>
        </w:rPr>
        <w:t>The International segment leases its U.K. office, located in Godalming (Surrey); its French headquarters and local operations office, located in Ecully (Lyon); a German office, located in Ingelheim; an Austrian office, located in Salzburg; and an Australian office, located in Baulkan Hills (New South Wales). We own manufacturing facilities in Howden and Hatfield (East Yorkshire) in the United Kingdom. We also own a blending and bagging facility for growing media in Hautmont, France; and a plant in Bourth, France, that we use for formulating, blending and packaging control products for the consumer market. We lease a research and development facility in Chazay, France. Our site in Heerlen, the Netherlands is both a distribution center and a manufacturing site for coated fertilizers for the consumer and professional markets. We own the land and the building for the manufacturing facility, but lease the distribution center building. The International segment leases its professional office, located in Waardenburg, the Netherlands. We own research and development facilities in Levington and Bramford in the United Kingdom. We lease a sales office in Sint Niklaas, Belgium.</w:t>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lease warehouse space throughout the United States and continental Europe as needed.</w:t>
      </w:r>
    </w:p>
    <w:p>
      <w:pPr>
        <w:spacing w:after="0" w:line="117" w:lineRule="exact"/>
        <w:rPr>
          <w:sz w:val="20"/>
          <w:szCs w:val="20"/>
          <w:color w:val="auto"/>
        </w:rPr>
      </w:pPr>
    </w:p>
    <w:p>
      <w:pPr>
        <w:ind w:left="700" w:right="360" w:firstLine="402"/>
        <w:spacing w:after="0" w:line="246" w:lineRule="auto"/>
        <w:rPr>
          <w:sz w:val="20"/>
          <w:szCs w:val="20"/>
          <w:color w:val="auto"/>
        </w:rPr>
      </w:pPr>
      <w:r>
        <w:rPr>
          <w:rFonts w:ascii="Arial" w:cs="Arial" w:eastAsia="Arial" w:hAnsi="Arial"/>
          <w:sz w:val="18"/>
          <w:szCs w:val="18"/>
          <w:color w:val="auto"/>
        </w:rPr>
        <w:t>We believe that our facilities are adequate to serve their intended purposes at this time and that our property leasing arrangements are satisfactory.</w:t>
      </w:r>
    </w:p>
    <w:p>
      <w:pPr>
        <w:spacing w:after="0" w:line="188"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3.</w:t>
        <w:tab/>
        <w:t>LEGAL PROCEEDINGS</w:t>
      </w:r>
    </w:p>
    <w:p>
      <w:pPr>
        <w:spacing w:after="0" w:line="139" w:lineRule="exact"/>
        <w:rPr>
          <w:sz w:val="20"/>
          <w:szCs w:val="20"/>
          <w:color w:val="auto"/>
        </w:rPr>
      </w:pPr>
    </w:p>
    <w:p>
      <w:pPr>
        <w:ind w:left="700" w:right="80" w:firstLine="402"/>
        <w:spacing w:after="0" w:line="238" w:lineRule="auto"/>
        <w:rPr>
          <w:sz w:val="20"/>
          <w:szCs w:val="20"/>
          <w:color w:val="auto"/>
        </w:rPr>
      </w:pPr>
      <w:r>
        <w:rPr>
          <w:rFonts w:ascii="Arial" w:cs="Arial" w:eastAsia="Arial" w:hAnsi="Arial"/>
          <w:sz w:val="18"/>
          <w:szCs w:val="18"/>
          <w:color w:val="auto"/>
        </w:rPr>
        <w:t>As noted in the discussion in “ITEM 1. BUSINESS — Environmental and Regulatory Considerations” and “ITEM 1. BUSINESS — Regulatory Actions,”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10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Pending material legal proceedings are as follows: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U.S. Horticultural Supply, Inc. (F/K/A E.C. Geiger, Inc.)</w:t>
      </w:r>
    </w:p>
    <w:p>
      <w:pPr>
        <w:spacing w:after="0" w:line="144" w:lineRule="exact"/>
        <w:rPr>
          <w:sz w:val="20"/>
          <w:szCs w:val="20"/>
          <w:color w:val="auto"/>
        </w:rPr>
      </w:pPr>
    </w:p>
    <w:p>
      <w:pPr>
        <w:ind w:left="700" w:right="80" w:firstLine="402"/>
        <w:spacing w:after="0" w:line="237"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 1 of the Sherman Antitrust Act. Geiger has not specified the amount of monetary damages it is seeking. On June 2, 2006, the Court denied the Company’s motion to dismiss the complaint. The Company is currently engaged in discovery relating to Geiger’s claim. The deadline for fact discovery is March 8, 2007.</w:t>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419" w:right="9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color w:val="auto"/>
        </w:rPr>
        <w:t>The Company intends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Because Geiger has not specified an amount of monetary damages in the case (which may be trebled under the antitrust statutes) and discovery has not yet concluded, any potential exposure that the Company may face cannot be reasonably estimated at this time.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The Scotts Company LLC v. Liberty Mutual Insurance Company</w:t>
      </w:r>
    </w:p>
    <w:p>
      <w:pPr>
        <w:spacing w:after="0" w:line="144" w:lineRule="exact"/>
        <w:rPr>
          <w:sz w:val="20"/>
          <w:szCs w:val="20"/>
          <w:color w:val="auto"/>
        </w:rPr>
      </w:pPr>
    </w:p>
    <w:p>
      <w:pPr>
        <w:ind w:left="700" w:right="120" w:firstLine="397"/>
        <w:spacing w:after="0" w:line="239" w:lineRule="auto"/>
        <w:rPr>
          <w:sz w:val="20"/>
          <w:szCs w:val="20"/>
          <w:color w:val="auto"/>
        </w:rPr>
      </w:pPr>
      <w:r>
        <w:rPr>
          <w:rFonts w:ascii="Arial" w:cs="Arial" w:eastAsia="Arial" w:hAnsi="Arial"/>
          <w:sz w:val="18"/>
          <w:szCs w:val="18"/>
          <w:color w:val="auto"/>
        </w:rPr>
        <w:t>On October 25, 2006, Scotts LLC sued Liberty Mutual Insurance Company in the U.S. District Court for the Southern District of Ohio. In the suit, Scotts LLC seeks damages and the rescission of a 2000 agreement between Scotts and Liberty Mutual that purports to be a complete buyout by Scotts of any insurance policies that Liberty Mutual might have issued to Scotts LLC (the “2000 Agreement”).</w:t>
      </w:r>
    </w:p>
    <w:p>
      <w:pPr>
        <w:spacing w:after="0" w:line="107" w:lineRule="exact"/>
        <w:rPr>
          <w:sz w:val="20"/>
          <w:szCs w:val="20"/>
          <w:color w:val="auto"/>
        </w:rPr>
      </w:pPr>
    </w:p>
    <w:p>
      <w:pPr>
        <w:ind w:left="700" w:right="20" w:firstLine="397"/>
        <w:spacing w:after="0" w:line="236" w:lineRule="auto"/>
        <w:rPr>
          <w:sz w:val="20"/>
          <w:szCs w:val="20"/>
          <w:color w:val="auto"/>
        </w:rPr>
      </w:pPr>
      <w:r>
        <w:rPr>
          <w:rFonts w:ascii="Arial" w:cs="Arial" w:eastAsia="Arial" w:hAnsi="Arial"/>
          <w:sz w:val="18"/>
          <w:szCs w:val="18"/>
          <w:color w:val="auto"/>
        </w:rPr>
        <w:t>As alleged in Scotts LLC’s complaint, in 1998, Scotts tendered certain claims to Liberty Mutual, one of its primary-layer insurers, in connection with costs incurred by Scotts LLC for environmental liabilities. Scotts believed that it had coverage from Liberty Mutual for at least 10 years beginning in 1958 but could only locate a single policy from 1967. Liberty Mutual responded to Scotts LLC’s tender by stating that, after conducting an internal search, Liberty Mutual did not have sufficient evidence to establish that it had ever insured Scotts LLC before 1967. Based on Liberty Mutual’s representations and Scotts LLC’s inability to locate any additional Liberty Mutual policies in Scotts LLC’s own files, Scotts LLC eventually entered into the 2000 Agreement. According to Scotts LLC’s complaint, in Fall 2006, Scotts LLC discovered evidence confirming that, contrary to its representations during the negotiations leading to the 2000 Agreement, Liberty Mutual provided liability insurance to Scotts LLC beginning in at least 1958 and, in fact, paid claims to third parties on Scotts LLC’s behalf during that period.</w:t>
      </w:r>
    </w:p>
    <w:p>
      <w:pPr>
        <w:spacing w:after="0" w:line="112" w:lineRule="exact"/>
        <w:rPr>
          <w:sz w:val="20"/>
          <w:szCs w:val="20"/>
          <w:color w:val="auto"/>
        </w:rPr>
      </w:pPr>
    </w:p>
    <w:p>
      <w:pPr>
        <w:ind w:left="700" w:right="40" w:firstLine="397"/>
        <w:spacing w:after="0" w:line="239" w:lineRule="auto"/>
        <w:rPr>
          <w:sz w:val="20"/>
          <w:szCs w:val="20"/>
          <w:color w:val="auto"/>
        </w:rPr>
      </w:pPr>
      <w:r>
        <w:rPr>
          <w:rFonts w:ascii="Arial" w:cs="Arial" w:eastAsia="Arial" w:hAnsi="Arial"/>
          <w:sz w:val="18"/>
          <w:szCs w:val="18"/>
          <w:color w:val="auto"/>
        </w:rPr>
        <w:t>The complaint seeks rescission of the 2000 Agreement and seeks damages based on Liberty Mutual’s breach of fiduciary duty, fraud, breach of the implied covenant of good faith and fair dealing, and bad faith denial of coverage. Scotts LLC intends to prosecute these claims vigorously. Liberty Mutual has filed an answer that denies the complaint’s allegations. Discovery recently began in the case and the Court has not set a trial date.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w:t>
      </w:r>
    </w:p>
    <w:p>
      <w:pPr>
        <w:spacing w:after="0" w:line="144" w:lineRule="exact"/>
        <w:rPr>
          <w:sz w:val="20"/>
          <w:szCs w:val="20"/>
          <w:color w:val="auto"/>
        </w:rPr>
      </w:pPr>
    </w:p>
    <w:p>
      <w:pPr>
        <w:ind w:left="700" w:firstLine="397"/>
        <w:spacing w:after="0" w:line="236" w:lineRule="auto"/>
        <w:rPr>
          <w:sz w:val="20"/>
          <w:szCs w:val="20"/>
          <w:color w:val="auto"/>
        </w:rPr>
      </w:pPr>
      <w:r>
        <w:rPr>
          <w:rFonts w:ascii="Arial" w:cs="Arial" w:eastAsia="Arial" w:hAnsi="Arial"/>
          <w:sz w:val="18"/>
          <w:szCs w:val="18"/>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them. It is not currently possible to reasonably estimate a probable loss, if any, associated with the cases and, accordingly, no accrual or reserves have been recorded in the Company’s consolidated financial statements.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113" w:lineRule="exact"/>
        <w:rPr>
          <w:sz w:val="20"/>
          <w:szCs w:val="20"/>
          <w:color w:val="auto"/>
        </w:rPr>
      </w:pPr>
    </w:p>
    <w:p>
      <w:pPr>
        <w:jc w:val="both"/>
        <w:ind w:left="700" w:right="400" w:firstLine="397"/>
        <w:spacing w:after="0"/>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although there can be no assurance of the results of these efforts.</w:t>
      </w:r>
    </w:p>
    <w:p>
      <w:pPr>
        <w:spacing w:after="0" w:line="108" w:lineRule="exact"/>
        <w:rPr>
          <w:sz w:val="20"/>
          <w:szCs w:val="20"/>
          <w:color w:val="auto"/>
        </w:rPr>
      </w:pPr>
    </w:p>
    <w:p>
      <w:pPr>
        <w:ind w:left="700" w:right="200" w:firstLine="397"/>
        <w:spacing w:after="0"/>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ITEM 4.  SUBMISSION OF MATTERS TO A VOTE OF SECURITY HOLDERS</w:t>
      </w:r>
    </w:p>
    <w:p>
      <w:pPr>
        <w:spacing w:after="0" w:line="144" w:lineRule="exact"/>
        <w:rPr>
          <w:sz w:val="20"/>
          <w:szCs w:val="20"/>
          <w:color w:val="auto"/>
        </w:rPr>
      </w:pPr>
    </w:p>
    <w:p>
      <w:pPr>
        <w:ind w:left="700" w:right="60" w:firstLine="397"/>
        <w:spacing w:after="0" w:line="246" w:lineRule="auto"/>
        <w:rPr>
          <w:sz w:val="20"/>
          <w:szCs w:val="20"/>
          <w:color w:val="auto"/>
        </w:rPr>
      </w:pPr>
      <w:r>
        <w:rPr>
          <w:rFonts w:ascii="Arial" w:cs="Arial" w:eastAsia="Arial" w:hAnsi="Arial"/>
          <w:sz w:val="18"/>
          <w:szCs w:val="18"/>
          <w:color w:val="auto"/>
        </w:rPr>
        <w:t>There were no matters submitted to a vote of the security holders of The Scotts Miracle-Gro Company during the fourth quarter of fiscal 2006.</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SUPPLEMENTAL ITEM. EXECUTIVE OFFICERS OF THE REGISTRANT</w:t>
      </w:r>
    </w:p>
    <w:p>
      <w:pPr>
        <w:spacing w:after="0" w:line="144" w:lineRule="exact"/>
        <w:rPr>
          <w:sz w:val="20"/>
          <w:szCs w:val="20"/>
          <w:color w:val="auto"/>
        </w:rPr>
      </w:pPr>
    </w:p>
    <w:p>
      <w:pPr>
        <w:ind w:left="700" w:right="300" w:firstLine="397"/>
        <w:spacing w:after="0" w:line="246" w:lineRule="auto"/>
        <w:rPr>
          <w:sz w:val="20"/>
          <w:szCs w:val="20"/>
          <w:color w:val="auto"/>
        </w:rPr>
      </w:pPr>
      <w:r>
        <w:rPr>
          <w:rFonts w:ascii="Arial" w:cs="Arial" w:eastAsia="Arial" w:hAnsi="Arial"/>
          <w:sz w:val="18"/>
          <w:szCs w:val="18"/>
          <w:color w:val="auto"/>
        </w:rPr>
        <w:t>The executive officers of The Scotts Miracle-Gro Company, their positions and, as of November 28, 2006, their ages and years with the Company (and its predecessors) are set forth below.</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Years with</w:t>
            </w:r>
          </w:p>
        </w:tc>
        <w:tc>
          <w:tcPr>
            <w:tcW w:w="0" w:type="dxa"/>
            <w:vAlign w:val="bottom"/>
          </w:tcPr>
          <w:p>
            <w:pPr>
              <w:spacing w:after="0"/>
              <w:rPr>
                <w:sz w:val="1"/>
                <w:szCs w:val="1"/>
                <w:color w:val="auto"/>
              </w:rPr>
            </w:pP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Name</w:t>
            </w:r>
          </w:p>
        </w:tc>
        <w:tc>
          <w:tcPr>
            <w:tcW w:w="1620" w:type="dxa"/>
            <w:vAlign w:val="bottom"/>
          </w:tcPr>
          <w:p>
            <w:pPr>
              <w:jc w:val="center"/>
              <w:ind w:left="970"/>
              <w:spacing w:after="0"/>
              <w:rPr>
                <w:sz w:val="20"/>
                <w:szCs w:val="20"/>
                <w:color w:val="auto"/>
              </w:rPr>
            </w:pPr>
            <w:r>
              <w:rPr>
                <w:rFonts w:ascii="Arial" w:cs="Arial" w:eastAsia="Arial" w:hAnsi="Arial"/>
                <w:sz w:val="18"/>
                <w:szCs w:val="18"/>
                <w:color w:val="auto"/>
                <w:w w:val="99"/>
              </w:rPr>
              <w:t>Age</w:t>
            </w:r>
          </w:p>
        </w:tc>
        <w:tc>
          <w:tcPr>
            <w:tcW w:w="4420" w:type="dxa"/>
            <w:vAlign w:val="bottom"/>
          </w:tcPr>
          <w:p>
            <w:pPr>
              <w:ind w:left="1580"/>
              <w:spacing w:after="0"/>
              <w:rPr>
                <w:sz w:val="20"/>
                <w:szCs w:val="20"/>
                <w:color w:val="auto"/>
              </w:rPr>
            </w:pPr>
            <w:r>
              <w:rPr>
                <w:rFonts w:ascii="Arial" w:cs="Arial" w:eastAsia="Arial" w:hAnsi="Arial"/>
                <w:sz w:val="18"/>
                <w:szCs w:val="18"/>
                <w:color w:val="auto"/>
              </w:rPr>
              <w:t>Position(s) Held</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442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Hagedorn</w:t>
            </w:r>
          </w:p>
        </w:tc>
        <w:tc>
          <w:tcPr>
            <w:tcW w:w="1620" w:type="dxa"/>
            <w:vAlign w:val="bottom"/>
            <w:shd w:val="clear" w:color="auto" w:fill="CCEEFF"/>
          </w:tcPr>
          <w:p>
            <w:pPr>
              <w:jc w:val="center"/>
              <w:ind w:left="970"/>
              <w:spacing w:after="0" w:line="201" w:lineRule="exact"/>
              <w:rPr>
                <w:sz w:val="20"/>
                <w:szCs w:val="20"/>
                <w:color w:val="auto"/>
              </w:rPr>
            </w:pPr>
            <w:r>
              <w:rPr>
                <w:rFonts w:ascii="Arial" w:cs="Arial" w:eastAsia="Arial" w:hAnsi="Arial"/>
                <w:sz w:val="18"/>
                <w:szCs w:val="18"/>
                <w:color w:val="auto"/>
                <w:w w:val="99"/>
              </w:rPr>
              <w:t>51</w:t>
            </w:r>
          </w:p>
        </w:tc>
        <w:tc>
          <w:tcPr>
            <w:tcW w:w="44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President, Chief Executive Officer and Chairman of</w:t>
            </w:r>
          </w:p>
        </w:tc>
        <w:tc>
          <w:tcPr>
            <w:tcW w:w="106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4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the Board</w:t>
            </w: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auto"/>
              </w:rPr>
              <w:t>David C. Evans</w:t>
            </w:r>
          </w:p>
        </w:tc>
        <w:tc>
          <w:tcPr>
            <w:tcW w:w="1620" w:type="dxa"/>
            <w:vAlign w:val="bottom"/>
          </w:tcPr>
          <w:p>
            <w:pPr>
              <w:jc w:val="center"/>
              <w:ind w:left="970"/>
              <w:spacing w:after="0" w:line="202" w:lineRule="exact"/>
              <w:rPr>
                <w:sz w:val="20"/>
                <w:szCs w:val="20"/>
                <w:color w:val="auto"/>
              </w:rPr>
            </w:pPr>
            <w:r>
              <w:rPr>
                <w:rFonts w:ascii="Arial" w:cs="Arial" w:eastAsia="Arial" w:hAnsi="Arial"/>
                <w:sz w:val="18"/>
                <w:szCs w:val="18"/>
                <w:color w:val="auto"/>
                <w:w w:val="99"/>
              </w:rPr>
              <w:t>43</w:t>
            </w:r>
          </w:p>
        </w:tc>
        <w:tc>
          <w:tcPr>
            <w:tcW w:w="442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and Chief Financial Officer</w:t>
            </w:r>
          </w:p>
        </w:tc>
        <w:tc>
          <w:tcPr>
            <w:tcW w:w="10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Christopher L. Nagel</w:t>
            </w:r>
          </w:p>
        </w:tc>
        <w:tc>
          <w:tcPr>
            <w:tcW w:w="1620" w:type="dxa"/>
            <w:vAlign w:val="bottom"/>
            <w:shd w:val="clear" w:color="auto" w:fill="CCEEFF"/>
          </w:tcPr>
          <w:p>
            <w:pPr>
              <w:jc w:val="center"/>
              <w:ind w:left="970"/>
              <w:spacing w:after="0" w:line="201" w:lineRule="exact"/>
              <w:rPr>
                <w:sz w:val="20"/>
                <w:szCs w:val="20"/>
                <w:color w:val="auto"/>
              </w:rPr>
            </w:pPr>
            <w:r>
              <w:rPr>
                <w:rFonts w:ascii="Arial" w:cs="Arial" w:eastAsia="Arial" w:hAnsi="Arial"/>
                <w:sz w:val="18"/>
                <w:szCs w:val="18"/>
                <w:color w:val="auto"/>
                <w:w w:val="99"/>
              </w:rPr>
              <w:t>44</w:t>
            </w:r>
          </w:p>
        </w:tc>
        <w:tc>
          <w:tcPr>
            <w:tcW w:w="44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Executive Vice President, North American</w:t>
            </w:r>
          </w:p>
        </w:tc>
        <w:tc>
          <w:tcPr>
            <w:tcW w:w="106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4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Consumer Business</w:t>
            </w: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David M. Aronowitz</w:t>
            </w:r>
          </w:p>
        </w:tc>
        <w:tc>
          <w:tcPr>
            <w:tcW w:w="1620" w:type="dxa"/>
            <w:vAlign w:val="bottom"/>
          </w:tcPr>
          <w:p>
            <w:pPr>
              <w:jc w:val="center"/>
              <w:ind w:left="970"/>
              <w:spacing w:after="0" w:line="201" w:lineRule="exact"/>
              <w:rPr>
                <w:sz w:val="20"/>
                <w:szCs w:val="20"/>
                <w:color w:val="auto"/>
              </w:rPr>
            </w:pPr>
            <w:r>
              <w:rPr>
                <w:rFonts w:ascii="Arial" w:cs="Arial" w:eastAsia="Arial" w:hAnsi="Arial"/>
                <w:sz w:val="18"/>
                <w:szCs w:val="18"/>
                <w:color w:val="auto"/>
                <w:w w:val="99"/>
              </w:rPr>
              <w:t>50</w:t>
            </w:r>
          </w:p>
        </w:tc>
        <w:tc>
          <w:tcPr>
            <w:tcW w:w="4420" w:type="dxa"/>
            <w:vAlign w:val="bottom"/>
          </w:tcPr>
          <w:p>
            <w:pPr>
              <w:ind w:left="120"/>
              <w:spacing w:after="0" w:line="201" w:lineRule="exact"/>
              <w:rPr>
                <w:sz w:val="20"/>
                <w:szCs w:val="20"/>
                <w:color w:val="auto"/>
              </w:rPr>
            </w:pPr>
            <w:r>
              <w:rPr>
                <w:rFonts w:ascii="Arial" w:cs="Arial" w:eastAsia="Arial" w:hAnsi="Arial"/>
                <w:sz w:val="18"/>
                <w:szCs w:val="18"/>
                <w:color w:val="auto"/>
              </w:rPr>
              <w:t>Executive Vice President, General Counsel and</w:t>
            </w:r>
          </w:p>
        </w:tc>
        <w:tc>
          <w:tcPr>
            <w:tcW w:w="106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20" w:type="dxa"/>
            <w:vAlign w:val="bottom"/>
          </w:tcPr>
          <w:p>
            <w:pPr>
              <w:ind w:left="120"/>
              <w:spacing w:after="0" w:line="203" w:lineRule="exact"/>
              <w:rPr>
                <w:sz w:val="20"/>
                <w:szCs w:val="20"/>
                <w:color w:val="auto"/>
              </w:rPr>
            </w:pPr>
            <w:r>
              <w:rPr>
                <w:rFonts w:ascii="Arial" w:cs="Arial" w:eastAsia="Arial" w:hAnsi="Arial"/>
                <w:sz w:val="18"/>
                <w:szCs w:val="18"/>
                <w:color w:val="auto"/>
              </w:rPr>
              <w:t>Corporate Secretary</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Denise S. Stump</w:t>
            </w:r>
          </w:p>
        </w:tc>
        <w:tc>
          <w:tcPr>
            <w:tcW w:w="1620" w:type="dxa"/>
            <w:vAlign w:val="bottom"/>
            <w:shd w:val="clear" w:color="auto" w:fill="CCEEFF"/>
          </w:tcPr>
          <w:p>
            <w:pPr>
              <w:jc w:val="center"/>
              <w:ind w:left="970"/>
              <w:spacing w:after="0" w:line="202" w:lineRule="exact"/>
              <w:rPr>
                <w:sz w:val="20"/>
                <w:szCs w:val="20"/>
                <w:color w:val="auto"/>
              </w:rPr>
            </w:pPr>
            <w:r>
              <w:rPr>
                <w:rFonts w:ascii="Arial" w:cs="Arial" w:eastAsia="Arial" w:hAnsi="Arial"/>
                <w:sz w:val="18"/>
                <w:szCs w:val="18"/>
                <w:color w:val="auto"/>
                <w:w w:val="99"/>
              </w:rPr>
              <w:t>52</w:t>
            </w:r>
          </w:p>
        </w:tc>
        <w:tc>
          <w:tcPr>
            <w:tcW w:w="44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Executive Vice President, Global Human Resources</w:t>
            </w:r>
          </w:p>
        </w:tc>
        <w:tc>
          <w:tcPr>
            <w:tcW w:w="10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300" w:firstLine="397"/>
        <w:spacing w:after="0" w:line="246" w:lineRule="auto"/>
        <w:rPr>
          <w:sz w:val="20"/>
          <w:szCs w:val="20"/>
          <w:color w:val="auto"/>
        </w:rPr>
      </w:pPr>
      <w:r>
        <w:rPr>
          <w:rFonts w:ascii="Arial" w:cs="Arial" w:eastAsia="Arial" w:hAnsi="Arial"/>
          <w:sz w:val="18"/>
          <w:szCs w:val="18"/>
          <w:color w:val="auto"/>
        </w:rPr>
        <w:t>Executive officers serve at the discretion of the Board of Directors and pursuant to employment agreements or other arrangements.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business experience of each of the individuals listed above during at least the past five years is as follows:</w:t>
      </w:r>
    </w:p>
    <w:p>
      <w:pPr>
        <w:spacing w:after="0" w:line="117" w:lineRule="exact"/>
        <w:rPr>
          <w:sz w:val="20"/>
          <w:szCs w:val="20"/>
          <w:color w:val="auto"/>
        </w:rPr>
      </w:pPr>
    </w:p>
    <w:p>
      <w:pPr>
        <w:ind w:left="700" w:right="80" w:firstLine="397"/>
        <w:spacing w:after="0" w:line="248" w:lineRule="auto"/>
        <w:rPr>
          <w:sz w:val="20"/>
          <w:szCs w:val="20"/>
          <w:color w:val="auto"/>
        </w:rPr>
      </w:pPr>
      <w:r>
        <w:rPr>
          <w:rFonts w:ascii="Arial" w:cs="Arial" w:eastAsia="Arial" w:hAnsi="Arial"/>
          <w:sz w:val="17"/>
          <w:szCs w:val="17"/>
          <w:color w:val="auto"/>
        </w:rPr>
        <w:t>Mr. Hagedorn has been serving as the Chairman of the Board of the Company since January 2003; as Chief Executive Officer of the Company since May 2001 and as President of the Company since November 2006 and from May 2001 until December 2005. The Scotts Miracle-Gro Company became the public company successor to The Scotts Company which was merged into The Scotts Company LLC in March 2005. He also serves as a director for Farms For City Kids Foundation, Inc., Nurse Family Partnership, The CDC Foundation, Embry Riddle/Aeronautical University, Northshore University Hospital (New York), Scotts Miracle-Gro Foundation and the Intrepid Sea-Air-Space Museum, all charitable organizations.</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Hagedorn is the brother of Katherine Hagedorn Littlefield, a director of The Scotts Miracle-Gro Company.</w:t>
      </w:r>
    </w:p>
    <w:p>
      <w:pPr>
        <w:spacing w:after="0" w:line="117" w:lineRule="exact"/>
        <w:rPr>
          <w:sz w:val="20"/>
          <w:szCs w:val="20"/>
          <w:color w:val="auto"/>
        </w:rPr>
      </w:pPr>
    </w:p>
    <w:p>
      <w:pPr>
        <w:ind w:left="700" w:right="300" w:firstLine="397"/>
        <w:spacing w:after="0" w:line="237" w:lineRule="auto"/>
        <w:rPr>
          <w:sz w:val="20"/>
          <w:szCs w:val="20"/>
          <w:color w:val="auto"/>
        </w:rPr>
      </w:pPr>
      <w:r>
        <w:rPr>
          <w:rFonts w:ascii="Arial" w:cs="Arial" w:eastAsia="Arial" w:hAnsi="Arial"/>
          <w:sz w:val="18"/>
          <w:szCs w:val="18"/>
          <w:color w:val="auto"/>
        </w:rPr>
        <w:t>Mr. Evans was named Executive Vice President and Chief Financial Officer of The Scotts Miracle-Gro Company on September 14, 2006. From October 2005 to September 2006, he served as Senior Vice President, Finance and Global Shared Services of The Scotts Company LLC. From October 2003 to March 2005, he served as Senior Vice President, North America of The Scotts Company and from March 2005 to September 2005, he served in the same capacity for The Scotts Company LLC following the merger of The Scotts Company into The Scotts Company LLC. From June 2001 to September 2003, he served as Vice President, Finance, North America Sales of The Scotts Company.</w:t>
      </w:r>
    </w:p>
    <w:p>
      <w:pPr>
        <w:spacing w:after="0" w:line="111" w:lineRule="exact"/>
        <w:rPr>
          <w:sz w:val="20"/>
          <w:szCs w:val="20"/>
          <w:color w:val="auto"/>
        </w:rPr>
      </w:pPr>
    </w:p>
    <w:p>
      <w:pPr>
        <w:ind w:left="700" w:right="60" w:firstLine="397"/>
        <w:spacing w:after="0" w:line="237" w:lineRule="auto"/>
        <w:rPr>
          <w:sz w:val="20"/>
          <w:szCs w:val="20"/>
          <w:color w:val="auto"/>
        </w:rPr>
      </w:pPr>
      <w:r>
        <w:rPr>
          <w:rFonts w:ascii="Arial" w:cs="Arial" w:eastAsia="Arial" w:hAnsi="Arial"/>
          <w:sz w:val="18"/>
          <w:szCs w:val="18"/>
          <w:color w:val="auto"/>
        </w:rPr>
        <w:t>Mr. Nagel was named Executive Vice President, North American Consumer Business of The Scotts Miracle-Gro Company on September 12, 2006. He served as Executive Vice President and Chief Financial Officer of The Scotts Miracle-Gro Company from March 2005 to September 2006. Mr. Nagel was named Executive Vice President in February 2003 and Chief Financial Officer in January 2003 of The Scotts Company, which was merged into The Scotts Company LLC in March 2005. From August 2001 to January 2003, he served as Senior Vice President, North America and Corporate Finance of The Scotts Company. From September 1998 to August 2001, Mr. Nagel served as Vice President and Corporate Controller of The Scotts Company.</w:t>
      </w:r>
    </w:p>
    <w:p>
      <w:pPr>
        <w:spacing w:after="0" w:line="109" w:lineRule="exact"/>
        <w:rPr>
          <w:sz w:val="20"/>
          <w:szCs w:val="20"/>
          <w:color w:val="auto"/>
        </w:rPr>
      </w:pPr>
    </w:p>
    <w:p>
      <w:pPr>
        <w:ind w:left="700" w:right="40" w:firstLine="397"/>
        <w:spacing w:after="0" w:line="253" w:lineRule="auto"/>
        <w:rPr>
          <w:sz w:val="20"/>
          <w:szCs w:val="20"/>
          <w:color w:val="auto"/>
        </w:rPr>
      </w:pPr>
      <w:r>
        <w:rPr>
          <w:rFonts w:ascii="Arial" w:cs="Arial" w:eastAsia="Arial" w:hAnsi="Arial"/>
          <w:sz w:val="17"/>
          <w:szCs w:val="17"/>
          <w:color w:val="auto"/>
        </w:rPr>
        <w:t>Mr. Aronowitz was named Executive Vice President, General Counsel and Corporate Secretary of The Scotts Miracle-Gro Company in March 2005. He was previously named Executive Vice President, General Counsel and Secretary of The Scotts Company in October 2001, which was merged into The Scotts Company LLC in March 2005. He was Senior Vice President, Assistant General Counsel and Assistant Secreta</w:t>
      </w:r>
      <w:r>
        <w:rPr>
          <w:rFonts w:ascii="Arial" w:cs="Arial" w:eastAsia="Arial" w:hAnsi="Arial"/>
          <w:sz w:val="17"/>
          <w:szCs w:val="17"/>
          <w:u w:val="single" w:color="auto"/>
          <w:color w:val="auto"/>
        </w:rPr>
        <w:t>ry o</w:t>
      </w:r>
      <w:r>
        <w:rPr>
          <w:rFonts w:ascii="Arial" w:cs="Arial" w:eastAsia="Arial" w:hAnsi="Arial"/>
          <w:sz w:val="17"/>
          <w:szCs w:val="17"/>
          <w:color w:val="auto"/>
        </w:rPr>
        <w:t>f The Scotts Company from February 2000 to October 2001.</w:t>
      </w:r>
    </w:p>
    <w:p>
      <w:pPr>
        <w:ind w:left="5600"/>
        <w:spacing w:after="0"/>
        <w:rPr>
          <w:sz w:val="20"/>
          <w:szCs w:val="20"/>
          <w:color w:val="auto"/>
        </w:rPr>
      </w:pPr>
      <w:r>
        <w:rPr>
          <w:rFonts w:ascii="Arial" w:cs="Arial" w:eastAsia="Arial" w:hAnsi="Arial"/>
          <w:sz w:val="11"/>
          <w:szCs w:val="11"/>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color w:val="auto"/>
        </w:rPr>
        <w:t>Ms. Stump was named Executive Vice President, Global Human Resources of The Scotts Miracle-Gro Company in March 2005. Ms. Stump was named Executive Vice President, Global Human Resources of The Scotts Company in February 2003, which was merged into The Scotts Company LLC in March 2005. She was named Senior Vice President, Global Human Resources of The Scotts Company in October 2002. From July 2001 until October 2002, Ms. Stump served as Vice President, Human Resources North America, of The Scotts Company. From September 2000 until July 2001, Ms. Stump served as Vice President, Human Resources Tec</w:t>
      </w:r>
      <w:r>
        <w:rPr>
          <w:rFonts w:ascii="Arial" w:cs="Arial" w:eastAsia="Arial" w:hAnsi="Arial"/>
          <w:sz w:val="18"/>
          <w:szCs w:val="18"/>
          <w:u w:val="single" w:color="auto"/>
          <w:color w:val="auto"/>
        </w:rPr>
        <w:t>hno</w:t>
      </w:r>
      <w:r>
        <w:rPr>
          <w:rFonts w:ascii="Arial" w:cs="Arial" w:eastAsia="Arial" w:hAnsi="Arial"/>
          <w:sz w:val="18"/>
          <w:szCs w:val="18"/>
          <w:color w:val="auto"/>
        </w:rPr>
        <w:t>logy and Operations, of The Scotts Company.</w:t>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0"/>
          </w:cols>
          <w:pgMar w:left="240" w:top="419" w:right="1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699"/>
        <w:spacing w:after="0"/>
        <w:rPr>
          <w:sz w:val="20"/>
          <w:szCs w:val="20"/>
          <w:color w:val="auto"/>
        </w:rPr>
      </w:pPr>
      <w:r>
        <w:rPr>
          <w:rFonts w:ascii="Arial" w:cs="Arial" w:eastAsia="Arial" w:hAnsi="Arial"/>
          <w:sz w:val="20"/>
          <w:szCs w:val="20"/>
          <w:b w:val="1"/>
          <w:bCs w:val="1"/>
          <w:color w:val="auto"/>
        </w:rPr>
        <w:t>PART II</w:t>
      </w:r>
    </w:p>
    <w:p>
      <w:pPr>
        <w:spacing w:after="0" w:line="171" w:lineRule="exact"/>
        <w:rPr>
          <w:sz w:val="20"/>
          <w:szCs w:val="20"/>
          <w:color w:val="auto"/>
        </w:rPr>
      </w:pPr>
    </w:p>
    <w:p>
      <w:pPr>
        <w:ind w:left="1400" w:right="140" w:hanging="701"/>
        <w:spacing w:after="0" w:line="286" w:lineRule="auto"/>
        <w:rPr>
          <w:sz w:val="20"/>
          <w:szCs w:val="20"/>
          <w:color w:val="auto"/>
        </w:rPr>
      </w:pPr>
      <w:r>
        <w:rPr>
          <w:rFonts w:ascii="Arial" w:cs="Arial" w:eastAsia="Arial" w:hAnsi="Arial"/>
          <w:sz w:val="16"/>
          <w:szCs w:val="16"/>
          <w:b w:val="1"/>
          <w:bCs w:val="1"/>
          <w:u w:val="single" w:color="auto"/>
          <w:color w:val="auto"/>
        </w:rPr>
        <w:t>ITEM 5. MARKET FOR REGISTRANT’S COMMON EQUITY, RELATED STOCKHOLDER MATTERS AND ISSUER PURCHASES OF EQUITY SECURITIES</w:t>
      </w:r>
    </w:p>
    <w:p>
      <w:pPr>
        <w:spacing w:after="0" w:line="78" w:lineRule="exact"/>
        <w:rPr>
          <w:sz w:val="20"/>
          <w:szCs w:val="20"/>
          <w:color w:val="auto"/>
        </w:rPr>
      </w:pPr>
    </w:p>
    <w:p>
      <w:pPr>
        <w:ind w:left="700" w:right="20" w:firstLine="397"/>
        <w:spacing w:after="0"/>
        <w:rPr>
          <w:sz w:val="20"/>
          <w:szCs w:val="20"/>
          <w:color w:val="auto"/>
        </w:rPr>
      </w:pPr>
      <w:r>
        <w:rPr>
          <w:rFonts w:ascii="Arial" w:cs="Arial" w:eastAsia="Arial" w:hAnsi="Arial"/>
          <w:sz w:val="18"/>
          <w:szCs w:val="18"/>
          <w:color w:val="auto"/>
        </w:rPr>
        <w:t>The common shares of The Scotts Miracle-Gro Company (“Scotts Miracle-Gro”) trade on the New York Stock Exchange under the symbol “SMG.” The quarterly share prices have been adjusted to reflect the 2-for-1 stock split distributed on November 9, 2005.</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color w:val="auto"/>
              </w:rPr>
              <w:t>Sale Prices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rPr>
              <w:t>High</w:t>
            </w:r>
          </w:p>
        </w:tc>
        <w:tc>
          <w:tcPr>
            <w:tcW w:w="1780" w:type="dxa"/>
            <w:vAlign w:val="bottom"/>
            <w:tcBorders>
              <w:top w:val="single" w:sz="8" w:color="auto"/>
              <w:bottom w:val="single" w:sz="8" w:color="auto"/>
            </w:tcBorders>
          </w:tcPr>
          <w:p>
            <w:pPr>
              <w:jc w:val="center"/>
              <w:ind w:left="111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2006</w:t>
            </w:r>
          </w:p>
        </w:tc>
        <w:tc>
          <w:tcPr>
            <w:tcW w:w="3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First quarter</w:t>
            </w:r>
          </w:p>
        </w:tc>
        <w:tc>
          <w:tcPr>
            <w:tcW w:w="3760" w:type="dxa"/>
            <w:vAlign w:val="bottom"/>
            <w:gridSpan w:val="2"/>
          </w:tcPr>
          <w:p>
            <w:pPr>
              <w:jc w:val="center"/>
              <w:ind w:left="2890"/>
              <w:spacing w:after="0" w:line="202" w:lineRule="exact"/>
              <w:rPr>
                <w:sz w:val="20"/>
                <w:szCs w:val="20"/>
                <w:color w:val="auto"/>
              </w:rPr>
            </w:pPr>
            <w:r>
              <w:rPr>
                <w:rFonts w:ascii="Arial" w:cs="Arial" w:eastAsia="Arial" w:hAnsi="Arial"/>
                <w:sz w:val="18"/>
                <w:szCs w:val="18"/>
                <w:color w:val="auto"/>
                <w:w w:val="96"/>
              </w:rPr>
              <w:t>$ 48.11</w:t>
            </w:r>
          </w:p>
        </w:tc>
        <w:tc>
          <w:tcPr>
            <w:tcW w:w="1780" w:type="dxa"/>
            <w:vAlign w:val="bottom"/>
          </w:tcPr>
          <w:p>
            <w:pPr>
              <w:jc w:val="center"/>
              <w:ind w:left="1110"/>
              <w:spacing w:after="0" w:line="202" w:lineRule="exact"/>
              <w:rPr>
                <w:sz w:val="20"/>
                <w:szCs w:val="20"/>
                <w:color w:val="auto"/>
              </w:rPr>
            </w:pPr>
            <w:r>
              <w:rPr>
                <w:rFonts w:ascii="Arial" w:cs="Arial" w:eastAsia="Arial" w:hAnsi="Arial"/>
                <w:sz w:val="18"/>
                <w:szCs w:val="18"/>
                <w:color w:val="auto"/>
                <w:w w:val="96"/>
              </w:rPr>
              <w:t>$ 41.37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3760" w:type="dxa"/>
            <w:vAlign w:val="bottom"/>
            <w:gridSpan w:val="2"/>
            <w:shd w:val="clear" w:color="auto" w:fill="CCEEFF"/>
          </w:tcPr>
          <w:p>
            <w:pPr>
              <w:jc w:val="center"/>
              <w:ind w:left="2890"/>
              <w:spacing w:after="0" w:line="202" w:lineRule="exact"/>
              <w:rPr>
                <w:sz w:val="20"/>
                <w:szCs w:val="20"/>
                <w:color w:val="auto"/>
              </w:rPr>
            </w:pPr>
            <w:r>
              <w:rPr>
                <w:rFonts w:ascii="Arial" w:cs="Arial" w:eastAsia="Arial" w:hAnsi="Arial"/>
                <w:sz w:val="18"/>
                <w:szCs w:val="18"/>
                <w:color w:val="auto"/>
                <w:w w:val="96"/>
              </w:rPr>
              <w:t>$ 50.47</w:t>
            </w:r>
          </w:p>
        </w:tc>
        <w:tc>
          <w:tcPr>
            <w:tcW w:w="178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w w:val="96"/>
              </w:rPr>
              <w:t>$ 44.94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Third quarter</w:t>
            </w:r>
          </w:p>
        </w:tc>
        <w:tc>
          <w:tcPr>
            <w:tcW w:w="3760" w:type="dxa"/>
            <w:vAlign w:val="bottom"/>
            <w:gridSpan w:val="2"/>
          </w:tcPr>
          <w:p>
            <w:pPr>
              <w:jc w:val="center"/>
              <w:ind w:left="2890"/>
              <w:spacing w:after="0" w:line="202" w:lineRule="exact"/>
              <w:rPr>
                <w:sz w:val="20"/>
                <w:szCs w:val="20"/>
                <w:color w:val="auto"/>
              </w:rPr>
            </w:pPr>
            <w:r>
              <w:rPr>
                <w:rFonts w:ascii="Arial" w:cs="Arial" w:eastAsia="Arial" w:hAnsi="Arial"/>
                <w:sz w:val="18"/>
                <w:szCs w:val="18"/>
                <w:color w:val="auto"/>
                <w:w w:val="96"/>
              </w:rPr>
              <w:t>$ 47.50</w:t>
            </w:r>
          </w:p>
        </w:tc>
        <w:tc>
          <w:tcPr>
            <w:tcW w:w="1780" w:type="dxa"/>
            <w:vAlign w:val="bottom"/>
          </w:tcPr>
          <w:p>
            <w:pPr>
              <w:jc w:val="center"/>
              <w:ind w:left="1110"/>
              <w:spacing w:after="0" w:line="202" w:lineRule="exact"/>
              <w:rPr>
                <w:sz w:val="20"/>
                <w:szCs w:val="20"/>
                <w:color w:val="auto"/>
              </w:rPr>
            </w:pPr>
            <w:r>
              <w:rPr>
                <w:rFonts w:ascii="Arial" w:cs="Arial" w:eastAsia="Arial" w:hAnsi="Arial"/>
                <w:sz w:val="18"/>
                <w:szCs w:val="18"/>
                <w:color w:val="auto"/>
                <w:w w:val="96"/>
              </w:rPr>
              <w:t>$ 39.40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3760" w:type="dxa"/>
            <w:vAlign w:val="bottom"/>
            <w:gridSpan w:val="2"/>
            <w:shd w:val="clear" w:color="auto" w:fill="CCEEFF"/>
          </w:tcPr>
          <w:p>
            <w:pPr>
              <w:jc w:val="center"/>
              <w:ind w:left="2890"/>
              <w:spacing w:after="0" w:line="202" w:lineRule="exact"/>
              <w:rPr>
                <w:sz w:val="20"/>
                <w:szCs w:val="20"/>
                <w:color w:val="auto"/>
              </w:rPr>
            </w:pPr>
            <w:r>
              <w:rPr>
                <w:rFonts w:ascii="Arial" w:cs="Arial" w:eastAsia="Arial" w:hAnsi="Arial"/>
                <w:sz w:val="18"/>
                <w:szCs w:val="18"/>
                <w:color w:val="auto"/>
                <w:w w:val="96"/>
              </w:rPr>
              <w:t>$ 44.98</w:t>
            </w:r>
          </w:p>
        </w:tc>
        <w:tc>
          <w:tcPr>
            <w:tcW w:w="178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w w:val="96"/>
              </w:rPr>
              <w:t>$ 37.22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FISCAL 2005</w:t>
            </w:r>
          </w:p>
        </w:tc>
        <w:tc>
          <w:tcPr>
            <w:tcW w:w="3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3760" w:type="dxa"/>
            <w:vAlign w:val="bottom"/>
            <w:gridSpan w:val="2"/>
            <w:shd w:val="clear" w:color="auto" w:fill="CCEEFF"/>
          </w:tcPr>
          <w:p>
            <w:pPr>
              <w:jc w:val="center"/>
              <w:ind w:left="2890"/>
              <w:spacing w:after="0" w:line="202" w:lineRule="exact"/>
              <w:rPr>
                <w:sz w:val="20"/>
                <w:szCs w:val="20"/>
                <w:color w:val="auto"/>
              </w:rPr>
            </w:pPr>
            <w:r>
              <w:rPr>
                <w:rFonts w:ascii="Arial" w:cs="Arial" w:eastAsia="Arial" w:hAnsi="Arial"/>
                <w:sz w:val="18"/>
                <w:szCs w:val="18"/>
                <w:color w:val="auto"/>
                <w:w w:val="96"/>
              </w:rPr>
              <w:t>$ 36.83</w:t>
            </w:r>
          </w:p>
        </w:tc>
        <w:tc>
          <w:tcPr>
            <w:tcW w:w="178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w w:val="96"/>
              </w:rPr>
              <w:t>$ 30.95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3760" w:type="dxa"/>
            <w:vAlign w:val="bottom"/>
            <w:gridSpan w:val="2"/>
          </w:tcPr>
          <w:p>
            <w:pPr>
              <w:jc w:val="center"/>
              <w:ind w:left="2890"/>
              <w:spacing w:after="0" w:line="202" w:lineRule="exact"/>
              <w:rPr>
                <w:sz w:val="20"/>
                <w:szCs w:val="20"/>
                <w:color w:val="auto"/>
              </w:rPr>
            </w:pPr>
            <w:r>
              <w:rPr>
                <w:rFonts w:ascii="Arial" w:cs="Arial" w:eastAsia="Arial" w:hAnsi="Arial"/>
                <w:sz w:val="18"/>
                <w:szCs w:val="18"/>
                <w:color w:val="auto"/>
                <w:w w:val="96"/>
              </w:rPr>
              <w:t>$ 36.19</w:t>
            </w:r>
          </w:p>
        </w:tc>
        <w:tc>
          <w:tcPr>
            <w:tcW w:w="1780" w:type="dxa"/>
            <w:vAlign w:val="bottom"/>
          </w:tcPr>
          <w:p>
            <w:pPr>
              <w:jc w:val="center"/>
              <w:ind w:left="1110"/>
              <w:spacing w:after="0" w:line="202" w:lineRule="exact"/>
              <w:rPr>
                <w:sz w:val="20"/>
                <w:szCs w:val="20"/>
                <w:color w:val="auto"/>
              </w:rPr>
            </w:pPr>
            <w:r>
              <w:rPr>
                <w:rFonts w:ascii="Arial" w:cs="Arial" w:eastAsia="Arial" w:hAnsi="Arial"/>
                <w:sz w:val="18"/>
                <w:szCs w:val="18"/>
                <w:color w:val="auto"/>
                <w:w w:val="96"/>
              </w:rPr>
              <w:t>$ 33.29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3760" w:type="dxa"/>
            <w:vAlign w:val="bottom"/>
            <w:gridSpan w:val="2"/>
            <w:shd w:val="clear" w:color="auto" w:fill="CCEEFF"/>
          </w:tcPr>
          <w:p>
            <w:pPr>
              <w:jc w:val="center"/>
              <w:ind w:left="2890"/>
              <w:spacing w:after="0" w:line="202" w:lineRule="exact"/>
              <w:rPr>
                <w:sz w:val="20"/>
                <w:szCs w:val="20"/>
                <w:color w:val="auto"/>
              </w:rPr>
            </w:pPr>
            <w:r>
              <w:rPr>
                <w:rFonts w:ascii="Arial" w:cs="Arial" w:eastAsia="Arial" w:hAnsi="Arial"/>
                <w:sz w:val="18"/>
                <w:szCs w:val="18"/>
                <w:color w:val="auto"/>
                <w:w w:val="96"/>
              </w:rPr>
              <w:t>$ 36.56</w:t>
            </w:r>
          </w:p>
        </w:tc>
        <w:tc>
          <w:tcPr>
            <w:tcW w:w="178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w w:val="96"/>
              </w:rPr>
              <w:t>$ 33.55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Fourth quarter</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color w:val="auto"/>
                <w:w w:val="96"/>
              </w:rPr>
              <w:t>$ 43.97</w:t>
            </w:r>
          </w:p>
        </w:tc>
        <w:tc>
          <w:tcPr>
            <w:tcW w:w="1780" w:type="dxa"/>
            <w:vAlign w:val="bottom"/>
          </w:tcPr>
          <w:p>
            <w:pPr>
              <w:jc w:val="center"/>
              <w:ind w:left="1110"/>
              <w:spacing w:after="0"/>
              <w:rPr>
                <w:sz w:val="20"/>
                <w:szCs w:val="20"/>
                <w:color w:val="auto"/>
              </w:rPr>
            </w:pPr>
            <w:r>
              <w:rPr>
                <w:rFonts w:ascii="Arial" w:cs="Arial" w:eastAsia="Arial" w:hAnsi="Arial"/>
                <w:sz w:val="18"/>
                <w:szCs w:val="18"/>
                <w:color w:val="auto"/>
                <w:w w:val="96"/>
              </w:rPr>
              <w:t>$ 36.19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00" w:right="240" w:firstLine="397"/>
        <w:spacing w:after="0" w:line="236" w:lineRule="auto"/>
        <w:rPr>
          <w:sz w:val="20"/>
          <w:szCs w:val="20"/>
          <w:color w:val="auto"/>
        </w:rPr>
      </w:pPr>
      <w:r>
        <w:rPr>
          <w:rFonts w:ascii="Arial" w:cs="Arial" w:eastAsia="Arial" w:hAnsi="Arial"/>
          <w:sz w:val="18"/>
          <w:szCs w:val="18"/>
          <w:color w:val="auto"/>
        </w:rPr>
        <w:t>On June 22, 2005, Scotts Miracle-Gro announced that its Board of Directors had approved the establishment of a quarterly cash dividend. The $0.50 per share (adjusted for the 2-for-1 stock split distributed November 9, 2005) annual dividend has been paid in quarterly increments since the fourth quarter of fiscal 2005. The payment of future dividends, if any, on the common shares will be determined by the Board of Directors of Scotts Miracle-Gro in light of conditions then existing, including the Company’s earnings, financial condition and capital requirements, restrictions in financing agreements, business conditions and other factors. See discussion of a recapitalization plan announced on December 12, 2006 in “ITEM 7, MANAGEMENT’S DISCUSSION AND ANALYSIS OF FINANCIAL CONDITION AND RESULTS OF OPERATIONS.”</w:t>
      </w:r>
    </w:p>
    <w:p>
      <w:pPr>
        <w:spacing w:after="0" w:line="114" w:lineRule="exact"/>
        <w:rPr>
          <w:sz w:val="20"/>
          <w:szCs w:val="20"/>
          <w:color w:val="auto"/>
        </w:rPr>
      </w:pPr>
    </w:p>
    <w:p>
      <w:pPr>
        <w:ind w:left="700" w:right="120" w:firstLine="397"/>
        <w:spacing w:after="0" w:line="246" w:lineRule="auto"/>
        <w:rPr>
          <w:sz w:val="20"/>
          <w:szCs w:val="20"/>
          <w:color w:val="auto"/>
        </w:rPr>
      </w:pPr>
      <w:r>
        <w:rPr>
          <w:rFonts w:ascii="Arial" w:cs="Arial" w:eastAsia="Arial" w:hAnsi="Arial"/>
          <w:sz w:val="18"/>
          <w:szCs w:val="18"/>
          <w:color w:val="auto"/>
        </w:rPr>
        <w:t>As of November 28, 2006, there were approximately 49,000 shareholders including holders of record and our estimate of beneficial holders.</w:t>
      </w:r>
    </w:p>
    <w:p>
      <w:pPr>
        <w:spacing w:after="0" w:line="102" w:lineRule="exact"/>
        <w:rPr>
          <w:sz w:val="20"/>
          <w:szCs w:val="20"/>
          <w:color w:val="auto"/>
        </w:rPr>
      </w:pPr>
    </w:p>
    <w:p>
      <w:pPr>
        <w:ind w:left="700" w:right="520" w:firstLine="397"/>
        <w:spacing w:after="0" w:line="261" w:lineRule="auto"/>
        <w:rPr>
          <w:sz w:val="20"/>
          <w:szCs w:val="20"/>
          <w:color w:val="auto"/>
        </w:rPr>
      </w:pPr>
      <w:r>
        <w:rPr>
          <w:rFonts w:ascii="Arial" w:cs="Arial" w:eastAsia="Arial" w:hAnsi="Arial"/>
          <w:sz w:val="17"/>
          <w:szCs w:val="17"/>
          <w:color w:val="auto"/>
        </w:rPr>
        <w:t>The following table shows the purchases of common shares of Scotts Miracle-Gro made by or on behalf of Scotts Miracle-Gro or any “affiliated purchaser” of Scotts Miracle-Gro as defined in Rule 10b-18(a)(3) under the Securities Exchange Act of 1934, as amended, for each of the three months in the quarter ended September 30, 2006:</w:t>
      </w:r>
    </w:p>
    <w:p>
      <w:pPr>
        <w:spacing w:after="0" w:line="108"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1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Approximate Dollar</w:t>
            </w:r>
          </w:p>
        </w:tc>
      </w:tr>
      <w:tr>
        <w:trPr>
          <w:trHeight w:val="189"/>
        </w:trPr>
        <w:tc>
          <w:tcPr>
            <w:tcW w:w="1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Total Number of</w:t>
            </w:r>
          </w:p>
        </w:tc>
        <w:tc>
          <w:tcPr>
            <w:tcW w:w="200" w:type="dxa"/>
            <w:vAlign w:val="bottom"/>
          </w:tcPr>
          <w:p>
            <w:pPr>
              <w:spacing w:after="0"/>
              <w:rPr>
                <w:sz w:val="16"/>
                <w:szCs w:val="16"/>
                <w:color w:val="auto"/>
              </w:rPr>
            </w:pPr>
          </w:p>
        </w:tc>
        <w:tc>
          <w:tcPr>
            <w:tcW w:w="2060" w:type="dxa"/>
            <w:vAlign w:val="bottom"/>
            <w:gridSpan w:val="3"/>
          </w:tcPr>
          <w:p>
            <w:pPr>
              <w:jc w:val="center"/>
              <w:ind w:right="100"/>
              <w:spacing w:after="0"/>
              <w:rPr>
                <w:sz w:val="20"/>
                <w:szCs w:val="20"/>
                <w:color w:val="auto"/>
              </w:rPr>
            </w:pPr>
            <w:r>
              <w:rPr>
                <w:rFonts w:ascii="Arial" w:cs="Arial" w:eastAsia="Arial" w:hAnsi="Arial"/>
                <w:sz w:val="16"/>
                <w:szCs w:val="16"/>
                <w:color w:val="auto"/>
              </w:rPr>
              <w:t>Value of Common Shares</w:t>
            </w:r>
          </w:p>
        </w:tc>
      </w:tr>
      <w:tr>
        <w:trPr>
          <w:trHeight w:val="189"/>
        </w:trPr>
        <w:tc>
          <w:tcPr>
            <w:tcW w:w="1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Common Shares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color w:val="auto"/>
              </w:rPr>
              <w:t>that May yet be</w:t>
            </w:r>
          </w:p>
        </w:tc>
      </w:tr>
      <w:tr>
        <w:trPr>
          <w:trHeight w:val="189"/>
        </w:trPr>
        <w:tc>
          <w:tcPr>
            <w:tcW w:w="1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Total Number of</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Purchased as Part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Purchased</w:t>
            </w:r>
          </w:p>
        </w:tc>
      </w:tr>
      <w:tr>
        <w:trPr>
          <w:trHeight w:val="189"/>
        </w:trPr>
        <w:tc>
          <w:tcPr>
            <w:tcW w:w="1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Common Shares</w:t>
            </w:r>
          </w:p>
        </w:tc>
        <w:tc>
          <w:tcPr>
            <w:tcW w:w="1460" w:type="dxa"/>
            <w:vAlign w:val="bottom"/>
            <w:gridSpan w:val="2"/>
          </w:tcPr>
          <w:p>
            <w:pPr>
              <w:jc w:val="right"/>
              <w:ind w:right="159"/>
              <w:spacing w:after="0"/>
              <w:rPr>
                <w:sz w:val="20"/>
                <w:szCs w:val="20"/>
                <w:color w:val="auto"/>
              </w:rPr>
            </w:pPr>
            <w:r>
              <w:rPr>
                <w:rFonts w:ascii="Arial" w:cs="Arial" w:eastAsia="Arial" w:hAnsi="Arial"/>
                <w:sz w:val="16"/>
                <w:szCs w:val="16"/>
                <w:color w:val="auto"/>
              </w:rPr>
              <w:t>Average Price</w:t>
            </w:r>
          </w:p>
        </w:tc>
        <w:tc>
          <w:tcPr>
            <w:tcW w:w="1660" w:type="dxa"/>
            <w:vAlign w:val="bottom"/>
          </w:tcPr>
          <w:p>
            <w:pPr>
              <w:jc w:val="center"/>
              <w:spacing w:after="0"/>
              <w:rPr>
                <w:sz w:val="20"/>
                <w:szCs w:val="20"/>
                <w:color w:val="auto"/>
              </w:rPr>
            </w:pPr>
            <w:r>
              <w:rPr>
                <w:rFonts w:ascii="Arial" w:cs="Arial" w:eastAsia="Arial" w:hAnsi="Arial"/>
                <w:sz w:val="16"/>
                <w:szCs w:val="16"/>
                <w:color w:val="auto"/>
              </w:rPr>
              <w:t>of Publicly Announced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color w:val="auto"/>
              </w:rPr>
              <w:t>Under the Plans or</w:t>
            </w:r>
          </w:p>
        </w:tc>
      </w:tr>
      <w:tr>
        <w:trPr>
          <w:trHeight w:val="198"/>
        </w:trPr>
        <w:tc>
          <w:tcPr>
            <w:tcW w:w="3300" w:type="dxa"/>
            <w:vAlign w:val="bottom"/>
            <w:gridSpan w:val="2"/>
          </w:tcPr>
          <w:p>
            <w:pPr>
              <w:spacing w:after="0"/>
              <w:rPr>
                <w:sz w:val="20"/>
                <w:szCs w:val="20"/>
                <w:color w:val="auto"/>
              </w:rPr>
            </w:pPr>
            <w:r>
              <w:rPr>
                <w:rFonts w:ascii="Arial" w:cs="Arial" w:eastAsia="Arial" w:hAnsi="Arial"/>
                <w:sz w:val="16"/>
                <w:szCs w:val="16"/>
                <w:color w:val="auto"/>
              </w:rPr>
              <w:t>Period</w:t>
            </w:r>
          </w:p>
        </w:tc>
        <w:tc>
          <w:tcPr>
            <w:tcW w:w="1240" w:type="dxa"/>
            <w:vAlign w:val="bottom"/>
          </w:tcPr>
          <w:p>
            <w:pPr>
              <w:jc w:val="center"/>
              <w:spacing w:after="0"/>
              <w:rPr>
                <w:sz w:val="20"/>
                <w:szCs w:val="20"/>
                <w:color w:val="auto"/>
              </w:rPr>
            </w:pPr>
            <w:r>
              <w:rPr>
                <w:rFonts w:ascii="Arial" w:cs="Arial" w:eastAsia="Arial" w:hAnsi="Arial"/>
                <w:sz w:val="16"/>
                <w:szCs w:val="16"/>
                <w:color w:val="auto"/>
              </w:rPr>
              <w:t>Purchased</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Paid per Share</w:t>
            </w:r>
          </w:p>
        </w:tc>
        <w:tc>
          <w:tcPr>
            <w:tcW w:w="1660" w:type="dxa"/>
            <w:vAlign w:val="bottom"/>
          </w:tcPr>
          <w:p>
            <w:pPr>
              <w:jc w:val="center"/>
              <w:spacing w:after="0"/>
              <w:rPr>
                <w:sz w:val="20"/>
                <w:szCs w:val="20"/>
                <w:color w:val="auto"/>
              </w:rPr>
            </w:pPr>
            <w:r>
              <w:rPr>
                <w:rFonts w:ascii="Arial" w:cs="Arial" w:eastAsia="Arial" w:hAnsi="Arial"/>
                <w:sz w:val="16"/>
                <w:szCs w:val="16"/>
                <w:color w:val="auto"/>
              </w:rPr>
              <w:t>Plans or Programs(1)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color w:val="auto"/>
              </w:rPr>
              <w:t>Programs</w:t>
            </w:r>
          </w:p>
        </w:tc>
      </w:tr>
      <w:tr>
        <w:trPr>
          <w:trHeight w:val="51"/>
        </w:trPr>
        <w:tc>
          <w:tcPr>
            <w:tcW w:w="1280" w:type="dxa"/>
            <w:vAlign w:val="bottom"/>
            <w:tcBorders>
              <w:top w:val="single" w:sz="8" w:color="auto"/>
            </w:tcBorders>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July 2 through July 31, 2006</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170,000</w:t>
            </w:r>
          </w:p>
        </w:tc>
        <w:tc>
          <w:tcPr>
            <w:tcW w:w="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40.98</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170,000</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20.2 million</w:t>
            </w:r>
          </w:p>
        </w:tc>
      </w:tr>
      <w:tr>
        <w:trPr>
          <w:trHeight w:val="189"/>
        </w:trPr>
        <w:tc>
          <w:tcPr>
            <w:tcW w:w="3300" w:type="dxa"/>
            <w:vAlign w:val="bottom"/>
            <w:gridSpan w:val="2"/>
          </w:tcPr>
          <w:p>
            <w:pPr>
              <w:spacing w:after="0"/>
              <w:rPr>
                <w:sz w:val="20"/>
                <w:szCs w:val="20"/>
                <w:color w:val="auto"/>
              </w:rPr>
            </w:pPr>
            <w:r>
              <w:rPr>
                <w:rFonts w:ascii="Arial" w:cs="Arial" w:eastAsia="Arial" w:hAnsi="Arial"/>
                <w:sz w:val="16"/>
                <w:szCs w:val="16"/>
                <w:color w:val="auto"/>
              </w:rPr>
              <w:t>August 1 through August 31, 2006</w:t>
            </w:r>
          </w:p>
        </w:tc>
        <w:tc>
          <w:tcPr>
            <w:tcW w:w="1240" w:type="dxa"/>
            <w:vAlign w:val="bottom"/>
          </w:tcPr>
          <w:p>
            <w:pPr>
              <w:jc w:val="right"/>
              <w:spacing w:after="0"/>
              <w:rPr>
                <w:sz w:val="20"/>
                <w:szCs w:val="20"/>
                <w:color w:val="auto"/>
              </w:rPr>
            </w:pPr>
            <w:r>
              <w:rPr>
                <w:rFonts w:ascii="Arial" w:cs="Arial" w:eastAsia="Arial" w:hAnsi="Arial"/>
                <w:sz w:val="16"/>
                <w:szCs w:val="16"/>
                <w:color w:val="auto"/>
              </w:rPr>
              <w:t>168,000</w:t>
            </w:r>
          </w:p>
        </w:tc>
        <w:tc>
          <w:tcPr>
            <w:tcW w:w="560" w:type="dxa"/>
            <w:vAlign w:val="bottom"/>
          </w:tcPr>
          <w:p>
            <w:pPr>
              <w:spacing w:after="0"/>
              <w:rPr>
                <w:sz w:val="16"/>
                <w:szCs w:val="16"/>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38.77</w:t>
            </w:r>
          </w:p>
        </w:tc>
        <w:tc>
          <w:tcPr>
            <w:tcW w:w="1660" w:type="dxa"/>
            <w:vAlign w:val="bottom"/>
          </w:tcPr>
          <w:p>
            <w:pPr>
              <w:jc w:val="right"/>
              <w:spacing w:after="0"/>
              <w:rPr>
                <w:sz w:val="20"/>
                <w:szCs w:val="20"/>
                <w:color w:val="auto"/>
              </w:rPr>
            </w:pPr>
            <w:r>
              <w:rPr>
                <w:rFonts w:ascii="Arial" w:cs="Arial" w:eastAsia="Arial" w:hAnsi="Arial"/>
                <w:sz w:val="16"/>
                <w:szCs w:val="16"/>
                <w:color w:val="auto"/>
              </w:rPr>
              <w:t>168,000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ind w:left="960"/>
              <w:spacing w:after="0"/>
              <w:rPr>
                <w:sz w:val="20"/>
                <w:szCs w:val="20"/>
                <w:color w:val="auto"/>
              </w:rPr>
            </w:pPr>
            <w:r>
              <w:rPr>
                <w:rFonts w:ascii="Arial" w:cs="Arial" w:eastAsia="Arial" w:hAnsi="Arial"/>
                <w:sz w:val="16"/>
                <w:szCs w:val="16"/>
                <w:color w:val="auto"/>
              </w:rPr>
              <w:t>13.7 million</w:t>
            </w:r>
          </w:p>
        </w:tc>
      </w:tr>
      <w:tr>
        <w:trPr>
          <w:trHeight w:val="189"/>
        </w:trPr>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1 through September 30, 2006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43.16</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6"/>
                <w:szCs w:val="16"/>
                <w:color w:val="auto"/>
              </w:rPr>
            </w:pPr>
          </w:p>
        </w:tc>
      </w:tr>
      <w:tr>
        <w:trPr>
          <w:trHeight w:val="196"/>
        </w:trPr>
        <w:tc>
          <w:tcPr>
            <w:tcW w:w="330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393,000</w:t>
            </w: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40.34</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393,000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67" w:lineRule="exact"/>
        <w:rPr>
          <w:sz w:val="20"/>
          <w:szCs w:val="20"/>
          <w:color w:val="auto"/>
        </w:rPr>
      </w:pPr>
    </w:p>
    <w:p>
      <w:pPr>
        <w:ind w:left="1200" w:right="40" w:hanging="322"/>
        <w:spacing w:after="0" w:line="248"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Scotts Miracle-Gro repurchases its common shares under a share repurchase program that was approved by the Board of Directors and publicly announced on October 27, 2005 (the “Share Repurchase Program”). Under the Share Repurchase Program, Scotts Miracle-Gro was authorized to purchase up to $100 million of its common shares each fiscal year through September 30, 2010. On December 12, 2006, it was announced that Scotts Miracle-Gro’s Board of Directors approved in concept a plan of recapitalization that would replace the Share Repurchase Program with a new</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program to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-1905</wp:posOffset>
            </wp:positionV>
            <wp:extent cx="1885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1"/>
          <w:szCs w:val="11"/>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560"/>
        <w:spacing w:after="0" w:line="246" w:lineRule="auto"/>
        <w:rPr>
          <w:sz w:val="20"/>
          <w:szCs w:val="20"/>
          <w:color w:val="auto"/>
        </w:rPr>
      </w:pPr>
      <w:r>
        <w:rPr>
          <w:rFonts w:ascii="Arial" w:cs="Arial" w:eastAsia="Arial" w:hAnsi="Arial"/>
          <w:sz w:val="18"/>
          <w:szCs w:val="18"/>
          <w:color w:val="auto"/>
        </w:rPr>
        <w:t>$750 million to shareholders, with approximately one-third allocated to repurchase common shares and two-thirds toward a special one-time cash dividend.</w:t>
      </w:r>
    </w:p>
    <w:p>
      <w:pPr>
        <w:spacing w:after="0" w:line="48" w:lineRule="exact"/>
        <w:rPr>
          <w:sz w:val="20"/>
          <w:szCs w:val="20"/>
          <w:color w:val="auto"/>
        </w:rPr>
      </w:pPr>
    </w:p>
    <w:p>
      <w:pPr>
        <w:ind w:left="1200" w:hanging="322"/>
        <w:spacing w:after="0" w:line="234"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authorization to purchase up to $100 million of common shares under the Share Repurchase Program during fiscal 2006 expired on September 30, 2006. As of that date, approximately $12.1 million of common shares had not been purchased under the fiscal 2006 authorization. Scotts Miracle-Gro had been authorized to purchase up to $100 million of its common shares during fiscal 2007 under the Share Repurchase Program, which has been canceled</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as a result of the recapitalization plan described in not</w:t>
      </w:r>
      <w:r>
        <w:rPr>
          <w:rFonts w:ascii="Arial" w:cs="Arial" w:eastAsia="Arial" w:hAnsi="Arial"/>
          <w:sz w:val="18"/>
          <w:szCs w:val="18"/>
          <w:u w:val="single" w:color="auto"/>
          <w:color w:val="auto"/>
        </w:rPr>
        <w:t>e 1</w:t>
      </w:r>
      <w:r>
        <w:rPr>
          <w:rFonts w:ascii="Arial" w:cs="Arial" w:eastAsia="Arial" w:hAnsi="Arial"/>
          <w:sz w:val="18"/>
          <w:szCs w:val="18"/>
          <w:color w:val="auto"/>
        </w:rPr>
        <w:t xml:space="preserve"> above.</w:t>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ITEM 6.  SELECTED FINANCIAL DATA</w:t>
      </w:r>
    </w:p>
    <w:p>
      <w:pPr>
        <w:spacing w:after="0" w:line="33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Five-Year Summary(1)</w:t>
      </w:r>
    </w:p>
    <w:p>
      <w:pPr>
        <w:spacing w:after="0" w:line="1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 the fiscal year ended September 30,</w:t>
      </w:r>
    </w:p>
    <w:p>
      <w:pPr>
        <w:ind w:left="398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98"/>
        </w:trPr>
        <w:tc>
          <w:tcPr>
            <w:tcW w:w="37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2006(2)</w:t>
            </w:r>
          </w:p>
        </w:tc>
        <w:tc>
          <w:tcPr>
            <w:tcW w:w="120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color w:val="auto"/>
              </w:rPr>
              <w:t>2005(3)</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2004</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2003</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2002</w:t>
            </w:r>
          </w:p>
        </w:tc>
        <w:tc>
          <w:tcPr>
            <w:tcW w:w="60" w:type="dxa"/>
            <w:vAlign w:val="bottom"/>
          </w:tcPr>
          <w:p>
            <w:pPr>
              <w:spacing w:after="0"/>
              <w:rPr>
                <w:sz w:val="17"/>
                <w:szCs w:val="17"/>
                <w:color w:val="auto"/>
              </w:rPr>
            </w:pPr>
          </w:p>
        </w:tc>
      </w:tr>
      <w:tr>
        <w:trPr>
          <w:trHeight w:val="18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OPERATING RESULTS(4):</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ind w:left="160"/>
              <w:spacing w:after="0"/>
              <w:rPr>
                <w:sz w:val="20"/>
                <w:szCs w:val="20"/>
                <w:color w:val="auto"/>
              </w:rPr>
            </w:pPr>
            <w:r>
              <w:rPr>
                <w:rFonts w:ascii="Arial" w:cs="Arial" w:eastAsia="Arial" w:hAnsi="Arial"/>
                <w:sz w:val="16"/>
                <w:szCs w:val="16"/>
                <w:color w:val="auto"/>
              </w:rPr>
              <w:t>Net sales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w w:val="97"/>
              </w:rPr>
              <w:t>2,697.1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2,369.3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2,106.5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w w:val="97"/>
              </w:rPr>
              <w:t>1,941.6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1,772.9</w:t>
            </w:r>
          </w:p>
        </w:tc>
        <w:tc>
          <w:tcPr>
            <w:tcW w:w="60" w:type="dxa"/>
            <w:vAlign w:val="bottom"/>
          </w:tcPr>
          <w:p>
            <w:pPr>
              <w:spacing w:after="0"/>
              <w:rPr>
                <w:sz w:val="16"/>
                <w:szCs w:val="16"/>
                <w:color w:val="auto"/>
              </w:rPr>
            </w:pP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955.9</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860.4</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792.4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701.7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649.4</w:t>
            </w: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ind w:left="16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6"/>
                <w:szCs w:val="16"/>
                <w:color w:val="auto"/>
              </w:rPr>
            </w:pPr>
          </w:p>
        </w:tc>
        <w:tc>
          <w:tcPr>
            <w:tcW w:w="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252.5</w:t>
            </w:r>
          </w:p>
        </w:tc>
        <w:tc>
          <w:tcPr>
            <w:tcW w:w="2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252.8</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231.6</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238.4</w:t>
            </w:r>
          </w:p>
        </w:tc>
        <w:tc>
          <w:tcPr>
            <w:tcW w:w="60" w:type="dxa"/>
            <w:vAlign w:val="bottom"/>
          </w:tcPr>
          <w:p>
            <w:pPr>
              <w:spacing w:after="0"/>
              <w:rPr>
                <w:sz w:val="16"/>
                <w:szCs w:val="16"/>
                <w:color w:val="auto"/>
              </w:rPr>
            </w:pP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from continuing operations (net of tax)</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132.7</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100.4</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100.5</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103.2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100.5</w:t>
            </w: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340" w:type="dxa"/>
            <w:vAlign w:val="bottom"/>
          </w:tcPr>
          <w:p>
            <w:pPr>
              <w:spacing w:after="0"/>
              <w:rPr>
                <w:sz w:val="16"/>
                <w:szCs w:val="16"/>
                <w:color w:val="auto"/>
              </w:rPr>
            </w:pPr>
          </w:p>
        </w:tc>
        <w:tc>
          <w:tcPr>
            <w:tcW w:w="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132.7</w:t>
            </w:r>
          </w:p>
        </w:tc>
        <w:tc>
          <w:tcPr>
            <w:tcW w:w="2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100.6</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100.9</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103.8</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82.5</w:t>
            </w:r>
          </w:p>
        </w:tc>
        <w:tc>
          <w:tcPr>
            <w:tcW w:w="60" w:type="dxa"/>
            <w:vAlign w:val="bottom"/>
          </w:tcPr>
          <w:p>
            <w:pPr>
              <w:spacing w:after="0"/>
              <w:rPr>
                <w:sz w:val="16"/>
                <w:szCs w:val="16"/>
                <w:color w:val="auto"/>
              </w:rPr>
            </w:pP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67.0</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67.2</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57.7</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52.2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43.5</w:t>
            </w: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FINANCIAL POSITION:</w:t>
            </w:r>
          </w:p>
        </w:tc>
        <w:tc>
          <w:tcPr>
            <w:tcW w:w="3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Working capital</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445.8</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301.6</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396.7</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364.4</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278.3</w:t>
            </w: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ind w:left="160"/>
              <w:spacing w:after="0"/>
              <w:rPr>
                <w:sz w:val="20"/>
                <w:szCs w:val="20"/>
                <w:color w:val="auto"/>
              </w:rPr>
            </w:pPr>
            <w:r>
              <w:rPr>
                <w:rFonts w:ascii="Arial" w:cs="Arial" w:eastAsia="Arial" w:hAnsi="Arial"/>
                <w:sz w:val="16"/>
                <w:szCs w:val="16"/>
                <w:color w:val="auto"/>
              </w:rPr>
              <w:t>Current ratio</w:t>
            </w:r>
          </w:p>
        </w:tc>
        <w:tc>
          <w:tcPr>
            <w:tcW w:w="340" w:type="dxa"/>
            <w:vAlign w:val="bottom"/>
          </w:tcPr>
          <w:p>
            <w:pPr>
              <w:spacing w:after="0"/>
              <w:rPr>
                <w:sz w:val="16"/>
                <w:szCs w:val="16"/>
                <w:color w:val="auto"/>
              </w:rPr>
            </w:pPr>
          </w:p>
        </w:tc>
        <w:tc>
          <w:tcPr>
            <w:tcW w:w="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6"/>
                <w:szCs w:val="16"/>
                <w:color w:val="auto"/>
              </w:rPr>
            </w:pP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367.6</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337.0</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328.0</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338.2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329.2</w:t>
            </w: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340" w:type="dxa"/>
            <w:vAlign w:val="bottom"/>
          </w:tcPr>
          <w:p>
            <w:pPr>
              <w:spacing w:after="0"/>
              <w:rPr>
                <w:sz w:val="16"/>
                <w:szCs w:val="16"/>
                <w:color w:val="auto"/>
              </w:rPr>
            </w:pPr>
          </w:p>
        </w:tc>
        <w:tc>
          <w:tcPr>
            <w:tcW w:w="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w w:val="97"/>
              </w:rPr>
              <w:t>2,217.6</w:t>
            </w:r>
          </w:p>
        </w:tc>
        <w:tc>
          <w:tcPr>
            <w:tcW w:w="2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2,018.9</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2,047.8</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w w:val="97"/>
              </w:rPr>
              <w:t>2,030.3</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1,914.1</w:t>
            </w:r>
          </w:p>
        </w:tc>
        <w:tc>
          <w:tcPr>
            <w:tcW w:w="60" w:type="dxa"/>
            <w:vAlign w:val="bottom"/>
          </w:tcPr>
          <w:p>
            <w:pPr>
              <w:spacing w:after="0"/>
              <w:rPr>
                <w:sz w:val="16"/>
                <w:szCs w:val="16"/>
                <w:color w:val="auto"/>
              </w:rPr>
            </w:pP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debt to total book capitalization</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30.8%</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27.7%</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41.9%</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51.0%</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58.3%</w:t>
            </w: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ind w:left="160"/>
              <w:spacing w:after="0"/>
              <w:rPr>
                <w:sz w:val="20"/>
                <w:szCs w:val="20"/>
                <w:color w:val="auto"/>
              </w:rPr>
            </w:pPr>
            <w:r>
              <w:rPr>
                <w:rFonts w:ascii="Arial" w:cs="Arial" w:eastAsia="Arial" w:hAnsi="Arial"/>
                <w:sz w:val="16"/>
                <w:szCs w:val="16"/>
                <w:color w:val="auto"/>
              </w:rPr>
              <w:t>Total debt</w:t>
            </w:r>
          </w:p>
        </w:tc>
        <w:tc>
          <w:tcPr>
            <w:tcW w:w="340" w:type="dxa"/>
            <w:vAlign w:val="bottom"/>
          </w:tcPr>
          <w:p>
            <w:pPr>
              <w:spacing w:after="0"/>
              <w:rPr>
                <w:sz w:val="16"/>
                <w:szCs w:val="16"/>
                <w:color w:val="auto"/>
              </w:rPr>
            </w:pPr>
          </w:p>
        </w:tc>
        <w:tc>
          <w:tcPr>
            <w:tcW w:w="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481.2</w:t>
            </w:r>
          </w:p>
        </w:tc>
        <w:tc>
          <w:tcPr>
            <w:tcW w:w="2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393.5</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630.6</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757.6</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829.4</w:t>
            </w:r>
          </w:p>
        </w:tc>
        <w:tc>
          <w:tcPr>
            <w:tcW w:w="60" w:type="dxa"/>
            <w:vAlign w:val="bottom"/>
          </w:tcPr>
          <w:p>
            <w:pPr>
              <w:spacing w:after="0"/>
              <w:rPr>
                <w:sz w:val="16"/>
                <w:szCs w:val="16"/>
                <w:color w:val="auto"/>
              </w:rPr>
            </w:pP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shareholders’ equity</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97"/>
              </w:rPr>
              <w:t>1,081.7</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1,026.2</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874.6</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728.2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593.9</w:t>
            </w: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CASH FLOWS:</w:t>
            </w:r>
          </w:p>
        </w:tc>
        <w:tc>
          <w:tcPr>
            <w:tcW w:w="3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182.4</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226.7</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214.2</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216.1</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238.9</w:t>
            </w: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ind w:left="160"/>
              <w:spacing w:after="0"/>
              <w:rPr>
                <w:sz w:val="20"/>
                <w:szCs w:val="20"/>
                <w:color w:val="auto"/>
              </w:rPr>
            </w:pPr>
            <w:r>
              <w:rPr>
                <w:rFonts w:ascii="Arial" w:cs="Arial" w:eastAsia="Arial" w:hAnsi="Arial"/>
                <w:sz w:val="16"/>
                <w:szCs w:val="16"/>
                <w:color w:val="auto"/>
              </w:rPr>
              <w:t>Investments in property, plant and equipment</w:t>
            </w:r>
          </w:p>
        </w:tc>
        <w:tc>
          <w:tcPr>
            <w:tcW w:w="340" w:type="dxa"/>
            <w:vAlign w:val="bottom"/>
          </w:tcPr>
          <w:p>
            <w:pPr>
              <w:spacing w:after="0"/>
              <w:rPr>
                <w:sz w:val="16"/>
                <w:szCs w:val="16"/>
                <w:color w:val="auto"/>
              </w:rPr>
            </w:pPr>
          </w:p>
        </w:tc>
        <w:tc>
          <w:tcPr>
            <w:tcW w:w="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57.0</w:t>
            </w:r>
          </w:p>
        </w:tc>
        <w:tc>
          <w:tcPr>
            <w:tcW w:w="2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40.4</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35.1</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51.8</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57.0</w:t>
            </w:r>
          </w:p>
        </w:tc>
        <w:tc>
          <w:tcPr>
            <w:tcW w:w="60" w:type="dxa"/>
            <w:vAlign w:val="bottom"/>
          </w:tcPr>
          <w:p>
            <w:pPr>
              <w:spacing w:after="0"/>
              <w:rPr>
                <w:sz w:val="16"/>
                <w:szCs w:val="16"/>
                <w:color w:val="auto"/>
              </w:rPr>
            </w:pPr>
          </w:p>
        </w:tc>
      </w:tr>
      <w:tr>
        <w:trPr>
          <w:trHeight w:val="191"/>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invested in acquisitions, including seller</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note payments</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122.9</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84.6</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20.5</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57.1</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63.0</w:t>
            </w: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PER SHARE DATA:</w:t>
            </w:r>
          </w:p>
        </w:tc>
        <w:tc>
          <w:tcPr>
            <w:tcW w:w="3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 earnings per common share</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1.97</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1.56</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1.68</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1.41</w:t>
            </w: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ind w:left="160"/>
              <w:spacing w:after="0"/>
              <w:rPr>
                <w:sz w:val="20"/>
                <w:szCs w:val="20"/>
                <w:color w:val="auto"/>
              </w:rPr>
            </w:pPr>
            <w:r>
              <w:rPr>
                <w:rFonts w:ascii="Arial" w:cs="Arial" w:eastAsia="Arial" w:hAnsi="Arial"/>
                <w:sz w:val="16"/>
                <w:szCs w:val="16"/>
                <w:color w:val="auto"/>
              </w:rPr>
              <w:t>Diluted earnings per common share</w:t>
            </w:r>
          </w:p>
        </w:tc>
        <w:tc>
          <w:tcPr>
            <w:tcW w:w="340" w:type="dxa"/>
            <w:vAlign w:val="bottom"/>
          </w:tcPr>
          <w:p>
            <w:pPr>
              <w:spacing w:after="0"/>
              <w:rPr>
                <w:sz w:val="16"/>
                <w:szCs w:val="16"/>
                <w:color w:val="auto"/>
              </w:rPr>
            </w:pPr>
          </w:p>
        </w:tc>
        <w:tc>
          <w:tcPr>
            <w:tcW w:w="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1.91</w:t>
            </w:r>
          </w:p>
        </w:tc>
        <w:tc>
          <w:tcPr>
            <w:tcW w:w="2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1.47</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1.52</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1.62</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1.30</w:t>
            </w:r>
          </w:p>
        </w:tc>
        <w:tc>
          <w:tcPr>
            <w:tcW w:w="60" w:type="dxa"/>
            <w:vAlign w:val="bottom"/>
          </w:tcPr>
          <w:p>
            <w:pPr>
              <w:spacing w:after="0"/>
              <w:rPr>
                <w:sz w:val="16"/>
                <w:szCs w:val="16"/>
                <w:color w:val="auto"/>
              </w:rPr>
            </w:pP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cash dividends paid</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33.5</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8.6</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r>
      <w:tr>
        <w:trPr>
          <w:trHeight w:val="189"/>
        </w:trPr>
        <w:tc>
          <w:tcPr>
            <w:tcW w:w="3700" w:type="dxa"/>
            <w:vAlign w:val="bottom"/>
          </w:tcPr>
          <w:p>
            <w:pPr>
              <w:ind w:left="160"/>
              <w:spacing w:after="0"/>
              <w:rPr>
                <w:sz w:val="20"/>
                <w:szCs w:val="20"/>
                <w:color w:val="auto"/>
              </w:rPr>
            </w:pPr>
            <w:r>
              <w:rPr>
                <w:rFonts w:ascii="Arial" w:cs="Arial" w:eastAsia="Arial" w:hAnsi="Arial"/>
                <w:sz w:val="16"/>
                <w:szCs w:val="16"/>
                <w:color w:val="auto"/>
              </w:rPr>
              <w:t>Dividends per share(5)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0.50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0.125</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price at year-end</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44.49</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43.97</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32.08</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27.35</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20.85</w:t>
            </w: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ind w:left="160"/>
              <w:spacing w:after="0"/>
              <w:rPr>
                <w:sz w:val="20"/>
                <w:szCs w:val="20"/>
                <w:color w:val="auto"/>
              </w:rPr>
            </w:pPr>
            <w:r>
              <w:rPr>
                <w:rFonts w:ascii="Arial" w:cs="Arial" w:eastAsia="Arial" w:hAnsi="Arial"/>
                <w:sz w:val="16"/>
                <w:szCs w:val="16"/>
                <w:color w:val="auto"/>
              </w:rPr>
              <w:t>Stock price range — High</w:t>
            </w:r>
          </w:p>
        </w:tc>
        <w:tc>
          <w:tcPr>
            <w:tcW w:w="340" w:type="dxa"/>
            <w:vAlign w:val="bottom"/>
          </w:tcPr>
          <w:p>
            <w:pPr>
              <w:spacing w:after="0"/>
              <w:rPr>
                <w:sz w:val="16"/>
                <w:szCs w:val="16"/>
                <w:color w:val="auto"/>
              </w:rPr>
            </w:pPr>
          </w:p>
        </w:tc>
        <w:tc>
          <w:tcPr>
            <w:tcW w:w="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50.47</w:t>
            </w:r>
          </w:p>
        </w:tc>
        <w:tc>
          <w:tcPr>
            <w:tcW w:w="2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43.97</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34.28</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28.85</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25.18</w:t>
            </w:r>
          </w:p>
        </w:tc>
        <w:tc>
          <w:tcPr>
            <w:tcW w:w="60" w:type="dxa"/>
            <w:vAlign w:val="bottom"/>
          </w:tcPr>
          <w:p>
            <w:pPr>
              <w:spacing w:after="0"/>
              <w:rPr>
                <w:sz w:val="16"/>
                <w:szCs w:val="16"/>
                <w:color w:val="auto"/>
              </w:rPr>
            </w:pP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price range — Low</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37.22</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30.95</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27.63</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21.77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17.23</w:t>
            </w:r>
          </w:p>
        </w:tc>
        <w:tc>
          <w:tcPr>
            <w:tcW w:w="60" w:type="dxa"/>
            <w:vAlign w:val="bottom"/>
            <w:shd w:val="clear" w:color="auto" w:fill="CCEEFF"/>
          </w:tcPr>
          <w:p>
            <w:pPr>
              <w:spacing w:after="0"/>
              <w:rPr>
                <w:sz w:val="16"/>
                <w:szCs w:val="16"/>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Adjusted EBITDA(6)</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385.9</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291.5</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310.5</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283.8</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281.9</w:t>
            </w:r>
          </w:p>
        </w:tc>
        <w:tc>
          <w:tcPr>
            <w:tcW w:w="60" w:type="dxa"/>
            <w:vAlign w:val="bottom"/>
            <w:shd w:val="clear" w:color="auto" w:fill="CCEEFF"/>
          </w:tcPr>
          <w:p>
            <w:pPr>
              <w:spacing w:after="0"/>
              <w:rPr>
                <w:sz w:val="16"/>
                <w:szCs w:val="16"/>
                <w:color w:val="auto"/>
              </w:rPr>
            </w:pPr>
          </w:p>
        </w:tc>
      </w:tr>
      <w:tr>
        <w:trPr>
          <w:trHeight w:val="191"/>
        </w:trPr>
        <w:tc>
          <w:tcPr>
            <w:tcW w:w="3700" w:type="dxa"/>
            <w:vAlign w:val="bottom"/>
          </w:tcPr>
          <w:p>
            <w:pPr>
              <w:ind w:left="160"/>
              <w:spacing w:after="0"/>
              <w:rPr>
                <w:sz w:val="20"/>
                <w:szCs w:val="20"/>
                <w:color w:val="auto"/>
              </w:rPr>
            </w:pPr>
            <w:r>
              <w:rPr>
                <w:rFonts w:ascii="Arial" w:cs="Arial" w:eastAsia="Arial" w:hAnsi="Arial"/>
                <w:sz w:val="16"/>
                <w:szCs w:val="16"/>
                <w:color w:val="auto"/>
              </w:rPr>
              <w:t>Interest coverage (Adjusted EBITDA/interest</w:t>
            </w:r>
          </w:p>
        </w:tc>
        <w:tc>
          <w:tcPr>
            <w:tcW w:w="3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3700" w:type="dxa"/>
            <w:vAlign w:val="bottom"/>
          </w:tcPr>
          <w:p>
            <w:pPr>
              <w:ind w:left="320"/>
              <w:spacing w:after="0"/>
              <w:rPr>
                <w:sz w:val="20"/>
                <w:szCs w:val="20"/>
                <w:color w:val="auto"/>
              </w:rPr>
            </w:pPr>
            <w:r>
              <w:rPr>
                <w:rFonts w:ascii="Arial" w:cs="Arial" w:eastAsia="Arial" w:hAnsi="Arial"/>
                <w:sz w:val="16"/>
                <w:szCs w:val="16"/>
                <w:color w:val="auto"/>
              </w:rPr>
              <w:t>expense)(6)</w:t>
            </w:r>
          </w:p>
        </w:tc>
        <w:tc>
          <w:tcPr>
            <w:tcW w:w="340" w:type="dxa"/>
            <w:vAlign w:val="bottom"/>
          </w:tcPr>
          <w:p>
            <w:pPr>
              <w:spacing w:after="0"/>
              <w:rPr>
                <w:sz w:val="16"/>
                <w:szCs w:val="16"/>
                <w:color w:val="auto"/>
              </w:rPr>
            </w:pPr>
          </w:p>
        </w:tc>
        <w:tc>
          <w:tcPr>
            <w:tcW w:w="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9.7</w:t>
            </w:r>
          </w:p>
        </w:tc>
        <w:tc>
          <w:tcPr>
            <w:tcW w:w="2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7.0</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6.4</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16"/>
                <w:szCs w:val="16"/>
                <w:color w:val="auto"/>
              </w:rPr>
            </w:pPr>
          </w:p>
        </w:tc>
      </w:tr>
      <w:tr>
        <w:trPr>
          <w:trHeight w:val="191"/>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 average common shares</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outstanding</w:t>
            </w:r>
          </w:p>
        </w:tc>
        <w:tc>
          <w:tcPr>
            <w:tcW w:w="34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67.5</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66.8</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64.7</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61.8</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58.6</w:t>
            </w:r>
          </w:p>
        </w:tc>
        <w:tc>
          <w:tcPr>
            <w:tcW w:w="60" w:type="dxa"/>
            <w:vAlign w:val="bottom"/>
            <w:shd w:val="clear" w:color="auto" w:fill="CCEEFF"/>
          </w:tcPr>
          <w:p>
            <w:pPr>
              <w:spacing w:after="0"/>
              <w:rPr>
                <w:sz w:val="16"/>
                <w:szCs w:val="16"/>
                <w:color w:val="auto"/>
              </w:rPr>
            </w:pPr>
          </w:p>
        </w:tc>
      </w:tr>
      <w:tr>
        <w:trPr>
          <w:trHeight w:val="191"/>
        </w:trPr>
        <w:tc>
          <w:tcPr>
            <w:tcW w:w="3700" w:type="dxa"/>
            <w:vAlign w:val="bottom"/>
          </w:tcPr>
          <w:p>
            <w:pPr>
              <w:ind w:left="160"/>
              <w:spacing w:after="0"/>
              <w:rPr>
                <w:sz w:val="20"/>
                <w:szCs w:val="20"/>
                <w:color w:val="auto"/>
              </w:rPr>
            </w:pPr>
            <w:r>
              <w:rPr>
                <w:rFonts w:ascii="Arial" w:cs="Arial" w:eastAsia="Arial" w:hAnsi="Arial"/>
                <w:sz w:val="16"/>
                <w:szCs w:val="16"/>
                <w:color w:val="auto"/>
              </w:rPr>
              <w:t>Common shares and dilutive potential</w:t>
            </w:r>
          </w:p>
        </w:tc>
        <w:tc>
          <w:tcPr>
            <w:tcW w:w="3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700" w:type="dxa"/>
            <w:vAlign w:val="bottom"/>
          </w:tcPr>
          <w:p>
            <w:pPr>
              <w:ind w:left="320"/>
              <w:spacing w:after="0"/>
              <w:rPr>
                <w:sz w:val="20"/>
                <w:szCs w:val="20"/>
                <w:color w:val="auto"/>
              </w:rPr>
            </w:pPr>
            <w:r>
              <w:rPr>
                <w:rFonts w:ascii="Arial" w:cs="Arial" w:eastAsia="Arial" w:hAnsi="Arial"/>
                <w:sz w:val="16"/>
                <w:szCs w:val="16"/>
                <w:color w:val="auto"/>
              </w:rPr>
              <w:t>common shares used in diluted EPS</w:t>
            </w:r>
          </w:p>
        </w:tc>
        <w:tc>
          <w:tcPr>
            <w:tcW w:w="3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3700" w:type="dxa"/>
            <w:vAlign w:val="bottom"/>
          </w:tcPr>
          <w:p>
            <w:pPr>
              <w:ind w:left="320"/>
              <w:spacing w:after="0"/>
              <w:rPr>
                <w:sz w:val="20"/>
                <w:szCs w:val="20"/>
                <w:color w:val="auto"/>
              </w:rPr>
            </w:pPr>
            <w:r>
              <w:rPr>
                <w:rFonts w:ascii="Arial" w:cs="Arial" w:eastAsia="Arial" w:hAnsi="Arial"/>
                <w:sz w:val="16"/>
                <w:szCs w:val="16"/>
                <w:color w:val="auto"/>
              </w:rPr>
              <w:t>calculation</w:t>
            </w:r>
          </w:p>
        </w:tc>
        <w:tc>
          <w:tcPr>
            <w:tcW w:w="340" w:type="dxa"/>
            <w:vAlign w:val="bottom"/>
          </w:tcPr>
          <w:p>
            <w:pPr>
              <w:spacing w:after="0"/>
              <w:rPr>
                <w:sz w:val="16"/>
                <w:szCs w:val="16"/>
                <w:color w:val="auto"/>
              </w:rPr>
            </w:pPr>
          </w:p>
        </w:tc>
        <w:tc>
          <w:tcPr>
            <w:tcW w:w="9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69.4</w:t>
            </w:r>
          </w:p>
        </w:tc>
        <w:tc>
          <w:tcPr>
            <w:tcW w:w="2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68.6</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66.6</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64.3</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63.3</w:t>
            </w: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95" w:lineRule="exact"/>
        <w:rPr>
          <w:sz w:val="20"/>
          <w:szCs w:val="20"/>
          <w:color w:val="auto"/>
        </w:rPr>
      </w:pPr>
    </w:p>
    <w:p>
      <w:pPr>
        <w:jc w:val="both"/>
        <w:ind w:left="1200" w:right="80" w:hanging="322"/>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common share and per share information presented in the above five-year summary have been adjusted to reflect the 2-for-1 stock split of the common shares which was distributed on November 9, 2005 to shareholders of record on November 2, 2005.</w:t>
      </w:r>
    </w:p>
    <w:p>
      <w:pPr>
        <w:spacing w:after="0" w:line="40" w:lineRule="exact"/>
        <w:rPr>
          <w:rFonts w:ascii="Arial" w:cs="Arial" w:eastAsia="Arial" w:hAnsi="Arial"/>
          <w:sz w:val="18"/>
          <w:szCs w:val="18"/>
          <w:color w:val="auto"/>
        </w:rPr>
      </w:pPr>
    </w:p>
    <w:p>
      <w:pPr>
        <w:ind w:left="1200" w:right="160" w:hanging="322"/>
        <w:spacing w:after="0" w:line="234"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Fiscal 2006 includes Rod McLellan Company, Gutwein &amp; Co., Inc. and certain brands and assets acquired from Turf-Seed, Inc. and Landmark Seed Company from the dates of acquisition. See further discussion of acquisitions in “ITEM 1. BUSINESS” and in Note 5 to Consolidated Financial Statements included in this Annual Report on</w:t>
      </w:r>
    </w:p>
    <w:p>
      <w:pPr>
        <w:spacing w:after="0" w:line="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-1905</wp:posOffset>
            </wp:positionV>
            <wp:extent cx="1885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1"/>
          <w:szCs w:val="11"/>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200" w:right="540" w:hanging="322"/>
        <w:spacing w:after="0" w:line="242"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Fiscal 2005 includes Smith &amp; Hawken</w:t>
      </w:r>
      <w:r>
        <w:rPr>
          <w:rFonts w:ascii="Arial" w:cs="Arial" w:eastAsia="Arial" w:hAnsi="Arial"/>
          <w:sz w:val="15"/>
          <w:szCs w:val="15"/>
          <w:color w:val="auto"/>
        </w:rPr>
        <w:t>®</w:t>
      </w:r>
      <w:r>
        <w:rPr>
          <w:rFonts w:ascii="Arial" w:cs="Arial" w:eastAsia="Arial" w:hAnsi="Arial"/>
          <w:sz w:val="18"/>
          <w:szCs w:val="18"/>
          <w:color w:val="auto"/>
        </w:rPr>
        <w:t xml:space="preserve"> from the October 2, 2004 date of acquisition. See further discussion of acquisitions in “ITEM 1. BUSINESS” and in Note 5 to Consolidated Financial Statements included in this Annual Report on Form 10-K.</w:t>
      </w:r>
    </w:p>
    <w:p>
      <w:pPr>
        <w:spacing w:after="0" w:line="38" w:lineRule="exact"/>
        <w:rPr>
          <w:rFonts w:ascii="Arial" w:cs="Arial" w:eastAsia="Arial" w:hAnsi="Arial"/>
          <w:sz w:val="18"/>
          <w:szCs w:val="18"/>
          <w:color w:val="auto"/>
        </w:rPr>
      </w:pPr>
    </w:p>
    <w:p>
      <w:pPr>
        <w:ind w:left="1200" w:right="260" w:hanging="322"/>
        <w:spacing w:after="0" w:line="246"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results includes the following items segregated by accounts impacted on the Consolidated Statements of Operations included with the Consolidated Financial Statements included in this Annual Report on Form 10-K.</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6"/>
          </w:tcPr>
          <w:p>
            <w:pPr>
              <w:jc w:val="right"/>
              <w:ind w:right="500"/>
              <w:spacing w:after="0"/>
              <w:rPr>
                <w:sz w:val="20"/>
                <w:szCs w:val="20"/>
                <w:color w:val="auto"/>
              </w:rPr>
            </w:pPr>
            <w:r>
              <w:rPr>
                <w:rFonts w:ascii="Arial" w:cs="Arial" w:eastAsia="Arial" w:hAnsi="Arial"/>
                <w:sz w:val="18"/>
                <w:szCs w:val="18"/>
                <w:color w:val="auto"/>
              </w:rPr>
              <w:t>For the fiscal year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2006</w:t>
            </w: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2004</w:t>
            </w: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2003</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sales includes the following relating to the Roundup</w:t>
            </w:r>
            <w:r>
              <w:rPr>
                <w:rFonts w:ascii="Arial" w:cs="Arial" w:eastAsia="Arial" w:hAnsi="Arial"/>
                <w:sz w:val="15"/>
                <w:szCs w:val="15"/>
                <w:color w:val="auto"/>
              </w:rPr>
              <w:t>®</w:t>
            </w:r>
            <w:r>
              <w:rPr>
                <w:rFonts w:ascii="Arial" w:cs="Arial" w:eastAsia="Arial" w:hAnsi="Arial"/>
                <w:sz w:val="18"/>
                <w:szCs w:val="18"/>
                <w:color w:val="auto"/>
              </w:rPr>
              <w:t xml:space="preserve"> Marketing</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Agreement: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160"/>
              <w:spacing w:after="0" w:line="202" w:lineRule="exact"/>
              <w:rPr>
                <w:sz w:val="20"/>
                <w:szCs w:val="20"/>
                <w:color w:val="auto"/>
              </w:rPr>
            </w:pPr>
            <w:r>
              <w:rPr>
                <w:rFonts w:ascii="Arial" w:cs="Arial" w:eastAsia="Arial" w:hAnsi="Arial"/>
                <w:sz w:val="18"/>
                <w:szCs w:val="18"/>
                <w:color w:val="auto"/>
              </w:rPr>
              <w:t>Net commission income (expense)</w:t>
            </w:r>
          </w:p>
        </w:tc>
        <w:tc>
          <w:tcPr>
            <w:tcW w:w="9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$ 39.9</w:t>
            </w:r>
          </w:p>
        </w:tc>
        <w:tc>
          <w:tcPr>
            <w:tcW w:w="9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 (5.3)</w:t>
            </w: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$28.5</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$17.6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$ 16.2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Reimbursements associated with the Marketing Agreement</w:t>
            </w:r>
          </w:p>
        </w:tc>
        <w:tc>
          <w:tcPr>
            <w:tcW w:w="9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37.6</w:t>
            </w:r>
          </w:p>
        </w:tc>
        <w:tc>
          <w:tcPr>
            <w:tcW w:w="9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40.7</w:t>
            </w: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40.1</w:t>
            </w:r>
          </w:p>
        </w:tc>
        <w:tc>
          <w:tcPr>
            <w:tcW w:w="8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36.3</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ind w:left="160"/>
              <w:spacing w:after="0" w:line="201" w:lineRule="exact"/>
              <w:rPr>
                <w:sz w:val="20"/>
                <w:szCs w:val="20"/>
                <w:color w:val="auto"/>
              </w:rPr>
            </w:pPr>
            <w:r>
              <w:rPr>
                <w:rFonts w:ascii="Arial" w:cs="Arial" w:eastAsia="Arial" w:hAnsi="Arial"/>
                <w:sz w:val="18"/>
                <w:szCs w:val="18"/>
                <w:color w:val="auto"/>
              </w:rPr>
              <w:t>Deferred contribution charge (see Management’s Discussion and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340"/>
              <w:spacing w:after="0" w:line="202" w:lineRule="exact"/>
              <w:rPr>
                <w:sz w:val="20"/>
                <w:szCs w:val="20"/>
                <w:color w:val="auto"/>
              </w:rPr>
            </w:pPr>
            <w:r>
              <w:rPr>
                <w:rFonts w:ascii="Arial" w:cs="Arial" w:eastAsia="Arial" w:hAnsi="Arial"/>
                <w:sz w:val="18"/>
                <w:szCs w:val="18"/>
                <w:color w:val="auto"/>
              </w:rPr>
              <w:t>Analysis and Note 3 of Notes to Consolidated Financial</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340"/>
              <w:spacing w:after="0" w:line="203" w:lineRule="exact"/>
              <w:rPr>
                <w:sz w:val="20"/>
                <w:szCs w:val="20"/>
                <w:color w:val="auto"/>
              </w:rPr>
            </w:pPr>
            <w:r>
              <w:rPr>
                <w:rFonts w:ascii="Arial" w:cs="Arial" w:eastAsia="Arial" w:hAnsi="Arial"/>
                <w:sz w:val="18"/>
                <w:szCs w:val="18"/>
                <w:color w:val="auto"/>
              </w:rPr>
              <w:t>Statements included in this Annual Report on Form 10-K)</w:t>
            </w:r>
          </w:p>
        </w:tc>
        <w:tc>
          <w:tcPr>
            <w:tcW w:w="220" w:type="dxa"/>
            <w:vAlign w:val="bottom"/>
          </w:tcPr>
          <w:p>
            <w:pPr>
              <w:spacing w:after="0"/>
              <w:rPr>
                <w:sz w:val="17"/>
                <w:szCs w:val="17"/>
                <w:color w:val="auto"/>
              </w:rPr>
            </w:pPr>
          </w:p>
        </w:tc>
        <w:tc>
          <w:tcPr>
            <w:tcW w:w="68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line="203" w:lineRule="exact"/>
              <w:rPr>
                <w:sz w:val="20"/>
                <w:szCs w:val="20"/>
                <w:color w:val="auto"/>
              </w:rPr>
            </w:pPr>
            <w:r>
              <w:rPr>
                <w:rFonts w:ascii="Arial" w:cs="Arial" w:eastAsia="Arial" w:hAnsi="Arial"/>
                <w:sz w:val="18"/>
                <w:szCs w:val="18"/>
                <w:color w:val="auto"/>
              </w:rPr>
              <w:t>(45.7)</w:t>
            </w:r>
          </w:p>
        </w:tc>
        <w:tc>
          <w:tcPr>
            <w:tcW w:w="82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 includes: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160"/>
              <w:spacing w:after="0" w:line="202" w:lineRule="exact"/>
              <w:rPr>
                <w:sz w:val="20"/>
                <w:szCs w:val="20"/>
                <w:color w:val="auto"/>
              </w:rPr>
            </w:pPr>
            <w:r>
              <w:rPr>
                <w:rFonts w:ascii="Arial" w:cs="Arial" w:eastAsia="Arial" w:hAnsi="Arial"/>
                <w:sz w:val="18"/>
                <w:szCs w:val="18"/>
                <w:color w:val="auto"/>
              </w:rPr>
              <w:t>Costs associated with the Roundup</w:t>
            </w:r>
            <w:r>
              <w:rPr>
                <w:rFonts w:ascii="Arial" w:cs="Arial" w:eastAsia="Arial" w:hAnsi="Arial"/>
                <w:sz w:val="15"/>
                <w:szCs w:val="15"/>
                <w:color w:val="auto"/>
              </w:rPr>
              <w:t>®</w:t>
            </w:r>
            <w:r>
              <w:rPr>
                <w:rFonts w:ascii="Arial" w:cs="Arial" w:eastAsia="Arial" w:hAnsi="Arial"/>
                <w:sz w:val="18"/>
                <w:szCs w:val="18"/>
                <w:color w:val="auto"/>
              </w:rPr>
              <w:t xml:space="preserve"> Marketing Agreement</w:t>
            </w:r>
          </w:p>
        </w:tc>
        <w:tc>
          <w:tcPr>
            <w:tcW w:w="9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37.6</w:t>
            </w:r>
          </w:p>
        </w:tc>
        <w:tc>
          <w:tcPr>
            <w:tcW w:w="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40.7</w:t>
            </w: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40.1</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36.3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Restructuring and other charges (income)</w:t>
            </w:r>
          </w:p>
        </w:tc>
        <w:tc>
          <w:tcPr>
            <w:tcW w:w="9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0.1</w:t>
            </w:r>
          </w:p>
        </w:tc>
        <w:tc>
          <w:tcPr>
            <w:tcW w:w="9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(0.3)</w:t>
            </w: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0.6</w:t>
            </w:r>
          </w:p>
        </w:tc>
        <w:tc>
          <w:tcPr>
            <w:tcW w:w="8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9.1</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includes:</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Restructuring and other charges</w:t>
            </w:r>
          </w:p>
        </w:tc>
        <w:tc>
          <w:tcPr>
            <w:tcW w:w="9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9.3</w:t>
            </w:r>
          </w:p>
        </w:tc>
        <w:tc>
          <w:tcPr>
            <w:tcW w:w="9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9.1</w:t>
            </w:r>
          </w:p>
        </w:tc>
        <w:tc>
          <w:tcPr>
            <w:tcW w:w="8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8.0</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160"/>
              <w:spacing w:after="0" w:line="202" w:lineRule="exact"/>
              <w:rPr>
                <w:sz w:val="20"/>
                <w:szCs w:val="20"/>
                <w:color w:val="auto"/>
              </w:rPr>
            </w:pPr>
            <w:r>
              <w:rPr>
                <w:rFonts w:ascii="Arial" w:cs="Arial" w:eastAsia="Arial" w:hAnsi="Arial"/>
                <w:sz w:val="18"/>
                <w:szCs w:val="18"/>
                <w:color w:val="auto"/>
              </w:rPr>
              <w:t>Impairment charges</w:t>
            </w:r>
          </w:p>
        </w:tc>
        <w:tc>
          <w:tcPr>
            <w:tcW w:w="9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66.4</w:t>
            </w:r>
          </w:p>
        </w:tc>
        <w:tc>
          <w:tcPr>
            <w:tcW w:w="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23.4</w:t>
            </w: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includes: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160"/>
              <w:spacing w:after="0" w:line="202" w:lineRule="exact"/>
              <w:rPr>
                <w:sz w:val="20"/>
                <w:szCs w:val="20"/>
                <w:color w:val="auto"/>
              </w:rPr>
            </w:pPr>
            <w:r>
              <w:rPr>
                <w:rFonts w:ascii="Arial" w:cs="Arial" w:eastAsia="Arial" w:hAnsi="Arial"/>
                <w:sz w:val="18"/>
                <w:szCs w:val="18"/>
                <w:color w:val="auto"/>
              </w:rPr>
              <w:t>Costs related to refinancings</w:t>
            </w:r>
          </w:p>
        </w:tc>
        <w:tc>
          <w:tcPr>
            <w:tcW w:w="220" w:type="dxa"/>
            <w:vAlign w:val="bottom"/>
          </w:tcPr>
          <w:p>
            <w:pPr>
              <w:spacing w:after="0"/>
              <w:rPr>
                <w:sz w:val="17"/>
                <w:szCs w:val="17"/>
                <w:color w:val="auto"/>
              </w:rPr>
            </w:pPr>
          </w:p>
        </w:tc>
        <w:tc>
          <w:tcPr>
            <w:tcW w:w="6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1.3</w:t>
            </w: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45.5</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includes: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Cumulative effect of accounting for intangible assets, net of tax</w:t>
            </w:r>
          </w:p>
        </w:tc>
        <w:tc>
          <w:tcPr>
            <w:tcW w:w="22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0" w:hanging="322"/>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began paying a quarterly dividend of 12.5 cents per share in the fourth quarter of fiscal 2005.</w:t>
      </w:r>
    </w:p>
    <w:p>
      <w:pPr>
        <w:spacing w:after="0" w:line="49" w:lineRule="exact"/>
        <w:rPr>
          <w:rFonts w:ascii="Arial" w:cs="Arial" w:eastAsia="Arial" w:hAnsi="Arial"/>
          <w:sz w:val="18"/>
          <w:szCs w:val="18"/>
          <w:color w:val="auto"/>
        </w:rPr>
      </w:pPr>
    </w:p>
    <w:p>
      <w:pPr>
        <w:ind w:left="1200" w:hanging="322"/>
        <w:spacing w:after="0" w:line="236"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Given our significant borrowings, we view our credit agreements as material to our ability to fund operations, particularly in light of our seasonality. Reference should be made to “ITEM 1A. RISK FACTORS,” in this Annual Report on Form 10-K for a more complete discussion of risks associated with the Company’s debt and our credit facility and related covenants.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3.75 at September 30, 2006) and an interest coverage ratio (minimum of 3.50 for the year ended September 30, 2006). The Company’s leverage ratio was 1.75 at September 30, 2006 and our interest coverage ratio was 9.7 for the year ended September 30, 2006.</w:t>
      </w:r>
    </w:p>
    <w:p>
      <w:pPr>
        <w:spacing w:after="0" w:line="98" w:lineRule="exact"/>
        <w:rPr>
          <w:rFonts w:ascii="Arial" w:cs="Arial" w:eastAsia="Arial" w:hAnsi="Arial"/>
          <w:sz w:val="18"/>
          <w:szCs w:val="18"/>
          <w:color w:val="auto"/>
        </w:rPr>
      </w:pPr>
    </w:p>
    <w:p>
      <w:pPr>
        <w:ind w:left="1200" w:right="80"/>
        <w:spacing w:after="0" w:line="248" w:lineRule="auto"/>
        <w:rPr>
          <w:rFonts w:ascii="Arial" w:cs="Arial" w:eastAsia="Arial" w:hAnsi="Arial"/>
          <w:sz w:val="18"/>
          <w:szCs w:val="18"/>
          <w:color w:val="auto"/>
        </w:rPr>
      </w:pPr>
      <w:r>
        <w:rPr>
          <w:rFonts w:ascii="Arial" w:cs="Arial" w:eastAsia="Arial" w:hAnsi="Arial"/>
          <w:sz w:val="17"/>
          <w:szCs w:val="17"/>
          <w:color w:val="auto"/>
        </w:rPr>
        <w:t>In accordance with the terms of our credit facility, Adjusted EBITDA is defined as net income before interest, taxes, depreciation and amortization, as well as certain other items such as the impact of discontinued operations, the cumulative effect of changes in accounting, costs associated with debt refinancings, and other non-recurring, non-cash items effecting net income. Adjusted EBITDA does not represent and should not be considered as an alternative to net income or cash flow from operations as determined by accounting principles generally accepted in the United States of America, and Adjusted EBITDA does not necessarily indicate whether cash flow will be sufficient to meet cash requirements. Interest coverage is calculated as Adjusted EBITDA divided by interest expense excluding costs</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related to refinancings.</w:t>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numeric reconciliation of net income to Adjusted EBITDA is as follows: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2006</w:t>
            </w: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2005</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2004</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2003</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$ 132.7</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$ 100.6</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$ 100.9</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$ 103.8</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39.6</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48.8</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Deprecation and amortization</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67.0</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67.2</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57.7</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impairment</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Discontinued operations</w:t>
            </w:r>
          </w:p>
        </w:tc>
        <w:tc>
          <w:tcPr>
            <w:tcW w:w="10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(0.2)</w:t>
            </w:r>
          </w:p>
        </w:tc>
        <w:tc>
          <w:tcPr>
            <w:tcW w:w="9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(0.4)</w:t>
            </w:r>
          </w:p>
        </w:tc>
        <w:tc>
          <w:tcPr>
            <w:tcW w:w="10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Cumulative effect of change in accounting</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Costs related to refinancings</w:t>
            </w:r>
          </w:p>
        </w:tc>
        <w:tc>
          <w:tcPr>
            <w:tcW w:w="10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45.5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$ 385.9</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$ 291.5</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$ 310.5</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$ 283.8</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281.9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ITEM 7. MANAGEMENT’S DISCUSSION AND ANALYSIS OF FINANCIAL CONDITION AND RESULTS OF OPERATIONS</w:t>
      </w:r>
    </w:p>
    <w:p>
      <w:pPr>
        <w:spacing w:after="0" w:line="144" w:lineRule="exact"/>
        <w:rPr>
          <w:sz w:val="20"/>
          <w:szCs w:val="20"/>
          <w:color w:val="auto"/>
        </w:rPr>
      </w:pPr>
    </w:p>
    <w:p>
      <w:pPr>
        <w:ind w:left="700" w:right="540" w:firstLine="397"/>
        <w:spacing w:after="0"/>
        <w:rPr>
          <w:sz w:val="20"/>
          <w:szCs w:val="20"/>
          <w:color w:val="auto"/>
        </w:rPr>
      </w:pPr>
      <w:r>
        <w:rPr>
          <w:rFonts w:ascii="Arial" w:cs="Arial" w:eastAsia="Arial" w:hAnsi="Arial"/>
          <w:sz w:val="18"/>
          <w:szCs w:val="18"/>
          <w:color w:val="auto"/>
        </w:rPr>
        <w:t>The purpose of this discussion is to provide an understanding of the Company’s financial results and condition by focusing on changes in certain key measures from year to year. Management’s Discussion and Analysis (MD&amp;A) is organized in the following sections:</w:t>
      </w:r>
    </w:p>
    <w:p>
      <w:pPr>
        <w:spacing w:after="0" w:line="108"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Management’s outlook</w:t>
      </w:r>
    </w:p>
    <w:p>
      <w:pPr>
        <w:spacing w:after="0" w:line="117" w:lineRule="exact"/>
        <w:rPr>
          <w:sz w:val="20"/>
          <w:szCs w:val="20"/>
          <w:color w:val="auto"/>
        </w:rPr>
      </w:pPr>
    </w:p>
    <w:p>
      <w:pPr>
        <w:ind w:left="700" w:right="120" w:firstLine="397"/>
        <w:spacing w:after="0" w:line="239" w:lineRule="auto"/>
        <w:rPr>
          <w:sz w:val="20"/>
          <w:szCs w:val="20"/>
          <w:color w:val="auto"/>
        </w:rPr>
      </w:pPr>
      <w:r>
        <w:rPr>
          <w:rFonts w:ascii="Arial" w:cs="Arial" w:eastAsia="Arial" w:hAnsi="Arial"/>
          <w:sz w:val="18"/>
          <w:szCs w:val="18"/>
          <w:color w:val="auto"/>
        </w:rPr>
        <w:t>On November 9, 2005, The Scotts Miracle-Gro Company distributed a 2-for-1 stock split of the common shares to shareholders of record on November 2, 2005. To enhance comparability going forward, all share and per share information referred to in this MD&amp;A and elsewhere in this Annual Report on Form 10-K have been adjusted to reflect this stock split for all periods presented.</w:t>
      </w:r>
    </w:p>
    <w:p>
      <w:pPr>
        <w:spacing w:after="0" w:line="107" w:lineRule="exact"/>
        <w:rPr>
          <w:sz w:val="20"/>
          <w:szCs w:val="20"/>
          <w:color w:val="auto"/>
        </w:rPr>
      </w:pPr>
    </w:p>
    <w:p>
      <w:pPr>
        <w:ind w:left="700" w:right="40" w:firstLine="397"/>
        <w:spacing w:after="0" w:line="246" w:lineRule="auto"/>
        <w:rPr>
          <w:sz w:val="20"/>
          <w:szCs w:val="20"/>
          <w:color w:val="auto"/>
        </w:rPr>
      </w:pPr>
      <w:r>
        <w:rPr>
          <w:rFonts w:ascii="Arial" w:cs="Arial" w:eastAsia="Arial" w:hAnsi="Arial"/>
          <w:sz w:val="18"/>
          <w:szCs w:val="18"/>
          <w:color w:val="auto"/>
        </w:rPr>
        <w:t>On December 12, 2006, The Scotts Miracle-Gro Company announced that its Board of Directors approved in concept a plan of recapitalization encompassing the following actions:</w:t>
      </w:r>
    </w:p>
    <w:p>
      <w:pPr>
        <w:spacing w:after="0" w:line="102" w:lineRule="exact"/>
        <w:rPr>
          <w:sz w:val="20"/>
          <w:szCs w:val="20"/>
          <w:color w:val="auto"/>
        </w:rPr>
      </w:pPr>
    </w:p>
    <w:p>
      <w:pPr>
        <w:ind w:left="1300" w:right="200" w:hanging="202"/>
        <w:spacing w:after="0" w:line="24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senior secured credit facilities aggregating $2.1 to $2.3 billion to replace the existing $1.05 billion senior credit facility.</w:t>
      </w:r>
    </w:p>
    <w:p>
      <w:pPr>
        <w:spacing w:after="0" w:line="83"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Repurchase of The Scotts Miracle-Gro Company’s existing $200 million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w:t>
      </w:r>
    </w:p>
    <w:p>
      <w:pPr>
        <w:spacing w:after="0" w:line="28" w:lineRule="exact"/>
        <w:rPr>
          <w:rFonts w:ascii="Arial" w:cs="Arial" w:eastAsia="Arial" w:hAnsi="Arial"/>
          <w:sz w:val="18"/>
          <w:szCs w:val="18"/>
          <w:color w:val="auto"/>
        </w:rPr>
      </w:pPr>
    </w:p>
    <w:p>
      <w:pPr>
        <w:jc w:val="both"/>
        <w:ind w:left="1300" w:right="38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and accelerating the previously announced program to repurchase $500 million common shares. The revised program will be increased to $750 million, with approximately one-third allocated to repurchase common shares and two-thirds toward a special one-time cash dividend.</w:t>
      </w:r>
    </w:p>
    <w:p>
      <w:pPr>
        <w:spacing w:after="0" w:line="108" w:lineRule="exact"/>
        <w:rPr>
          <w:sz w:val="20"/>
          <w:szCs w:val="20"/>
          <w:color w:val="auto"/>
        </w:rPr>
      </w:pPr>
    </w:p>
    <w:p>
      <w:pPr>
        <w:ind w:left="700" w:right="200" w:firstLine="397"/>
        <w:spacing w:after="0"/>
        <w:rPr>
          <w:sz w:val="20"/>
          <w:szCs w:val="20"/>
          <w:color w:val="auto"/>
        </w:rPr>
      </w:pPr>
      <w:r>
        <w:rPr>
          <w:rFonts w:ascii="Arial" w:cs="Arial" w:eastAsia="Arial" w:hAnsi="Arial"/>
          <w:sz w:val="18"/>
          <w:szCs w:val="18"/>
          <w:color w:val="auto"/>
        </w:rPr>
        <w:t>The recapitalization is expected to be consummated during the second quarter of fiscal 2007. These actions reflect management’s confidence in the continued growth of the Company coupled with strong and consistent cash flows that can support higher levels of debt.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9" w:lineRule="exact"/>
        <w:rPr>
          <w:sz w:val="20"/>
          <w:szCs w:val="20"/>
          <w:color w:val="auto"/>
        </w:rPr>
      </w:pPr>
    </w:p>
    <w:p>
      <w:pPr>
        <w:ind w:left="700" w:right="220" w:firstLine="397"/>
        <w:spacing w:after="0" w:line="236" w:lineRule="auto"/>
        <w:rPr>
          <w:sz w:val="20"/>
          <w:szCs w:val="20"/>
          <w:color w:val="auto"/>
        </w:rPr>
      </w:pPr>
      <w:r>
        <w:rPr>
          <w:rFonts w:ascii="Arial" w:cs="Arial" w:eastAsia="Arial" w:hAnsi="Arial"/>
          <w:sz w:val="18"/>
          <w:szCs w:val="18"/>
          <w:color w:val="auto"/>
        </w:rPr>
        <w:t>We are dedicated to delivering strong, consistent financial results and outstanding shareholder returns by providing consumers with products of superior quality and value to enhance their outdoor living environments. We are a leading manufacturer and marketer of consumer branded products for lawn and garden care and professional horticulture in North America and Europe. We are Monsanto’s exclusive agent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non-selective herbicide products within the United States and other contractually specified countries. We entered the North America wild bird food category with the acquisition of Gutwein &amp; Co., Inc. (“Gutwein”) in November 2005, and the outdoor living category with the acquisition of Smith &amp; Hawken</w:t>
      </w:r>
      <w:r>
        <w:rPr>
          <w:rFonts w:ascii="Arial" w:cs="Arial" w:eastAsia="Arial" w:hAnsi="Arial"/>
          <w:sz w:val="15"/>
          <w:szCs w:val="15"/>
          <w:color w:val="auto"/>
        </w:rPr>
        <w:t>®</w:t>
      </w:r>
      <w:r>
        <w:rPr>
          <w:rFonts w:ascii="Arial" w:cs="Arial" w:eastAsia="Arial" w:hAnsi="Arial"/>
          <w:sz w:val="18"/>
          <w:szCs w:val="18"/>
          <w:color w:val="auto"/>
        </w:rPr>
        <w:t xml:space="preserve"> in October 2004. We have a presence in Australia, the Far East, Latin America and South America. Also, in the United States,</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80"/>
        <w:spacing w:after="0" w:line="239" w:lineRule="auto"/>
        <w:rPr>
          <w:sz w:val="20"/>
          <w:szCs w:val="20"/>
          <w:color w:val="auto"/>
        </w:rPr>
      </w:pPr>
      <w:r>
        <w:rPr>
          <w:rFonts w:ascii="Arial" w:cs="Arial" w:eastAsia="Arial" w:hAnsi="Arial"/>
          <w:sz w:val="18"/>
          <w:szCs w:val="18"/>
          <w:color w:val="auto"/>
        </w:rPr>
        <w:t>we operate the second largest residential lawn service business, Scotts LawnService. In fiscal 2006, our operations were divided into the following reportable segments: North America, Scotts LawnService</w:t>
      </w:r>
      <w:r>
        <w:rPr>
          <w:rFonts w:ascii="Arial" w:cs="Arial" w:eastAsia="Arial" w:hAnsi="Arial"/>
          <w:sz w:val="15"/>
          <w:szCs w:val="15"/>
          <w:color w:val="auto"/>
        </w:rPr>
        <w:t>®</w:t>
      </w:r>
      <w:r>
        <w:rPr>
          <w:rFonts w:ascii="Arial" w:cs="Arial" w:eastAsia="Arial" w:hAnsi="Arial"/>
          <w:sz w:val="18"/>
          <w:szCs w:val="18"/>
          <w:color w:val="auto"/>
        </w:rPr>
        <w:t>, International, and Corporate &amp; Other. The Corporate &amp; Other segment consists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and corporate general and administrative expenses.</w:t>
      </w:r>
    </w:p>
    <w:p>
      <w:pPr>
        <w:spacing w:after="0" w:line="107" w:lineRule="exact"/>
        <w:rPr>
          <w:sz w:val="20"/>
          <w:szCs w:val="20"/>
          <w:color w:val="auto"/>
        </w:rPr>
      </w:pPr>
    </w:p>
    <w:p>
      <w:pPr>
        <w:ind w:left="700" w:right="100" w:firstLine="397"/>
        <w:spacing w:after="0" w:line="236" w:lineRule="auto"/>
        <w:rPr>
          <w:sz w:val="20"/>
          <w:szCs w:val="20"/>
          <w:color w:val="auto"/>
        </w:rPr>
      </w:pPr>
      <w:r>
        <w:rPr>
          <w:rFonts w:ascii="Arial" w:cs="Arial" w:eastAsia="Arial" w:hAnsi="Arial"/>
          <w:sz w:val="18"/>
          <w:szCs w:val="18"/>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a number of years, and we believe that we receive a significant return on these marketing expenditures. We expect we will continue to focus our marketing efforts toward the consumer and make additional targeted investments in consumer marketing expenditures in the future to continue to drive market share and sales growth. A portion of our selling, general and administrative cost savings from our long-term strategic improvement plan initiated in fiscal 2005 has been reinvested to strengthen our brands and relationships with consumers. Our spending on advertising in fiscal 2006 increased 12.1% over fiscal 2005 and when combined with promotions, increased 15.2%.</w:t>
      </w:r>
    </w:p>
    <w:p>
      <w:pPr>
        <w:spacing w:after="0" w:line="112" w:lineRule="exact"/>
        <w:rPr>
          <w:sz w:val="20"/>
          <w:szCs w:val="20"/>
          <w:color w:val="auto"/>
        </w:rPr>
      </w:pPr>
    </w:p>
    <w:p>
      <w:pPr>
        <w:ind w:left="700" w:firstLine="397"/>
        <w:spacing w:after="0"/>
        <w:rPr>
          <w:sz w:val="20"/>
          <w:szCs w:val="20"/>
          <w:color w:val="auto"/>
        </w:rPr>
      </w:pPr>
      <w:r>
        <w:rPr>
          <w:rFonts w:ascii="Arial" w:cs="Arial" w:eastAsia="Arial" w:hAnsi="Arial"/>
          <w:sz w:val="18"/>
          <w:szCs w:val="18"/>
          <w:color w:val="auto"/>
        </w:rPr>
        <w:t>Our sales are susceptible to global weather conditions. For instance, periods of wet weather can adversely impact sales of certain products, while increasing demand for other products. We believe that our past acquisitions have somewhat diversified both our product line risk and geographic risk to weather conditions.</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2420" w:type="dxa"/>
            <w:vAlign w:val="bottom"/>
            <w:gridSpan w:val="4"/>
          </w:tcPr>
          <w:p>
            <w:pPr>
              <w:jc w:val="center"/>
              <w:ind w:right="160"/>
              <w:spacing w:after="0"/>
              <w:rPr>
                <w:sz w:val="20"/>
                <w:szCs w:val="20"/>
                <w:color w:val="auto"/>
              </w:rPr>
            </w:pPr>
            <w:r>
              <w:rPr>
                <w:rFonts w:ascii="Arial" w:cs="Arial" w:eastAsia="Arial" w:hAnsi="Arial"/>
                <w:sz w:val="18"/>
                <w:szCs w:val="18"/>
                <w:color w:val="auto"/>
              </w:rPr>
              <w:t>Percent of Net Sales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
              <w:spacing w:after="0" w:line="203" w:lineRule="exact"/>
              <w:rPr>
                <w:sz w:val="20"/>
                <w:szCs w:val="20"/>
                <w:color w:val="auto"/>
              </w:rPr>
            </w:pPr>
            <w:r>
              <w:rPr>
                <w:rFonts w:ascii="Arial" w:cs="Arial" w:eastAsia="Arial" w:hAnsi="Arial"/>
                <w:sz w:val="18"/>
                <w:szCs w:val="18"/>
                <w:color w:val="auto"/>
              </w:rPr>
              <w:t>by Quarter</w:t>
            </w: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2006</w:t>
            </w: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2005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w:t>
            </w:r>
          </w:p>
        </w:tc>
        <w:tc>
          <w:tcPr>
            <w:tcW w:w="10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10.4%</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0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34.3%</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w:t>
            </w:r>
          </w:p>
        </w:tc>
        <w:tc>
          <w:tcPr>
            <w:tcW w:w="10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38.0%</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Fourth Quarter</w:t>
            </w: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left="700" w:right="160" w:firstLine="397"/>
        <w:spacing w:after="0"/>
        <w:rPr>
          <w:sz w:val="20"/>
          <w:szCs w:val="20"/>
          <w:color w:val="auto"/>
        </w:rPr>
      </w:pPr>
      <w:r>
        <w:rPr>
          <w:rFonts w:ascii="Arial" w:cs="Arial" w:eastAsia="Arial" w:hAnsi="Arial"/>
          <w:sz w:val="18"/>
          <w:szCs w:val="18"/>
          <w:color w:val="auto"/>
        </w:rPr>
        <w:t>Due to the nature of our lawn and garden business, significant portions of our shipments occur in the second and third fiscal quarters. In recent years, retailers have reduced their pre-season inventories placing greater reliance on us to deliver products “in season” when consumers seek to buy our products.</w:t>
      </w:r>
    </w:p>
    <w:p>
      <w:pPr>
        <w:spacing w:after="0" w:line="108" w:lineRule="exact"/>
        <w:rPr>
          <w:sz w:val="20"/>
          <w:szCs w:val="20"/>
          <w:color w:val="auto"/>
        </w:rPr>
      </w:pPr>
    </w:p>
    <w:p>
      <w:pPr>
        <w:ind w:left="700" w:right="40" w:firstLine="397"/>
        <w:spacing w:after="0" w:line="237" w:lineRule="auto"/>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 These metrics include consumer purchases (point-of-sale data), market share, net sales (including volume, pricing and foreign exchange), gross profit margins, income from operations, net income and earnings per share. To the extent applicable, these measures are evaluated with and without impairment, restructuring and other charges. We also focus on measures to optimize cash flow and return on invested capital, including the management of working capital and capital expenditures.</w:t>
      </w:r>
    </w:p>
    <w:p>
      <w:pPr>
        <w:spacing w:after="0" w:line="111" w:lineRule="exact"/>
        <w:rPr>
          <w:sz w:val="20"/>
          <w:szCs w:val="20"/>
          <w:color w:val="auto"/>
        </w:rPr>
      </w:pPr>
    </w:p>
    <w:p>
      <w:pPr>
        <w:ind w:left="700" w:right="120" w:firstLine="397"/>
        <w:spacing w:after="0" w:line="238" w:lineRule="auto"/>
        <w:rPr>
          <w:sz w:val="20"/>
          <w:szCs w:val="20"/>
          <w:color w:val="auto"/>
        </w:rPr>
      </w:pPr>
      <w:r>
        <w:rPr>
          <w:rFonts w:ascii="Arial" w:cs="Arial" w:eastAsia="Arial" w:hAnsi="Arial"/>
          <w:sz w:val="18"/>
          <w:szCs w:val="18"/>
          <w:color w:val="auto"/>
        </w:rPr>
        <w:t>The long-term strategic improvement plan (“Project Excellence”), initiated in June 2005, is focused on improving organizational effectiveness, implementing better business processes, reducing SG&amp;A expenses, and increasing spending on consumer marketing and innovation. Net Project Excellence savings are estimated to have increased fiscal 2006 pre-tax earnings by approximately $25.0 million. We incurred approximately $ 9.7 million in restructuring charges associated with Project Excellence during fiscal 2006 and approximately $36.0 million since the inception of the project.</w:t>
      </w:r>
    </w:p>
    <w:p>
      <w:pPr>
        <w:spacing w:after="0" w:line="108" w:lineRule="exact"/>
        <w:rPr>
          <w:sz w:val="20"/>
          <w:szCs w:val="20"/>
          <w:color w:val="auto"/>
        </w:rPr>
      </w:pPr>
    </w:p>
    <w:p>
      <w:pPr>
        <w:ind w:left="700" w:right="60" w:firstLine="397"/>
        <w:spacing w:after="0" w:line="237" w:lineRule="auto"/>
        <w:rPr>
          <w:sz w:val="20"/>
          <w:szCs w:val="20"/>
          <w:color w:val="auto"/>
        </w:rPr>
      </w:pPr>
      <w:r>
        <w:rPr>
          <w:rFonts w:ascii="Arial" w:cs="Arial" w:eastAsia="Arial" w:hAnsi="Arial"/>
          <w:sz w:val="18"/>
          <w:szCs w:val="18"/>
          <w:color w:val="auto"/>
        </w:rPr>
        <w:t>Improving the performance of our consumer International business continues to be a challenge. This is evidenced by the impairment charges for this business in the first quarter of fiscal 2005 and the fourth quarter of fiscal 2006. Over the past several years, we have reorganized and rationalized our European supply chain and increased sales force productivity. Current efforts are focused on improving our competitive position, continuing to reduce supply chain and SG&amp;A costs within the business, and realigning the organization to better leverage our knowledge of the marketplace and the consumer. We are working towards pan-European category management of our consumer product portfolio. Overall, we have moderated our goals for the consumer International business to reflect t</w:t>
      </w:r>
      <w:r>
        <w:rPr>
          <w:rFonts w:ascii="Arial" w:cs="Arial" w:eastAsia="Arial" w:hAnsi="Arial"/>
          <w:sz w:val="18"/>
          <w:szCs w:val="18"/>
          <w:u w:val="single" w:color="auto"/>
          <w:color w:val="auto"/>
        </w:rPr>
        <w:t>he r</w:t>
      </w:r>
      <w:r>
        <w:rPr>
          <w:rFonts w:ascii="Arial" w:cs="Arial" w:eastAsia="Arial" w:hAnsi="Arial"/>
          <w:sz w:val="18"/>
          <w:szCs w:val="18"/>
          <w:color w:val="auto"/>
        </w:rPr>
        <w:t>ealities of the marketplace.</w:t>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40" w:firstLine="397"/>
        <w:spacing w:after="0" w:line="236" w:lineRule="auto"/>
        <w:rPr>
          <w:sz w:val="20"/>
          <w:szCs w:val="20"/>
          <w:color w:val="auto"/>
        </w:rPr>
      </w:pPr>
      <w:r>
        <w:rPr>
          <w:rFonts w:ascii="Arial" w:cs="Arial" w:eastAsia="Arial" w:hAnsi="Arial"/>
          <w:sz w:val="18"/>
          <w:szCs w:val="18"/>
          <w:color w:val="auto"/>
        </w:rPr>
        <w:t>We continue to view strategic acquisitions as a means to enhance our strong core businesses. Effective October 3, 2005, we acquired all the outstanding shares of Rod McLellan Company (“RMC”) for $20.5 million in cash plus assumed liabilities of $6.8 million. RMC is a leading branded producer and marketer of soil and landscape products in the western U.S. This business has been integrated into our existing Growing Media business. Effective November 18, 2005, we acquired Gutwein &amp; Co., Inc. (“Gutwein”) for approximately $78.3 million in cash plus assumed liabilities of $ 4.7 million. Through its Morning Song</w:t>
      </w:r>
      <w:r>
        <w:rPr>
          <w:rFonts w:ascii="Arial" w:cs="Arial" w:eastAsia="Arial" w:hAnsi="Arial"/>
          <w:sz w:val="15"/>
          <w:szCs w:val="15"/>
          <w:color w:val="auto"/>
        </w:rPr>
        <w:t>®</w:t>
      </w:r>
      <w:r>
        <w:rPr>
          <w:rFonts w:ascii="Arial" w:cs="Arial" w:eastAsia="Arial" w:hAnsi="Arial"/>
          <w:sz w:val="18"/>
          <w:szCs w:val="18"/>
          <w:color w:val="auto"/>
        </w:rPr>
        <w:t xml:space="preserve"> brand, Gutwein is a leader in the growing North America wild bird food category, generating approximately $80 million in annual revenues. Morning Song</w:t>
      </w:r>
      <w:r>
        <w:rPr>
          <w:rFonts w:ascii="Arial" w:cs="Arial" w:eastAsia="Arial" w:hAnsi="Arial"/>
          <w:sz w:val="15"/>
          <w:szCs w:val="15"/>
          <w:color w:val="auto"/>
        </w:rPr>
        <w:t>®</w:t>
      </w:r>
      <w:r>
        <w:rPr>
          <w:rFonts w:ascii="Arial" w:cs="Arial" w:eastAsia="Arial" w:hAnsi="Arial"/>
          <w:sz w:val="18"/>
          <w:szCs w:val="18"/>
          <w:color w:val="auto"/>
        </w:rPr>
        <w:t xml:space="preserve"> products are sold at leading mass retailers, grocery, pet and general merchandise stores. This is our first acquisition in the wild bird food category and we are excited about the opportunity to leverage the strengths of both organizations to drive continued growth in this category.</w:t>
      </w:r>
    </w:p>
    <w:p>
      <w:pPr>
        <w:spacing w:after="0" w:line="113" w:lineRule="exact"/>
        <w:rPr>
          <w:sz w:val="20"/>
          <w:szCs w:val="20"/>
          <w:color w:val="auto"/>
        </w:rPr>
      </w:pPr>
    </w:p>
    <w:p>
      <w:pPr>
        <w:ind w:left="700" w:firstLine="397"/>
        <w:spacing w:after="0" w:line="236" w:lineRule="auto"/>
        <w:rPr>
          <w:sz w:val="20"/>
          <w:szCs w:val="20"/>
          <w:color w:val="auto"/>
        </w:rPr>
      </w:pPr>
      <w:r>
        <w:rPr>
          <w:rFonts w:ascii="Arial" w:cs="Arial" w:eastAsia="Arial" w:hAnsi="Arial"/>
          <w:sz w:val="18"/>
          <w:szCs w:val="18"/>
          <w:color w:val="auto"/>
        </w:rPr>
        <w:t>In late May and early June 2006, the Company invested cash of $16.2 million and assumed $5.5 million of liabilities to consummate two acquisitions designed to strengthen the Company’s overall global position in the turfgrass seed category. First, the Company completed the acquisition of certain assets, including brands, turfgrass varieties and intellectual property, from Oregon based Turf-Seed, Inc. (“Turf-Seed”), a leading producer of quality commercial turfgrasses for the professional seed business. The transaction includes a 49% equity interest in Turf-Seed Europe, which distributes Turf-Seed’s grass varieties throughout the European Union and other countries in the region. Based on future performance, additional contingent consideration estimated at $15.0 million may be due in 2012. Second, the Company completed the acquisition of certain assets of Oregon based Landmark Seed Company, a leading producer and distributor of quality professional seed and turfgrasses, including its brands, turfgrass varieties and intellectual property.</w:t>
      </w:r>
    </w:p>
    <w:p>
      <w:pPr>
        <w:spacing w:after="0" w:line="113" w:lineRule="exact"/>
        <w:rPr>
          <w:sz w:val="20"/>
          <w:szCs w:val="20"/>
          <w:color w:val="auto"/>
        </w:rPr>
      </w:pPr>
    </w:p>
    <w:p>
      <w:pPr>
        <w:ind w:left="700" w:right="280" w:firstLine="397"/>
        <w:spacing w:after="0" w:line="248" w:lineRule="auto"/>
        <w:rPr>
          <w:sz w:val="20"/>
          <w:szCs w:val="20"/>
          <w:color w:val="auto"/>
        </w:rPr>
      </w:pPr>
      <w:r>
        <w:rPr>
          <w:rFonts w:ascii="Arial" w:cs="Arial" w:eastAsia="Arial" w:hAnsi="Arial"/>
          <w:sz w:val="17"/>
          <w:szCs w:val="17"/>
          <w:color w:val="auto"/>
        </w:rPr>
        <w:t>Given the Company’s strong performance and consistent cash flows, our Board of Directors has undertaken several actions over the past eighteen months to return cash to our shareholders. We began paying a quarterly cash dividend of</w:t>
      </w:r>
    </w:p>
    <w:p>
      <w:pPr>
        <w:spacing w:after="0" w:line="1" w:lineRule="exact"/>
        <w:rPr>
          <w:sz w:val="20"/>
          <w:szCs w:val="20"/>
          <w:color w:val="auto"/>
        </w:rPr>
      </w:pPr>
    </w:p>
    <w:p>
      <w:pPr>
        <w:ind w:left="700" w:right="280"/>
        <w:spacing w:after="0" w:line="246" w:lineRule="auto"/>
        <w:rPr>
          <w:sz w:val="20"/>
          <w:szCs w:val="20"/>
          <w:color w:val="auto"/>
        </w:rPr>
      </w:pPr>
      <w:r>
        <w:rPr>
          <w:rFonts w:ascii="Arial" w:cs="Arial" w:eastAsia="Arial" w:hAnsi="Arial"/>
          <w:sz w:val="18"/>
          <w:szCs w:val="18"/>
          <w:color w:val="auto"/>
        </w:rPr>
        <w:t>12.5 cents per share in the fourth quarter of fiscal 2005. In fiscal 2006, our Board launched a five-year $500 million share repurchase program pursuant to which we have repurchased 2.0 common shares for $87.9 million.</w:t>
      </w:r>
    </w:p>
    <w:p>
      <w:pPr>
        <w:spacing w:after="0" w:line="102"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color w:val="auto"/>
        </w:rPr>
        <w:t>Most recently, on December 12, 2006, we announced that we intend to implement a recapitalization plan that would expand upon and accelerate returns to shareholders beyond the current $500 million program (which has been canceled) by returning $750 million to our shareholders. Pursuant to this plan, which has been approved in concept by our Board of Directors, we intend to launch a “Dutch auction” tender offer in January 2007 to repurchase up to $250 million of our common shares. Following the consummation of the tender offer and subject to final Board approval, we intend to declare a special one-time cash dividend during the second quarter of fiscal 2007, currently anticipated to be $500 million in the aggregate but subject to revision based on spending for tendered common shares.</w:t>
      </w:r>
    </w:p>
    <w:p>
      <w:pPr>
        <w:spacing w:after="0" w:line="109" w:lineRule="exact"/>
        <w:rPr>
          <w:sz w:val="20"/>
          <w:szCs w:val="20"/>
          <w:color w:val="auto"/>
        </w:rPr>
      </w:pPr>
    </w:p>
    <w:p>
      <w:pPr>
        <w:ind w:left="700" w:right="40" w:firstLine="397"/>
        <w:spacing w:after="0" w:line="234" w:lineRule="auto"/>
        <w:rPr>
          <w:sz w:val="20"/>
          <w:szCs w:val="20"/>
          <w:color w:val="auto"/>
        </w:rPr>
      </w:pPr>
      <w:r>
        <w:rPr>
          <w:rFonts w:ascii="Arial" w:cs="Arial" w:eastAsia="Arial" w:hAnsi="Arial"/>
          <w:sz w:val="18"/>
          <w:szCs w:val="18"/>
          <w:color w:val="auto"/>
        </w:rPr>
        <w:t>In connection with this recapitalization plan, we have received a commitment letter from JPMorgan Chase, Bank of America and Citigroup, subject to the terms and conditions set forth therein, to provide Scotts Miracle-Gro and certain of its subsidiaries the following loan facilities totaling in the aggregate up to $2.1 billion: (a) a senior secured five-year term loan in the principal amount of $550.0 million and (b) a senior secured five-year revolving loan facility in the aggregate principal amount of up to $1.55 billion. The Company will have the ability to increase the aggregate amount of the revolving and term loan facilities by $200 million allocated on a pro rata basis, subject to demand in the syndication process. The new</w:t>
      </w:r>
    </w:p>
    <w:p>
      <w:pPr>
        <w:spacing w:after="0" w:line="5" w:lineRule="exact"/>
        <w:rPr>
          <w:sz w:val="20"/>
          <w:szCs w:val="20"/>
          <w:color w:val="auto"/>
        </w:rPr>
      </w:pPr>
    </w:p>
    <w:p>
      <w:pPr>
        <w:ind w:left="700" w:right="60"/>
        <w:spacing w:after="0" w:line="212" w:lineRule="auto"/>
        <w:rPr>
          <w:sz w:val="20"/>
          <w:szCs w:val="20"/>
          <w:color w:val="auto"/>
        </w:rPr>
      </w:pPr>
      <w:r>
        <w:rPr>
          <w:rFonts w:ascii="Arial" w:cs="Arial" w:eastAsia="Arial" w:hAnsi="Arial"/>
          <w:sz w:val="18"/>
          <w:szCs w:val="18"/>
          <w:color w:val="auto"/>
        </w:rPr>
        <w:t>$2.1 billion senior secured credit facilities would replace our existing $1.05 billion senior credit facility. In connection with the recapitalization plan, we also intend to use proceeds from our new credit facilities to repurchase our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due 2013 in an aggregate principal amount of $200 million.</w:t>
      </w:r>
    </w:p>
    <w:p>
      <w:pPr>
        <w:spacing w:after="0" w:line="110" w:lineRule="exact"/>
        <w:rPr>
          <w:sz w:val="20"/>
          <w:szCs w:val="20"/>
          <w:color w:val="auto"/>
        </w:rPr>
      </w:pPr>
    </w:p>
    <w:p>
      <w:pPr>
        <w:ind w:left="700" w:right="60" w:firstLine="397"/>
        <w:spacing w:after="0" w:line="239" w:lineRule="auto"/>
        <w:rPr>
          <w:sz w:val="20"/>
          <w:szCs w:val="20"/>
          <w:color w:val="auto"/>
        </w:rPr>
      </w:pPr>
      <w:r>
        <w:rPr>
          <w:rFonts w:ascii="Arial" w:cs="Arial" w:eastAsia="Arial" w:hAnsi="Arial"/>
          <w:sz w:val="18"/>
          <w:szCs w:val="18"/>
          <w:color w:val="auto"/>
        </w:rPr>
        <w:t>These actions reflect management’s confidence in the continued growth of the Company coupled with strong and consistent cash flows that can support the higher levels of debt necessary to finance this plan, as discussed in the Liquidity and Capital Resources section of this Item 7. Even with an increase in borrowings under the new credit facilities, we believe we will maintain the capacity to pursue targeted, strategic ac</w:t>
      </w:r>
      <w:r>
        <w:rPr>
          <w:rFonts w:ascii="Arial" w:cs="Arial" w:eastAsia="Arial" w:hAnsi="Arial"/>
          <w:sz w:val="18"/>
          <w:szCs w:val="18"/>
          <w:u w:val="single" w:color="auto"/>
          <w:color w:val="auto"/>
        </w:rPr>
        <w:t>quis</w:t>
      </w:r>
      <w:r>
        <w:rPr>
          <w:rFonts w:ascii="Arial" w:cs="Arial" w:eastAsia="Arial" w:hAnsi="Arial"/>
          <w:sz w:val="18"/>
          <w:szCs w:val="18"/>
          <w:color w:val="auto"/>
        </w:rPr>
        <w:t>itions that leverage our core competencies.</w:t>
      </w:r>
    </w:p>
    <w:p>
      <w:pPr>
        <w:ind w:left="5600"/>
        <w:spacing w:after="0"/>
        <w:rPr>
          <w:sz w:val="20"/>
          <w:szCs w:val="20"/>
          <w:color w:val="auto"/>
        </w:rPr>
      </w:pPr>
      <w:r>
        <w:rPr>
          <w:rFonts w:ascii="Arial" w:cs="Arial" w:eastAsia="Arial" w:hAnsi="Arial"/>
          <w:sz w:val="11"/>
          <w:szCs w:val="11"/>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Results of Operations</w:t>
      </w:r>
    </w:p>
    <w:p>
      <w:pPr>
        <w:spacing w:after="0" w:line="144" w:lineRule="exact"/>
        <w:rPr>
          <w:sz w:val="20"/>
          <w:szCs w:val="20"/>
          <w:color w:val="auto"/>
        </w:rPr>
      </w:pPr>
    </w:p>
    <w:p>
      <w:pPr>
        <w:ind w:left="700" w:right="180" w:firstLine="397"/>
        <w:spacing w:after="0" w:line="246" w:lineRule="auto"/>
        <w:rPr>
          <w:sz w:val="20"/>
          <w:szCs w:val="20"/>
          <w:color w:val="auto"/>
        </w:rPr>
      </w:pPr>
      <w:r>
        <w:rPr>
          <w:rFonts w:ascii="Arial" w:cs="Arial" w:eastAsia="Arial" w:hAnsi="Arial"/>
          <w:sz w:val="18"/>
          <w:szCs w:val="18"/>
          <w:color w:val="auto"/>
        </w:rPr>
        <w:t>The following table sets forth the components of income and expense as a percentage of net sales for the three years ended September 30, 2006:</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180" w:type="dxa"/>
            <w:vAlign w:val="bottom"/>
            <w:tcBorders>
              <w:right w:val="single" w:sz="8" w:color="auto"/>
            </w:tcBorders>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000"/>
              <w:spacing w:after="0" w:line="196" w:lineRule="exact"/>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64.6</w:t>
            </w:r>
          </w:p>
        </w:tc>
        <w:tc>
          <w:tcPr>
            <w:tcW w:w="6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63.7</w:t>
            </w:r>
          </w:p>
        </w:tc>
        <w:tc>
          <w:tcPr>
            <w:tcW w:w="116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62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w:t>
            </w: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62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160"/>
              <w:spacing w:after="0" w:line="202" w:lineRule="exact"/>
              <w:rPr>
                <w:sz w:val="20"/>
                <w:szCs w:val="20"/>
                <w:color w:val="auto"/>
              </w:rPr>
            </w:pPr>
            <w:r>
              <w:rPr>
                <w:rFonts w:ascii="Arial" w:cs="Arial" w:eastAsia="Arial" w:hAnsi="Arial"/>
                <w:sz w:val="18"/>
                <w:szCs w:val="18"/>
                <w:color w:val="auto"/>
              </w:rPr>
              <w:t>Impairment, restructuring and other charges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6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income, net</w:t>
            </w:r>
          </w:p>
        </w:tc>
        <w:tc>
          <w:tcPr>
            <w:tcW w:w="1180" w:type="dxa"/>
            <w:vAlign w:val="bottom"/>
            <w:tcBorders>
              <w:right w:val="single" w:sz="8" w:color="auto"/>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(0.3)</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58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6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related to refinancings</w:t>
            </w:r>
          </w:p>
        </w:tc>
        <w:tc>
          <w:tcPr>
            <w:tcW w:w="1180" w:type="dxa"/>
            <w:vAlign w:val="bottom"/>
            <w:tcBorders>
              <w:right w:val="single" w:sz="8" w:color="auto"/>
            </w:tcBorders>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6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116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62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Income taxes</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6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116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62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Income from discontinued operations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80" w:type="dxa"/>
            <w:vAlign w:val="bottom"/>
            <w:tcBorders>
              <w:right w:val="single" w:sz="8" w:color="auto"/>
            </w:tcBorders>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4.2%</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Net Sales</w:t>
      </w:r>
    </w:p>
    <w:p>
      <w:pPr>
        <w:spacing w:after="0" w:line="144" w:lineRule="exact"/>
        <w:rPr>
          <w:sz w:val="20"/>
          <w:szCs w:val="20"/>
          <w:color w:val="auto"/>
        </w:rPr>
      </w:pPr>
    </w:p>
    <w:p>
      <w:pPr>
        <w:ind w:left="700" w:right="80" w:firstLine="397"/>
        <w:spacing w:after="0"/>
        <w:rPr>
          <w:sz w:val="20"/>
          <w:szCs w:val="20"/>
          <w:color w:val="auto"/>
        </w:rPr>
      </w:pPr>
      <w:r>
        <w:rPr>
          <w:rFonts w:ascii="Arial" w:cs="Arial" w:eastAsia="Arial" w:hAnsi="Arial"/>
          <w:sz w:val="18"/>
          <w:szCs w:val="18"/>
          <w:color w:val="auto"/>
        </w:rPr>
        <w:t>Consolidated net sales for fiscal 2006 increased 13.8% to $2.70 billion from $2.37 billion in fiscal 2005. Acquisitions, foreign exchange rates and a 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liability charge in fiscal 2005 significantly impacted the rate of sales growth in fiscal 2006, as detailed in the following table:</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sales growth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r>
      <w:tr>
        <w:trPr>
          <w:trHeight w:val="199"/>
        </w:trPr>
        <w:tc>
          <w:tcPr>
            <w:tcW w:w="9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Impact of $45.7 million charge in fiscal 2005 associated with deferred contribution liability under</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marketing agreement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0"/>
        </w:trPr>
        <w:tc>
          <w:tcPr>
            <w:tcW w:w="9320" w:type="dxa"/>
            <w:vAlign w:val="bottom"/>
          </w:tcPr>
          <w:p>
            <w:pPr>
              <w:spacing w:after="0" w:line="202" w:lineRule="exact"/>
              <w:rPr>
                <w:sz w:val="20"/>
                <w:szCs w:val="20"/>
                <w:color w:val="auto"/>
              </w:rPr>
            </w:pPr>
            <w:r>
              <w:rPr>
                <w:rFonts w:ascii="Arial" w:cs="Arial" w:eastAsia="Arial" w:hAnsi="Arial"/>
                <w:sz w:val="18"/>
                <w:szCs w:val="18"/>
                <w:color w:val="auto"/>
              </w:rPr>
              <w:t>Foreign exchange rates</w:t>
            </w: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r>
      <w:tr>
        <w:trPr>
          <w:trHeight w:val="203"/>
        </w:trPr>
        <w:tc>
          <w:tcPr>
            <w:tcW w:w="9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Adjusted net sales growth</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0"/>
        </w:trPr>
        <w:tc>
          <w:tcPr>
            <w:tcW w:w="9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120" w:firstLine="397"/>
        <w:spacing w:after="0" w:line="236" w:lineRule="auto"/>
        <w:rPr>
          <w:sz w:val="20"/>
          <w:szCs w:val="20"/>
          <w:color w:val="auto"/>
        </w:rPr>
      </w:pPr>
      <w:r>
        <w:rPr>
          <w:rFonts w:ascii="Arial" w:cs="Arial" w:eastAsia="Arial" w:hAnsi="Arial"/>
          <w:sz w:val="18"/>
          <w:szCs w:val="18"/>
          <w:color w:val="auto"/>
        </w:rPr>
        <w:t>The adjusted net sales growth of 7.3% was driven by strong growth in our North American consumer business and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In contrast, the lawn and garden market has been difficult in Europe as net sales are down 1.7% after adjusting for the effect of exchange rates. North America segment sales grew 14.8% to $1.91 billion, or 7.9% excluding acquisitions. Volume growth contributed 5.8%, pricing 1.9%, with the balance due to the effects of foreign exchange rates. Scotts LawnService</w:t>
      </w:r>
      <w:r>
        <w:rPr>
          <w:rFonts w:ascii="Arial" w:cs="Arial" w:eastAsia="Arial" w:hAnsi="Arial"/>
          <w:sz w:val="15"/>
          <w:szCs w:val="15"/>
          <w:color w:val="auto"/>
        </w:rPr>
        <w:t>®</w:t>
      </w:r>
      <w:r>
        <w:rPr>
          <w:rFonts w:ascii="Arial" w:cs="Arial" w:eastAsia="Arial" w:hAnsi="Arial"/>
          <w:sz w:val="18"/>
          <w:szCs w:val="18"/>
          <w:color w:val="auto"/>
        </w:rPr>
        <w:t xml:space="preserve"> net sales were $205.7 million in fiscal 2006, up 28.7% from fiscal 2005. Volume growth drove approximately two-thirds of the increase with the balance from pricing and acquisitions. International segment sales declined 5.1% to $408.5 million in fiscal 2006, with one-third of the decline due to volume and the balance due to a decline in average foreign exchange rates.</w:t>
      </w:r>
    </w:p>
    <w:p>
      <w:pPr>
        <w:spacing w:after="0" w:line="114" w:lineRule="exact"/>
        <w:rPr>
          <w:sz w:val="20"/>
          <w:szCs w:val="20"/>
          <w:color w:val="auto"/>
        </w:rPr>
      </w:pPr>
    </w:p>
    <w:p>
      <w:pPr>
        <w:ind w:left="700" w:right="20" w:firstLine="397"/>
        <w:spacing w:after="0"/>
        <w:rPr>
          <w:sz w:val="20"/>
          <w:szCs w:val="20"/>
          <w:color w:val="auto"/>
        </w:rPr>
      </w:pPr>
      <w:r>
        <w:rPr>
          <w:rFonts w:ascii="Arial" w:cs="Arial" w:eastAsia="Arial" w:hAnsi="Arial"/>
          <w:sz w:val="18"/>
          <w:szCs w:val="18"/>
          <w:color w:val="auto"/>
        </w:rPr>
        <w:t>In fiscal 2005, worldwide net sales totaled $2.37 billion, an increase of 12.5% compared to fiscal 2004 or 4.7% excluding the impact of the Smith &amp; Hawken</w:t>
      </w:r>
      <w:r>
        <w:rPr>
          <w:rFonts w:ascii="Arial" w:cs="Arial" w:eastAsia="Arial" w:hAnsi="Arial"/>
          <w:sz w:val="15"/>
          <w:szCs w:val="15"/>
          <w:color w:val="auto"/>
        </w:rPr>
        <w:t>®</w:t>
      </w:r>
      <w:r>
        <w:rPr>
          <w:rFonts w:ascii="Arial" w:cs="Arial" w:eastAsia="Arial" w:hAnsi="Arial"/>
          <w:sz w:val="18"/>
          <w:szCs w:val="18"/>
          <w:color w:val="auto"/>
        </w:rPr>
        <w:t xml:space="preserve"> acquisition. Positive impacts from foreign exchanges rates contributed 1.2% to sales growth, while the impact of net selling prices added 1.9% to sales growth.</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Gross Profit</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a percentage of net sales, gross profit was 35.4% of net sales for fiscal 2006 compared to 36.3% for fiscal 2005.</w:t>
      </w:r>
    </w:p>
    <w:p>
      <w:pPr>
        <w:ind w:left="700"/>
        <w:spacing w:after="0" w:line="234" w:lineRule="auto"/>
        <w:rPr>
          <w:sz w:val="20"/>
          <w:szCs w:val="20"/>
          <w:color w:val="auto"/>
        </w:rPr>
      </w:pPr>
      <w:r>
        <w:rPr>
          <w:rFonts w:ascii="Arial" w:cs="Arial" w:eastAsia="Arial" w:hAnsi="Arial"/>
          <w:sz w:val="18"/>
          <w:szCs w:val="18"/>
          <w:color w:val="auto"/>
        </w:rPr>
        <w:t>Adjusting for the effect of the Roundup</w:t>
      </w:r>
      <w:r>
        <w:rPr>
          <w:rFonts w:ascii="Arial" w:cs="Arial" w:eastAsia="Arial" w:hAnsi="Arial"/>
          <w:sz w:val="15"/>
          <w:szCs w:val="15"/>
          <w:color w:val="auto"/>
        </w:rPr>
        <w:t>®</w:t>
      </w:r>
      <w:r>
        <w:rPr>
          <w:rFonts w:ascii="Arial" w:cs="Arial" w:eastAsia="Arial" w:hAnsi="Arial"/>
          <w:sz w:val="18"/>
          <w:szCs w:val="18"/>
          <w:color w:val="auto"/>
        </w:rPr>
        <w:t xml:space="preserve"> contribution charge (see the following paragraph and Note 3 to the accompanying</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Financial Statements), the fiscal 2005 gross pr</w:t>
      </w:r>
      <w:r>
        <w:rPr>
          <w:rFonts w:ascii="Arial" w:cs="Arial" w:eastAsia="Arial" w:hAnsi="Arial"/>
          <w:sz w:val="18"/>
          <w:szCs w:val="18"/>
          <w:u w:val="single" w:color="auto"/>
          <w:color w:val="auto"/>
        </w:rPr>
        <w:t>ofit</w:t>
      </w:r>
      <w:r>
        <w:rPr>
          <w:rFonts w:ascii="Arial" w:cs="Arial" w:eastAsia="Arial" w:hAnsi="Arial"/>
          <w:sz w:val="18"/>
          <w:szCs w:val="18"/>
          <w:color w:val="auto"/>
        </w:rPr>
        <w:t xml:space="preserve"> rate</w:t>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40"/>
        <w:spacing w:after="0" w:line="238" w:lineRule="auto"/>
        <w:rPr>
          <w:sz w:val="20"/>
          <w:szCs w:val="20"/>
          <w:color w:val="auto"/>
        </w:rPr>
      </w:pPr>
      <w:r>
        <w:rPr>
          <w:rFonts w:ascii="Arial" w:cs="Arial" w:eastAsia="Arial" w:hAnsi="Arial"/>
          <w:sz w:val="18"/>
          <w:szCs w:val="18"/>
          <w:color w:val="auto"/>
        </w:rPr>
        <w:t>was 37.5%, a decline of 210 basis points. Acquisitions accounted for 70 basis points of the decline, as the margins of these businesses are below our historical average. Product mix adversely affected margins by 80 basis points, due in part to significant increases in sales of lower margin grass seed and garden soils. Increased costs for fuel and commodities exceeded price increases, resulting in 90 basis point decline in gross margin as a percentage of net sales. The offsetting 30 basis point differential is comprised of miscellaneous other items.</w:t>
      </w:r>
    </w:p>
    <w:p>
      <w:pPr>
        <w:spacing w:after="0" w:line="106" w:lineRule="exact"/>
        <w:rPr>
          <w:sz w:val="20"/>
          <w:szCs w:val="20"/>
          <w:color w:val="auto"/>
        </w:rPr>
      </w:pPr>
    </w:p>
    <w:p>
      <w:pPr>
        <w:ind w:left="700" w:right="20" w:firstLine="397"/>
        <w:spacing w:after="0" w:line="237" w:lineRule="auto"/>
        <w:rPr>
          <w:sz w:val="20"/>
          <w:szCs w:val="20"/>
          <w:color w:val="auto"/>
        </w:rPr>
      </w:pPr>
      <w:r>
        <w:rPr>
          <w:rFonts w:ascii="Arial" w:cs="Arial" w:eastAsia="Arial" w:hAnsi="Arial"/>
          <w:sz w:val="18"/>
          <w:szCs w:val="18"/>
          <w:color w:val="auto"/>
        </w:rPr>
        <w:t>Fiscal 2005 gross profit margins declined 130 basis points compared to fiscal 2004. The Roundup</w:t>
      </w:r>
      <w:r>
        <w:rPr>
          <w:rFonts w:ascii="Arial" w:cs="Arial" w:eastAsia="Arial" w:hAnsi="Arial"/>
          <w:sz w:val="15"/>
          <w:szCs w:val="15"/>
          <w:color w:val="auto"/>
        </w:rPr>
        <w:t>®</w:t>
      </w:r>
      <w:r>
        <w:rPr>
          <w:rFonts w:ascii="Arial" w:cs="Arial" w:eastAsia="Arial" w:hAnsi="Arial"/>
          <w:sz w:val="18"/>
          <w:szCs w:val="18"/>
          <w:color w:val="auto"/>
        </w:rPr>
        <w:t xml:space="preserve"> marketing agreement contribution charge of $45.7 million recorded in fiscal 2005 reduced gross margin by approximately 90 basis points. Smith &amp; Hawken</w:t>
      </w:r>
      <w:r>
        <w:rPr>
          <w:rFonts w:ascii="Arial" w:cs="Arial" w:eastAsia="Arial" w:hAnsi="Arial"/>
          <w:sz w:val="15"/>
          <w:szCs w:val="15"/>
          <w:color w:val="auto"/>
        </w:rPr>
        <w:t>®</w:t>
      </w:r>
      <w:r>
        <w:rPr>
          <w:rFonts w:ascii="Arial" w:cs="Arial" w:eastAsia="Arial" w:hAnsi="Arial"/>
          <w:sz w:val="18"/>
          <w:szCs w:val="18"/>
          <w:color w:val="auto"/>
        </w:rPr>
        <w:t xml:space="preserve"> gross margins, which were below the Company’s average, accounted for approximately 30 basis points of the decline. From an operating segment standpoint, North America gross margins increased 50 basis points, primarily on a higher net Roundup</w:t>
      </w:r>
      <w:r>
        <w:rPr>
          <w:rFonts w:ascii="Arial" w:cs="Arial" w:eastAsia="Arial" w:hAnsi="Arial"/>
          <w:sz w:val="15"/>
          <w:szCs w:val="15"/>
          <w:color w:val="auto"/>
        </w:rPr>
        <w:t>®</w:t>
      </w:r>
      <w:r>
        <w:rPr>
          <w:rFonts w:ascii="Arial" w:cs="Arial" w:eastAsia="Arial" w:hAnsi="Arial"/>
          <w:sz w:val="18"/>
          <w:szCs w:val="18"/>
          <w:color w:val="auto"/>
        </w:rPr>
        <w:t xml:space="preserve"> commission, while pricing offset increased commodity costs. Scotts LawnService</w:t>
      </w:r>
      <w:r>
        <w:rPr>
          <w:rFonts w:ascii="Arial" w:cs="Arial" w:eastAsia="Arial" w:hAnsi="Arial"/>
          <w:sz w:val="15"/>
          <w:szCs w:val="15"/>
          <w:color w:val="auto"/>
        </w:rPr>
        <w:t>®</w:t>
      </w:r>
      <w:r>
        <w:rPr>
          <w:rFonts w:ascii="Arial" w:cs="Arial" w:eastAsia="Arial" w:hAnsi="Arial"/>
          <w:sz w:val="18"/>
          <w:szCs w:val="18"/>
          <w:color w:val="auto"/>
        </w:rPr>
        <w:t xml:space="preserve"> gross margins improved as frontline labor and supervisory productivity and fleet management improvements offset higher fuel costs. Gross margins declined in the International segment primarily due to higher commodity and supply chain costs.</w:t>
      </w: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Selling, General and Administrative Expenses (in millions)</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44"/>
        </w:trPr>
        <w:tc>
          <w:tcPr>
            <w:tcW w:w="2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2005</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Advertising</w:t>
            </w:r>
          </w:p>
        </w:tc>
        <w:tc>
          <w:tcPr>
            <w:tcW w:w="1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$137.3</w:t>
            </w:r>
          </w:p>
        </w:tc>
        <w:tc>
          <w:tcPr>
            <w:tcW w:w="580" w:type="dxa"/>
            <w:vAlign w:val="bottom"/>
            <w:tcBorders>
              <w:right w:val="single" w:sz="8" w:color="auto"/>
            </w:tcBorders>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$ 122.5</w:t>
            </w:r>
          </w:p>
        </w:tc>
        <w:tc>
          <w:tcPr>
            <w:tcW w:w="1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(SG&amp;A)</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468.7</w:t>
            </w:r>
          </w:p>
        </w:tc>
        <w:tc>
          <w:tcPr>
            <w:tcW w:w="580" w:type="dxa"/>
            <w:vAlign w:val="bottom"/>
            <w:tcBorders>
              <w:right w:val="single" w:sz="8" w:color="auto"/>
            </w:tcBorders>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486.6</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419.6</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580" w:type="dxa"/>
            <w:vAlign w:val="bottom"/>
            <w:tcBorders>
              <w:right w:val="single" w:sz="8" w:color="auto"/>
            </w:tcBorders>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1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line="202" w:lineRule="exact"/>
              <w:rPr>
                <w:sz w:val="20"/>
                <w:szCs w:val="20"/>
                <w:color w:val="auto"/>
              </w:rPr>
            </w:pPr>
            <w:r>
              <w:rPr>
                <w:rFonts w:ascii="Arial" w:cs="Arial" w:eastAsia="Arial" w:hAnsi="Arial"/>
                <w:sz w:val="18"/>
                <w:szCs w:val="18"/>
                <w:color w:val="auto"/>
              </w:rPr>
              <w:t>Amortization of intangibles</w:t>
            </w:r>
          </w:p>
        </w:tc>
        <w:tc>
          <w:tcPr>
            <w:tcW w:w="70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w:t>
            </w:r>
          </w:p>
        </w:tc>
        <w:tc>
          <w:tcPr>
            <w:tcW w:w="5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w:t>
            </w:r>
          </w:p>
        </w:tc>
        <w:tc>
          <w:tcPr>
            <w:tcW w:w="116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636.9</w:t>
            </w:r>
          </w:p>
        </w:tc>
        <w:tc>
          <w:tcPr>
            <w:tcW w:w="580" w:type="dxa"/>
            <w:vAlign w:val="bottom"/>
            <w:tcBorders>
              <w:right w:val="single" w:sz="8" w:color="auto"/>
            </w:tcBorders>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$ 633.8</w:t>
            </w:r>
          </w:p>
        </w:tc>
        <w:tc>
          <w:tcPr>
            <w:tcW w:w="1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540.7</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20" w:firstLine="397"/>
        <w:spacing w:after="0" w:line="236" w:lineRule="auto"/>
        <w:rPr>
          <w:sz w:val="20"/>
          <w:szCs w:val="20"/>
          <w:color w:val="auto"/>
        </w:rPr>
      </w:pPr>
      <w:r>
        <w:rPr>
          <w:rFonts w:ascii="Arial" w:cs="Arial" w:eastAsia="Arial" w:hAnsi="Arial"/>
          <w:sz w:val="18"/>
          <w:szCs w:val="18"/>
          <w:color w:val="auto"/>
        </w:rPr>
        <w:t>Advertising expenses in fiscal 2006 were $137.3 million, an increase of $14.8 million or 12.1% from fiscal 2005. On a percentage of net sales basis, the advertising expense was 5.1% in fiscal 2006 compared to 5.2% in fiscal 2005. Some planned increases in traditional media advertising were shifted to consumer directed promotions funded via programs with our retail partners, which are accounted for as a reduction to net sales. The combination of higher advertising spending and consumer promotions led to an 18% increase in spending for the North American consumer business. In fiscal 2005, advertising expenses increased $17.5 million from fiscal 2004. Excluding the impact of Smith &amp; Hawken</w:t>
      </w:r>
      <w:r>
        <w:rPr>
          <w:rFonts w:ascii="Arial" w:cs="Arial" w:eastAsia="Arial" w:hAnsi="Arial"/>
          <w:sz w:val="15"/>
          <w:szCs w:val="15"/>
          <w:color w:val="auto"/>
        </w:rPr>
        <w:t>®</w:t>
      </w:r>
      <w:r>
        <w:rPr>
          <w:rFonts w:ascii="Arial" w:cs="Arial" w:eastAsia="Arial" w:hAnsi="Arial"/>
          <w:sz w:val="18"/>
          <w:szCs w:val="18"/>
          <w:color w:val="auto"/>
        </w:rPr>
        <w:t>, advertising expense was 5.0% of net sales in fiscal 2005 and fiscal 2004. Increases in media spending in North America and Scotts LawnService</w:t>
      </w:r>
      <w:r>
        <w:rPr>
          <w:rFonts w:ascii="Arial" w:cs="Arial" w:eastAsia="Arial" w:hAnsi="Arial"/>
          <w:sz w:val="15"/>
          <w:szCs w:val="15"/>
          <w:color w:val="auto"/>
        </w:rPr>
        <w:t>®</w:t>
      </w:r>
      <w:r>
        <w:rPr>
          <w:rFonts w:ascii="Arial" w:cs="Arial" w:eastAsia="Arial" w:hAnsi="Arial"/>
          <w:sz w:val="18"/>
          <w:szCs w:val="18"/>
          <w:color w:val="auto"/>
        </w:rPr>
        <w:t xml:space="preserve"> were offset by more focused International media spending.</w:t>
      </w:r>
    </w:p>
    <w:p>
      <w:pPr>
        <w:spacing w:after="0" w:line="114" w:lineRule="exact"/>
        <w:rPr>
          <w:sz w:val="20"/>
          <w:szCs w:val="20"/>
          <w:color w:val="auto"/>
        </w:rPr>
      </w:pPr>
    </w:p>
    <w:p>
      <w:pPr>
        <w:ind w:left="700" w:right="20" w:firstLine="397"/>
        <w:spacing w:after="0" w:line="238" w:lineRule="auto"/>
        <w:rPr>
          <w:sz w:val="20"/>
          <w:szCs w:val="20"/>
          <w:color w:val="auto"/>
        </w:rPr>
      </w:pPr>
      <w:r>
        <w:rPr>
          <w:rFonts w:ascii="Arial" w:cs="Arial" w:eastAsia="Arial" w:hAnsi="Arial"/>
          <w:sz w:val="18"/>
          <w:szCs w:val="18"/>
          <w:color w:val="auto"/>
        </w:rPr>
        <w:t>In fiscal 2006, Selling, general and administrative expenses spending decreased $17.9 million or 3.7% from fiscal 2005. This decrease reflects the savings generated by our Project Excellence initiative coupled with a $10.1 million benefit from an insurance recovery relating to past legal costs incurred in our defense of lawsuits regarding our use of vermiculite. Increases in SG&amp;A spending occurred in our rapidly expanding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in the amount of $16.6 million and our wild bird food acquisition which added $4.2 million in spending.</w:t>
      </w:r>
    </w:p>
    <w:p>
      <w:pPr>
        <w:spacing w:after="0" w:line="108" w:lineRule="exact"/>
        <w:rPr>
          <w:sz w:val="20"/>
          <w:szCs w:val="20"/>
          <w:color w:val="auto"/>
        </w:rPr>
      </w:pPr>
    </w:p>
    <w:p>
      <w:pPr>
        <w:ind w:left="700" w:right="40" w:firstLine="397"/>
        <w:spacing w:after="0" w:line="238" w:lineRule="auto"/>
        <w:rPr>
          <w:sz w:val="20"/>
          <w:szCs w:val="20"/>
          <w:color w:val="auto"/>
        </w:rPr>
      </w:pPr>
      <w:r>
        <w:rPr>
          <w:rFonts w:ascii="Arial" w:cs="Arial" w:eastAsia="Arial" w:hAnsi="Arial"/>
          <w:sz w:val="18"/>
          <w:szCs w:val="18"/>
          <w:color w:val="auto"/>
        </w:rPr>
        <w:t>SG&amp;A expenses in fiscal 2005 were $486.6 million compared to $419.6 million in fiscal 2004. Excluding Smith &amp; Hawken</w:t>
      </w:r>
      <w:r>
        <w:rPr>
          <w:rFonts w:ascii="Arial" w:cs="Arial" w:eastAsia="Arial" w:hAnsi="Arial"/>
          <w:sz w:val="15"/>
          <w:szCs w:val="15"/>
          <w:color w:val="auto"/>
        </w:rPr>
        <w:t>®</w:t>
      </w:r>
      <w:r>
        <w:rPr>
          <w:rFonts w:ascii="Arial" w:cs="Arial" w:eastAsia="Arial" w:hAnsi="Arial"/>
          <w:sz w:val="18"/>
          <w:szCs w:val="18"/>
          <w:color w:val="auto"/>
        </w:rPr>
        <w:t>, SG&amp;A spending was $450.3 million, an increase of $30.7 million or 7.3%. This increase was primarily the result of outside legal fees associated with litigation matters, Sarbanes-Oxley associated compliance costs, expansion of Scotts LawnService</w:t>
      </w:r>
      <w:r>
        <w:rPr>
          <w:rFonts w:ascii="Arial" w:cs="Arial" w:eastAsia="Arial" w:hAnsi="Arial"/>
          <w:sz w:val="15"/>
          <w:szCs w:val="15"/>
          <w:color w:val="auto"/>
        </w:rPr>
        <w:t>®</w:t>
      </w:r>
      <w:r>
        <w:rPr>
          <w:rFonts w:ascii="Arial" w:cs="Arial" w:eastAsia="Arial" w:hAnsi="Arial"/>
          <w:sz w:val="18"/>
          <w:szCs w:val="18"/>
          <w:color w:val="auto"/>
        </w:rPr>
        <w:t>, foreign exchange rates and incremental North America selling expense (primarily for increased home center support), partially offset by lower non-restructuring severance costs in North America and International.</w:t>
      </w:r>
    </w:p>
    <w:p>
      <w:pPr>
        <w:spacing w:after="0" w:line="108" w:lineRule="exact"/>
        <w:rPr>
          <w:sz w:val="20"/>
          <w:szCs w:val="20"/>
          <w:color w:val="auto"/>
        </w:rPr>
      </w:pPr>
    </w:p>
    <w:p>
      <w:pPr>
        <w:ind w:left="700" w:right="120" w:firstLine="397"/>
        <w:spacing w:after="0" w:line="237" w:lineRule="auto"/>
        <w:rPr>
          <w:sz w:val="20"/>
          <w:szCs w:val="20"/>
          <w:color w:val="auto"/>
        </w:rPr>
      </w:pPr>
      <w:r>
        <w:rPr>
          <w:rFonts w:ascii="Arial" w:cs="Arial" w:eastAsia="Arial" w:hAnsi="Arial"/>
          <w:sz w:val="18"/>
          <w:szCs w:val="18"/>
          <w:color w:val="auto"/>
        </w:rPr>
        <w:t>We began expensing share-based awards commencing with grants issued in fiscal 2003. The majority of our share-based awards vest over three years, with the associated expense generally recognized ratably over the vesting period. As such, fiscal 2005 was the first year to be impacted with the expense associated with three years of grants. Prior to the fiscal 2006 adoption of Statement of Financial Accounting Standards No. 123(R), “Share-Based Payment,” forfeitures were recognized as incurred, which reduced fiscal 2005 expense by approximately $2.2 million. Our stock-based compensation expense now includes an estimate of forfeitures starting at the grant date.</w:t>
      </w:r>
    </w:p>
    <w:p>
      <w:pPr>
        <w:spacing w:after="0" w:line="111" w:lineRule="exact"/>
        <w:rPr>
          <w:sz w:val="20"/>
          <w:szCs w:val="20"/>
          <w:color w:val="auto"/>
        </w:rPr>
      </w:pPr>
    </w:p>
    <w:p>
      <w:pPr>
        <w:ind w:left="700" w:right="200" w:firstLine="397"/>
        <w:spacing w:after="0" w:line="243" w:lineRule="auto"/>
        <w:rPr>
          <w:sz w:val="20"/>
          <w:szCs w:val="20"/>
          <w:color w:val="auto"/>
        </w:rPr>
      </w:pPr>
      <w:r>
        <w:rPr>
          <w:rFonts w:ascii="Arial" w:cs="Arial" w:eastAsia="Arial" w:hAnsi="Arial"/>
          <w:sz w:val="18"/>
          <w:szCs w:val="18"/>
          <w:color w:val="auto"/>
        </w:rPr>
        <w:t>The $5.8 million increase in stock-based compensation in fiscal 2006 as compared to fiscal 2005 relates to two items. First, there was an increase in the number of awards granted to key employees and</w:t>
      </w:r>
    </w:p>
    <w:p>
      <w:pPr>
        <w:ind w:left="5600"/>
        <w:spacing w:after="0"/>
        <w:rPr>
          <w:sz w:val="20"/>
          <w:szCs w:val="20"/>
          <w:color w:val="auto"/>
        </w:rPr>
      </w:pPr>
      <w:r>
        <w:rPr>
          <w:rFonts w:ascii="Arial" w:cs="Arial" w:eastAsia="Arial" w:hAnsi="Arial"/>
          <w:sz w:val="11"/>
          <w:szCs w:val="11"/>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60"/>
        <w:spacing w:after="0" w:line="275" w:lineRule="auto"/>
        <w:rPr>
          <w:sz w:val="20"/>
          <w:szCs w:val="20"/>
          <w:color w:val="auto"/>
        </w:rPr>
      </w:pPr>
      <w:r>
        <w:rPr>
          <w:rFonts w:ascii="Arial" w:cs="Arial" w:eastAsia="Arial" w:hAnsi="Arial"/>
          <w:sz w:val="17"/>
          <w:szCs w:val="17"/>
          <w:color w:val="auto"/>
        </w:rPr>
        <w:t>the value of each grant has increased commensurate with our stock price. Second, the departure of several key executives in fiscal 2005 resulted in a high level of forfeitures, reducing the related share-based awards expense in that fiscal year.</w:t>
      </w:r>
    </w:p>
    <w:p>
      <w:pPr>
        <w:spacing w:after="0" w:line="79" w:lineRule="exact"/>
        <w:rPr>
          <w:sz w:val="20"/>
          <w:szCs w:val="20"/>
          <w:color w:val="auto"/>
        </w:rPr>
      </w:pPr>
    </w:p>
    <w:p>
      <w:pPr>
        <w:ind w:left="700" w:right="160" w:firstLine="397"/>
        <w:spacing w:after="0" w:line="239" w:lineRule="auto"/>
        <w:rPr>
          <w:sz w:val="20"/>
          <w:szCs w:val="20"/>
          <w:color w:val="auto"/>
        </w:rPr>
      </w:pPr>
      <w:r>
        <w:rPr>
          <w:rFonts w:ascii="Arial" w:cs="Arial" w:eastAsia="Arial" w:hAnsi="Arial"/>
          <w:sz w:val="18"/>
          <w:szCs w:val="18"/>
          <w:color w:val="auto"/>
        </w:rPr>
        <w:t>Amortization expense was $ 15.2 million in fiscal 2006 compared to $14.8 million in fiscal 2005. The increased amount of amortization is associated with recent acquisitions. The $6.5 million increase in fiscal 2005 as compared to fiscal 2004 primarily results from a comprehensive review of intangibles and corrections to the accumulated amortization of certain intangible assets. Recent acquisitions also contributed to this increase.</w:t>
      </w:r>
    </w:p>
    <w:p>
      <w:pPr>
        <w:spacing w:after="0" w:line="198"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5500" w:type="dxa"/>
            <w:vAlign w:val="bottom"/>
            <w:gridSpan w:val="2"/>
          </w:tcPr>
          <w:p>
            <w:pPr>
              <w:spacing w:after="0"/>
              <w:rPr>
                <w:sz w:val="20"/>
                <w:szCs w:val="20"/>
                <w:color w:val="auto"/>
              </w:rPr>
            </w:pPr>
            <w:r>
              <w:rPr>
                <w:rFonts w:ascii="Arial" w:cs="Arial" w:eastAsia="Arial" w:hAnsi="Arial"/>
                <w:sz w:val="16"/>
                <w:szCs w:val="16"/>
                <w:b w:val="1"/>
                <w:bCs w:val="1"/>
                <w:color w:val="auto"/>
              </w:rPr>
              <w:t>Impairment, Restructuring and Other Charges, net (in millions)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44"/>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2005</w:t>
            </w: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Impairment charges</w:t>
            </w: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$66.4</w:t>
            </w:r>
          </w:p>
        </w:tc>
        <w:tc>
          <w:tcPr>
            <w:tcW w:w="60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$ 23.4</w:t>
            </w:r>
          </w:p>
        </w:tc>
        <w:tc>
          <w:tcPr>
            <w:tcW w:w="6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80" w:type="dxa"/>
            <w:vAlign w:val="bottom"/>
          </w:tcPr>
          <w:p>
            <w:pPr>
              <w:spacing w:after="0" w:line="202" w:lineRule="exact"/>
              <w:rPr>
                <w:sz w:val="20"/>
                <w:szCs w:val="20"/>
                <w:color w:val="auto"/>
              </w:rPr>
            </w:pPr>
            <w:r>
              <w:rPr>
                <w:rFonts w:ascii="Arial" w:cs="Arial" w:eastAsia="Arial" w:hAnsi="Arial"/>
                <w:sz w:val="18"/>
                <w:szCs w:val="18"/>
                <w:color w:val="auto"/>
              </w:rPr>
              <w:t>Restructuring — severance and related</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w:t>
            </w:r>
          </w:p>
        </w:tc>
        <w:tc>
          <w:tcPr>
            <w:tcW w:w="600" w:type="dxa"/>
            <w:vAlign w:val="bottom"/>
            <w:tcBorders>
              <w:right w:val="single" w:sz="8" w:color="auto"/>
            </w:tcBorders>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26.3</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Litigation related income</w:t>
            </w: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shd w:val="clear" w:color="auto" w:fill="CCEEFF"/>
          </w:tcPr>
          <w:p>
            <w:pPr>
              <w:spacing w:after="0"/>
              <w:rPr>
                <w:sz w:val="17"/>
                <w:szCs w:val="17"/>
                <w:color w:val="auto"/>
              </w:rPr>
            </w:pPr>
          </w:p>
        </w:tc>
        <w:tc>
          <w:tcPr>
            <w:tcW w:w="16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(16.8)</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75.7</w:t>
            </w:r>
          </w:p>
        </w:tc>
        <w:tc>
          <w:tcPr>
            <w:tcW w:w="60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$ 33.2</w:t>
            </w:r>
          </w:p>
        </w:tc>
        <w:tc>
          <w:tcPr>
            <w:tcW w:w="6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 w:firstLine="397"/>
        <w:spacing w:after="0" w:line="236" w:lineRule="auto"/>
        <w:rPr>
          <w:sz w:val="20"/>
          <w:szCs w:val="20"/>
          <w:color w:val="auto"/>
        </w:rPr>
      </w:pPr>
      <w:r>
        <w:rPr>
          <w:rFonts w:ascii="Arial" w:cs="Arial" w:eastAsia="Arial" w:hAnsi="Arial"/>
          <w:sz w:val="18"/>
          <w:szCs w:val="18"/>
          <w:color w:val="auto"/>
        </w:rPr>
        <w:t>In accordance with SFAS No. 142, “Goodwill and Other Intangible Assets”, goodwill and indefinite-lived intangible assets are no longer amortized and are subject to impairment testing at least annually or more frequently if circumstances indicate a potential impairment between annual testing. We conduct our annual assessment at the end of our first fiscal quarter. Our assessment in the first quarter of fiscal 2006 resulted in an impairment charge of $1.0 million associated with a tradename no longer in use in our U.K. consumer business. Category declines in the European consumer markets during the 2006 season resulted in a decline in the profitability of the consumer component of our International business segment in fiscal 2006. After an evaluation, management reached the conclusion that the projections supporting first quarter 2006 impairment testing for the consumer component of our International business segment were unlikely to be met. Management engaged an independent valuation firm to assist in an interim impairment assessment of the indefinite-lived tradenames and goodwill associated with this business. As a result of this evaluation in the fourth quarter of fiscal 2006, we recorded a $65.4 million non-cash impairment charge, $62.3 million of which was associated with indefinite-lived tradenames that continue to be employed in the consumer portion of our International segment. The balance of the fiscal 2006 fourth quarter impairment charge was in our North America segment and consisted of $1.3 million for a Canadian tradename being phased out and $1.8 million related to goodwill of a pottery business we exited.</w:t>
      </w:r>
    </w:p>
    <w:p>
      <w:pPr>
        <w:spacing w:after="0" w:line="108" w:lineRule="exact"/>
        <w:rPr>
          <w:sz w:val="20"/>
          <w:szCs w:val="20"/>
          <w:color w:val="auto"/>
        </w:rPr>
      </w:pPr>
    </w:p>
    <w:p>
      <w:pPr>
        <w:jc w:val="both"/>
        <w:ind w:left="700" w:right="320" w:firstLine="397"/>
        <w:spacing w:after="0"/>
        <w:rPr>
          <w:sz w:val="20"/>
          <w:szCs w:val="20"/>
          <w:color w:val="auto"/>
        </w:rPr>
      </w:pPr>
      <w:r>
        <w:rPr>
          <w:rFonts w:ascii="Arial" w:cs="Arial" w:eastAsia="Arial" w:hAnsi="Arial"/>
          <w:sz w:val="18"/>
          <w:szCs w:val="18"/>
          <w:color w:val="auto"/>
        </w:rPr>
        <w:t>In the first quarter of fiscal 2005, we recorded an impairment charge of $22.0 million associated with indefinite-lived tradenames in the U.K. consumer business, reflecting a reduction in the value of the business resulting primarily from the decline in the profitability of its growing media business and unfavorable category mix trends.</w:t>
      </w:r>
    </w:p>
    <w:p>
      <w:pPr>
        <w:spacing w:after="0" w:line="108" w:lineRule="exact"/>
        <w:rPr>
          <w:sz w:val="20"/>
          <w:szCs w:val="20"/>
          <w:color w:val="auto"/>
        </w:rPr>
      </w:pPr>
    </w:p>
    <w:p>
      <w:pPr>
        <w:ind w:left="700" w:right="340" w:firstLine="397"/>
        <w:spacing w:after="0" w:line="238" w:lineRule="auto"/>
        <w:rPr>
          <w:sz w:val="20"/>
          <w:szCs w:val="20"/>
          <w:color w:val="auto"/>
        </w:rPr>
      </w:pPr>
      <w:r>
        <w:rPr>
          <w:rFonts w:ascii="Arial" w:cs="Arial" w:eastAsia="Arial" w:hAnsi="Arial"/>
          <w:sz w:val="18"/>
          <w:szCs w:val="18"/>
          <w:color w:val="auto"/>
        </w:rPr>
        <w:t>Restructuring activities in fiscal 2006 and fiscal 2005 relate primarily to organizational reductions associated with Project Excellence initiated in the third quarter of fiscal 2005. As a result of this program, approximately 110 associates accepted early retirement or were severed during the last four months of fiscal 2005. Approximately 110 additional associates exited in fiscal 2006. We continue to evaluate our organization and operating efficiencies. As a result of these ongoing evaluations, there may be further restructuring charges in future quarters.</w:t>
      </w:r>
    </w:p>
    <w:p>
      <w:pPr>
        <w:spacing w:after="0" w:line="108" w:lineRule="exact"/>
        <w:rPr>
          <w:sz w:val="20"/>
          <w:szCs w:val="20"/>
          <w:color w:val="auto"/>
        </w:rPr>
      </w:pPr>
    </w:p>
    <w:p>
      <w:pPr>
        <w:ind w:left="700" w:right="100" w:firstLine="397"/>
        <w:spacing w:after="0" w:line="237" w:lineRule="auto"/>
        <w:rPr>
          <w:sz w:val="20"/>
          <w:szCs w:val="20"/>
          <w:color w:val="auto"/>
        </w:rPr>
      </w:pPr>
      <w:r>
        <w:rPr>
          <w:rFonts w:ascii="Arial" w:cs="Arial" w:eastAsia="Arial" w:hAnsi="Arial"/>
          <w:sz w:val="18"/>
          <w:szCs w:val="18"/>
          <w:color w:val="auto"/>
        </w:rPr>
        <w:t>Litigation related income is attributable to two separate matters in fiscal 2005. In the fourth quarter of fiscal 2001, as a result of collection concerns, we recorded a reserve against accounts receivable from Central Garden &amp; Pet Company (Central Garden). This charge was recorded in impairment, restructuring and other charges, net. After nearly five years of pursuing collection of these receivables via litigation, we received payment totaling $15.0 million on July 14, 2005. As a result, we reversed $7.9 million of the Central Garden reserve recorded in fiscal 2001. In September 2005, we reached a settlement with sanofi-aventis related to our litigation of matters related to the Aventis business. In relation to this matter, we received a net $8.9 million settlement on September 30, 2005.</w:t>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 Income, net</w:t>
      </w:r>
    </w:p>
    <w:p>
      <w:pPr>
        <w:spacing w:after="0" w:line="144" w:lineRule="exact"/>
        <w:rPr>
          <w:sz w:val="20"/>
          <w:szCs w:val="20"/>
          <w:color w:val="auto"/>
        </w:rPr>
      </w:pPr>
    </w:p>
    <w:p>
      <w:pPr>
        <w:ind w:left="700" w:right="120" w:firstLine="397"/>
        <w:spacing w:after="0" w:line="237" w:lineRule="auto"/>
        <w:rPr>
          <w:sz w:val="20"/>
          <w:szCs w:val="20"/>
          <w:color w:val="auto"/>
        </w:rPr>
      </w:pPr>
      <w:r>
        <w:rPr>
          <w:rFonts w:ascii="Arial" w:cs="Arial" w:eastAsia="Arial" w:hAnsi="Arial"/>
          <w:sz w:val="18"/>
          <w:szCs w:val="18"/>
          <w:color w:val="auto"/>
        </w:rPr>
        <w:t>Other income, net was $9.2 million for fiscal 2006 and was comprised primarily of $6.8 million of royalty income. Other income, net for fiscal 2005 resulted primarily from $4.1 million awarded to us as part of the Central Garden judgment discussed above and royalty income, partially offset by foreign currency losses. Other income, net in fiscal 2004 was attributable to royalty income, gains on foreign currency transactions, Scotts LawnService</w:t>
      </w:r>
      <w:r>
        <w:rPr>
          <w:rFonts w:ascii="Arial" w:cs="Arial" w:eastAsia="Arial" w:hAnsi="Arial"/>
          <w:sz w:val="15"/>
          <w:szCs w:val="15"/>
          <w:color w:val="auto"/>
        </w:rPr>
        <w:t>®</w:t>
      </w:r>
      <w:r>
        <w:rPr>
          <w:rFonts w:ascii="Arial" w:cs="Arial" w:eastAsia="Arial" w:hAnsi="Arial"/>
          <w:sz w:val="18"/>
          <w:szCs w:val="18"/>
          <w:color w:val="auto"/>
        </w:rPr>
        <w:t xml:space="preserve"> franchise fees and cost subsidies related to the sale of peat bogs in the United Kingdom, for which a portion of the cost benefit was historically recorded as other income (fiscal 2004 was the final year we received such subsidies).</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Income from Operations</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Income from operations in fiscal 2006 was $252.5 million, compared to $200.9 million in fiscal 2005, an increase of</w:t>
      </w:r>
    </w:p>
    <w:p>
      <w:pPr>
        <w:ind w:left="700"/>
        <w:spacing w:after="0" w:line="234" w:lineRule="auto"/>
        <w:rPr>
          <w:sz w:val="20"/>
          <w:szCs w:val="20"/>
          <w:color w:val="auto"/>
        </w:rPr>
      </w:pPr>
      <w:r>
        <w:rPr>
          <w:rFonts w:ascii="Arial" w:cs="Arial" w:eastAsia="Arial" w:hAnsi="Arial"/>
          <w:sz w:val="18"/>
          <w:szCs w:val="18"/>
          <w:color w:val="auto"/>
        </w:rPr>
        <w:t>$51.6 million. Income from operations in fiscal 2006 was negatively impacted by $66.4 million from impairment charges and</w:t>
      </w:r>
    </w:p>
    <w:p>
      <w:pPr>
        <w:ind w:left="700"/>
        <w:spacing w:after="0" w:line="235" w:lineRule="auto"/>
        <w:rPr>
          <w:sz w:val="20"/>
          <w:szCs w:val="20"/>
          <w:color w:val="auto"/>
        </w:rPr>
      </w:pPr>
      <w:r>
        <w:rPr>
          <w:rFonts w:ascii="Arial" w:cs="Arial" w:eastAsia="Arial" w:hAnsi="Arial"/>
          <w:sz w:val="18"/>
          <w:szCs w:val="18"/>
          <w:color w:val="auto"/>
        </w:rPr>
        <w:t>an additional $9.4 million of restructuring charges. Income from operations in fiscal 2005 was negatively impacted by the</w:t>
      </w:r>
    </w:p>
    <w:p>
      <w:pPr>
        <w:ind w:left="700"/>
        <w:spacing w:after="0" w:line="235" w:lineRule="auto"/>
        <w:rPr>
          <w:sz w:val="20"/>
          <w:szCs w:val="20"/>
          <w:color w:val="auto"/>
        </w:rPr>
      </w:pPr>
      <w:r>
        <w:rPr>
          <w:rFonts w:ascii="Arial" w:cs="Arial" w:eastAsia="Arial" w:hAnsi="Arial"/>
          <w:sz w:val="18"/>
          <w:szCs w:val="18"/>
          <w:color w:val="auto"/>
        </w:rPr>
        <w:t>following charges: (1) $45.7 million related to the 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charge; (2) a $22.0 million charge for</w:t>
      </w:r>
    </w:p>
    <w:p>
      <w:pPr>
        <w:ind w:left="700"/>
        <w:spacing w:after="0" w:line="235" w:lineRule="auto"/>
        <w:rPr>
          <w:sz w:val="20"/>
          <w:szCs w:val="20"/>
          <w:color w:val="auto"/>
        </w:rPr>
      </w:pPr>
      <w:r>
        <w:rPr>
          <w:rFonts w:ascii="Arial" w:cs="Arial" w:eastAsia="Arial" w:hAnsi="Arial"/>
          <w:sz w:val="18"/>
          <w:szCs w:val="18"/>
          <w:color w:val="auto"/>
        </w:rPr>
        <w:t>impairment of U.K. intangibles; and (3) $26.3 million in restructuring charges. These were partially offset by $16.8 million of</w:t>
      </w:r>
    </w:p>
    <w:p>
      <w:pPr>
        <w:ind w:left="700"/>
        <w:spacing w:after="0" w:line="235" w:lineRule="auto"/>
        <w:rPr>
          <w:sz w:val="20"/>
          <w:szCs w:val="20"/>
          <w:color w:val="auto"/>
        </w:rPr>
      </w:pPr>
      <w:r>
        <w:rPr>
          <w:rFonts w:ascii="Arial" w:cs="Arial" w:eastAsia="Arial" w:hAnsi="Arial"/>
          <w:sz w:val="18"/>
          <w:szCs w:val="18"/>
          <w:color w:val="auto"/>
        </w:rPr>
        <w:t>litigation related income as discussed above. If these unusual factors were excluded from year-over-year comparison, fiscal</w:t>
      </w:r>
    </w:p>
    <w:p>
      <w:pPr>
        <w:ind w:left="700"/>
        <w:spacing w:after="0" w:line="235" w:lineRule="auto"/>
        <w:rPr>
          <w:sz w:val="20"/>
          <w:szCs w:val="20"/>
          <w:color w:val="auto"/>
        </w:rPr>
      </w:pPr>
      <w:r>
        <w:rPr>
          <w:rFonts w:ascii="Arial" w:cs="Arial" w:eastAsia="Arial" w:hAnsi="Arial"/>
          <w:sz w:val="18"/>
          <w:szCs w:val="18"/>
          <w:color w:val="auto"/>
        </w:rPr>
        <w:t>2006 would show an 18% improvement over fiscal 2005. Higher net sales and Project Excellence savings, offset by a gross</w:t>
      </w:r>
    </w:p>
    <w:p>
      <w:pPr>
        <w:ind w:left="700"/>
        <w:spacing w:after="0" w:line="235" w:lineRule="auto"/>
        <w:rPr>
          <w:sz w:val="20"/>
          <w:szCs w:val="20"/>
          <w:color w:val="auto"/>
        </w:rPr>
      </w:pPr>
      <w:r>
        <w:rPr>
          <w:rFonts w:ascii="Arial" w:cs="Arial" w:eastAsia="Arial" w:hAnsi="Arial"/>
          <w:sz w:val="18"/>
          <w:szCs w:val="18"/>
          <w:color w:val="auto"/>
        </w:rPr>
        <w:t>margin rate decline and growth in advertising spending, were the major contributors to the 18% growth in income from</w:t>
      </w:r>
    </w:p>
    <w:p>
      <w:pPr>
        <w:ind w:left="700"/>
        <w:spacing w:after="0"/>
        <w:rPr>
          <w:sz w:val="20"/>
          <w:szCs w:val="20"/>
          <w:color w:val="auto"/>
        </w:rPr>
      </w:pPr>
      <w:r>
        <w:rPr>
          <w:rFonts w:ascii="Arial" w:cs="Arial" w:eastAsia="Arial" w:hAnsi="Arial"/>
          <w:sz w:val="18"/>
          <w:szCs w:val="18"/>
          <w:color w:val="auto"/>
        </w:rPr>
        <w:t>operations.</w:t>
      </w:r>
    </w:p>
    <w:p>
      <w:pPr>
        <w:spacing w:after="0" w:line="117" w:lineRule="exact"/>
        <w:rPr>
          <w:sz w:val="20"/>
          <w:szCs w:val="20"/>
          <w:color w:val="auto"/>
        </w:rPr>
      </w:pPr>
    </w:p>
    <w:p>
      <w:pPr>
        <w:ind w:left="700" w:firstLine="397"/>
        <w:spacing w:after="0" w:line="239" w:lineRule="auto"/>
        <w:rPr>
          <w:sz w:val="20"/>
          <w:szCs w:val="20"/>
          <w:color w:val="auto"/>
        </w:rPr>
      </w:pPr>
      <w:r>
        <w:rPr>
          <w:rFonts w:ascii="Arial" w:cs="Arial" w:eastAsia="Arial" w:hAnsi="Arial"/>
          <w:sz w:val="18"/>
          <w:szCs w:val="18"/>
          <w:color w:val="auto"/>
        </w:rPr>
        <w:t>Income from operations in fiscal 2005 declined $51.9 million from fiscal 2004. In addition to fiscal 2005 charges detailed in the preceding paragraph, the change in income from operations is attributable to higher net sales and gross profit margins, and significantly higher earnings from the Roundup</w:t>
      </w:r>
      <w:r>
        <w:rPr>
          <w:rFonts w:ascii="Arial" w:cs="Arial" w:eastAsia="Arial" w:hAnsi="Arial"/>
          <w:sz w:val="15"/>
          <w:szCs w:val="15"/>
          <w:color w:val="auto"/>
        </w:rPr>
        <w:t>®</w:t>
      </w:r>
      <w:r>
        <w:rPr>
          <w:rFonts w:ascii="Arial" w:cs="Arial" w:eastAsia="Arial" w:hAnsi="Arial"/>
          <w:sz w:val="18"/>
          <w:szCs w:val="18"/>
          <w:color w:val="auto"/>
        </w:rPr>
        <w:t xml:space="preserve"> marketing agreement, partially offset by higher legal and Sarbanes-Oxley compliance costs and sales force investments in North America.</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Interest Expense and Refinancing Activities</w:t>
      </w:r>
    </w:p>
    <w:p>
      <w:pPr>
        <w:spacing w:after="0" w:line="144" w:lineRule="exact"/>
        <w:rPr>
          <w:sz w:val="20"/>
          <w:szCs w:val="20"/>
          <w:color w:val="auto"/>
        </w:rPr>
      </w:pPr>
    </w:p>
    <w:p>
      <w:pPr>
        <w:ind w:left="700" w:right="60" w:firstLine="397"/>
        <w:spacing w:after="0" w:line="206" w:lineRule="auto"/>
        <w:rPr>
          <w:sz w:val="20"/>
          <w:szCs w:val="20"/>
          <w:color w:val="auto"/>
        </w:rPr>
      </w:pPr>
      <w:r>
        <w:rPr>
          <w:rFonts w:ascii="Arial" w:cs="Arial" w:eastAsia="Arial" w:hAnsi="Arial"/>
          <w:sz w:val="18"/>
          <w:szCs w:val="18"/>
          <w:color w:val="auto"/>
        </w:rPr>
        <w:t>We have refinanced our debt arrangements several times over the past two years to take advantage of our improving financial position and favorable market conditions. In October 2003, we tendered nearly all of our $400 million then outstanding senior subordinated notes that bore interest at 8</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and issued $200 million of new senior subordinated notes bearing interest at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At the time, we also secured a new credit facility at more favorable terms than our previous arrangement. Refinancing costs associated with these transactions were $44.3 million, including premiums paid on the redemption of the 8</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notes, write-off of previously deferred financing and treasury lock costs and transactions fees. In August 2004, we refinanced the term loan facility under a new credit agreement with new term loans, providing for improved terms and borrowing costs. Costs charged associated with this refinancing were $1.2 million.</w:t>
      </w:r>
    </w:p>
    <w:p>
      <w:pPr>
        <w:spacing w:after="0" w:line="114" w:lineRule="exact"/>
        <w:rPr>
          <w:sz w:val="20"/>
          <w:szCs w:val="20"/>
          <w:color w:val="auto"/>
        </w:rPr>
      </w:pPr>
    </w:p>
    <w:p>
      <w:pPr>
        <w:ind w:left="700" w:right="20" w:firstLine="397"/>
        <w:spacing w:after="0"/>
        <w:rPr>
          <w:sz w:val="20"/>
          <w:szCs w:val="20"/>
          <w:color w:val="auto"/>
        </w:rPr>
      </w:pPr>
      <w:r>
        <w:rPr>
          <w:rFonts w:ascii="Arial" w:cs="Arial" w:eastAsia="Arial" w:hAnsi="Arial"/>
          <w:sz w:val="18"/>
          <w:szCs w:val="18"/>
          <w:color w:val="auto"/>
        </w:rPr>
        <w:t>In July 2005, we entered into a new credit agreement that provided for a significantly increased revolving credit facility and allowed us to repay our outstanding term notes, again providing for improved terms and borrowing costs. Costs charged against income from operations associated with this refinancing were $1.3 million.</w:t>
      </w:r>
    </w:p>
    <w:p>
      <w:pPr>
        <w:spacing w:after="0" w:line="108" w:lineRule="exact"/>
        <w:rPr>
          <w:sz w:val="20"/>
          <w:szCs w:val="20"/>
          <w:color w:val="auto"/>
        </w:rPr>
      </w:pPr>
    </w:p>
    <w:p>
      <w:pPr>
        <w:ind w:left="700" w:right="260" w:firstLine="397"/>
        <w:spacing w:after="0" w:line="237" w:lineRule="auto"/>
        <w:rPr>
          <w:sz w:val="20"/>
          <w:szCs w:val="20"/>
          <w:color w:val="auto"/>
        </w:rPr>
      </w:pPr>
      <w:r>
        <w:rPr>
          <w:rFonts w:ascii="Arial" w:cs="Arial" w:eastAsia="Arial" w:hAnsi="Arial"/>
          <w:sz w:val="18"/>
          <w:szCs w:val="18"/>
          <w:color w:val="auto"/>
        </w:rPr>
        <w:t>Interest expense decreased from $41.5 million in fiscal 2005 to $39.6 million in fiscal 2006. A $3.6 million increase in expense due to an increase in rates on the variable rate portion of our outstanding debt and an increase in average debt outstanding was more than offset by hedging strategies, the impact of foreign exchange rates, and miscellaneous other items. In fiscal 2005, interest expense decreased $7.3 million compared to fiscal 2004. The decrease in interest expense was primarily attributable to a $113.9 million reduction in average borrowings, coupled with a nine basis point reduction in our weighted average interest rate to 5.83%.</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Income Taxes</w:t>
      </w:r>
    </w:p>
    <w:p>
      <w:pPr>
        <w:spacing w:after="0" w:line="144" w:lineRule="exact"/>
        <w:rPr>
          <w:sz w:val="20"/>
          <w:szCs w:val="20"/>
          <w:color w:val="auto"/>
        </w:rPr>
      </w:pPr>
    </w:p>
    <w:p>
      <w:pPr>
        <w:ind w:left="700" w:right="180" w:firstLine="397"/>
        <w:spacing w:after="0" w:line="238" w:lineRule="auto"/>
        <w:rPr>
          <w:sz w:val="20"/>
          <w:szCs w:val="20"/>
          <w:color w:val="auto"/>
        </w:rPr>
      </w:pPr>
      <w:r>
        <w:rPr>
          <w:rFonts w:ascii="Arial" w:cs="Arial" w:eastAsia="Arial" w:hAnsi="Arial"/>
          <w:sz w:val="18"/>
          <w:szCs w:val="18"/>
          <w:color w:val="auto"/>
        </w:rPr>
        <w:t>The effective tax rate for fiscal 2006 was 37.7% compared to 36.5% in fiscal 2005 and 36.6% in fiscal 2004. The effective tax rate in fiscal 2006 was higher than in the prior two years due to fewer favorable developments. In fiscal 2005, our income tax rate benefited primarily as a result of favorable developments related to prior year foreign tax exposures. In fiscal 2004, our effective tax rate benefited from an adjustment of state deferred income taxes resulting from a detailed review of state effective tax</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20"/>
        <w:spacing w:after="0" w:line="246" w:lineRule="auto"/>
        <w:rPr>
          <w:sz w:val="20"/>
          <w:szCs w:val="20"/>
          <w:color w:val="auto"/>
        </w:rPr>
      </w:pPr>
      <w:r>
        <w:rPr>
          <w:rFonts w:ascii="Arial" w:cs="Arial" w:eastAsia="Arial" w:hAnsi="Arial"/>
          <w:sz w:val="18"/>
          <w:szCs w:val="18"/>
          <w:color w:val="auto"/>
        </w:rPr>
        <w:t>rates and increased utilization of foreign tax credits. We anticipate the effective tax rate will be approximately 37.0% for fiscal 2007.</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Net Income and Earnings per Share</w:t>
      </w:r>
    </w:p>
    <w:p>
      <w:pPr>
        <w:spacing w:after="0" w:line="144" w:lineRule="exact"/>
        <w:rPr>
          <w:sz w:val="20"/>
          <w:szCs w:val="20"/>
          <w:color w:val="auto"/>
        </w:rPr>
      </w:pPr>
    </w:p>
    <w:p>
      <w:pPr>
        <w:ind w:left="700" w:right="820" w:firstLine="397"/>
        <w:spacing w:after="0" w:line="236" w:lineRule="auto"/>
        <w:rPr>
          <w:sz w:val="20"/>
          <w:szCs w:val="20"/>
          <w:color w:val="auto"/>
        </w:rPr>
      </w:pPr>
      <w:r>
        <w:rPr>
          <w:rFonts w:ascii="Arial" w:cs="Arial" w:eastAsia="Arial" w:hAnsi="Arial"/>
          <w:sz w:val="18"/>
          <w:szCs w:val="18"/>
          <w:color w:val="auto"/>
        </w:rPr>
        <w:t>We reported income from continuing operations of $132.7 million in fiscal 2006, compared to $100.4 million in fiscal 2005. Income from discontinued operations pertains to the disposal of our professional growing media business at the end of fiscal 2004. Reported net income, including income from discontinued operations, increased from $ 100.6 million or $1.47 per diluted share in fiscal 2005 to $132.7 million or $1.91 per diluted share in fiscal 2006. As described in the Income from Operations discussion, the benefit from net sales growth and Project Excellence savings, was offset by impairment and restructuring charges in fiscal 2006, while similar factors impacted fiscal 2005, along with the 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charge. Average diluted shares outstanding increased from 68.6 million in fiscal 2005 to 69.4 million in fiscal 2006, due to option exercises and the impact on common stock equivalents of a higher average share price, and partially offset by the repurchase of our common shares under the program approved by our Board of Directors in November 2005.</w:t>
      </w:r>
    </w:p>
    <w:p>
      <w:pPr>
        <w:spacing w:after="0" w:line="113" w:lineRule="exact"/>
        <w:rPr>
          <w:sz w:val="20"/>
          <w:szCs w:val="20"/>
          <w:color w:val="auto"/>
        </w:rPr>
      </w:pPr>
    </w:p>
    <w:p>
      <w:pPr>
        <w:ind w:left="700" w:right="1140" w:firstLine="397"/>
        <w:spacing w:after="0" w:line="248" w:lineRule="auto"/>
        <w:rPr>
          <w:sz w:val="20"/>
          <w:szCs w:val="20"/>
          <w:color w:val="auto"/>
        </w:rPr>
      </w:pPr>
      <w:r>
        <w:rPr>
          <w:rFonts w:ascii="Arial" w:cs="Arial" w:eastAsia="Arial" w:hAnsi="Arial"/>
          <w:sz w:val="17"/>
          <w:szCs w:val="17"/>
          <w:color w:val="auto"/>
        </w:rPr>
        <w:t>In fiscal 2005, we reported income from continuing operations of $100.4 million, compared to $100.5 million in fiscal 2004. Reported net income, including income from discontinued operations, decreased from $100.9 million or $1.52 per diluted share in fiscal 2004 to $100.6 million or $1.47 per diluted share in fiscal 2005. As described in the Income from Operations discussion, the benefit from solid sales growth in fiscal 2005 was offset by the significant Roundup</w:t>
      </w:r>
      <w:r>
        <w:rPr>
          <w:rFonts w:ascii="Arial" w:cs="Arial" w:eastAsia="Arial" w:hAnsi="Arial"/>
          <w:sz w:val="14"/>
          <w:szCs w:val="14"/>
          <w:color w:val="auto"/>
        </w:rPr>
        <w:t>®</w:t>
      </w:r>
      <w:r>
        <w:rPr>
          <w:rFonts w:ascii="Arial" w:cs="Arial" w:eastAsia="Arial" w:hAnsi="Arial"/>
          <w:sz w:val="17"/>
          <w:szCs w:val="17"/>
          <w:color w:val="auto"/>
        </w:rPr>
        <w:t xml:space="preserve"> deferred contribution charge, and impairment and restructuring charges. Average diluted shares outstanding increased from</w:t>
      </w:r>
    </w:p>
    <w:p>
      <w:pPr>
        <w:spacing w:after="0" w:line="3" w:lineRule="exact"/>
        <w:rPr>
          <w:sz w:val="20"/>
          <w:szCs w:val="20"/>
          <w:color w:val="auto"/>
        </w:rPr>
      </w:pPr>
    </w:p>
    <w:p>
      <w:pPr>
        <w:ind w:left="700" w:right="860"/>
        <w:spacing w:after="0" w:line="246" w:lineRule="auto"/>
        <w:rPr>
          <w:sz w:val="20"/>
          <w:szCs w:val="20"/>
          <w:color w:val="auto"/>
        </w:rPr>
      </w:pPr>
      <w:r>
        <w:rPr>
          <w:rFonts w:ascii="Arial" w:cs="Arial" w:eastAsia="Arial" w:hAnsi="Arial"/>
          <w:sz w:val="18"/>
          <w:szCs w:val="18"/>
          <w:color w:val="auto"/>
        </w:rPr>
        <w:t>66.6 million in fiscal 2004 to 68.6 million in fiscal 2005, due to option exercises and the impact on common stock equivalents of a higher average share price.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Segment Results</w:t>
      </w:r>
    </w:p>
    <w:p>
      <w:pPr>
        <w:spacing w:after="0" w:line="141" w:lineRule="exact"/>
        <w:rPr>
          <w:sz w:val="20"/>
          <w:szCs w:val="20"/>
          <w:color w:val="auto"/>
        </w:rPr>
      </w:pPr>
    </w:p>
    <w:p>
      <w:pPr>
        <w:ind w:left="700" w:right="840" w:firstLine="397"/>
        <w:spacing w:after="0" w:line="238" w:lineRule="auto"/>
        <w:rPr>
          <w:sz w:val="20"/>
          <w:szCs w:val="20"/>
          <w:color w:val="auto"/>
        </w:rPr>
      </w:pPr>
      <w:r>
        <w:rPr>
          <w:rFonts w:ascii="Arial" w:cs="Arial" w:eastAsia="Arial" w:hAnsi="Arial"/>
          <w:sz w:val="18"/>
          <w:szCs w:val="18"/>
          <w:color w:val="auto"/>
        </w:rPr>
        <w:t>Our operations are divided into the following reportable segments: North America, Scotts LawnService</w:t>
      </w:r>
      <w:r>
        <w:rPr>
          <w:rFonts w:ascii="Arial" w:cs="Arial" w:eastAsia="Arial" w:hAnsi="Arial"/>
          <w:sz w:val="15"/>
          <w:szCs w:val="15"/>
          <w:color w:val="auto"/>
        </w:rPr>
        <w:t>®</w:t>
      </w:r>
      <w:r>
        <w:rPr>
          <w:rFonts w:ascii="Arial" w:cs="Arial" w:eastAsia="Arial" w:hAnsi="Arial"/>
          <w:sz w:val="18"/>
          <w:szCs w:val="18"/>
          <w:color w:val="auto"/>
        </w:rPr>
        <w:t>, International, and Corporate &amp; Other. The Corporate &amp; Other segment consists of Smith &amp; Hawken</w:t>
      </w:r>
      <w:r>
        <w:rPr>
          <w:rFonts w:ascii="Arial" w:cs="Arial" w:eastAsia="Arial" w:hAnsi="Arial"/>
          <w:sz w:val="15"/>
          <w:szCs w:val="15"/>
          <w:color w:val="auto"/>
        </w:rPr>
        <w:t>®</w:t>
      </w:r>
      <w:r>
        <w:rPr>
          <w:rFonts w:ascii="Arial" w:cs="Arial" w:eastAsia="Arial" w:hAnsi="Arial"/>
          <w:sz w:val="18"/>
          <w:szCs w:val="18"/>
          <w:color w:val="auto"/>
        </w:rPr>
        <w:t xml:space="preserve"> and corporate general and administrative expenses. Segment performance is evaluated based on several factors, including income from operations before amortization, and impairment, restructuring and other charges, which is a non-GAAP financial measure. Management uses this measure of operating profit to gauge segment performance because we believe this measure is the most indicative of performance trends and the overall earnings potential of each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gridSpan w:val="2"/>
          </w:tcPr>
          <w:p>
            <w:pPr>
              <w:ind w:left="700"/>
              <w:spacing w:after="0"/>
              <w:rPr>
                <w:sz w:val="20"/>
                <w:szCs w:val="20"/>
                <w:color w:val="auto"/>
              </w:rPr>
            </w:pPr>
            <w:r>
              <w:rPr>
                <w:rFonts w:ascii="Arial" w:cs="Arial" w:eastAsia="Arial" w:hAnsi="Arial"/>
                <w:sz w:val="16"/>
                <w:szCs w:val="16"/>
                <w:b w:val="1"/>
                <w:bCs w:val="1"/>
                <w:color w:val="auto"/>
              </w:rPr>
              <w:t>Net Sales by Segment (in millions)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44"/>
        </w:trPr>
        <w:tc>
          <w:tcPr>
            <w:tcW w:w="70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2006</w:t>
            </w: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2005</w:t>
            </w:r>
          </w:p>
        </w:tc>
        <w:tc>
          <w:tcPr>
            <w:tcW w:w="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12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$1,914.5</w:t>
            </w:r>
          </w:p>
        </w:tc>
        <w:tc>
          <w:tcPr>
            <w:tcW w:w="580" w:type="dxa"/>
            <w:vAlign w:val="bottom"/>
            <w:tcBorders>
              <w:right w:val="single" w:sz="8" w:color="auto"/>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1,668.1</w:t>
            </w:r>
          </w:p>
        </w:tc>
        <w:tc>
          <w:tcPr>
            <w:tcW w:w="6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$1,569.0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205.7</w:t>
            </w:r>
          </w:p>
        </w:tc>
        <w:tc>
          <w:tcPr>
            <w:tcW w:w="5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159.8</w:t>
            </w:r>
          </w:p>
        </w:tc>
        <w:tc>
          <w:tcPr>
            <w:tcW w:w="6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408.5</w:t>
            </w:r>
          </w:p>
        </w:tc>
        <w:tc>
          <w:tcPr>
            <w:tcW w:w="58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430.3</w:t>
            </w:r>
          </w:p>
        </w:tc>
        <w:tc>
          <w:tcPr>
            <w:tcW w:w="6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560" w:type="dxa"/>
            <w:vAlign w:val="bottom"/>
            <w:gridSpan w:val="2"/>
          </w:tcPr>
          <w:p>
            <w:pPr>
              <w:spacing w:after="0"/>
              <w:rPr>
                <w:sz w:val="18"/>
                <w:szCs w:val="18"/>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167.6</w:t>
            </w:r>
          </w:p>
        </w:tc>
        <w:tc>
          <w:tcPr>
            <w:tcW w:w="5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159.6</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total</w:t>
            </w:r>
          </w:p>
        </w:tc>
        <w:tc>
          <w:tcPr>
            <w:tcW w:w="560" w:type="dxa"/>
            <w:vAlign w:val="bottom"/>
            <w:gridSpan w:val="2"/>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2,696.3</w:t>
            </w:r>
          </w:p>
        </w:tc>
        <w:tc>
          <w:tcPr>
            <w:tcW w:w="58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2,417.8</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2,109.8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charge</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(45.7)</w:t>
            </w:r>
          </w:p>
        </w:tc>
        <w:tc>
          <w:tcPr>
            <w:tcW w:w="5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560" w:type="dxa"/>
            <w:vAlign w:val="bottom"/>
            <w:gridSpan w:val="2"/>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58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(2.8)</w:t>
            </w:r>
          </w:p>
        </w:tc>
        <w:tc>
          <w:tcPr>
            <w:tcW w:w="13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2,697.1</w:t>
            </w:r>
          </w:p>
        </w:tc>
        <w:tc>
          <w:tcPr>
            <w:tcW w:w="580" w:type="dxa"/>
            <w:vAlign w:val="bottom"/>
            <w:tcBorders>
              <w:right w:val="single" w:sz="8" w:color="auto"/>
            </w:tcBorders>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2,369.3</w:t>
            </w:r>
          </w:p>
        </w:tc>
        <w:tc>
          <w:tcPr>
            <w:tcW w:w="6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2,106.5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60"/>
        </w:trPr>
        <w:tc>
          <w:tcPr>
            <w:tcW w:w="700" w:type="dxa"/>
            <w:vAlign w:val="bottom"/>
          </w:tcPr>
          <w:p>
            <w:pPr>
              <w:spacing w:after="0"/>
              <w:rPr>
                <w:sz w:val="5"/>
                <w:szCs w:val="5"/>
                <w:color w:val="auto"/>
              </w:rPr>
            </w:pPr>
          </w:p>
        </w:tc>
        <w:tc>
          <w:tcPr>
            <w:tcW w:w="48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Borders>
              <w:top w:val="single" w:sz="8" w:color="auto"/>
              <w:bottom w:val="single" w:sz="8" w:color="auto"/>
            </w:tcBorders>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60" w:type="dxa"/>
            <w:vAlign w:val="bottom"/>
            <w:tcBorders>
              <w:top w:val="single" w:sz="8" w:color="auto"/>
              <w:bottom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21"/>
        </w:trPr>
        <w:tc>
          <w:tcPr>
            <w:tcW w:w="7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32</w:t>
            </w: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Income from Operations by Segment (in millions)</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44"/>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2005</w:t>
            </w: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1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$382.0</w:t>
            </w:r>
          </w:p>
        </w:tc>
        <w:tc>
          <w:tcPr>
            <w:tcW w:w="780" w:type="dxa"/>
            <w:vAlign w:val="bottom"/>
            <w:tcBorders>
              <w:right w:val="single" w:sz="8" w:color="auto"/>
            </w:tcBorders>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$343.9</w:t>
            </w:r>
          </w:p>
        </w:tc>
        <w:tc>
          <w:tcPr>
            <w:tcW w:w="7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w:t>
            </w:r>
          </w:p>
        </w:tc>
        <w:tc>
          <w:tcPr>
            <w:tcW w:w="780" w:type="dxa"/>
            <w:vAlign w:val="bottom"/>
            <w:tcBorders>
              <w:right w:val="single" w:sz="8" w:color="auto"/>
            </w:tcBorders>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w:t>
            </w:r>
          </w:p>
        </w:tc>
        <w:tc>
          <w:tcPr>
            <w:tcW w:w="7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28.5</w:t>
            </w:r>
          </w:p>
        </w:tc>
        <w:tc>
          <w:tcPr>
            <w:tcW w:w="780" w:type="dxa"/>
            <w:vAlign w:val="bottom"/>
            <w:tcBorders>
              <w:right w:val="single" w:sz="8" w:color="auto"/>
            </w:tcBorders>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34.3</w:t>
            </w:r>
          </w:p>
        </w:tc>
        <w:tc>
          <w:tcPr>
            <w:tcW w:w="7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74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720"/>
              <w:spacing w:after="0" w:line="202" w:lineRule="exact"/>
              <w:rPr>
                <w:sz w:val="20"/>
                <w:szCs w:val="20"/>
                <w:color w:val="auto"/>
              </w:rPr>
            </w:pPr>
            <w:r>
              <w:rPr>
                <w:rFonts w:ascii="Arial" w:cs="Arial" w:eastAsia="Arial" w:hAnsi="Arial"/>
                <w:sz w:val="18"/>
                <w:szCs w:val="18"/>
                <w:color w:val="auto"/>
              </w:rPr>
              <w:t>(81.8)</w:t>
            </w:r>
          </w:p>
        </w:tc>
        <w:tc>
          <w:tcPr>
            <w:tcW w:w="19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(94.2)</w:t>
            </w: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(70.6)</w:t>
            </w: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Segment total</w:t>
            </w:r>
          </w:p>
        </w:tc>
        <w:tc>
          <w:tcPr>
            <w:tcW w:w="7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344.3</w:t>
            </w:r>
          </w:p>
        </w:tc>
        <w:tc>
          <w:tcPr>
            <w:tcW w:w="780" w:type="dxa"/>
            <w:vAlign w:val="bottom"/>
            <w:tcBorders>
              <w:right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297.1</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charge</w:t>
            </w:r>
          </w:p>
        </w:tc>
        <w:tc>
          <w:tcPr>
            <w:tcW w:w="740" w:type="dxa"/>
            <w:vAlign w:val="bottom"/>
          </w:tcPr>
          <w:p>
            <w:pPr>
              <w:spacing w:after="0"/>
              <w:rPr>
                <w:sz w:val="17"/>
                <w:szCs w:val="17"/>
                <w:color w:val="auto"/>
              </w:rPr>
            </w:pPr>
          </w:p>
        </w:tc>
        <w:tc>
          <w:tcPr>
            <w:tcW w:w="1340" w:type="dxa"/>
            <w:vAlign w:val="bottom"/>
            <w:tcBorders>
              <w:right w:val="single" w:sz="8" w:color="auto"/>
            </w:tcBorders>
            <w:gridSpan w:val="2"/>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(45.7)</w:t>
            </w:r>
          </w:p>
        </w:tc>
        <w:tc>
          <w:tcPr>
            <w:tcW w:w="7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780" w:type="dxa"/>
            <w:vAlign w:val="bottom"/>
            <w:tcBorders>
              <w:right w:val="single" w:sz="8" w:color="auto"/>
            </w:tcBorders>
            <w:shd w:val="clear" w:color="auto" w:fill="CCEEFF"/>
          </w:tcPr>
          <w:p>
            <w:pPr>
              <w:spacing w:after="0"/>
              <w:rPr>
                <w:sz w:val="17"/>
                <w:szCs w:val="17"/>
                <w:color w:val="auto"/>
              </w:rPr>
            </w:pPr>
          </w:p>
        </w:tc>
        <w:tc>
          <w:tcPr>
            <w:tcW w:w="19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(2.8)</w:t>
            </w:r>
          </w:p>
        </w:tc>
        <w:tc>
          <w:tcPr>
            <w:tcW w:w="13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w:t>
            </w: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Amortization</w:t>
            </w:r>
          </w:p>
        </w:tc>
        <w:tc>
          <w:tcPr>
            <w:tcW w:w="2080" w:type="dxa"/>
            <w:vAlign w:val="bottom"/>
            <w:tcBorders>
              <w:right w:val="single" w:sz="8" w:color="auto"/>
            </w:tcBorders>
            <w:gridSpan w:val="3"/>
          </w:tcPr>
          <w:p>
            <w:pPr>
              <w:jc w:val="right"/>
              <w:ind w:right="720"/>
              <w:spacing w:after="0" w:line="202" w:lineRule="exact"/>
              <w:rPr>
                <w:sz w:val="20"/>
                <w:szCs w:val="20"/>
                <w:color w:val="auto"/>
              </w:rPr>
            </w:pPr>
            <w:r>
              <w:rPr>
                <w:rFonts w:ascii="Arial" w:cs="Arial" w:eastAsia="Arial" w:hAnsi="Arial"/>
                <w:sz w:val="18"/>
                <w:szCs w:val="18"/>
                <w:color w:val="auto"/>
              </w:rPr>
              <w:t>(16.8)</w:t>
            </w:r>
          </w:p>
        </w:tc>
        <w:tc>
          <w:tcPr>
            <w:tcW w:w="19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(14.8)</w:t>
            </w: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(8.3)</w:t>
            </w: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intangibles</w:t>
            </w:r>
          </w:p>
        </w:tc>
        <w:tc>
          <w:tcPr>
            <w:tcW w:w="2080" w:type="dxa"/>
            <w:vAlign w:val="bottom"/>
            <w:tcBorders>
              <w:right w:val="single" w:sz="8" w:color="auto"/>
            </w:tcBorders>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(66.4)</w:t>
            </w:r>
          </w:p>
        </w:tc>
        <w:tc>
          <w:tcPr>
            <w:tcW w:w="198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(23.4)</w:t>
            </w:r>
          </w:p>
        </w:tc>
        <w:tc>
          <w:tcPr>
            <w:tcW w:w="7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740" w:type="dxa"/>
            <w:vAlign w:val="bottom"/>
          </w:tcPr>
          <w:p>
            <w:pPr>
              <w:spacing w:after="0"/>
              <w:rPr>
                <w:sz w:val="17"/>
                <w:szCs w:val="17"/>
                <w:color w:val="auto"/>
              </w:rPr>
            </w:pPr>
          </w:p>
        </w:tc>
        <w:tc>
          <w:tcPr>
            <w:tcW w:w="1340" w:type="dxa"/>
            <w:vAlign w:val="bottom"/>
            <w:tcBorders>
              <w:right w:val="single" w:sz="8" w:color="auto"/>
            </w:tcBorders>
            <w:gridSpan w:val="2"/>
          </w:tcPr>
          <w:p>
            <w:pPr>
              <w:jc w:val="right"/>
              <w:ind w:right="720"/>
              <w:spacing w:after="0" w:line="202" w:lineRule="exact"/>
              <w:rPr>
                <w:sz w:val="20"/>
                <w:szCs w:val="20"/>
                <w:color w:val="auto"/>
              </w:rPr>
            </w:pPr>
            <w:r>
              <w:rPr>
                <w:rFonts w:ascii="Arial" w:cs="Arial" w:eastAsia="Arial" w:hAnsi="Arial"/>
                <w:sz w:val="18"/>
                <w:szCs w:val="18"/>
                <w:color w:val="auto"/>
              </w:rPr>
              <w:t>(9.4)</w:t>
            </w:r>
          </w:p>
        </w:tc>
        <w:tc>
          <w:tcPr>
            <w:tcW w:w="19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(9.5)</w:t>
            </w: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(9.8)</w:t>
            </w: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252.5</w:t>
            </w:r>
          </w:p>
        </w:tc>
        <w:tc>
          <w:tcPr>
            <w:tcW w:w="780" w:type="dxa"/>
            <w:vAlign w:val="bottom"/>
            <w:tcBorders>
              <w:right w:val="single" w:sz="8" w:color="auto"/>
            </w:tcBorders>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200.9</w:t>
            </w:r>
          </w:p>
        </w:tc>
        <w:tc>
          <w:tcPr>
            <w:tcW w:w="7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252.8</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North America</w:t>
      </w:r>
    </w:p>
    <w:p>
      <w:pPr>
        <w:spacing w:after="0" w:line="144" w:lineRule="exact"/>
        <w:rPr>
          <w:sz w:val="20"/>
          <w:szCs w:val="20"/>
          <w:color w:val="auto"/>
        </w:rPr>
      </w:pPr>
    </w:p>
    <w:p>
      <w:pPr>
        <w:ind w:left="700" w:right="20" w:firstLine="397"/>
        <w:spacing w:after="0" w:line="238" w:lineRule="auto"/>
        <w:rPr>
          <w:sz w:val="20"/>
          <w:szCs w:val="20"/>
          <w:color w:val="auto"/>
        </w:rPr>
      </w:pPr>
      <w:r>
        <w:rPr>
          <w:rFonts w:ascii="Arial" w:cs="Arial" w:eastAsia="Arial" w:hAnsi="Arial"/>
          <w:sz w:val="18"/>
          <w:szCs w:val="18"/>
          <w:color w:val="auto"/>
        </w:rPr>
        <w:t>North America segment net sales were $1.91 billion in fiscal 2006, an increase of 14.8% from fiscal 2005. Excluding the impact of acquisitions, sales improved 7.9%, approximately 1.9% of which was a result of pricing. Each of the core businesses performed well, with lawn fertilizers up 8% and growing media up 17%. Plant food grew 12%, benefiting from the very successful launch of Miracle-Gro</w:t>
      </w:r>
      <w:r>
        <w:rPr>
          <w:rFonts w:ascii="Arial" w:cs="Arial" w:eastAsia="Arial" w:hAnsi="Arial"/>
          <w:sz w:val="15"/>
          <w:szCs w:val="15"/>
          <w:color w:val="auto"/>
        </w:rPr>
        <w:t>®</w:t>
      </w:r>
      <w:r>
        <w:rPr>
          <w:rFonts w:ascii="Arial" w:cs="Arial" w:eastAsia="Arial" w:hAnsi="Arial"/>
          <w:sz w:val="18"/>
          <w:szCs w:val="18"/>
          <w:color w:val="auto"/>
        </w:rPr>
        <w:t xml:space="preserve"> LiquaFeed</w:t>
      </w:r>
      <w:r>
        <w:rPr>
          <w:rFonts w:ascii="Arial" w:cs="Arial" w:eastAsia="Arial" w:hAnsi="Arial"/>
          <w:sz w:val="15"/>
          <w:szCs w:val="15"/>
          <w:color w:val="auto"/>
        </w:rPr>
        <w:t>®</w:t>
      </w:r>
      <w:r>
        <w:rPr>
          <w:rFonts w:ascii="Arial" w:cs="Arial" w:eastAsia="Arial" w:hAnsi="Arial"/>
          <w:sz w:val="18"/>
          <w:szCs w:val="18"/>
          <w:color w:val="auto"/>
        </w:rPr>
        <w:t>, while grass seed grew 24%. Ortho</w:t>
      </w:r>
      <w:r>
        <w:rPr>
          <w:rFonts w:ascii="Arial" w:cs="Arial" w:eastAsia="Arial" w:hAnsi="Arial"/>
          <w:sz w:val="15"/>
          <w:szCs w:val="15"/>
          <w:color w:val="auto"/>
        </w:rPr>
        <w:t>®</w:t>
      </w:r>
      <w:r>
        <w:rPr>
          <w:rFonts w:ascii="Arial" w:cs="Arial" w:eastAsia="Arial" w:hAnsi="Arial"/>
          <w:sz w:val="18"/>
          <w:szCs w:val="18"/>
          <w:color w:val="auto"/>
        </w:rPr>
        <w:t xml:space="preserve"> sales were flat to last year due to a unfavorable season for weed control products.</w:t>
      </w:r>
    </w:p>
    <w:p>
      <w:pPr>
        <w:spacing w:after="0" w:line="108" w:lineRule="exact"/>
        <w:rPr>
          <w:sz w:val="20"/>
          <w:szCs w:val="20"/>
          <w:color w:val="auto"/>
        </w:rPr>
      </w:pPr>
    </w:p>
    <w:p>
      <w:pPr>
        <w:ind w:left="700" w:right="200" w:firstLine="397"/>
        <w:spacing w:after="0" w:line="236" w:lineRule="auto"/>
        <w:rPr>
          <w:sz w:val="20"/>
          <w:szCs w:val="20"/>
          <w:color w:val="auto"/>
        </w:rPr>
      </w:pPr>
      <w:r>
        <w:rPr>
          <w:rFonts w:ascii="Arial" w:cs="Arial" w:eastAsia="Arial" w:hAnsi="Arial"/>
          <w:sz w:val="18"/>
          <w:szCs w:val="18"/>
          <w:color w:val="auto"/>
        </w:rPr>
        <w:t>During fiscal 2005, North America segment net sales increased 6.3%. Of the increase in North America net sales, approximately 2.3% was attributable to pricing. Within the North America segment, Gardening Products net sales, which include growing media and garden fertilizers, increased 9.8% with higher sales of value-added Miracle-Gro</w:t>
      </w:r>
      <w:r>
        <w:rPr>
          <w:rFonts w:ascii="Arial" w:cs="Arial" w:eastAsia="Arial" w:hAnsi="Arial"/>
          <w:sz w:val="15"/>
          <w:szCs w:val="15"/>
          <w:color w:val="auto"/>
        </w:rPr>
        <w:t>®</w:t>
      </w:r>
      <w:r>
        <w:rPr>
          <w:rFonts w:ascii="Arial" w:cs="Arial" w:eastAsia="Arial" w:hAnsi="Arial"/>
          <w:sz w:val="18"/>
          <w:szCs w:val="18"/>
          <w:color w:val="auto"/>
        </w:rPr>
        <w:t xml:space="preserve"> garden soils and potting mix, Shake ’N Feed</w:t>
      </w:r>
      <w:r>
        <w:rPr>
          <w:rFonts w:ascii="Arial" w:cs="Arial" w:eastAsia="Arial" w:hAnsi="Arial"/>
          <w:sz w:val="15"/>
          <w:szCs w:val="15"/>
          <w:color w:val="auto"/>
        </w:rPr>
        <w:t>®</w:t>
      </w:r>
      <w:r>
        <w:rPr>
          <w:rFonts w:ascii="Arial" w:cs="Arial" w:eastAsia="Arial" w:hAnsi="Arial"/>
          <w:sz w:val="18"/>
          <w:szCs w:val="18"/>
          <w:color w:val="auto"/>
        </w:rPr>
        <w:t xml:space="preserve"> continuous release plant food and Organic Choice</w:t>
      </w:r>
      <w:r>
        <w:rPr>
          <w:rFonts w:ascii="Arial" w:cs="Arial" w:eastAsia="Arial" w:hAnsi="Arial"/>
          <w:sz w:val="15"/>
          <w:szCs w:val="15"/>
          <w:color w:val="auto"/>
        </w:rPr>
        <w:t>®</w:t>
      </w:r>
      <w:r>
        <w:rPr>
          <w:rFonts w:ascii="Arial" w:cs="Arial" w:eastAsia="Arial" w:hAnsi="Arial"/>
          <w:sz w:val="18"/>
          <w:szCs w:val="18"/>
          <w:color w:val="auto"/>
        </w:rPr>
        <w:t xml:space="preserve"> garden soils. Net sales of Ortho</w:t>
      </w:r>
      <w:r>
        <w:rPr>
          <w:rFonts w:ascii="Arial" w:cs="Arial" w:eastAsia="Arial" w:hAnsi="Arial"/>
          <w:sz w:val="15"/>
          <w:szCs w:val="15"/>
          <w:color w:val="auto"/>
        </w:rPr>
        <w:t>®</w:t>
      </w:r>
      <w:r>
        <w:rPr>
          <w:rFonts w:ascii="Arial" w:cs="Arial" w:eastAsia="Arial" w:hAnsi="Arial"/>
          <w:sz w:val="18"/>
          <w:szCs w:val="18"/>
          <w:color w:val="auto"/>
        </w:rPr>
        <w:t xml:space="preserve"> products increased by 11.0% in fiscal 2005, driven largely by the successful launches of Home Defense MAX</w:t>
      </w:r>
      <w:r>
        <w:rPr>
          <w:rFonts w:ascii="Arial" w:cs="Arial" w:eastAsia="Arial" w:hAnsi="Arial"/>
          <w:sz w:val="15"/>
          <w:szCs w:val="15"/>
          <w:color w:val="auto"/>
        </w:rPr>
        <w:t>®</w:t>
      </w:r>
      <w:r>
        <w:rPr>
          <w:rFonts w:ascii="Arial" w:cs="Arial" w:eastAsia="Arial" w:hAnsi="Arial"/>
          <w:sz w:val="18"/>
          <w:szCs w:val="18"/>
          <w:color w:val="auto"/>
        </w:rPr>
        <w:t>, Weed-B-Gon</w:t>
      </w:r>
      <w:r>
        <w:rPr>
          <w:rFonts w:ascii="Arial" w:cs="Arial" w:eastAsia="Arial" w:hAnsi="Arial"/>
          <w:sz w:val="15"/>
          <w:szCs w:val="15"/>
          <w:color w:val="auto"/>
        </w:rPr>
        <w:t>®</w:t>
      </w:r>
      <w:r>
        <w:rPr>
          <w:rFonts w:ascii="Arial" w:cs="Arial" w:eastAsia="Arial" w:hAnsi="Arial"/>
          <w:sz w:val="18"/>
          <w:szCs w:val="18"/>
          <w:color w:val="auto"/>
        </w:rPr>
        <w:t xml:space="preserve"> MAX</w:t>
      </w:r>
      <w:r>
        <w:rPr>
          <w:rFonts w:ascii="Arial" w:cs="Arial" w:eastAsia="Arial" w:hAnsi="Arial"/>
          <w:sz w:val="15"/>
          <w:szCs w:val="15"/>
          <w:color w:val="auto"/>
        </w:rPr>
        <w:t>®</w:t>
      </w:r>
      <w:r>
        <w:rPr>
          <w:rFonts w:ascii="Arial" w:cs="Arial" w:eastAsia="Arial" w:hAnsi="Arial"/>
          <w:sz w:val="18"/>
          <w:szCs w:val="18"/>
          <w:color w:val="auto"/>
        </w:rPr>
        <w:t>, and Ortho</w:t>
      </w:r>
      <w:r>
        <w:rPr>
          <w:rFonts w:ascii="Arial" w:cs="Arial" w:eastAsia="Arial" w:hAnsi="Arial"/>
          <w:sz w:val="15"/>
          <w:szCs w:val="15"/>
          <w:color w:val="auto"/>
        </w:rPr>
        <w:t>®</w:t>
      </w:r>
      <w:r>
        <w:rPr>
          <w:rFonts w:ascii="Arial" w:cs="Arial" w:eastAsia="Arial" w:hAnsi="Arial"/>
          <w:sz w:val="18"/>
          <w:szCs w:val="18"/>
          <w:color w:val="auto"/>
        </w:rPr>
        <w:t xml:space="preserve"> Season-Long Grass and Weed Killer concentrate. Excluding the favorable impact of foreign exchange rates, the Canadian group of North America posted a 23.0% net sales increase in fiscal 2005. Unfavorable early season weather conditions adversely impacted the Lawns group within North America, resulting in net sales that were flat compared to fiscal 2004.</w:t>
      </w:r>
    </w:p>
    <w:p>
      <w:pPr>
        <w:spacing w:after="0" w:line="113" w:lineRule="exact"/>
        <w:rPr>
          <w:sz w:val="20"/>
          <w:szCs w:val="20"/>
          <w:color w:val="auto"/>
        </w:rPr>
      </w:pPr>
    </w:p>
    <w:p>
      <w:pPr>
        <w:jc w:val="both"/>
        <w:ind w:left="700" w:right="320" w:firstLine="397"/>
        <w:spacing w:after="0"/>
        <w:rPr>
          <w:sz w:val="20"/>
          <w:szCs w:val="20"/>
          <w:color w:val="auto"/>
        </w:rPr>
      </w:pPr>
      <w:r>
        <w:rPr>
          <w:rFonts w:ascii="Arial" w:cs="Arial" w:eastAsia="Arial" w:hAnsi="Arial"/>
          <w:sz w:val="18"/>
          <w:szCs w:val="18"/>
          <w:color w:val="auto"/>
        </w:rPr>
        <w:t>In fiscal 2006, North America segment operating income increased $38.1 million or 11.1%. This increased operating income was primarily the result of higher net sales and Project Excellence savings, offsetting a gross margin rate decline and growth in advertising spending.</w:t>
      </w:r>
    </w:p>
    <w:p>
      <w:pPr>
        <w:spacing w:after="0" w:line="108" w:lineRule="exact"/>
        <w:rPr>
          <w:sz w:val="20"/>
          <w:szCs w:val="20"/>
          <w:color w:val="auto"/>
        </w:rPr>
      </w:pPr>
    </w:p>
    <w:p>
      <w:pPr>
        <w:ind w:left="700" w:firstLine="397"/>
        <w:spacing w:after="0" w:line="239" w:lineRule="auto"/>
        <w:rPr>
          <w:sz w:val="20"/>
          <w:szCs w:val="20"/>
          <w:color w:val="auto"/>
        </w:rPr>
      </w:pPr>
      <w:r>
        <w:rPr>
          <w:rFonts w:ascii="Arial" w:cs="Arial" w:eastAsia="Arial" w:hAnsi="Arial"/>
          <w:sz w:val="18"/>
          <w:szCs w:val="18"/>
          <w:color w:val="auto"/>
        </w:rPr>
        <w:t>In fiscal 2005, North America segment operating income increased $37.8 million or 12.3%. Higher sales volume and gross profits, product price increases, strong performance in the Roundup</w:t>
      </w:r>
      <w:r>
        <w:rPr>
          <w:rFonts w:ascii="Arial" w:cs="Arial" w:eastAsia="Arial" w:hAnsi="Arial"/>
          <w:sz w:val="15"/>
          <w:szCs w:val="15"/>
          <w:color w:val="auto"/>
        </w:rPr>
        <w:t>®</w:t>
      </w:r>
      <w:r>
        <w:rPr>
          <w:rFonts w:ascii="Arial" w:cs="Arial" w:eastAsia="Arial" w:hAnsi="Arial"/>
          <w:sz w:val="18"/>
          <w:szCs w:val="18"/>
          <w:color w:val="auto"/>
        </w:rPr>
        <w:t xml:space="preserve"> business and moderate increases in SG&amp;A spending more than offset higher commodity and fuel costs, investments in the home center sales team, and in research and development projects.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Scotts LawnService</w:t>
      </w:r>
      <w:r>
        <w:rPr>
          <w:rFonts w:ascii="Arial" w:cs="Arial" w:eastAsia="Arial" w:hAnsi="Arial"/>
          <w:sz w:val="27"/>
          <w:szCs w:val="27"/>
          <w:b w:val="1"/>
          <w:bCs w:val="1"/>
          <w:color w:val="auto"/>
          <w:vertAlign w:val="superscript"/>
        </w:rPr>
        <w:t>®</w:t>
      </w:r>
    </w:p>
    <w:p>
      <w:pPr>
        <w:spacing w:after="0" w:line="16" w:lineRule="exact"/>
        <w:rPr>
          <w:sz w:val="20"/>
          <w:szCs w:val="20"/>
          <w:color w:val="auto"/>
        </w:rPr>
      </w:pPr>
    </w:p>
    <w:p>
      <w:pPr>
        <w:ind w:left="700" w:right="100" w:firstLine="397"/>
        <w:spacing w:after="0" w:line="258" w:lineRule="auto"/>
        <w:rPr>
          <w:sz w:val="20"/>
          <w:szCs w:val="20"/>
          <w:color w:val="auto"/>
        </w:rPr>
      </w:pPr>
      <w:r>
        <w:rPr>
          <w:rFonts w:ascii="Arial" w:cs="Arial" w:eastAsia="Arial" w:hAnsi="Arial"/>
          <w:sz w:val="17"/>
          <w:szCs w:val="17"/>
          <w:color w:val="auto"/>
        </w:rPr>
        <w:t>In fiscal 2006, we continued the expansion of our Scotts LawnService</w:t>
      </w:r>
      <w:r>
        <w:rPr>
          <w:rFonts w:ascii="Arial" w:cs="Arial" w:eastAsia="Arial" w:hAnsi="Arial"/>
          <w:sz w:val="14"/>
          <w:szCs w:val="14"/>
          <w:color w:val="auto"/>
        </w:rPr>
        <w:t>®</w:t>
      </w:r>
      <w:r>
        <w:rPr>
          <w:rFonts w:ascii="Arial" w:cs="Arial" w:eastAsia="Arial" w:hAnsi="Arial"/>
          <w:sz w:val="17"/>
          <w:szCs w:val="17"/>
          <w:color w:val="auto"/>
        </w:rPr>
        <w:t xml:space="preserve"> business primarily through internal growth. We invested $4.4 million of capital in lawn care acquisitions in fiscal 2006, and $6.4 million in fiscal 2005. Acquisitions had been a major factor in the growth of the lawn care business prior to fiscal 2004. While we expect to continue making selective acquisitions in future years, we anticipate the majority of the future growth in our lawn care business will be organic.</w:t>
      </w:r>
    </w:p>
    <w:p>
      <w:pPr>
        <w:spacing w:after="0" w:line="91" w:lineRule="exact"/>
        <w:rPr>
          <w:sz w:val="20"/>
          <w:szCs w:val="20"/>
          <w:color w:val="auto"/>
        </w:rPr>
      </w:pPr>
    </w:p>
    <w:p>
      <w:pPr>
        <w:ind w:left="700" w:right="200" w:firstLine="397"/>
        <w:spacing w:after="0" w:line="239"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segment net sales increased $45.9 million or 28.7% in fiscal 2006. In fiscal 2005, Scotts LawnService</w:t>
      </w:r>
      <w:r>
        <w:rPr>
          <w:rFonts w:ascii="Arial" w:cs="Arial" w:eastAsia="Arial" w:hAnsi="Arial"/>
          <w:sz w:val="15"/>
          <w:szCs w:val="15"/>
          <w:color w:val="auto"/>
        </w:rPr>
        <w:t>®</w:t>
      </w:r>
      <w:r>
        <w:rPr>
          <w:rFonts w:ascii="Arial" w:cs="Arial" w:eastAsia="Arial" w:hAnsi="Arial"/>
          <w:sz w:val="18"/>
          <w:szCs w:val="18"/>
          <w:color w:val="auto"/>
        </w:rPr>
        <w:t xml:space="preserve"> net sales increased 18.2% or $24.6 million. The growth in net sales for both years has been from increased customer counts and revenue per customer, strong customer retention, pricing to cover increased input costs, modest geographic expansion and the full year impact of recent acq</w:t>
      </w:r>
      <w:r>
        <w:rPr>
          <w:rFonts w:ascii="Arial" w:cs="Arial" w:eastAsia="Arial" w:hAnsi="Arial"/>
          <w:sz w:val="18"/>
          <w:szCs w:val="18"/>
          <w:u w:val="single" w:color="auto"/>
          <w:color w:val="auto"/>
        </w:rPr>
        <w:t>uisiti</w:t>
      </w:r>
      <w:r>
        <w:rPr>
          <w:rFonts w:ascii="Arial" w:cs="Arial" w:eastAsia="Arial" w:hAnsi="Arial"/>
          <w:sz w:val="18"/>
          <w:szCs w:val="18"/>
          <w:color w:val="auto"/>
        </w:rPr>
        <w:t>ons.</w:t>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700" w:right="80" w:firstLine="397"/>
        <w:spacing w:after="0" w:line="242" w:lineRule="auto"/>
        <w:rPr>
          <w:sz w:val="20"/>
          <w:szCs w:val="20"/>
          <w:color w:val="auto"/>
        </w:rPr>
      </w:pPr>
      <w:r>
        <w:rPr>
          <w:rFonts w:ascii="Arial" w:cs="Arial" w:eastAsia="Arial" w:hAnsi="Arial"/>
          <w:sz w:val="18"/>
          <w:szCs w:val="18"/>
          <w:color w:val="auto"/>
        </w:rPr>
        <w:t>Operating income for 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increased $ 2.5 million or 19.1% in fiscal 2006 and $3.7 million or 39.4% in fiscal 2005. These increases are the result of revenue growth offset by investments in personnel and infrastructure to support future growth and service levels.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International</w:t>
      </w:r>
    </w:p>
    <w:p>
      <w:pPr>
        <w:spacing w:after="0" w:line="144"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7"/>
          <w:szCs w:val="17"/>
          <w:color w:val="auto"/>
        </w:rPr>
        <w:t>Net sales for the International segment in fiscal 2006 declined by 5.1% or $21.8 million compared to fiscal 2005. Excluding the effects of currency fluctuations, net sales declined 1.7%. The retail environment in Europe was challenging with category sales down in both the U.K. and France, our two largest European markets. We believe listing improvements have resulted in market share gains; however, these gains did not result in top line growth due to the category declines.</w:t>
      </w:r>
    </w:p>
    <w:p>
      <w:pPr>
        <w:spacing w:after="0" w:line="95" w:lineRule="exact"/>
        <w:rPr>
          <w:sz w:val="20"/>
          <w:szCs w:val="20"/>
          <w:color w:val="auto"/>
        </w:rPr>
      </w:pPr>
    </w:p>
    <w:p>
      <w:pPr>
        <w:ind w:left="700" w:right="340" w:firstLine="397"/>
        <w:spacing w:after="0"/>
        <w:rPr>
          <w:sz w:val="20"/>
          <w:szCs w:val="20"/>
          <w:color w:val="auto"/>
        </w:rPr>
      </w:pPr>
      <w:r>
        <w:rPr>
          <w:rFonts w:ascii="Arial" w:cs="Arial" w:eastAsia="Arial" w:hAnsi="Arial"/>
          <w:sz w:val="18"/>
          <w:szCs w:val="18"/>
          <w:color w:val="auto"/>
        </w:rPr>
        <w:t>Fiscal 2005 International segment net sales increased $24.7 million or 6.1% compared to fiscal 2004. Excluding the effects of currency fluctuations, the fiscal 2005 net sales increase was 1.1%. Lower sales in France and the Benelux countries largely offset higher sales in the International professional business, Central Europe and the United Kingdom.</w:t>
      </w:r>
    </w:p>
    <w:p>
      <w:pPr>
        <w:spacing w:after="0" w:line="108" w:lineRule="exact"/>
        <w:rPr>
          <w:sz w:val="20"/>
          <w:szCs w:val="20"/>
          <w:color w:val="auto"/>
        </w:rPr>
      </w:pPr>
    </w:p>
    <w:p>
      <w:pPr>
        <w:ind w:left="700" w:right="40" w:firstLine="397"/>
        <w:spacing w:after="0" w:line="238" w:lineRule="auto"/>
        <w:rPr>
          <w:sz w:val="20"/>
          <w:szCs w:val="20"/>
          <w:color w:val="auto"/>
        </w:rPr>
      </w:pPr>
      <w:r>
        <w:rPr>
          <w:rFonts w:ascii="Arial" w:cs="Arial" w:eastAsia="Arial" w:hAnsi="Arial"/>
          <w:sz w:val="18"/>
          <w:szCs w:val="18"/>
          <w:color w:val="auto"/>
        </w:rPr>
        <w:t>In fiscal 2006, International operating income decreased $5.8 million or 16.9% as compared to fiscal 2005. Lower sales and gross margins were partially offset by reduced SG&amp;A spending, resulting in the year-over-year decline. Operating income grew $5.0 million or 17.1% in fiscal 2005, compared to fiscal 2004. Excluding favorable foreign exchange rates, International segment operating income increased 8.5%. The increase in fiscal 2005 operating income was attributable to modest revenue growth and reduced SG&amp;A spending, partially offset by lower gross margins.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Corporate &amp; Other</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loss from operations in Corporate &amp; Other was $81.8 million in fiscal 2006, $94.2 million in fiscal 2005, and</w:t>
      </w:r>
    </w:p>
    <w:p>
      <w:pPr>
        <w:ind w:left="700"/>
        <w:spacing w:after="0"/>
        <w:rPr>
          <w:sz w:val="20"/>
          <w:szCs w:val="20"/>
          <w:color w:val="auto"/>
        </w:rPr>
      </w:pPr>
      <w:r>
        <w:rPr>
          <w:rFonts w:ascii="Arial" w:cs="Arial" w:eastAsia="Arial" w:hAnsi="Arial"/>
          <w:sz w:val="17"/>
          <w:szCs w:val="17"/>
          <w:color w:val="auto"/>
        </w:rPr>
        <w:t>$70.6 million in fiscal 2004. The increase from fiscal 2004 to fiscal 2005 largely was driven by increased legal and Sarbanes-</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Oxley compliance costs. While significant reductions in these costs in fiscal 2006 served to reduce the loss as compared to</w:t>
      </w:r>
    </w:p>
    <w:p>
      <w:pPr>
        <w:ind w:left="700"/>
        <w:spacing w:after="0"/>
        <w:rPr>
          <w:sz w:val="20"/>
          <w:szCs w:val="20"/>
          <w:color w:val="auto"/>
        </w:rPr>
      </w:pPr>
      <w:r>
        <w:rPr>
          <w:rFonts w:ascii="Arial" w:cs="Arial" w:eastAsia="Arial" w:hAnsi="Arial"/>
          <w:sz w:val="18"/>
          <w:szCs w:val="18"/>
          <w:color w:val="auto"/>
        </w:rPr>
        <w:t>fiscal 2005, a loss in our Smith &amp; Hawken</w:t>
      </w:r>
      <w:r>
        <w:rPr>
          <w:rFonts w:ascii="Arial" w:cs="Arial" w:eastAsia="Arial" w:hAnsi="Arial"/>
          <w:sz w:val="15"/>
          <w:szCs w:val="15"/>
          <w:color w:val="auto"/>
        </w:rPr>
        <w:t>®</w:t>
      </w:r>
      <w:r>
        <w:rPr>
          <w:rFonts w:ascii="Arial" w:cs="Arial" w:eastAsia="Arial" w:hAnsi="Arial"/>
          <w:sz w:val="18"/>
          <w:szCs w:val="18"/>
          <w:color w:val="auto"/>
        </w:rPr>
        <w:t xml:space="preserve"> business mitigated the impact of these cost reductions.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Management’s Outlook</w:t>
      </w:r>
    </w:p>
    <w:p>
      <w:pPr>
        <w:spacing w:after="0" w:line="144" w:lineRule="exact"/>
        <w:rPr>
          <w:sz w:val="20"/>
          <w:szCs w:val="20"/>
          <w:color w:val="auto"/>
        </w:rPr>
      </w:pPr>
    </w:p>
    <w:p>
      <w:pPr>
        <w:ind w:left="700" w:firstLine="397"/>
        <w:spacing w:after="0" w:line="239" w:lineRule="auto"/>
        <w:rPr>
          <w:sz w:val="20"/>
          <w:szCs w:val="20"/>
          <w:color w:val="auto"/>
        </w:rPr>
      </w:pPr>
      <w:r>
        <w:rPr>
          <w:rFonts w:ascii="Arial" w:cs="Arial" w:eastAsia="Arial" w:hAnsi="Arial"/>
          <w:sz w:val="18"/>
          <w:szCs w:val="18"/>
          <w:color w:val="auto"/>
        </w:rPr>
        <w:t>We are very pleased with our performance in fiscal 2006. Despite upward pressure on commodity raw material costs and a challenging retail environment in Europe, we delivered record net sales and earnings. Our sales results were driven by strong point of sales growth in our North America business and continued expansion of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as well as recent acquisitions.</w:t>
      </w:r>
    </w:p>
    <w:p>
      <w:pPr>
        <w:spacing w:after="0" w:line="107" w:lineRule="exact"/>
        <w:rPr>
          <w:sz w:val="20"/>
          <w:szCs w:val="20"/>
          <w:color w:val="auto"/>
        </w:rPr>
      </w:pPr>
    </w:p>
    <w:p>
      <w:pPr>
        <w:ind w:left="700" w:right="240" w:firstLine="397"/>
        <w:spacing w:after="0" w:line="239" w:lineRule="auto"/>
        <w:rPr>
          <w:sz w:val="20"/>
          <w:szCs w:val="20"/>
          <w:color w:val="auto"/>
        </w:rPr>
      </w:pPr>
      <w:r>
        <w:rPr>
          <w:rFonts w:ascii="Arial" w:cs="Arial" w:eastAsia="Arial" w:hAnsi="Arial"/>
          <w:sz w:val="18"/>
          <w:szCs w:val="18"/>
          <w:color w:val="auto"/>
        </w:rPr>
        <w:t>Our strong results in fiscal 2006 have set the stage for another successful year in fiscal 2007. We are committed to executing the strategic initiatives outlined in “ITEM 1. BUSINESS — Strategic Initiatives,” all of which we believe will increase operating profits, secure future growth opportunities and strengthen the Company’s franchise for our consumers, our retail partners and our shareholders.</w:t>
      </w:r>
    </w:p>
    <w:p>
      <w:pPr>
        <w:spacing w:after="0" w:line="107" w:lineRule="exact"/>
        <w:rPr>
          <w:sz w:val="20"/>
          <w:szCs w:val="20"/>
          <w:color w:val="auto"/>
        </w:rPr>
      </w:pPr>
    </w:p>
    <w:p>
      <w:pPr>
        <w:ind w:left="700" w:right="100" w:firstLine="397"/>
        <w:spacing w:after="0" w:line="239" w:lineRule="auto"/>
        <w:rPr>
          <w:sz w:val="20"/>
          <w:szCs w:val="20"/>
          <w:color w:val="auto"/>
        </w:rPr>
      </w:pPr>
      <w:r>
        <w:rPr>
          <w:rFonts w:ascii="Arial" w:cs="Arial" w:eastAsia="Arial" w:hAnsi="Arial"/>
          <w:sz w:val="18"/>
          <w:szCs w:val="18"/>
          <w:color w:val="auto"/>
        </w:rPr>
        <w:t>From a financial perspective, the execution of our strategic plan will also allow us to continue to improve Return on Invested Capital (ROIC) and free cash flows. Our regular quarterly dividends coupled with the special stock repurchase and dividend planned for the second quarter of fiscal 2007, will allow us to return funds to shareholders while maintaining our targeted capital structure and allowing for opportunistic acquisitions.</w:t>
      </w:r>
    </w:p>
    <w:p>
      <w:pPr>
        <w:spacing w:after="0" w:line="1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certain information concerning our risk factors, see “ITEM 1A. RISK FACTORS.”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Liquidity and Capital Resources</w:t>
      </w:r>
    </w:p>
    <w:p>
      <w:pPr>
        <w:spacing w:after="0" w:line="144" w:lineRule="exact"/>
        <w:rPr>
          <w:sz w:val="20"/>
          <w:szCs w:val="20"/>
          <w:color w:val="auto"/>
        </w:rPr>
      </w:pPr>
    </w:p>
    <w:p>
      <w:pPr>
        <w:ind w:left="700" w:right="60" w:firstLine="397"/>
        <w:spacing w:after="0" w:line="237" w:lineRule="auto"/>
        <w:rPr>
          <w:sz w:val="20"/>
          <w:szCs w:val="20"/>
          <w:color w:val="auto"/>
        </w:rPr>
      </w:pPr>
      <w:r>
        <w:rPr>
          <w:rFonts w:ascii="Arial" w:cs="Arial" w:eastAsia="Arial" w:hAnsi="Arial"/>
          <w:sz w:val="18"/>
          <w:szCs w:val="18"/>
          <w:color w:val="auto"/>
        </w:rPr>
        <w:t>Net cash provided from operating activities was $182.4 million for fiscal 2006, compared to $226.7 million for fiscal 2005, a decline of $ 44.3 million resulting from the following factors. First, we undertook an inventory build in North America in the fourth quarter of fiscal 2006 to take advantage of a historical trough in urea costs and to increase the predictability of fiscal 2007 costs. Second, Smith &amp; Hawken</w:t>
      </w:r>
      <w:r>
        <w:rPr>
          <w:rFonts w:ascii="Arial" w:cs="Arial" w:eastAsia="Arial" w:hAnsi="Arial"/>
          <w:sz w:val="15"/>
          <w:szCs w:val="15"/>
          <w:color w:val="auto"/>
        </w:rPr>
        <w:t>®</w:t>
      </w:r>
      <w:r>
        <w:rPr>
          <w:rFonts w:ascii="Arial" w:cs="Arial" w:eastAsia="Arial" w:hAnsi="Arial"/>
          <w:sz w:val="18"/>
          <w:szCs w:val="18"/>
          <w:color w:val="auto"/>
        </w:rPr>
        <w:t xml:space="preserve"> inventories increased as a result of a conscious early season effort to improve customer service; however, sales subsequently did not meet expectations. Third, $43.0 million of the 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amount was paid in October 2005. Lastly, net payments against restructuring reserves used $9.2 million in cash in fiscal 2006 while non-cash restructuring costs of $10.3 mil</w:t>
      </w:r>
      <w:r>
        <w:rPr>
          <w:rFonts w:ascii="Arial" w:cs="Arial" w:eastAsia="Arial" w:hAnsi="Arial"/>
          <w:sz w:val="18"/>
          <w:szCs w:val="18"/>
          <w:u w:val="single" w:color="auto"/>
          <w:color w:val="auto"/>
        </w:rPr>
        <w:t>lion</w:t>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780"/>
        <w:spacing w:after="0" w:line="246" w:lineRule="auto"/>
        <w:rPr>
          <w:sz w:val="20"/>
          <w:szCs w:val="20"/>
          <w:color w:val="auto"/>
        </w:rPr>
      </w:pPr>
      <w:r>
        <w:rPr>
          <w:rFonts w:ascii="Arial" w:cs="Arial" w:eastAsia="Arial" w:hAnsi="Arial"/>
          <w:sz w:val="18"/>
          <w:szCs w:val="18"/>
          <w:color w:val="auto"/>
        </w:rPr>
        <w:t>served to increase operating cash flows in fiscal 2005. These unfavorable cash flow developments were offset by a $34.3 million increase in accounts payable.</w:t>
      </w:r>
    </w:p>
    <w:p>
      <w:pPr>
        <w:spacing w:after="0" w:line="102" w:lineRule="exact"/>
        <w:rPr>
          <w:sz w:val="20"/>
          <w:szCs w:val="20"/>
          <w:color w:val="auto"/>
        </w:rPr>
      </w:pPr>
    </w:p>
    <w:p>
      <w:pPr>
        <w:ind w:left="700" w:right="20" w:firstLine="397"/>
        <w:spacing w:after="0" w:line="237" w:lineRule="auto"/>
        <w:rPr>
          <w:sz w:val="20"/>
          <w:szCs w:val="20"/>
          <w:color w:val="auto"/>
        </w:rPr>
      </w:pPr>
      <w:r>
        <w:rPr>
          <w:rFonts w:ascii="Arial" w:cs="Arial" w:eastAsia="Arial" w:hAnsi="Arial"/>
          <w:sz w:val="18"/>
          <w:szCs w:val="18"/>
          <w:color w:val="auto"/>
        </w:rPr>
        <w:t>The seasonal nature of our operations generally requires cash to fund significant increases in working capital (primarily inventory) during the first half of the year. Receivables and payables also build substantially in the second quarter of the year in line with the timing of sales as the spring selling season begins. These balances liquidate during the June through September period as the lawn and garden season unwinds. Unlike our core retail business, Scotts LawnService</w:t>
      </w:r>
      <w:r>
        <w:rPr>
          <w:rFonts w:ascii="Arial" w:cs="Arial" w:eastAsia="Arial" w:hAnsi="Arial"/>
          <w:sz w:val="15"/>
          <w:szCs w:val="15"/>
          <w:color w:val="auto"/>
        </w:rPr>
        <w:t>®</w:t>
      </w:r>
      <w:r>
        <w:rPr>
          <w:rFonts w:ascii="Arial" w:cs="Arial" w:eastAsia="Arial" w:hAnsi="Arial"/>
          <w:sz w:val="18"/>
          <w:szCs w:val="18"/>
          <w:color w:val="auto"/>
        </w:rPr>
        <w:t xml:space="preserve"> typically has its highest receivables balances in the fourth quarter because of the seasonal timing of customer applications and extra services revenues.</w:t>
      </w:r>
    </w:p>
    <w:p>
      <w:pPr>
        <w:spacing w:after="0" w:line="111" w:lineRule="exact"/>
        <w:rPr>
          <w:sz w:val="20"/>
          <w:szCs w:val="20"/>
          <w:color w:val="auto"/>
        </w:rPr>
      </w:pPr>
    </w:p>
    <w:p>
      <w:pPr>
        <w:ind w:left="700" w:right="80" w:firstLine="397"/>
        <w:spacing w:after="0" w:line="237" w:lineRule="auto"/>
        <w:rPr>
          <w:sz w:val="20"/>
          <w:szCs w:val="20"/>
          <w:color w:val="auto"/>
        </w:rPr>
      </w:pPr>
      <w:r>
        <w:rPr>
          <w:rFonts w:ascii="Arial" w:cs="Arial" w:eastAsia="Arial" w:hAnsi="Arial"/>
          <w:sz w:val="18"/>
          <w:szCs w:val="18"/>
          <w:color w:val="auto"/>
        </w:rPr>
        <w:t>Cash used in investing activities was $174.1 million and $60.9 million for fiscal 2006 and fiscal 2005, respectively. Our acquisitions of Gutwein and RMC required a net cash outlay of $98.8 million in the first quarter of 2006, which was financed with borrowings under our existing lines of credit. Our acquisition of Smith &amp; Hawken</w:t>
      </w:r>
      <w:r>
        <w:rPr>
          <w:rFonts w:ascii="Arial" w:cs="Arial" w:eastAsia="Arial" w:hAnsi="Arial"/>
          <w:sz w:val="15"/>
          <w:szCs w:val="15"/>
          <w:color w:val="auto"/>
        </w:rPr>
        <w:t>®</w:t>
      </w:r>
      <w:r>
        <w:rPr>
          <w:rFonts w:ascii="Arial" w:cs="Arial" w:eastAsia="Arial" w:hAnsi="Arial"/>
          <w:sz w:val="18"/>
          <w:szCs w:val="18"/>
          <w:color w:val="auto"/>
        </w:rPr>
        <w:t xml:space="preserve"> in the first quarter of fiscal 2005 required a cash outlay of $73.6 million, financed in large part through the redemption of $57.2 million of investments. Capital spending of $57.0 million in fiscal 2006 was done in the normal course of business, compared to the $40.4 million spent in fiscal 2005. The increase in capital spending was partially due to approximately $4.9 million spent acquiring peat bogs in Scotland along with $5.4 million in new Smith and Hawken</w:t>
      </w:r>
      <w:r>
        <w:rPr>
          <w:rFonts w:ascii="Arial" w:cs="Arial" w:eastAsia="Arial" w:hAnsi="Arial"/>
          <w:sz w:val="15"/>
          <w:szCs w:val="15"/>
          <w:color w:val="auto"/>
        </w:rPr>
        <w:t>®</w:t>
      </w:r>
      <w:r>
        <w:rPr>
          <w:rFonts w:ascii="Arial" w:cs="Arial" w:eastAsia="Arial" w:hAnsi="Arial"/>
          <w:sz w:val="18"/>
          <w:szCs w:val="18"/>
          <w:color w:val="auto"/>
        </w:rPr>
        <w:t xml:space="preserve"> stores.</w:t>
      </w:r>
    </w:p>
    <w:p>
      <w:pPr>
        <w:spacing w:after="0" w:line="109" w:lineRule="exact"/>
        <w:rPr>
          <w:sz w:val="20"/>
          <w:szCs w:val="20"/>
          <w:color w:val="auto"/>
        </w:rPr>
      </w:pPr>
    </w:p>
    <w:p>
      <w:pPr>
        <w:ind w:left="700" w:firstLine="397"/>
        <w:spacing w:after="0" w:line="236" w:lineRule="auto"/>
        <w:rPr>
          <w:sz w:val="20"/>
          <w:szCs w:val="20"/>
          <w:color w:val="auto"/>
        </w:rPr>
      </w:pPr>
      <w:r>
        <w:rPr>
          <w:rFonts w:ascii="Arial" w:cs="Arial" w:eastAsia="Arial" w:hAnsi="Arial"/>
          <w:sz w:val="18"/>
          <w:szCs w:val="18"/>
          <w:color w:val="auto"/>
        </w:rPr>
        <w:t>Financing activities used cash of $46.9 million and $ 195.2 million in fiscal 2006 and fiscal 2005, respectively. As noted earlier, in fiscal 2006, we began a program to return cash to our shareholders. To that end, we paid dividends of $33.5 million and repurchased $87.9 million of our common shares financed in part by a net increase in borrowings under our Revolving Credit Agreement of $55.2 million. Prior to fiscal 2006, our focus was on aggressively paying down debt and managing our credit agreements and borrowings to maximize the benefit of our improving capital structure and debt facilities. Approximately $ 211.2 million of debt was retired in fiscal 2005. We also paid our first ever common share dividend in the fourth quarter of fiscal 2005 totaling $ 8.6 million. Proceeds from the exercise of employee stock options were $17.6 million in fiscal 2006 compared to $32.2 million in fiscal 2005.</w:t>
      </w:r>
    </w:p>
    <w:p>
      <w:pPr>
        <w:spacing w:after="0" w:line="114" w:lineRule="exact"/>
        <w:rPr>
          <w:sz w:val="20"/>
          <w:szCs w:val="20"/>
          <w:color w:val="auto"/>
        </w:rPr>
      </w:pPr>
    </w:p>
    <w:p>
      <w:pPr>
        <w:ind w:left="700" w:firstLine="397"/>
        <w:spacing w:after="0" w:line="224" w:lineRule="auto"/>
        <w:rPr>
          <w:sz w:val="20"/>
          <w:szCs w:val="20"/>
          <w:color w:val="auto"/>
        </w:rPr>
      </w:pPr>
      <w:r>
        <w:rPr>
          <w:rFonts w:ascii="Arial" w:cs="Arial" w:eastAsia="Arial" w:hAnsi="Arial"/>
          <w:sz w:val="18"/>
          <w:szCs w:val="18"/>
          <w:color w:val="auto"/>
        </w:rPr>
        <w:t>Our primary sources of liquidity are cash generated by operations and borrowings under our credit agreements. Our Revolving Credit Agreement consists of an aggregate $1.05 billion multi-currency commitment (increased from $1.0 billion in February 2006), that extends through July 21, 2010. Under our current structure, we may request an additional $100 million in revolving credit commitments, subject to approval from our lenders. As of September 30, 2006, there was $775.9 million of availability under the Revolving Credit Agreement. As of September 30, 2006, we also had $200.0 million of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outstanding. Note 9 to the Consolidated Financial Statements provides additional information pertaining to our borrowing arrangements. We were in compliance with all of our debt covenants throughout fiscal 2006.</w:t>
      </w:r>
    </w:p>
    <w:p>
      <w:pPr>
        <w:spacing w:after="0" w:line="112" w:lineRule="exact"/>
        <w:rPr>
          <w:sz w:val="20"/>
          <w:szCs w:val="20"/>
          <w:color w:val="auto"/>
        </w:rPr>
      </w:pPr>
    </w:p>
    <w:p>
      <w:pPr>
        <w:ind w:left="700" w:right="120" w:firstLine="397"/>
        <w:spacing w:after="0" w:line="223" w:lineRule="auto"/>
        <w:rPr>
          <w:sz w:val="20"/>
          <w:szCs w:val="20"/>
          <w:color w:val="auto"/>
        </w:rPr>
      </w:pPr>
      <w:r>
        <w:rPr>
          <w:rFonts w:ascii="Arial" w:cs="Arial" w:eastAsia="Arial" w:hAnsi="Arial"/>
          <w:sz w:val="18"/>
          <w:szCs w:val="18"/>
          <w:color w:val="auto"/>
        </w:rPr>
        <w:t>The recapitalization plan announced on December 12, 2006, to return $750 million to shareholders during the second quarter of fiscal 2007 will be financed by a restructuring of the Company’s principal borrowing arrangements. Our Revolving Credit Agreement will be replaced with new senior secured $2.1 to $2.3 billion multicurrency credit facilities that will provide for revolving credit and term loans. As part of the refinancing, we intend to repurchase the $200 million of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outstanding. We believe our new facilities will continue to provide the Company with the capacity to pursue targeted, strategic acquisitions that leverage our core competencies.</w:t>
      </w:r>
    </w:p>
    <w:p>
      <w:pPr>
        <w:spacing w:after="0" w:line="108" w:lineRule="exact"/>
        <w:rPr>
          <w:sz w:val="20"/>
          <w:szCs w:val="20"/>
          <w:color w:val="auto"/>
        </w:rPr>
      </w:pPr>
    </w:p>
    <w:p>
      <w:pPr>
        <w:ind w:left="700" w:right="80" w:firstLine="397"/>
        <w:spacing w:after="0" w:line="236"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reviewed the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 however, there can be no assurance that future quarterly or annual operating results will not be materially affected by final resolution of these matters.</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580" w:firstLine="397"/>
        <w:spacing w:after="0" w:line="246" w:lineRule="auto"/>
        <w:rPr>
          <w:sz w:val="20"/>
          <w:szCs w:val="20"/>
          <w:color w:val="auto"/>
        </w:rPr>
      </w:pPr>
      <w:r>
        <w:rPr>
          <w:rFonts w:ascii="Arial" w:cs="Arial" w:eastAsia="Arial" w:hAnsi="Arial"/>
          <w:sz w:val="18"/>
          <w:szCs w:val="18"/>
          <w:color w:val="auto"/>
        </w:rPr>
        <w:t>The following table summarizes our future cash outflows for contractual obligations as of September 30, 2006 (in millions):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color w:val="auto"/>
              </w:rPr>
              <w:t>Payments Due by Period</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3"/>
          </w:tcPr>
          <w:p>
            <w:pPr>
              <w:spacing w:after="0"/>
              <w:rPr>
                <w:sz w:val="20"/>
                <w:szCs w:val="20"/>
                <w:color w:val="auto"/>
              </w:rPr>
            </w:pPr>
            <w:r>
              <w:rPr>
                <w:rFonts w:ascii="Arial" w:cs="Arial" w:eastAsia="Arial" w:hAnsi="Arial"/>
                <w:sz w:val="16"/>
                <w:szCs w:val="16"/>
                <w:color w:val="auto"/>
              </w:rPr>
              <w:t>More than</w:t>
            </w:r>
          </w:p>
        </w:tc>
        <w:tc>
          <w:tcPr>
            <w:tcW w:w="0" w:type="dxa"/>
            <w:vAlign w:val="bottom"/>
          </w:tcPr>
          <w:p>
            <w:pPr>
              <w:spacing w:after="0"/>
              <w:rPr>
                <w:sz w:val="1"/>
                <w:szCs w:val="1"/>
                <w:color w:val="auto"/>
              </w:rPr>
            </w:pPr>
          </w:p>
        </w:tc>
      </w:tr>
      <w:tr>
        <w:trPr>
          <w:trHeight w:val="198"/>
        </w:trPr>
        <w:tc>
          <w:tcPr>
            <w:tcW w:w="3840" w:type="dxa"/>
            <w:vAlign w:val="bottom"/>
            <w:gridSpan w:val="2"/>
          </w:tcPr>
          <w:p>
            <w:pPr>
              <w:spacing w:after="0"/>
              <w:rPr>
                <w:sz w:val="20"/>
                <w:szCs w:val="20"/>
                <w:color w:val="auto"/>
              </w:rPr>
            </w:pPr>
            <w:r>
              <w:rPr>
                <w:rFonts w:ascii="Arial" w:cs="Arial" w:eastAsia="Arial" w:hAnsi="Arial"/>
                <w:sz w:val="16"/>
                <w:szCs w:val="16"/>
                <w:color w:val="auto"/>
              </w:rPr>
              <w:t>Contractual Cash Obligations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91"/>
              <w:spacing w:after="0"/>
              <w:rPr>
                <w:sz w:val="20"/>
                <w:szCs w:val="20"/>
                <w:color w:val="auto"/>
              </w:rPr>
            </w:pPr>
            <w:r>
              <w:rPr>
                <w:rFonts w:ascii="Arial" w:cs="Arial" w:eastAsia="Arial" w:hAnsi="Arial"/>
                <w:sz w:val="16"/>
                <w:szCs w:val="16"/>
                <w:color w:val="auto"/>
              </w:rPr>
              <w:t>Total</w:t>
            </w:r>
          </w:p>
        </w:tc>
        <w:tc>
          <w:tcPr>
            <w:tcW w:w="1580" w:type="dxa"/>
            <w:vAlign w:val="bottom"/>
            <w:gridSpan w:val="3"/>
          </w:tcPr>
          <w:p>
            <w:pPr>
              <w:ind w:left="380"/>
              <w:spacing w:after="0"/>
              <w:rPr>
                <w:sz w:val="20"/>
                <w:szCs w:val="20"/>
                <w:color w:val="auto"/>
              </w:rPr>
            </w:pPr>
            <w:r>
              <w:rPr>
                <w:rFonts w:ascii="Arial" w:cs="Arial" w:eastAsia="Arial" w:hAnsi="Arial"/>
                <w:sz w:val="16"/>
                <w:szCs w:val="16"/>
                <w:color w:val="auto"/>
                <w:w w:val="99"/>
              </w:rPr>
              <w:t>Less than 1 year</w:t>
            </w:r>
          </w:p>
        </w:tc>
        <w:tc>
          <w:tcPr>
            <w:tcW w:w="1060" w:type="dxa"/>
            <w:vAlign w:val="bottom"/>
            <w:gridSpan w:val="3"/>
          </w:tcPr>
          <w:p>
            <w:pPr>
              <w:ind w:left="380"/>
              <w:spacing w:after="0"/>
              <w:rPr>
                <w:sz w:val="20"/>
                <w:szCs w:val="20"/>
                <w:color w:val="auto"/>
              </w:rPr>
            </w:pPr>
            <w:r>
              <w:rPr>
                <w:rFonts w:ascii="Arial" w:cs="Arial" w:eastAsia="Arial" w:hAnsi="Arial"/>
                <w:sz w:val="16"/>
                <w:szCs w:val="16"/>
                <w:color w:val="auto"/>
                <w:w w:val="98"/>
              </w:rPr>
              <w:t>1-3 years</w:t>
            </w:r>
          </w:p>
        </w:tc>
        <w:tc>
          <w:tcPr>
            <w:tcW w:w="1040" w:type="dxa"/>
            <w:vAlign w:val="bottom"/>
            <w:gridSpan w:val="3"/>
          </w:tcPr>
          <w:p>
            <w:pPr>
              <w:ind w:left="360"/>
              <w:spacing w:after="0"/>
              <w:rPr>
                <w:sz w:val="20"/>
                <w:szCs w:val="20"/>
                <w:color w:val="auto"/>
              </w:rPr>
            </w:pPr>
            <w:r>
              <w:rPr>
                <w:rFonts w:ascii="Arial" w:cs="Arial" w:eastAsia="Arial" w:hAnsi="Arial"/>
                <w:sz w:val="16"/>
                <w:szCs w:val="16"/>
                <w:color w:val="auto"/>
                <w:w w:val="98"/>
              </w:rPr>
              <w:t>4-5 years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color w:val="auto"/>
              </w:rPr>
              <w:t>5 years</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38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481.2</w:t>
            </w:r>
          </w:p>
        </w:tc>
        <w:tc>
          <w:tcPr>
            <w:tcW w:w="8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5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5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255.0</w:t>
            </w:r>
          </w:p>
        </w:tc>
        <w:tc>
          <w:tcPr>
            <w:tcW w:w="4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190.3</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34.9</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56.0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36.1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419.3</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215.9</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145.6</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Other, primarily retirement plan obligations</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w:t>
            </w:r>
          </w:p>
        </w:tc>
        <w:tc>
          <w:tcPr>
            <w:tcW w:w="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contractual cash obligations</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1,128.2</w:t>
            </w:r>
          </w:p>
        </w:tc>
        <w:tc>
          <w:tcPr>
            <w:tcW w:w="8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270.3</w:t>
            </w:r>
          </w:p>
        </w:tc>
        <w:tc>
          <w:tcPr>
            <w:tcW w:w="5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212.8</w:t>
            </w:r>
          </w:p>
        </w:tc>
        <w:tc>
          <w:tcPr>
            <w:tcW w:w="5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344.7</w:t>
            </w:r>
          </w:p>
        </w:tc>
        <w:tc>
          <w:tcPr>
            <w:tcW w:w="4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180" w:firstLine="397"/>
        <w:spacing w:after="0" w:line="239" w:lineRule="auto"/>
        <w:rPr>
          <w:sz w:val="20"/>
          <w:szCs w:val="20"/>
          <w:color w:val="auto"/>
        </w:rPr>
      </w:pPr>
      <w:r>
        <w:rPr>
          <w:rFonts w:ascii="Arial" w:cs="Arial" w:eastAsia="Arial" w:hAnsi="Arial"/>
          <w:sz w:val="18"/>
          <w:szCs w:val="18"/>
          <w:color w:val="auto"/>
        </w:rPr>
        <w:t>Purchase obligations primarily represent outstanding purchase orders for materials used in the Company’s manufacturing processes. Purchase obligations also include commitments for warehouse services, seed, and out-sourced information services which comprise the unconditional purchase obligations disclosed in Note 15 to Consolidated Financial Statements.</w:t>
      </w:r>
    </w:p>
    <w:p>
      <w:pPr>
        <w:spacing w:after="0" w:line="107" w:lineRule="exact"/>
        <w:rPr>
          <w:sz w:val="20"/>
          <w:szCs w:val="20"/>
          <w:color w:val="auto"/>
        </w:rPr>
      </w:pPr>
    </w:p>
    <w:p>
      <w:pPr>
        <w:ind w:left="700" w:right="140" w:firstLine="397"/>
        <w:spacing w:after="0" w:line="261" w:lineRule="auto"/>
        <w:rPr>
          <w:sz w:val="20"/>
          <w:szCs w:val="20"/>
          <w:color w:val="auto"/>
        </w:rPr>
      </w:pPr>
      <w:r>
        <w:rPr>
          <w:rFonts w:ascii="Arial" w:cs="Arial" w:eastAsia="Arial" w:hAnsi="Arial"/>
          <w:sz w:val="17"/>
          <w:szCs w:val="17"/>
          <w:color w:val="auto"/>
        </w:rPr>
        <w:t>Other includes actuarially determined retiree benefit payments and pension funding to comply with local funding requirements. Pension funding requirements beyond fiscal 2007 are not currently determinable. The above table excludes interest payments, and insurance accruals as the Company is unable to estimate the timing of the payment for these items.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 has no off-balance sheet financing arrangements.</w:t>
      </w:r>
    </w:p>
    <w:p>
      <w:pPr>
        <w:spacing w:after="0" w:line="117" w:lineRule="exact"/>
        <w:rPr>
          <w:sz w:val="20"/>
          <w:szCs w:val="20"/>
          <w:color w:val="auto"/>
        </w:rPr>
      </w:pPr>
    </w:p>
    <w:p>
      <w:pPr>
        <w:ind w:left="700" w:right="80" w:firstLine="397"/>
        <w:spacing w:after="0" w:line="238"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2007,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Environmental Matters</w:t>
      </w:r>
    </w:p>
    <w:p>
      <w:pPr>
        <w:spacing w:after="0" w:line="144" w:lineRule="exact"/>
        <w:rPr>
          <w:sz w:val="20"/>
          <w:szCs w:val="20"/>
          <w:color w:val="auto"/>
        </w:rPr>
      </w:pPr>
    </w:p>
    <w:p>
      <w:pPr>
        <w:ind w:left="700" w:right="20" w:firstLine="397"/>
        <w:spacing w:after="0" w:line="236"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our future quarterly or annual results of operations, financial condition or cash flows. Additional information on environmental matters affecting us is provided in “ITEM 1. BUSINESS — Environmental and Regulatory Considerations,” “ITEM 1. BUSINESS — Regulatory Actions” and “ITEM 3. LEGAL PROCEEDINGS.”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44" w:lineRule="exact"/>
        <w:rPr>
          <w:sz w:val="20"/>
          <w:szCs w:val="20"/>
          <w:color w:val="auto"/>
        </w:rPr>
      </w:pPr>
    </w:p>
    <w:p>
      <w:pPr>
        <w:ind w:left="700" w:right="100" w:firstLine="397"/>
        <w:spacing w:after="0" w:line="237" w:lineRule="auto"/>
        <w:rPr>
          <w:sz w:val="20"/>
          <w:szCs w:val="20"/>
          <w:color w:val="auto"/>
        </w:rPr>
      </w:pPr>
      <w:r>
        <w:rPr>
          <w:rFonts w:ascii="Arial" w:cs="Arial" w:eastAsia="Arial" w:hAnsi="Arial"/>
          <w:sz w:val="18"/>
          <w:szCs w:val="18"/>
          <w:color w:val="auto"/>
        </w:rPr>
        <w:t>Our discussion and analysis of financial condition and results of operations is based upon the Company’s consolidated financial statements, which have been prepared in accordance with accounting principles generally accepted in the United States of America (U.S. GAAP). Certain accounting policies are particularly significant, including those related to revenue recognition, goodwill and intangibles, certain employee benefits, and income taxes. We believe these accounting policies, and others set forth in Note 1 of the Notes to Consolidated Financial Statements, should be reviewed as they are integral to understanding our results of operations and financial position. Our critical accounting policies are reviewed periodically with the Audit Committee of The Scotts Miracle-Gro Company Board of Directors.</w:t>
      </w:r>
    </w:p>
    <w:p>
      <w:pPr>
        <w:spacing w:after="0" w:line="109" w:lineRule="exact"/>
        <w:rPr>
          <w:sz w:val="20"/>
          <w:szCs w:val="20"/>
          <w:color w:val="auto"/>
        </w:rPr>
      </w:pPr>
    </w:p>
    <w:p>
      <w:pPr>
        <w:ind w:left="700" w:right="20" w:firstLine="397"/>
        <w:spacing w:after="0"/>
        <w:rPr>
          <w:sz w:val="20"/>
          <w:szCs w:val="20"/>
          <w:color w:val="auto"/>
        </w:rPr>
      </w:pPr>
      <w:r>
        <w:rPr>
          <w:rFonts w:ascii="Arial" w:cs="Arial" w:eastAsia="Arial" w:hAnsi="Arial"/>
          <w:sz w:val="18"/>
          <w:szCs w:val="18"/>
          <w:color w:val="auto"/>
        </w:rPr>
        <w:t>The preparation of financial statements requires management to use judgment and make estimates that affect the reported amounts of assets, liabilities, revenues and expenses, and related disclosure of contingent assets and liabilities. On an on-going basis, we evaluate our estimates, including those</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80"/>
        <w:spacing w:after="0" w:line="238" w:lineRule="auto"/>
        <w:rPr>
          <w:sz w:val="20"/>
          <w:szCs w:val="20"/>
          <w:color w:val="auto"/>
        </w:rPr>
      </w:pPr>
      <w:r>
        <w:rPr>
          <w:rFonts w:ascii="Arial" w:cs="Arial" w:eastAsia="Arial" w:hAnsi="Arial"/>
          <w:sz w:val="18"/>
          <w:szCs w:val="18"/>
          <w:color w:val="auto"/>
        </w:rPr>
        <w:t>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position could differ, perhaps materially, from these estimates under different assumptions or conditions.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Revenue Recognition</w:t>
      </w:r>
    </w:p>
    <w:p>
      <w:pPr>
        <w:spacing w:after="0" w:line="144" w:lineRule="exact"/>
        <w:rPr>
          <w:sz w:val="20"/>
          <w:szCs w:val="20"/>
          <w:color w:val="auto"/>
        </w:rPr>
      </w:pPr>
    </w:p>
    <w:p>
      <w:pPr>
        <w:ind w:left="700" w:right="20" w:firstLine="397"/>
        <w:spacing w:after="0" w:line="236" w:lineRule="auto"/>
        <w:rPr>
          <w:sz w:val="20"/>
          <w:szCs w:val="20"/>
          <w:color w:val="auto"/>
        </w:rPr>
      </w:pPr>
      <w:r>
        <w:rPr>
          <w:rFonts w:ascii="Arial" w:cs="Arial" w:eastAsia="Arial" w:hAnsi="Arial"/>
          <w:sz w:val="18"/>
          <w:szCs w:val="18"/>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collectibility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Goodwill, Indefinite-lived Intangibles and Long-lived Assets</w:t>
      </w:r>
    </w:p>
    <w:p>
      <w:pPr>
        <w:spacing w:after="0" w:line="144" w:lineRule="exact"/>
        <w:rPr>
          <w:sz w:val="20"/>
          <w:szCs w:val="20"/>
          <w:color w:val="auto"/>
        </w:rPr>
      </w:pPr>
    </w:p>
    <w:p>
      <w:pPr>
        <w:ind w:left="700" w:right="200" w:firstLine="397"/>
        <w:spacing w:after="0" w:line="248" w:lineRule="auto"/>
        <w:rPr>
          <w:sz w:val="20"/>
          <w:szCs w:val="20"/>
          <w:color w:val="auto"/>
        </w:rPr>
      </w:pPr>
      <w:r>
        <w:rPr>
          <w:rFonts w:ascii="Arial" w:cs="Arial" w:eastAsia="Arial" w:hAnsi="Arial"/>
          <w:sz w:val="17"/>
          <w:szCs w:val="17"/>
          <w:color w:val="auto"/>
        </w:rPr>
        <w:t>We have significant investments in property and equipment, intangible assets and goodwill. Whenever changing conditions warrant, we review the realizability of the assets that may be affected. At least annually, we review goodwill and indefinite-lived intangible assets for impairment. The review for impairment of long-lived assets, intangibles and goodwill is primarily based on our estimates of future cash flows, which are based upon budgets and longer-range strategic plans.</w:t>
      </w:r>
    </w:p>
    <w:p>
      <w:pPr>
        <w:spacing w:after="0" w:line="2" w:lineRule="exact"/>
        <w:rPr>
          <w:sz w:val="20"/>
          <w:szCs w:val="20"/>
          <w:color w:val="auto"/>
        </w:rPr>
      </w:pPr>
    </w:p>
    <w:p>
      <w:pPr>
        <w:jc w:val="both"/>
        <w:ind w:left="700" w:right="20"/>
        <w:spacing w:after="0" w:line="238" w:lineRule="auto"/>
        <w:rPr>
          <w:sz w:val="20"/>
          <w:szCs w:val="20"/>
          <w:color w:val="auto"/>
        </w:rPr>
      </w:pPr>
      <w:r>
        <w:rPr>
          <w:rFonts w:ascii="Arial" w:cs="Arial" w:eastAsia="Arial" w:hAnsi="Arial"/>
          <w:sz w:val="18"/>
          <w:szCs w:val="18"/>
          <w:color w:val="auto"/>
        </w:rPr>
        <w:t>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Inventories</w:t>
      </w:r>
    </w:p>
    <w:p>
      <w:pPr>
        <w:spacing w:after="0" w:line="144" w:lineRule="exact"/>
        <w:rPr>
          <w:sz w:val="20"/>
          <w:szCs w:val="20"/>
          <w:color w:val="auto"/>
        </w:rPr>
      </w:pPr>
    </w:p>
    <w:p>
      <w:pPr>
        <w:ind w:left="700" w:right="60" w:firstLine="397"/>
        <w:spacing w:after="0" w:line="238" w:lineRule="auto"/>
        <w:rPr>
          <w:sz w:val="20"/>
          <w:szCs w:val="20"/>
          <w:color w:val="auto"/>
        </w:rPr>
      </w:pPr>
      <w:r>
        <w:rPr>
          <w:rFonts w:ascii="Arial" w:cs="Arial" w:eastAsia="Arial" w:hAnsi="Arial"/>
          <w:sz w:val="18"/>
          <w:szCs w:val="18"/>
          <w:color w:val="auto"/>
        </w:rPr>
        <w:t>Inventories are stated at the lower of cost or market, the majority of which are based on the first-in, first-out method of accounting. 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regulatory actions.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Contingencies</w:t>
      </w:r>
    </w:p>
    <w:p>
      <w:pPr>
        <w:spacing w:after="0" w:line="144" w:lineRule="exact"/>
        <w:rPr>
          <w:sz w:val="20"/>
          <w:szCs w:val="20"/>
          <w:color w:val="auto"/>
        </w:rPr>
      </w:pPr>
    </w:p>
    <w:p>
      <w:pPr>
        <w:ind w:left="700" w:firstLine="397"/>
        <w:spacing w:after="0" w:line="238" w:lineRule="auto"/>
        <w:rPr>
          <w:sz w:val="20"/>
          <w:szCs w:val="20"/>
          <w:color w:val="auto"/>
        </w:rPr>
      </w:pPr>
      <w:r>
        <w:rPr>
          <w:rFonts w:ascii="Arial" w:cs="Arial" w:eastAsia="Arial" w:hAnsi="Arial"/>
          <w:sz w:val="18"/>
          <w:szCs w:val="18"/>
          <w:color w:val="auto"/>
        </w:rPr>
        <w:t>As described more fully in Note 16 of the Notes to Consolidated Financial Statements, we are involved in significant environmental and legal matters, which have a high degree of uncertainty associated with them. We continually assess the likely outcomes of these matters and the adequacy of amounts, if any, provided for their resolution. There can be no assurance that the ultimate outcomes will not differ materially from our assessment of them. There can also be no assurance that all matters that may be brought against us are known at any point in time.</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Income Taxes</w:t>
      </w:r>
    </w:p>
    <w:p>
      <w:pPr>
        <w:spacing w:after="0" w:line="144"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color w:val="auto"/>
        </w:rPr>
        <w:t xml:space="preserve">Our annual effective tax rate is established based on our income,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t>
      </w:r>
      <w:r>
        <w:rPr>
          <w:rFonts w:ascii="Arial" w:cs="Arial" w:eastAsia="Arial" w:hAnsi="Arial"/>
          <w:sz w:val="18"/>
          <w:szCs w:val="18"/>
          <w:u w:val="single" w:color="auto"/>
          <w:color w:val="auto"/>
        </w:rPr>
        <w:t>Wh</w:t>
      </w:r>
      <w:r>
        <w:rPr>
          <w:rFonts w:ascii="Arial" w:cs="Arial" w:eastAsia="Arial" w:hAnsi="Arial"/>
          <w:sz w:val="18"/>
          <w:szCs w:val="18"/>
          <w:color w:val="auto"/>
        </w:rPr>
        <w:t>en we determine that</w:t>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color w:val="auto"/>
        </w:rPr>
        <w:t>deferred tax assets could be realized in greater or lesser amounts than recorded, the asset balance and consolidated statement of operations reflect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We use an estimate of our annual effective tax rate at each interim period based on the facts and circumstances available at that time, while the actual effective tax rate is calculated at year-end.</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Associate Benefits</w:t>
      </w:r>
    </w:p>
    <w:p>
      <w:pPr>
        <w:spacing w:after="0" w:line="144" w:lineRule="exact"/>
        <w:rPr>
          <w:sz w:val="20"/>
          <w:szCs w:val="20"/>
          <w:color w:val="auto"/>
        </w:rPr>
      </w:pPr>
    </w:p>
    <w:p>
      <w:pPr>
        <w:ind w:left="700" w:right="140" w:firstLine="397"/>
        <w:spacing w:after="0" w:line="237" w:lineRule="auto"/>
        <w:rPr>
          <w:sz w:val="20"/>
          <w:szCs w:val="20"/>
          <w:color w:val="auto"/>
        </w:rPr>
      </w:pPr>
      <w:r>
        <w:rPr>
          <w:rFonts w:ascii="Arial" w:cs="Arial" w:eastAsia="Arial" w:hAnsi="Arial"/>
          <w:sz w:val="18"/>
          <w:szCs w:val="18"/>
          <w:color w:val="auto"/>
        </w:rPr>
        <w:t>We sponsor various post-employment benefit plans. These include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determined by actuarial valuations. These assumptions include the following: discount rate; expected salary increases; certain employee-related factors, such as turnover, retirement age and mortality; expected return on plan assets; and health care cost trend rates. These and other assumptions affect the annual expense recognized for these plans.</w:t>
      </w:r>
    </w:p>
    <w:p>
      <w:pPr>
        <w:spacing w:after="0" w:line="109" w:lineRule="exact"/>
        <w:rPr>
          <w:sz w:val="20"/>
          <w:szCs w:val="20"/>
          <w:color w:val="auto"/>
        </w:rPr>
      </w:pPr>
    </w:p>
    <w:p>
      <w:pPr>
        <w:ind w:left="700" w:right="100" w:firstLine="397"/>
        <w:spacing w:after="0" w:line="253" w:lineRule="auto"/>
        <w:rPr>
          <w:sz w:val="20"/>
          <w:szCs w:val="20"/>
          <w:color w:val="auto"/>
        </w:rPr>
      </w:pPr>
      <w:r>
        <w:rPr>
          <w:rFonts w:ascii="Arial" w:cs="Arial" w:eastAsia="Arial" w:hAnsi="Arial"/>
          <w:sz w:val="17"/>
          <w:szCs w:val="17"/>
          <w:color w:val="auto"/>
        </w:rPr>
        <w:t>Assumptions are reviewed annually for appropriateness and updated as necessary. We base the discount rate assumption on investment yields available at year-end on corporate long-term bonds rated AA or the equivalent.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differing from our assumptions are accumulated and amortized over future periods.</w:t>
      </w:r>
    </w:p>
    <w:p>
      <w:pPr>
        <w:spacing w:after="0" w:line="101" w:lineRule="exact"/>
        <w:rPr>
          <w:sz w:val="20"/>
          <w:szCs w:val="20"/>
          <w:color w:val="auto"/>
        </w:rPr>
      </w:pPr>
    </w:p>
    <w:p>
      <w:pPr>
        <w:jc w:val="both"/>
        <w:ind w:left="700" w:right="120" w:firstLine="397"/>
        <w:spacing w:after="0" w:line="239" w:lineRule="auto"/>
        <w:rPr>
          <w:sz w:val="20"/>
          <w:szCs w:val="20"/>
          <w:color w:val="auto"/>
        </w:rPr>
      </w:pPr>
      <w:r>
        <w:rPr>
          <w:rFonts w:ascii="Arial" w:cs="Arial" w:eastAsia="Arial" w:hAnsi="Arial"/>
          <w:sz w:val="18"/>
          <w:szCs w:val="18"/>
          <w:color w:val="auto"/>
        </w:rPr>
        <w:t>Changes in the discount rate and investment returns can have a significant effect on the funded status of our pension plans and shareholders’ equity. We cannot predict these discount rates or investment returns with certainty and, therefore, cannot determine whether adjustments to our shareholders’ equity for minimum pension liability in subsequent years will be significant.</w:t>
      </w:r>
    </w:p>
    <w:p>
      <w:pPr>
        <w:spacing w:after="0" w:line="107" w:lineRule="exact"/>
        <w:rPr>
          <w:sz w:val="20"/>
          <w:szCs w:val="20"/>
          <w:color w:val="auto"/>
        </w:rPr>
      </w:pPr>
    </w:p>
    <w:p>
      <w:pPr>
        <w:ind w:left="700" w:right="40" w:firstLine="397"/>
        <w:spacing w:after="0" w:line="236" w:lineRule="auto"/>
        <w:rPr>
          <w:sz w:val="20"/>
          <w:szCs w:val="20"/>
          <w:color w:val="auto"/>
        </w:rPr>
      </w:pPr>
      <w:r>
        <w:rPr>
          <w:rFonts w:ascii="Arial" w:cs="Arial" w:eastAsia="Arial" w:hAnsi="Arial"/>
          <w:sz w:val="18"/>
          <w:szCs w:val="18"/>
          <w:color w:val="auto"/>
        </w:rPr>
        <w:t>We also award stock options to directors and certain associates. Beginning in fiscal 2003, we began expensing prospective grants of employee stock-based compensation awards in accordance with Statement of Financial Accounting Standards No. 123, “Accounting for Stock-Based Compensation”. The fair value of future awards is being expensed ratably over the vesting period, which has historically been three years, except for grants to directors, which have shorter vesting periods. Stock options granted prior to fiscal 2003 are accounted for under the intrinsic value recognition and measurement provisions of Accounting Principles Board (APB) Opinion No. 25, “Accounting for Stock Issued to Employees,” and related interpretations. As those stock options were issued with exercise prices equal to the market value of the underlying common shares on the grant date, no compensation expense was recognized.</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ITEM 7A. QUANTITATIVE AND QUALITATIVE DISCLOSURES ABOUT MARKET RISK</w:t>
      </w:r>
    </w:p>
    <w:p>
      <w:pPr>
        <w:spacing w:after="0" w:line="144" w:lineRule="exact"/>
        <w:rPr>
          <w:sz w:val="20"/>
          <w:szCs w:val="20"/>
          <w:color w:val="auto"/>
        </w:rPr>
      </w:pPr>
    </w:p>
    <w:p>
      <w:pPr>
        <w:jc w:val="both"/>
        <w:ind w:left="700" w:right="100" w:firstLine="397"/>
        <w:spacing w:after="0"/>
        <w:rPr>
          <w:sz w:val="20"/>
          <w:szCs w:val="20"/>
          <w:color w:val="auto"/>
        </w:rPr>
      </w:pPr>
      <w:r>
        <w:rPr>
          <w:rFonts w:ascii="Arial" w:cs="Arial" w:eastAsia="Arial" w:hAnsi="Arial"/>
          <w:sz w:val="18"/>
          <w:szCs w:val="18"/>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Interest Rate Risk</w:t>
      </w:r>
    </w:p>
    <w:p>
      <w:pPr>
        <w:spacing w:after="0" w:line="144" w:lineRule="exact"/>
        <w:rPr>
          <w:sz w:val="20"/>
          <w:szCs w:val="20"/>
          <w:color w:val="auto"/>
        </w:rPr>
      </w:pPr>
    </w:p>
    <w:p>
      <w:pPr>
        <w:ind w:left="700" w:right="40" w:firstLine="397"/>
        <w:spacing w:after="0"/>
        <w:rPr>
          <w:sz w:val="20"/>
          <w:szCs w:val="20"/>
          <w:color w:val="auto"/>
        </w:rPr>
      </w:pPr>
      <w:r>
        <w:rPr>
          <w:rFonts w:ascii="Arial" w:cs="Arial" w:eastAsia="Arial" w:hAnsi="Arial"/>
          <w:sz w:val="18"/>
          <w:szCs w:val="18"/>
          <w:color w:val="auto"/>
        </w:rPr>
        <w:t>The Company had variable rate debt instruments outstanding at September 30, 2006 and 2005 that are impacted by changes in interest rates. As a means of managing our interest rate risk on these debt instruments, the Company enters into interest rate swap agreements to effectively convert certain variable-rate debt obligations to fixed rates.</w:t>
      </w:r>
    </w:p>
    <w:p>
      <w:pPr>
        <w:spacing w:after="0" w:line="108" w:lineRule="exact"/>
        <w:rPr>
          <w:sz w:val="20"/>
          <w:szCs w:val="20"/>
          <w:color w:val="auto"/>
        </w:rPr>
      </w:pPr>
    </w:p>
    <w:p>
      <w:pPr>
        <w:ind w:left="700" w:firstLine="397"/>
        <w:spacing w:after="0" w:line="238" w:lineRule="auto"/>
        <w:rPr>
          <w:sz w:val="20"/>
          <w:szCs w:val="20"/>
          <w:color w:val="auto"/>
        </w:rPr>
      </w:pPr>
      <w:r>
        <w:rPr>
          <w:rFonts w:ascii="Arial" w:cs="Arial" w:eastAsia="Arial" w:hAnsi="Arial"/>
          <w:sz w:val="18"/>
          <w:szCs w:val="18"/>
          <w:color w:val="auto"/>
        </w:rPr>
        <w:t>At September 30, 2006, the Company had outstanding interest rate swaps with major financial institutions that effectively converted a portion of our British pound (GBP) and Euro dollar denominated variable-rate debt to a fixed rate. The swaps agreements have a total U.S. dollar equivalent notional amount of $108.2 million with three-year terms expiring November 2008. Under the terms of these swaps, we paid fixed rates of 2.98% on Euro denominated swaps and 4.76% on GBP denominated swaps. At September 30, 2005, we had n</w:t>
      </w:r>
      <w:r>
        <w:rPr>
          <w:rFonts w:ascii="Arial" w:cs="Arial" w:eastAsia="Arial" w:hAnsi="Arial"/>
          <w:sz w:val="18"/>
          <w:szCs w:val="18"/>
          <w:u w:val="single" w:color="auto"/>
          <w:color w:val="auto"/>
        </w:rPr>
        <w:t>o o</w:t>
      </w:r>
      <w:r>
        <w:rPr>
          <w:rFonts w:ascii="Arial" w:cs="Arial" w:eastAsia="Arial" w:hAnsi="Arial"/>
          <w:sz w:val="18"/>
          <w:szCs w:val="18"/>
          <w:color w:val="auto"/>
        </w:rPr>
        <w:t>utstanding interest rate swaps.</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40" w:firstLine="397"/>
        <w:spacing w:after="0" w:line="236" w:lineRule="auto"/>
        <w:rPr>
          <w:sz w:val="20"/>
          <w:szCs w:val="20"/>
          <w:color w:val="auto"/>
        </w:rPr>
      </w:pPr>
      <w:r>
        <w:rPr>
          <w:rFonts w:ascii="Arial" w:cs="Arial" w:eastAsia="Arial" w:hAnsi="Arial"/>
          <w:sz w:val="18"/>
          <w:szCs w:val="18"/>
          <w:color w:val="auto"/>
        </w:rPr>
        <w:t>The following table summarizes information about our derivative financial instruments and debt instruments that are sensitive to changes in interest rates as of September 30, 2006 and 2005.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September 30, 2006 and 2005. A change in our variable interest rate of 1% would have a $1.5 million impact on interest expense assuming the $145.8 million of our variable-rate debt that had not been hedged via an interest rate swap at September 30, 2006 was outstanding for the entire fiscal year. The information is presented in U.S. dollars (in millions):</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60" w:type="dxa"/>
            <w:vAlign w:val="bottom"/>
            <w:tcBorders>
              <w:bottom w:val="single" w:sz="8" w:color="auto"/>
            </w:tcBorders>
            <w:gridSpan w:val="6"/>
          </w:tcPr>
          <w:p>
            <w:pPr>
              <w:jc w:val="right"/>
              <w:ind w:right="311"/>
              <w:spacing w:after="0"/>
              <w:rPr>
                <w:sz w:val="20"/>
                <w:szCs w:val="20"/>
                <w:color w:val="auto"/>
              </w:rPr>
            </w:pPr>
            <w:r>
              <w:rPr>
                <w:rFonts w:ascii="Arial" w:cs="Arial" w:eastAsia="Arial" w:hAnsi="Arial"/>
                <w:sz w:val="16"/>
                <w:szCs w:val="16"/>
                <w:color w:val="auto"/>
              </w:rPr>
              <w:t>Expected Maturity Date</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93"/>
        </w:trPr>
        <w:tc>
          <w:tcPr>
            <w:tcW w:w="4800" w:type="dxa"/>
            <w:vAlign w:val="bottom"/>
            <w:gridSpan w:val="2"/>
          </w:tcPr>
          <w:p>
            <w:pPr>
              <w:spacing w:after="0"/>
              <w:rPr>
                <w:sz w:val="20"/>
                <w:szCs w:val="20"/>
                <w:color w:val="auto"/>
              </w:rPr>
            </w:pPr>
            <w:r>
              <w:rPr>
                <w:rFonts w:ascii="Arial" w:cs="Arial" w:eastAsia="Arial" w:hAnsi="Arial"/>
                <w:sz w:val="16"/>
                <w:szCs w:val="16"/>
                <w:color w:val="auto"/>
              </w:rPr>
              <w:t>2006</w:t>
            </w:r>
          </w:p>
        </w:tc>
        <w:tc>
          <w:tcPr>
            <w:tcW w:w="1280" w:type="dxa"/>
            <w:vAlign w:val="bottom"/>
            <w:gridSpan w:val="2"/>
          </w:tcPr>
          <w:p>
            <w:pPr>
              <w:jc w:val="right"/>
              <w:ind w:right="259"/>
              <w:spacing w:after="0"/>
              <w:rPr>
                <w:sz w:val="20"/>
                <w:szCs w:val="20"/>
                <w:color w:val="auto"/>
              </w:rPr>
            </w:pPr>
            <w:r>
              <w:rPr>
                <w:rFonts w:ascii="Arial" w:cs="Arial" w:eastAsia="Arial" w:hAnsi="Arial"/>
                <w:sz w:val="16"/>
                <w:szCs w:val="16"/>
                <w:color w:val="auto"/>
              </w:rPr>
              <w:t>2008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313"/>
              <w:spacing w:after="0"/>
              <w:rPr>
                <w:sz w:val="20"/>
                <w:szCs w:val="20"/>
                <w:color w:val="auto"/>
              </w:rPr>
            </w:pPr>
            <w:r>
              <w:rPr>
                <w:rFonts w:ascii="Arial" w:cs="Arial" w:eastAsia="Arial" w:hAnsi="Arial"/>
                <w:sz w:val="16"/>
                <w:szCs w:val="16"/>
                <w:color w:val="auto"/>
                <w:w w:val="95"/>
              </w:rPr>
              <w:t>2010</w:t>
            </w:r>
          </w:p>
        </w:tc>
        <w:tc>
          <w:tcPr>
            <w:tcW w:w="260" w:type="dxa"/>
            <w:vAlign w:val="bottom"/>
          </w:tcPr>
          <w:p>
            <w:pPr>
              <w:spacing w:after="0"/>
              <w:rPr>
                <w:sz w:val="16"/>
                <w:szCs w:val="16"/>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6"/>
                <w:szCs w:val="16"/>
                <w:color w:val="auto"/>
                <w:w w:val="94"/>
              </w:rPr>
              <w:t>After</w:t>
            </w:r>
          </w:p>
        </w:tc>
        <w:tc>
          <w:tcPr>
            <w:tcW w:w="260" w:type="dxa"/>
            <w:vAlign w:val="bottom"/>
          </w:tcPr>
          <w:p>
            <w:pPr>
              <w:spacing w:after="0"/>
              <w:rPr>
                <w:sz w:val="16"/>
                <w:szCs w:val="16"/>
                <w:color w:val="auto"/>
              </w:rPr>
            </w:pPr>
          </w:p>
        </w:tc>
        <w:tc>
          <w:tcPr>
            <w:tcW w:w="760" w:type="dxa"/>
            <w:vAlign w:val="bottom"/>
          </w:tcPr>
          <w:p>
            <w:pPr>
              <w:jc w:val="right"/>
              <w:ind w:right="331"/>
              <w:spacing w:after="0"/>
              <w:rPr>
                <w:sz w:val="20"/>
                <w:szCs w:val="20"/>
                <w:color w:val="auto"/>
              </w:rPr>
            </w:pPr>
            <w:r>
              <w:rPr>
                <w:rFonts w:ascii="Arial" w:cs="Arial" w:eastAsia="Arial" w:hAnsi="Arial"/>
                <w:sz w:val="16"/>
                <w:szCs w:val="16"/>
                <w:color w:val="auto"/>
                <w:w w:val="89"/>
              </w:rPr>
              <w:t>Total</w:t>
            </w: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7"/>
              </w:rPr>
              <w:t>Value</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78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160"/>
              <w:spacing w:after="0" w:line="202" w:lineRule="exact"/>
              <w:rPr>
                <w:sz w:val="20"/>
                <w:szCs w:val="20"/>
                <w:color w:val="auto"/>
              </w:rPr>
            </w:pPr>
            <w:r>
              <w:rPr>
                <w:rFonts w:ascii="Arial" w:cs="Arial" w:eastAsia="Arial" w:hAnsi="Arial"/>
                <w:sz w:val="18"/>
                <w:szCs w:val="18"/>
                <w:color w:val="auto"/>
              </w:rPr>
              <w:t>Fixed rate debt</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200.0</w:t>
            </w:r>
          </w:p>
        </w:tc>
        <w:tc>
          <w:tcPr>
            <w:tcW w:w="3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1"/>
              <w:spacing w:after="0" w:line="202" w:lineRule="exact"/>
              <w:rPr>
                <w:sz w:val="20"/>
                <w:szCs w:val="20"/>
                <w:color w:val="auto"/>
              </w:rPr>
            </w:pPr>
            <w:r>
              <w:rPr>
                <w:rFonts w:ascii="Arial" w:cs="Arial" w:eastAsia="Arial" w:hAnsi="Arial"/>
                <w:sz w:val="18"/>
                <w:szCs w:val="18"/>
                <w:color w:val="auto"/>
                <w:w w:val="97"/>
              </w:rPr>
              <w:t>200.0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194.0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Average rate</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6.625%</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w w:val="98"/>
              </w:rPr>
              <w:t>6.625%</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160"/>
              <w:spacing w:after="0" w:line="202" w:lineRule="exact"/>
              <w:rPr>
                <w:sz w:val="20"/>
                <w:szCs w:val="20"/>
                <w:color w:val="auto"/>
              </w:rPr>
            </w:pPr>
            <w:r>
              <w:rPr>
                <w:rFonts w:ascii="Arial" w:cs="Arial" w:eastAsia="Arial" w:hAnsi="Arial"/>
                <w:sz w:val="18"/>
                <w:szCs w:val="18"/>
                <w:color w:val="auto"/>
              </w:rPr>
              <w:t>Variable rate debt</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3"/>
              <w:spacing w:after="0" w:line="202" w:lineRule="exact"/>
              <w:rPr>
                <w:sz w:val="20"/>
                <w:szCs w:val="20"/>
                <w:color w:val="auto"/>
              </w:rPr>
            </w:pPr>
            <w:r>
              <w:rPr>
                <w:rFonts w:ascii="Arial" w:cs="Arial" w:eastAsia="Arial" w:hAnsi="Arial"/>
                <w:sz w:val="18"/>
                <w:szCs w:val="18"/>
                <w:color w:val="auto"/>
                <w:w w:val="97"/>
              </w:rPr>
              <w:t>253.8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1"/>
              <w:spacing w:after="0" w:line="202" w:lineRule="exact"/>
              <w:rPr>
                <w:sz w:val="20"/>
                <w:szCs w:val="20"/>
                <w:color w:val="auto"/>
              </w:rPr>
            </w:pPr>
            <w:r>
              <w:rPr>
                <w:rFonts w:ascii="Arial" w:cs="Arial" w:eastAsia="Arial" w:hAnsi="Arial"/>
                <w:sz w:val="18"/>
                <w:szCs w:val="18"/>
                <w:color w:val="auto"/>
                <w:w w:val="97"/>
              </w:rPr>
              <w:t>253.8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Average rate</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Interest rate derivatives:</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rate swaps based on Euro and GBP LIBOR</w:t>
            </w:r>
          </w:p>
        </w:tc>
        <w:tc>
          <w:tcPr>
            <w:tcW w:w="1280" w:type="dxa"/>
            <w:vAlign w:val="bottom"/>
            <w:gridSpan w:val="2"/>
            <w:shd w:val="clear" w:color="auto" w:fill="CCEEFF"/>
          </w:tcPr>
          <w:p>
            <w:pPr>
              <w:jc w:val="right"/>
              <w:ind w:right="219"/>
              <w:spacing w:after="0" w:line="202" w:lineRule="exact"/>
              <w:rPr>
                <w:sz w:val="20"/>
                <w:szCs w:val="20"/>
                <w:color w:val="auto"/>
              </w:rPr>
            </w:pPr>
            <w:r>
              <w:rPr>
                <w:rFonts w:ascii="Arial" w:cs="Arial" w:eastAsia="Arial" w:hAnsi="Arial"/>
                <w:sz w:val="18"/>
                <w:szCs w:val="18"/>
                <w:color w:val="auto"/>
              </w:rPr>
              <w:t>$ 1.3</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Average rate</w:t>
            </w:r>
          </w:p>
        </w:tc>
        <w:tc>
          <w:tcPr>
            <w:tcW w:w="1280" w:type="dxa"/>
            <w:vAlign w:val="bottom"/>
            <w:gridSpan w:val="2"/>
          </w:tcPr>
          <w:p>
            <w:pPr>
              <w:jc w:val="right"/>
              <w:ind w:right="59"/>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4"/>
          </w:tcPr>
          <w:p>
            <w:pPr>
              <w:jc w:val="right"/>
              <w:ind w:right="760"/>
              <w:spacing w:after="0"/>
              <w:rPr>
                <w:sz w:val="20"/>
                <w:szCs w:val="20"/>
                <w:color w:val="auto"/>
              </w:rPr>
            </w:pPr>
            <w:r>
              <w:rPr>
                <w:rFonts w:ascii="Arial" w:cs="Arial" w:eastAsia="Arial" w:hAnsi="Arial"/>
                <w:sz w:val="16"/>
                <w:szCs w:val="16"/>
                <w:color w:val="auto"/>
              </w:rPr>
              <w:t>Expected</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6"/>
                <w:szCs w:val="16"/>
                <w:color w:val="auto"/>
              </w:rPr>
              <w:t>Maturity Date</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93"/>
        </w:trPr>
        <w:tc>
          <w:tcPr>
            <w:tcW w:w="4800" w:type="dxa"/>
            <w:vAlign w:val="bottom"/>
            <w:gridSpan w:val="2"/>
          </w:tcPr>
          <w:p>
            <w:pPr>
              <w:spacing w:after="0"/>
              <w:rPr>
                <w:sz w:val="20"/>
                <w:szCs w:val="20"/>
                <w:color w:val="auto"/>
              </w:rPr>
            </w:pPr>
            <w:r>
              <w:rPr>
                <w:rFonts w:ascii="Arial" w:cs="Arial" w:eastAsia="Arial" w:hAnsi="Arial"/>
                <w:sz w:val="16"/>
                <w:szCs w:val="16"/>
                <w:color w:val="auto"/>
              </w:rPr>
              <w:t>2005</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313"/>
              <w:spacing w:after="0"/>
              <w:rPr>
                <w:sz w:val="20"/>
                <w:szCs w:val="20"/>
                <w:color w:val="auto"/>
              </w:rPr>
            </w:pPr>
            <w:r>
              <w:rPr>
                <w:rFonts w:ascii="Arial" w:cs="Arial" w:eastAsia="Arial" w:hAnsi="Arial"/>
                <w:sz w:val="16"/>
                <w:szCs w:val="16"/>
                <w:color w:val="auto"/>
                <w:w w:val="95"/>
              </w:rPr>
              <w:t>2010</w:t>
            </w:r>
          </w:p>
        </w:tc>
        <w:tc>
          <w:tcPr>
            <w:tcW w:w="260" w:type="dxa"/>
            <w:vAlign w:val="bottom"/>
          </w:tcPr>
          <w:p>
            <w:pPr>
              <w:spacing w:after="0"/>
              <w:rPr>
                <w:sz w:val="16"/>
                <w:szCs w:val="16"/>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6"/>
                <w:szCs w:val="16"/>
                <w:color w:val="auto"/>
                <w:w w:val="94"/>
              </w:rPr>
              <w:t>After</w:t>
            </w:r>
          </w:p>
        </w:tc>
        <w:tc>
          <w:tcPr>
            <w:tcW w:w="260" w:type="dxa"/>
            <w:vAlign w:val="bottom"/>
          </w:tcPr>
          <w:p>
            <w:pPr>
              <w:spacing w:after="0"/>
              <w:rPr>
                <w:sz w:val="16"/>
                <w:szCs w:val="16"/>
                <w:color w:val="auto"/>
              </w:rPr>
            </w:pPr>
          </w:p>
        </w:tc>
        <w:tc>
          <w:tcPr>
            <w:tcW w:w="760" w:type="dxa"/>
            <w:vAlign w:val="bottom"/>
          </w:tcPr>
          <w:p>
            <w:pPr>
              <w:jc w:val="right"/>
              <w:ind w:right="331"/>
              <w:spacing w:after="0"/>
              <w:rPr>
                <w:sz w:val="20"/>
                <w:szCs w:val="20"/>
                <w:color w:val="auto"/>
              </w:rPr>
            </w:pPr>
            <w:r>
              <w:rPr>
                <w:rFonts w:ascii="Arial" w:cs="Arial" w:eastAsia="Arial" w:hAnsi="Arial"/>
                <w:sz w:val="16"/>
                <w:szCs w:val="16"/>
                <w:color w:val="auto"/>
                <w:w w:val="89"/>
              </w:rPr>
              <w:t>Total</w:t>
            </w:r>
          </w:p>
        </w:tc>
        <w:tc>
          <w:tcPr>
            <w:tcW w:w="800" w:type="dxa"/>
            <w:vAlign w:val="bottom"/>
            <w:gridSpan w:val="3"/>
          </w:tcPr>
          <w:p>
            <w:pPr>
              <w:jc w:val="center"/>
              <w:spacing w:after="0"/>
              <w:rPr>
                <w:sz w:val="20"/>
                <w:szCs w:val="20"/>
                <w:color w:val="auto"/>
              </w:rPr>
            </w:pPr>
            <w:r>
              <w:rPr>
                <w:rFonts w:ascii="Arial" w:cs="Arial" w:eastAsia="Arial" w:hAnsi="Arial"/>
                <w:sz w:val="16"/>
                <w:szCs w:val="16"/>
                <w:color w:val="auto"/>
                <w:w w:val="97"/>
              </w:rPr>
              <w:t>Value</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78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160"/>
              <w:spacing w:after="0" w:line="202" w:lineRule="exact"/>
              <w:rPr>
                <w:sz w:val="20"/>
                <w:szCs w:val="20"/>
                <w:color w:val="auto"/>
              </w:rPr>
            </w:pPr>
            <w:r>
              <w:rPr>
                <w:rFonts w:ascii="Arial" w:cs="Arial" w:eastAsia="Arial" w:hAnsi="Arial"/>
                <w:sz w:val="18"/>
                <w:szCs w:val="18"/>
                <w:color w:val="auto"/>
              </w:rPr>
              <w:t>Fixed rate debt</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200.0</w:t>
            </w:r>
          </w:p>
        </w:tc>
        <w:tc>
          <w:tcPr>
            <w:tcW w:w="3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1"/>
              <w:spacing w:after="0" w:line="202" w:lineRule="exact"/>
              <w:rPr>
                <w:sz w:val="20"/>
                <w:szCs w:val="20"/>
                <w:color w:val="auto"/>
              </w:rPr>
            </w:pPr>
            <w:r>
              <w:rPr>
                <w:rFonts w:ascii="Arial" w:cs="Arial" w:eastAsia="Arial" w:hAnsi="Arial"/>
                <w:sz w:val="18"/>
                <w:szCs w:val="18"/>
                <w:color w:val="auto"/>
                <w:w w:val="97"/>
              </w:rPr>
              <w:t>200.0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Average rate</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6.625%</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w w:val="98"/>
              </w:rPr>
              <w:t>6.625%</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160"/>
              <w:spacing w:after="0" w:line="202" w:lineRule="exact"/>
              <w:rPr>
                <w:sz w:val="20"/>
                <w:szCs w:val="20"/>
                <w:color w:val="auto"/>
              </w:rPr>
            </w:pPr>
            <w:r>
              <w:rPr>
                <w:rFonts w:ascii="Arial" w:cs="Arial" w:eastAsia="Arial" w:hAnsi="Arial"/>
                <w:sz w:val="18"/>
                <w:szCs w:val="18"/>
                <w:color w:val="auto"/>
              </w:rPr>
              <w:t>Variable rate debt</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3"/>
              <w:spacing w:after="0" w:line="202" w:lineRule="exact"/>
              <w:rPr>
                <w:sz w:val="20"/>
                <w:szCs w:val="20"/>
                <w:color w:val="auto"/>
              </w:rPr>
            </w:pPr>
            <w:r>
              <w:rPr>
                <w:rFonts w:ascii="Arial" w:cs="Arial" w:eastAsia="Arial" w:hAnsi="Arial"/>
                <w:sz w:val="18"/>
                <w:szCs w:val="18"/>
                <w:color w:val="auto"/>
                <w:w w:val="97"/>
              </w:rPr>
              <w:t>166.2</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1"/>
              <w:spacing w:after="0" w:line="202" w:lineRule="exact"/>
              <w:rPr>
                <w:sz w:val="20"/>
                <w:szCs w:val="20"/>
                <w:color w:val="auto"/>
              </w:rPr>
            </w:pPr>
            <w:r>
              <w:rPr>
                <w:rFonts w:ascii="Arial" w:cs="Arial" w:eastAsia="Arial" w:hAnsi="Arial"/>
                <w:sz w:val="18"/>
                <w:szCs w:val="18"/>
                <w:color w:val="auto"/>
                <w:w w:val="97"/>
              </w:rPr>
              <w:t>166.2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166.2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Average rate</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3.52%</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340" w:firstLine="397"/>
        <w:spacing w:after="0" w:line="246" w:lineRule="auto"/>
        <w:rPr>
          <w:sz w:val="20"/>
          <w:szCs w:val="20"/>
          <w:color w:val="auto"/>
        </w:rPr>
      </w:pPr>
      <w:r>
        <w:rPr>
          <w:rFonts w:ascii="Arial" w:cs="Arial" w:eastAsia="Arial" w:hAnsi="Arial"/>
          <w:sz w:val="18"/>
          <w:szCs w:val="18"/>
          <w:color w:val="auto"/>
        </w:rPr>
        <w:t>Excluded from the information provided above are $27.4 million and $27.3 million at September 30, 2006 and 2005, respectively, of miscellaneous debt instruments.</w:t>
      </w:r>
    </w:p>
    <w:p>
      <w:pPr>
        <w:spacing w:after="0" w:line="102" w:lineRule="exact"/>
        <w:rPr>
          <w:sz w:val="20"/>
          <w:szCs w:val="20"/>
          <w:color w:val="auto"/>
        </w:rPr>
      </w:pPr>
    </w:p>
    <w:p>
      <w:pPr>
        <w:jc w:val="both"/>
        <w:ind w:left="700" w:right="120" w:firstLine="397"/>
        <w:spacing w:after="0" w:line="243" w:lineRule="auto"/>
        <w:rPr>
          <w:sz w:val="20"/>
          <w:szCs w:val="20"/>
          <w:color w:val="auto"/>
        </w:rPr>
      </w:pPr>
      <w:r>
        <w:rPr>
          <w:rFonts w:ascii="Arial" w:cs="Arial" w:eastAsia="Arial" w:hAnsi="Arial"/>
          <w:sz w:val="18"/>
          <w:szCs w:val="18"/>
          <w:color w:val="auto"/>
        </w:rPr>
        <w:t>The recapitalization plan announced on December 12, 2006, to return $750 million to shareholders during the second quarter of fiscal 2007 will be financed by a restructuring of the Company’s principal borrowing arrangements. Our Revolving Credit Agreement will be replaced with new senior secured $2.1 to $2.3 billion multicurrency credit facilities that will provide for revolving credit and term loans. As part of the refinancing, we intend to repurchase the $200 million principal amount of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outstanding.</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 Market Risks</w:t>
      </w:r>
    </w:p>
    <w:p>
      <w:pPr>
        <w:spacing w:after="0" w:line="144" w:lineRule="exact"/>
        <w:rPr>
          <w:sz w:val="20"/>
          <w:szCs w:val="20"/>
          <w:color w:val="auto"/>
        </w:rPr>
      </w:pPr>
    </w:p>
    <w:p>
      <w:pPr>
        <w:ind w:left="700" w:right="80" w:firstLine="397"/>
        <w:spacing w:after="0" w:line="237" w:lineRule="auto"/>
        <w:rPr>
          <w:sz w:val="20"/>
          <w:szCs w:val="20"/>
          <w:color w:val="auto"/>
        </w:rPr>
      </w:pPr>
      <w:r>
        <w:rPr>
          <w:rFonts w:ascii="Arial" w:cs="Arial" w:eastAsia="Arial" w:hAnsi="Arial"/>
          <w:sz w:val="18"/>
          <w:szCs w:val="18"/>
          <w:color w:val="auto"/>
        </w:rPr>
        <w:t>Our market risk associated with foreign currency rates is not considered to be material. Through fiscal 2006, we had only minor amounts of transactions that were denominated in currencies other than the currency of the country of origin.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have entered into arrangements to partially mitigate the effect of fluctuating fuel costs on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and hedged a portion of our urea needs for fiscal 2007.</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ITEM 8.  FINANCIAL STATEMENTS AND SUPPLEMENTARY DATA</w:t>
      </w:r>
    </w:p>
    <w:p>
      <w:pPr>
        <w:spacing w:after="0" w:line="144" w:lineRule="exact"/>
        <w:rPr>
          <w:sz w:val="20"/>
          <w:szCs w:val="20"/>
          <w:color w:val="auto"/>
        </w:rPr>
      </w:pPr>
    </w:p>
    <w:p>
      <w:pPr>
        <w:ind w:left="700" w:right="240" w:firstLine="397"/>
        <w:spacing w:after="0"/>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thereto and schedule listed in the “Index to Consolidated Financial Statements and Financial Statement Schedule” on page 51 herein.</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ITEM 9.  CHANGES IN AND DISAGREEMENTS WITH ACCOUNTANTS ON ACCOUNTING AND FINANCIAL DISCLOSURE</w:t>
      </w:r>
    </w:p>
    <w:p>
      <w:pPr>
        <w:spacing w:after="0" w:line="144" w:lineRule="exact"/>
        <w:rPr>
          <w:sz w:val="20"/>
          <w:szCs w:val="20"/>
          <w:color w:val="auto"/>
        </w:rPr>
      </w:pPr>
    </w:p>
    <w:p>
      <w:pPr>
        <w:ind w:left="700" w:right="20" w:firstLine="397"/>
        <w:spacing w:after="0" w:line="237" w:lineRule="auto"/>
        <w:rPr>
          <w:sz w:val="20"/>
          <w:szCs w:val="20"/>
          <w:color w:val="auto"/>
        </w:rPr>
      </w:pPr>
      <w:r>
        <w:rPr>
          <w:rFonts w:ascii="Arial" w:cs="Arial" w:eastAsia="Arial" w:hAnsi="Arial"/>
          <w:sz w:val="18"/>
          <w:szCs w:val="18"/>
          <w:color w:val="auto"/>
        </w:rPr>
        <w:t>As previously reported in the Current Report on Form 8-K/A filed by The Scotts Company, the public company predecessor to The Scotts Miracle-Gro Company, on December 17, 2004, at a meeting held on December 2, 2004, the Audit Committee of the Board of Directors of The Scotts Company dismissed PricewaterhouseCoopers LLP as the Company’s independent registered public accounting firm and approved the engagement of Deloitte &amp; Touche LLP as the Company’s independent registered public accounting firm. Deloitte &amp; Touche LLP accepted the engagement as the Company’s independent registered public accounting firm effective as of December 17, 2004.</w:t>
      </w:r>
    </w:p>
    <w:p>
      <w:pPr>
        <w:spacing w:after="0" w:line="111" w:lineRule="exact"/>
        <w:rPr>
          <w:sz w:val="20"/>
          <w:szCs w:val="20"/>
          <w:color w:val="auto"/>
        </w:rPr>
      </w:pPr>
    </w:p>
    <w:p>
      <w:pPr>
        <w:ind w:left="700" w:right="40" w:firstLine="397"/>
        <w:spacing w:after="0" w:line="237" w:lineRule="auto"/>
        <w:rPr>
          <w:sz w:val="20"/>
          <w:szCs w:val="20"/>
          <w:color w:val="auto"/>
        </w:rPr>
      </w:pPr>
      <w:r>
        <w:rPr>
          <w:rFonts w:ascii="Arial" w:cs="Arial" w:eastAsia="Arial" w:hAnsi="Arial"/>
          <w:sz w:val="18"/>
          <w:szCs w:val="18"/>
          <w:color w:val="auto"/>
        </w:rPr>
        <w:t>As of the date of PricewaterhouseCoopers LLP’s dismissal as the Company’s independent registered public accounting firm, PricewaterhouseCoopers LLP and the Company had an open consultation regarding the appropriate accounting treatment for an approximately $3.0 million liability resulting from a bonus pool related to an acquisition made during the first quarter of the Company’s 2005 fiscal year. At the time of their dismissal, PricewaterhouseCoopers LLP did not have sufficient information to reach a conclusion on the appropriate accounting for this matter. Since this matter was not resolved prior to PricewaterhouseCoopers LLP’s dismissal, this matter was considered a reportable event under Item 304(a)(1)(v)(D) of SEC Regulation S-K.</w:t>
      </w:r>
    </w:p>
    <w:p>
      <w:pPr>
        <w:spacing w:after="0" w:line="109"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color w:val="auto"/>
        </w:rPr>
        <w:t>Based on a thorough review of the facts and circumstances, and relevant accounting literature regarding this matter, the Company determined that this liability should be recorded on the opening balance sheet of Smith &amp; Hawken</w:t>
      </w:r>
      <w:r>
        <w:rPr>
          <w:rFonts w:ascii="Arial" w:cs="Arial" w:eastAsia="Arial" w:hAnsi="Arial"/>
          <w:sz w:val="15"/>
          <w:szCs w:val="15"/>
          <w:color w:val="auto"/>
        </w:rPr>
        <w:t>®</w:t>
      </w:r>
      <w:r>
        <w:rPr>
          <w:rFonts w:ascii="Arial" w:cs="Arial" w:eastAsia="Arial" w:hAnsi="Arial"/>
          <w:sz w:val="18"/>
          <w:szCs w:val="18"/>
          <w:color w:val="auto"/>
        </w:rPr>
        <w:t>. This liability was based on an incentive agreement between the prior owners of Smith &amp; Hawken</w:t>
      </w:r>
      <w:r>
        <w:rPr>
          <w:rFonts w:ascii="Arial" w:cs="Arial" w:eastAsia="Arial" w:hAnsi="Arial"/>
          <w:sz w:val="15"/>
          <w:szCs w:val="15"/>
          <w:color w:val="auto"/>
        </w:rPr>
        <w:t>®</w:t>
      </w:r>
      <w:r>
        <w:rPr>
          <w:rFonts w:ascii="Arial" w:cs="Arial" w:eastAsia="Arial" w:hAnsi="Arial"/>
          <w:sz w:val="18"/>
          <w:szCs w:val="18"/>
          <w:color w:val="auto"/>
        </w:rPr>
        <w:t xml:space="preserve"> and their employees, whereby a portion of the purchase price was to be paid to the employees upon the sale of the business. No post-sale service was required in order for the employees to earn this bonus; therefore, this was considered a liability assumed by the Company as of the purchase date and not an expense related to post-acquisition service.</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ITEM 9A. CONTROLS AND PROCEDURES</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44" w:lineRule="exact"/>
        <w:rPr>
          <w:sz w:val="20"/>
          <w:szCs w:val="20"/>
          <w:color w:val="auto"/>
        </w:rPr>
      </w:pPr>
    </w:p>
    <w:p>
      <w:pPr>
        <w:ind w:left="700" w:right="200" w:firstLine="397"/>
        <w:spacing w:after="0" w:line="238"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as amended (the “Exchange Act”), as of the end of the fiscal year covered by this Annual Report on Form 10-K. Based upon that evaluation, the Registrant’s principal executive officer and principal financial officer have concluded that:</w:t>
      </w:r>
    </w:p>
    <w:p>
      <w:pPr>
        <w:spacing w:after="0" w:line="108" w:lineRule="exact"/>
        <w:rPr>
          <w:sz w:val="20"/>
          <w:szCs w:val="20"/>
          <w:color w:val="auto"/>
        </w:rPr>
      </w:pPr>
    </w:p>
    <w:p>
      <w:pPr>
        <w:ind w:left="1300" w:right="60" w:hanging="202"/>
        <w:spacing w:after="0" w:line="23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Annual Report on Form 10-K and the other reports that the Registrant files or submits under the Exchange Act would be accumulated and communicated to the Registrant’s management, including its principal executive officer and principal financial officer, as appropriate to allow timely decisions regarding required disclosure;</w:t>
      </w:r>
    </w:p>
    <w:p>
      <w:pPr>
        <w:spacing w:after="0" w:line="93" w:lineRule="exact"/>
        <w:rPr>
          <w:rFonts w:ascii="Arial" w:cs="Arial" w:eastAsia="Arial" w:hAnsi="Arial"/>
          <w:sz w:val="18"/>
          <w:szCs w:val="18"/>
          <w:color w:val="auto"/>
        </w:rPr>
      </w:pPr>
    </w:p>
    <w:p>
      <w:pPr>
        <w:ind w:left="1300" w:right="12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Annual Report on Form 10-K and the other reports that the Registrant files or submits under the Exchange Act would be recorded, processed, summarized and reported within the time periods specified in the SEC’s rules and forms; and</w:t>
      </w:r>
    </w:p>
    <w:p>
      <w:pPr>
        <w:spacing w:after="0" w:line="94" w:lineRule="exact"/>
        <w:rPr>
          <w:rFonts w:ascii="Arial" w:cs="Arial" w:eastAsia="Arial" w:hAnsi="Arial"/>
          <w:sz w:val="18"/>
          <w:szCs w:val="18"/>
          <w:color w:val="auto"/>
        </w:rPr>
      </w:pPr>
    </w:p>
    <w:p>
      <w:pPr>
        <w:ind w:left="1300" w:right="500" w:hanging="202"/>
        <w:spacing w:after="0" w:line="23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disclosure controls and procedures are effective as of the end of the fiscal year covered by this Annual Report on Form 10-K to ensure that material information relating to the Registrant and its consolidated subsidiaries is made known to them, particularly during the period in which the Registrant’s periodic reports, including this Annual Report on Form 10-K, are being prepared.</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44" w:lineRule="exact"/>
        <w:rPr>
          <w:sz w:val="20"/>
          <w:szCs w:val="20"/>
          <w:color w:val="auto"/>
        </w:rPr>
      </w:pPr>
    </w:p>
    <w:p>
      <w:pPr>
        <w:ind w:left="700" w:right="480" w:firstLine="397"/>
        <w:spacing w:after="0" w:line="243"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52 of this Annual Report on Form 10-K.</w:t>
      </w:r>
    </w:p>
    <w:p>
      <w:pPr>
        <w:ind w:left="5600"/>
        <w:spacing w:after="0"/>
        <w:rPr>
          <w:sz w:val="20"/>
          <w:szCs w:val="20"/>
          <w:color w:val="auto"/>
        </w:rPr>
      </w:pPr>
      <w:r>
        <w:rPr>
          <w:rFonts w:ascii="Arial" w:cs="Arial" w:eastAsia="Arial" w:hAnsi="Arial"/>
          <w:sz w:val="11"/>
          <w:szCs w:val="11"/>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Attestation Report of Independent Registered Public Accounting Firm</w:t>
      </w:r>
    </w:p>
    <w:p>
      <w:pPr>
        <w:spacing w:after="0" w:line="144" w:lineRule="exact"/>
        <w:rPr>
          <w:sz w:val="20"/>
          <w:szCs w:val="20"/>
          <w:color w:val="auto"/>
        </w:rPr>
      </w:pPr>
    </w:p>
    <w:p>
      <w:pPr>
        <w:ind w:left="700" w:right="460" w:firstLine="397"/>
        <w:spacing w:after="0" w:line="246"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53 of this Annual Report on Form 10-K.</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44" w:lineRule="exact"/>
        <w:rPr>
          <w:sz w:val="20"/>
          <w:szCs w:val="20"/>
          <w:color w:val="auto"/>
        </w:rPr>
      </w:pPr>
    </w:p>
    <w:p>
      <w:pPr>
        <w:ind w:left="700" w:right="80" w:firstLine="397"/>
        <w:spacing w:after="0" w:line="261" w:lineRule="auto"/>
        <w:rPr>
          <w:sz w:val="20"/>
          <w:szCs w:val="20"/>
          <w:color w:val="auto"/>
        </w:rPr>
      </w:pPr>
      <w:r>
        <w:rPr>
          <w:rFonts w:ascii="Arial" w:cs="Arial" w:eastAsia="Arial" w:hAnsi="Arial"/>
          <w:sz w:val="17"/>
          <w:szCs w:val="17"/>
          <w:color w:val="auto"/>
        </w:rPr>
        <w:t>There were no changes in the Registrant’s internal control over financial reporting (as defined in Rule 13a-15(f) and Rule 15d-15(f) under the Exchange Act) that occurred during the Registrant’s fiscal quarter ended September 30, 2006, that have materially affected, or are reasonably likely to materially affect, the Registrant’s internal control over financial reporting.</w:t>
      </w:r>
    </w:p>
    <w:p>
      <w:pPr>
        <w:spacing w:after="0" w:line="182"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6"/>
          <w:szCs w:val="16"/>
          <w:b w:val="1"/>
          <w:bCs w:val="1"/>
          <w:u w:val="single" w:color="auto"/>
          <w:color w:val="auto"/>
        </w:rPr>
        <w:t>ITEM 9B.</w:t>
        <w:tab/>
        <w:t>OTHER INFORMATION</w:t>
      </w:r>
    </w:p>
    <w:p>
      <w:pPr>
        <w:spacing w:after="0" w:line="144" w:lineRule="exact"/>
        <w:rPr>
          <w:sz w:val="20"/>
          <w:szCs w:val="20"/>
          <w:color w:val="auto"/>
        </w:rPr>
      </w:pPr>
    </w:p>
    <w:p>
      <w:pPr>
        <w:ind w:left="700" w:firstLine="397"/>
        <w:spacing w:after="0" w:line="236" w:lineRule="auto"/>
        <w:rPr>
          <w:sz w:val="20"/>
          <w:szCs w:val="20"/>
          <w:color w:val="auto"/>
        </w:rPr>
      </w:pPr>
      <w:r>
        <w:rPr>
          <w:rFonts w:ascii="Arial" w:cs="Arial" w:eastAsia="Arial" w:hAnsi="Arial"/>
          <w:sz w:val="18"/>
          <w:szCs w:val="18"/>
          <w:color w:val="auto"/>
        </w:rPr>
        <w:t>On December 12, 2006, The Scotts Miracle-Gro Company (the “Registrant”) issued a press release (the “December 12, 2006 Press Release”) announcing that it intended to implement a recapitalization plan (the “Recapitalization Plan”) that would return $750 million to the Registrant’s shareholders. A copy of the December 12, 2006 Press Release was included as Exhibit 99.1 to the Registrant’s Schedule TO filed with the Securities and Exchange Commission on December 12, 2006. Pursuant to this Recapitalization Plan, which has been approved in concept by the Registrant’s Board of Directors, the Registrant intends to launch a “Dutch auction” tender offer in January 2007 to repurchase up to $ 250 million of the Registrant’s common shares. Following the consummation of the tender offer and subject to final Board approval, the Registrant intends to declare a special one-time cash dividend during the second quarter of fiscal 2007, currently anticipated to be $500 million in the aggregate but subject to revision based on spending for tendered common shares.</w:t>
      </w:r>
    </w:p>
    <w:p>
      <w:pPr>
        <w:spacing w:after="0" w:line="113" w:lineRule="exact"/>
        <w:rPr>
          <w:sz w:val="20"/>
          <w:szCs w:val="20"/>
          <w:color w:val="auto"/>
        </w:rPr>
      </w:pPr>
    </w:p>
    <w:p>
      <w:pPr>
        <w:ind w:left="700" w:right="60" w:firstLine="397"/>
        <w:spacing w:after="0" w:line="234" w:lineRule="auto"/>
        <w:rPr>
          <w:sz w:val="20"/>
          <w:szCs w:val="20"/>
          <w:color w:val="auto"/>
        </w:rPr>
      </w:pPr>
      <w:r>
        <w:rPr>
          <w:rFonts w:ascii="Arial" w:cs="Arial" w:eastAsia="Arial" w:hAnsi="Arial"/>
          <w:sz w:val="18"/>
          <w:szCs w:val="18"/>
          <w:color w:val="auto"/>
        </w:rPr>
        <w:t>In connection with the Recapitalization Plan, the Registrant received a commitment letter from JPMorgan Chase, Bank of America and Citigroup, subject to the terms and conditions set forth therein, to provide the Registrant and certain of its subsidiaries the following loan facilities totaling in the aggregate up to $2.1 billion: (a) a senior secured five-year term loan in the principal amount of $550 million and (b) a senior secured five-year revolving loan facility in the aggregate principal amount of up to $1.55 billion. The Registrant will have the ability to increase the aggregate amount of the revolving and term loan facilities by $200 million allocated on a pro rata basis, subject to demand in the syndication process. The new</w:t>
      </w:r>
    </w:p>
    <w:p>
      <w:pPr>
        <w:spacing w:after="0" w:line="5" w:lineRule="exact"/>
        <w:rPr>
          <w:sz w:val="20"/>
          <w:szCs w:val="20"/>
          <w:color w:val="auto"/>
        </w:rPr>
      </w:pPr>
    </w:p>
    <w:p>
      <w:pPr>
        <w:ind w:left="700" w:right="380"/>
        <w:spacing w:after="0" w:line="262" w:lineRule="auto"/>
        <w:rPr>
          <w:sz w:val="20"/>
          <w:szCs w:val="20"/>
          <w:color w:val="auto"/>
        </w:rPr>
      </w:pPr>
      <w:r>
        <w:rPr>
          <w:rFonts w:ascii="Arial" w:cs="Arial" w:eastAsia="Arial" w:hAnsi="Arial"/>
          <w:sz w:val="17"/>
          <w:szCs w:val="17"/>
          <w:color w:val="auto"/>
        </w:rPr>
        <w:t>$2.1 billion senior secured credit facilities would replace the Registrant’s existing $1.05 billion senior credit facility. In connection with the Recapitalization Plan, the Registrant also intends to use proceeds from the new credit facilities to repurchase the Registrant’s 6</w:t>
      </w:r>
      <w:r>
        <w:rPr>
          <w:rFonts w:ascii="Arial" w:cs="Arial" w:eastAsia="Arial" w:hAnsi="Arial"/>
          <w:sz w:val="24"/>
          <w:szCs w:val="24"/>
          <w:color w:val="auto"/>
          <w:vertAlign w:val="superscript"/>
        </w:rPr>
        <w:t>5</w:t>
      </w:r>
      <w:r>
        <w:rPr>
          <w:rFonts w:ascii="Arial" w:cs="Arial" w:eastAsia="Arial" w:hAnsi="Arial"/>
          <w:sz w:val="17"/>
          <w:szCs w:val="17"/>
          <w:color w:val="auto"/>
        </w:rPr>
        <w:t>/</w:t>
      </w:r>
      <w:r>
        <w:rPr>
          <w:rFonts w:ascii="Arial" w:cs="Arial" w:eastAsia="Arial" w:hAnsi="Arial"/>
          <w:sz w:val="12"/>
          <w:szCs w:val="12"/>
          <w:color w:val="auto"/>
        </w:rPr>
        <w:t>8</w:t>
      </w:r>
      <w:r>
        <w:rPr>
          <w:rFonts w:ascii="Arial" w:cs="Arial" w:eastAsia="Arial" w:hAnsi="Arial"/>
          <w:sz w:val="17"/>
          <w:szCs w:val="17"/>
          <w:color w:val="auto"/>
        </w:rPr>
        <w:t>% senior subordinated notes due 2013 in an aggregate principal amount of $200 million.</w:t>
      </w:r>
    </w:p>
    <w:p>
      <w:pPr>
        <w:spacing w:after="0" w:line="1" w:lineRule="exact"/>
        <w:rPr>
          <w:sz w:val="20"/>
          <w:szCs w:val="20"/>
          <w:color w:val="auto"/>
        </w:rPr>
      </w:pPr>
    </w:p>
    <w:p>
      <w:pPr>
        <w:ind w:left="700" w:right="100" w:firstLine="397"/>
        <w:spacing w:after="0" w:line="239" w:lineRule="auto"/>
        <w:rPr>
          <w:sz w:val="20"/>
          <w:szCs w:val="20"/>
          <w:color w:val="auto"/>
        </w:rPr>
      </w:pPr>
      <w:r>
        <w:rPr>
          <w:rFonts w:ascii="Arial" w:cs="Arial" w:eastAsia="Arial" w:hAnsi="Arial"/>
          <w:sz w:val="18"/>
          <w:szCs w:val="18"/>
          <w:color w:val="auto"/>
        </w:rPr>
        <w:t>In fiscal 2006, the Registrant’s Board of Directors launched a five-year $500 million share repurchase program, pursuant to which the Registrant has repurchased approximately 2.0 million common shares for approximately $87.9 million as of the date of this Annual Report on Form 10-K. In connection with the Recapitalization Plan, the remaining portion of the Registrant’s $500 million share repurchase program will be terminated.</w:t>
      </w:r>
    </w:p>
    <w:p>
      <w:pPr>
        <w:spacing w:after="0" w:line="85"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b w:val="1"/>
          <w:bCs w:val="1"/>
          <w:color w:val="auto"/>
        </w:rPr>
        <w:t>IMPORTANT NOTICE: Each of the December 12, 2006 Press Release and the disclosure in this Item 9B and elsewhere in this Annual Report on Form 10-K in respect of the Registrant’s intention to implement the Recapitalization Plan and launch a “Dutch auction” tender offer is for informational purposes only and is not an offer to buy or the solicitation of an offer to sell any of the Registrant’s common shares. The Registrant has not yet commenced the tender offer described therein. On the commencement date of the tender offer, an offer to purchase, a letter of transmittal and related documents will be filed with the Securities and Exchange Commission, will be mailed to shareholders of record and will also be made available for distribution to beneficial owners of the Registrant’s common shares. The solicitation of offers to buy the Registrant’s common shares will only be made pursuant to the offer to purchase, the letter of transmittal and related documents. When they are available, shareholders should read those materials carefully because they will contain important information, including the various terms of, and conditions to, the tender offer. When they are available, shareholders will be able to obtain the offer to purchase, the letter of transmittal and related documents without charge from the Securities and Exchange Commission’s website at www.sec.gov or from the information agent that is selected by the Registrant. Shareholders are urged to read carefully those materials when they become available prior to making any decisions with respect to the tender offer.</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PART III</w:t>
      </w:r>
    </w:p>
    <w:p>
      <w:pPr>
        <w:spacing w:after="0" w:line="225"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6"/>
          <w:szCs w:val="16"/>
          <w:b w:val="1"/>
          <w:bCs w:val="1"/>
          <w:u w:val="single" w:color="auto"/>
          <w:color w:val="auto"/>
        </w:rPr>
        <w:t>ITEM 10.</w:t>
        <w:tab/>
        <w:t>DIRECTORS AND EXECUTIVE OFFICERS OF THE REGISTRANT</w:t>
      </w:r>
    </w:p>
    <w:p>
      <w:pPr>
        <w:spacing w:after="0" w:line="144"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color w:val="auto"/>
        </w:rPr>
        <w:t>In accordance with General Instruction G(3) of Form 10-K, the information regarding directors required by Item 401 of SEC Regulation S-K is incorporated herein by reference from the material which will be included under the caption “PROPOSAL NUMBER 1 — ELECTION OF DIRECTORS” in the Registrant’s definitive Proxy Statement for the 2007 Annual Meeting of Shareholders to be held on January 25, 2007 (the “Proxy Statement”). The information regarding executive officers of the Registrant required by Item 401 of SEC Regulation S-K is included in “SUPPLEMENTAL ITEM. EXECUTIVE OFFICERS OF THE REGISTRANT” of Part I of this Annual Report on Form 10-K.</w:t>
      </w:r>
    </w:p>
    <w:p>
      <w:pPr>
        <w:spacing w:after="0" w:line="111" w:lineRule="exact"/>
        <w:rPr>
          <w:sz w:val="20"/>
          <w:szCs w:val="20"/>
          <w:color w:val="auto"/>
        </w:rPr>
      </w:pPr>
    </w:p>
    <w:p>
      <w:pPr>
        <w:ind w:left="700" w:firstLine="397"/>
        <w:spacing w:after="0"/>
        <w:rPr>
          <w:sz w:val="20"/>
          <w:szCs w:val="20"/>
          <w:color w:val="auto"/>
        </w:rPr>
      </w:pPr>
      <w:r>
        <w:rPr>
          <w:rFonts w:ascii="Arial" w:cs="Arial" w:eastAsia="Arial" w:hAnsi="Arial"/>
          <w:sz w:val="18"/>
          <w:szCs w:val="18"/>
          <w:color w:val="auto"/>
        </w:rPr>
        <w:t>The information required by Item 405 of SEC Regulation S-K is incorporated herein by reference from the material which will be included under the caption “BENEFICIAL OWNERSHIP OF SECURITIES OF THE COMPANY — Section 16(a) Beneficial Ownership Reporting Compliance” in the Registrant’s Proxy Statement.</w:t>
      </w:r>
    </w:p>
    <w:p>
      <w:pPr>
        <w:spacing w:after="0" w:line="108" w:lineRule="exact"/>
        <w:rPr>
          <w:sz w:val="20"/>
          <w:szCs w:val="20"/>
          <w:color w:val="auto"/>
        </w:rPr>
      </w:pPr>
    </w:p>
    <w:p>
      <w:pPr>
        <w:ind w:left="700" w:right="140" w:firstLine="397"/>
        <w:spacing w:after="0" w:line="253" w:lineRule="auto"/>
        <w:rPr>
          <w:sz w:val="20"/>
          <w:szCs w:val="20"/>
          <w:color w:val="auto"/>
        </w:rPr>
      </w:pPr>
      <w:r>
        <w:rPr>
          <w:rFonts w:ascii="Arial" w:cs="Arial" w:eastAsia="Arial" w:hAnsi="Arial"/>
          <w:sz w:val="17"/>
          <w:szCs w:val="17"/>
          <w:color w:val="auto"/>
        </w:rPr>
        <w:t>Information concerning the Registrant’s Audit Committee and the determination by the Registrant’s Board of Directors that at least one member of the Audit Committee qualifies as an “audit committee financial expert” is incorporated herein by reference from the material which will be included under the caption “PROPOSAL NUMBER 1 — ELECTION OF DIRECTORS — Committees of the Board — Audit Committee” in the Registrant’s Proxy Statement. Information concerning the nomination process for director candidates is incorporated herein by reference from the material which will be included under the captions “PROPOSAL NUMBER 1 — ELECTION OF DIRECTORS — Committees of the Board — Governance and Nominating Committee” and “PROPOSAL NUMBER 1 — ELECTION OF DIRECTORS — Nomination of Directors.”</w:t>
      </w:r>
    </w:p>
    <w:p>
      <w:pPr>
        <w:spacing w:after="0" w:line="97" w:lineRule="exact"/>
        <w:rPr>
          <w:sz w:val="20"/>
          <w:szCs w:val="20"/>
          <w:color w:val="auto"/>
        </w:rPr>
      </w:pPr>
    </w:p>
    <w:p>
      <w:pPr>
        <w:ind w:left="700" w:right="300" w:firstLine="397"/>
        <w:spacing w:after="0" w:line="275" w:lineRule="auto"/>
        <w:rPr>
          <w:sz w:val="20"/>
          <w:szCs w:val="20"/>
          <w:color w:val="auto"/>
        </w:rPr>
      </w:pPr>
      <w:r>
        <w:rPr>
          <w:rFonts w:ascii="Arial" w:cs="Arial" w:eastAsia="Arial" w:hAnsi="Arial"/>
          <w:sz w:val="17"/>
          <w:szCs w:val="17"/>
          <w:color w:val="auto"/>
        </w:rPr>
        <w:t>The Board of Directors of the Registrant has adopted charters for each of the Audit Committee, the Governance and Nominating Committee, the Compensation and Organization Committee and the Innovation &amp; Technology Committee.</w:t>
      </w:r>
    </w:p>
    <w:p>
      <w:pPr>
        <w:spacing w:after="0" w:line="79" w:lineRule="exact"/>
        <w:rPr>
          <w:sz w:val="20"/>
          <w:szCs w:val="20"/>
          <w:color w:val="auto"/>
        </w:rPr>
      </w:pPr>
    </w:p>
    <w:p>
      <w:pPr>
        <w:ind w:left="700" w:firstLine="397"/>
        <w:spacing w:after="0" w:line="236" w:lineRule="auto"/>
        <w:rPr>
          <w:sz w:val="20"/>
          <w:szCs w:val="20"/>
          <w:color w:val="auto"/>
        </w:rPr>
      </w:pPr>
      <w:r>
        <w:rPr>
          <w:rFonts w:ascii="Arial" w:cs="Arial" w:eastAsia="Arial" w:hAnsi="Arial"/>
          <w:sz w:val="18"/>
          <w:szCs w:val="18"/>
          <w:color w:val="auto"/>
        </w:rPr>
        <w:t>In accordance with the requirements of Section 303A.10 of the New York Stock Exchange’s Listed Company Manual, the Board of Directors of the Registrant has adopted a Code of Business Conduct and Ethics covering the members of the Registrant’s Board of Directors and associates (employees) of the Registrant and its subsidiaries, including, without limitation, the Registrant’s principal executive officer, principal financial officer and principal accounting officer. The Registrant intends to disclose the following on its Internet website located at http://investor.scotts.com within four business days following their occurrence: (A) the date and nature of any amendment to a provision of its Code of Business Conduct and Ethics that (i) applies to the Registrant’s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(including the nature of the waiver, the name of the person to whom the waiver was granted and the date of the waiver) of any waiver, including an implicit waiver, from a provision of the Code of Business Conduct and Ethics to the Registrant’s principal executive officer, principal financial officer, principal accounting officer or controller, or persons performing similar functions, that relates to one or more of the elements of the code of ethics definition set forth in Item 406(b) of SEC Regulation S-K.</w:t>
      </w:r>
    </w:p>
    <w:p>
      <w:pPr>
        <w:spacing w:after="0" w:line="108" w:lineRule="exact"/>
        <w:rPr>
          <w:sz w:val="20"/>
          <w:szCs w:val="20"/>
          <w:color w:val="auto"/>
        </w:rPr>
      </w:pPr>
    </w:p>
    <w:p>
      <w:pPr>
        <w:ind w:left="700" w:right="40" w:firstLine="397"/>
        <w:spacing w:after="0" w:line="237" w:lineRule="auto"/>
        <w:rPr>
          <w:sz w:val="20"/>
          <w:szCs w:val="20"/>
          <w:color w:val="auto"/>
        </w:rPr>
      </w:pPr>
      <w:r>
        <w:rPr>
          <w:rFonts w:ascii="Arial" w:cs="Arial" w:eastAsia="Arial" w:hAnsi="Arial"/>
          <w:sz w:val="18"/>
          <w:szCs w:val="18"/>
          <w:color w:val="auto"/>
        </w:rPr>
        <w:t>The text of the Code of Business Conduct and Ethics, the Registrant’s Corporate Governance Guidelines, the Audit Committee charter, the Governance and Nominating Committee charter, the Compensation and Organization Committee charter and the Innovation &amp; Technology Committee charter are posted under the “governance” link on the Registrant’s Internet website located at http://investor.scotts.com. Interested persons may also obtain copies of each of these documents without charge by writing to The Scotts Miracle-Gro Company, Attention: Corporate Secretary, 14111 Scottslawn Road, Marysville, Ohio 43041. In addition, a copy of the Code of Business Conduct and Ethics, as amended on November 2, 2006, is incorporated by reference in Exhibit 14 to this Annual Report on Form 10-K.</w:t>
      </w:r>
    </w:p>
    <w:p>
      <w:pPr>
        <w:spacing w:after="0" w:line="200"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6"/>
          <w:szCs w:val="16"/>
          <w:b w:val="1"/>
          <w:bCs w:val="1"/>
          <w:u w:val="single" w:color="auto"/>
          <w:color w:val="auto"/>
        </w:rPr>
        <w:t>ITEM 11.</w:t>
        <w:tab/>
        <w:t>EXECUTIVE COMPENSATION</w:t>
      </w:r>
    </w:p>
    <w:p>
      <w:pPr>
        <w:spacing w:after="0" w:line="144" w:lineRule="exact"/>
        <w:rPr>
          <w:sz w:val="20"/>
          <w:szCs w:val="20"/>
          <w:color w:val="auto"/>
        </w:rPr>
      </w:pPr>
    </w:p>
    <w:p>
      <w:pPr>
        <w:ind w:left="700" w:right="420" w:firstLine="397"/>
        <w:spacing w:after="0" w:line="243" w:lineRule="auto"/>
        <w:rPr>
          <w:sz w:val="20"/>
          <w:szCs w:val="20"/>
          <w:color w:val="auto"/>
        </w:rPr>
      </w:pPr>
      <w:r>
        <w:rPr>
          <w:rFonts w:ascii="Arial" w:cs="Arial" w:eastAsia="Arial" w:hAnsi="Arial"/>
          <w:sz w:val="18"/>
          <w:szCs w:val="18"/>
          <w:color w:val="auto"/>
        </w:rPr>
        <w:t>In accordance with General Instruction G(3) of Form 10-K, the material contained under the captions “EXECUTIVE COMPENSATION — Summary of Cash and Other Compens</w:t>
      </w:r>
      <w:r>
        <w:rPr>
          <w:rFonts w:ascii="Arial" w:cs="Arial" w:eastAsia="Arial" w:hAnsi="Arial"/>
          <w:sz w:val="18"/>
          <w:szCs w:val="18"/>
          <w:u w:val="single" w:color="auto"/>
          <w:color w:val="auto"/>
        </w:rPr>
        <w:t>atio</w:t>
      </w:r>
      <w:r>
        <w:rPr>
          <w:rFonts w:ascii="Arial" w:cs="Arial" w:eastAsia="Arial" w:hAnsi="Arial"/>
          <w:sz w:val="18"/>
          <w:szCs w:val="18"/>
          <w:color w:val="auto"/>
        </w:rPr>
        <w:t>n, — Option Grants in 2006</w:t>
      </w:r>
    </w:p>
    <w:p>
      <w:pPr>
        <w:ind w:left="5600"/>
        <w:spacing w:after="0"/>
        <w:rPr>
          <w:sz w:val="20"/>
          <w:szCs w:val="20"/>
          <w:color w:val="auto"/>
        </w:rPr>
      </w:pPr>
      <w:r>
        <w:rPr>
          <w:rFonts w:ascii="Arial" w:cs="Arial" w:eastAsia="Arial" w:hAnsi="Arial"/>
          <w:sz w:val="11"/>
          <w:szCs w:val="11"/>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
        <w:spacing w:after="0" w:line="237" w:lineRule="auto"/>
        <w:rPr>
          <w:sz w:val="20"/>
          <w:szCs w:val="20"/>
          <w:color w:val="auto"/>
        </w:rPr>
      </w:pPr>
      <w:r>
        <w:rPr>
          <w:rFonts w:ascii="Arial" w:cs="Arial" w:eastAsia="Arial" w:hAnsi="Arial"/>
          <w:sz w:val="18"/>
          <w:szCs w:val="18"/>
          <w:color w:val="auto"/>
        </w:rPr>
        <w:t>Fiscal Year, — Option Exercises in 2006 Fiscal Year and 2006 Fiscal Year-End Option/SAR Values, — Performance Shares, — Executive Retirement Plan, — Pension Plans, — The Scotts Miracle-Gro Company Discounted Stock Purchase Plan and — Employment Agreements and Termination of Employment and Change-in-Control Arrangements,” “PROPOSAL NUMBER 1 — ELECTION OF DIRECTORS — Compensation of Directors and — Compensation and Organization Committee Interlocks and Insider Participation” and “EXECUTIVE COMPENSATION — Report of the Compensation and Organization Committee on Executive Compensation for the 2006 Fiscal Year — Executive Incentive Plan” in the Registrant’s Proxy Statement is incorporated herein by reference.</w:t>
      </w:r>
    </w:p>
    <w:p>
      <w:pPr>
        <w:spacing w:after="0" w:line="200" w:lineRule="exact"/>
        <w:rPr>
          <w:sz w:val="20"/>
          <w:szCs w:val="20"/>
          <w:color w:val="auto"/>
        </w:rPr>
      </w:pPr>
    </w:p>
    <w:p>
      <w:pPr>
        <w:ind w:left="1480" w:right="200" w:hanging="796"/>
        <w:spacing w:after="0" w:line="286" w:lineRule="auto"/>
        <w:tabs>
          <w:tab w:leader="none" w:pos="1460" w:val="left"/>
        </w:tabs>
        <w:rPr>
          <w:sz w:val="20"/>
          <w:szCs w:val="20"/>
          <w:color w:val="auto"/>
        </w:rPr>
      </w:pPr>
      <w:r>
        <w:rPr>
          <w:rFonts w:ascii="Arial" w:cs="Arial" w:eastAsia="Arial" w:hAnsi="Arial"/>
          <w:sz w:val="16"/>
          <w:szCs w:val="16"/>
          <w:b w:val="1"/>
          <w:bCs w:val="1"/>
          <w:u w:val="single" w:color="auto"/>
          <w:color w:val="auto"/>
        </w:rPr>
        <w:t>ITEM 12.</w:t>
        <w:tab/>
        <w:t>SECURITY OWNERSHIP OF CERTAIN BENEFICIAL OWNERS AND MANAGEMENT AND RELATED STOCKHOLDER MATTERS</w:t>
      </w:r>
    </w:p>
    <w:p>
      <w:pPr>
        <w:spacing w:after="0" w:line="78" w:lineRule="exact"/>
        <w:rPr>
          <w:sz w:val="20"/>
          <w:szCs w:val="20"/>
          <w:color w:val="auto"/>
        </w:rPr>
      </w:pPr>
    </w:p>
    <w:p>
      <w:pPr>
        <w:jc w:val="both"/>
        <w:ind w:left="700" w:right="160" w:firstLine="397"/>
        <w:spacing w:after="0"/>
        <w:rPr>
          <w:sz w:val="20"/>
          <w:szCs w:val="20"/>
          <w:color w:val="auto"/>
        </w:rPr>
      </w:pPr>
      <w:r>
        <w:rPr>
          <w:rFonts w:ascii="Arial" w:cs="Arial" w:eastAsia="Arial" w:hAnsi="Arial"/>
          <w:sz w:val="18"/>
          <w:szCs w:val="18"/>
          <w:color w:val="auto"/>
        </w:rPr>
        <w:t>In accordance with General Instruction G(3) of Form 10-K, the material contained under the captions “BENEFICIAL OWNERSHIP OF SECURITIES OF THE COMPANY” and “EXECUTIVE COMPENSATION — Equity Compensation Plan Information” in the Registrant’s Proxy Statement is incorporated herein by reference.</w:t>
      </w:r>
    </w:p>
    <w:p>
      <w:pPr>
        <w:spacing w:after="0" w:line="199"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6"/>
          <w:szCs w:val="16"/>
          <w:b w:val="1"/>
          <w:bCs w:val="1"/>
          <w:u w:val="single" w:color="auto"/>
          <w:color w:val="auto"/>
        </w:rPr>
        <w:t>ITEM 13.</w:t>
        <w:tab/>
        <w:t>CERTAIN RELATIONSHIPS AND RELATED TRANSACTIONS</w:t>
      </w:r>
    </w:p>
    <w:p>
      <w:pPr>
        <w:spacing w:after="0" w:line="144" w:lineRule="exact"/>
        <w:rPr>
          <w:sz w:val="20"/>
          <w:szCs w:val="20"/>
          <w:color w:val="auto"/>
        </w:rPr>
      </w:pPr>
    </w:p>
    <w:p>
      <w:pPr>
        <w:ind w:left="700" w:right="20" w:firstLine="397"/>
        <w:spacing w:after="0" w:line="239" w:lineRule="auto"/>
        <w:rPr>
          <w:sz w:val="20"/>
          <w:szCs w:val="20"/>
          <w:color w:val="auto"/>
        </w:rPr>
      </w:pPr>
      <w:r>
        <w:rPr>
          <w:rFonts w:ascii="Arial" w:cs="Arial" w:eastAsia="Arial" w:hAnsi="Arial"/>
          <w:sz w:val="18"/>
          <w:szCs w:val="18"/>
          <w:color w:val="auto"/>
        </w:rPr>
        <w:t>In accordance with General Instruction G(3) of Form 10-K, the material contained under the captions “BENEFICIAL OWNERSHIP OF SECURITIES OF THE COMPANY”, “PROPOSAL NUMBER 1 — ELECTION OF DIRECTORS” and “CERTAIN RELATIONSHIPS AND RELATED TRANSACTIONS” in the Registrant’s Proxy Statement is incorporated herein by reference.</w:t>
      </w:r>
    </w:p>
    <w:p>
      <w:pPr>
        <w:spacing w:after="0" w:line="198"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6"/>
          <w:szCs w:val="16"/>
          <w:b w:val="1"/>
          <w:bCs w:val="1"/>
          <w:u w:val="single" w:color="auto"/>
          <w:color w:val="auto"/>
        </w:rPr>
        <w:t>ITEM 14.</w:t>
        <w:tab/>
        <w:t>PRINCIPAL ACCOUNTANT FEES AND SERVICES</w:t>
      </w:r>
    </w:p>
    <w:p>
      <w:pPr>
        <w:spacing w:after="0" w:line="144" w:lineRule="exact"/>
        <w:rPr>
          <w:sz w:val="20"/>
          <w:szCs w:val="20"/>
          <w:color w:val="auto"/>
        </w:rPr>
      </w:pPr>
    </w:p>
    <w:p>
      <w:pPr>
        <w:ind w:left="700" w:right="80" w:firstLine="397"/>
        <w:spacing w:after="0" w:line="248" w:lineRule="auto"/>
        <w:rPr>
          <w:sz w:val="20"/>
          <w:szCs w:val="20"/>
          <w:color w:val="auto"/>
        </w:rPr>
      </w:pPr>
      <w:r>
        <w:rPr>
          <w:rFonts w:ascii="Arial" w:cs="Arial" w:eastAsia="Arial" w:hAnsi="Arial"/>
          <w:sz w:val="17"/>
          <w:szCs w:val="17"/>
          <w:color w:val="auto"/>
        </w:rPr>
        <w:t>In accordance with General Instruction G(3) of Form 10-K, the material contained under the captions “AUDIT COMMITTEE MATTERS — Fees of the Independent Registered Public Accounting Firm and — THE SCOTTS MIRACLE-</w:t>
      </w:r>
    </w:p>
    <w:p>
      <w:pPr>
        <w:spacing w:after="0" w:line="1" w:lineRule="exact"/>
        <w:rPr>
          <w:sz w:val="20"/>
          <w:szCs w:val="20"/>
          <w:color w:val="auto"/>
        </w:rPr>
      </w:pPr>
    </w:p>
    <w:p>
      <w:pPr>
        <w:ind w:left="700" w:right="20"/>
        <w:spacing w:after="0"/>
        <w:rPr>
          <w:sz w:val="20"/>
          <w:szCs w:val="20"/>
          <w:color w:val="auto"/>
        </w:rPr>
      </w:pPr>
      <w:r>
        <w:rPr>
          <w:rFonts w:ascii="Arial" w:cs="Arial" w:eastAsia="Arial" w:hAnsi="Arial"/>
          <w:sz w:val="18"/>
          <w:szCs w:val="18"/>
          <w:color w:val="auto"/>
        </w:rPr>
        <w:t>GRO COMPANY THE AUDIT COMMITTEE POLICIES AND PROCEDURES REGARDING APPROVAL OF SERVICES PROVIDED BY THE INDEPENDENT REGISTERED PUBLIC ACCOUNTING FIRM” in the Registrant’s Proxy Statement is incorporated herein by reference.</w:t>
      </w:r>
    </w:p>
    <w:p>
      <w:pPr>
        <w:spacing w:after="0" w:line="298"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PART IV</w:t>
      </w:r>
    </w:p>
    <w:p>
      <w:pPr>
        <w:spacing w:after="0" w:line="225"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6"/>
          <w:szCs w:val="16"/>
          <w:b w:val="1"/>
          <w:bCs w:val="1"/>
          <w:u w:val="single" w:color="auto"/>
          <w:color w:val="auto"/>
        </w:rPr>
        <w:t>ITEM 15.</w:t>
        <w:tab/>
        <w:t>EXHIBITS AND FINANCIAL STATEMENT SCHEDULES</w:t>
      </w:r>
    </w:p>
    <w:p>
      <w:pPr>
        <w:spacing w:after="0" w:line="144" w:lineRule="exact"/>
        <w:rPr>
          <w:sz w:val="20"/>
          <w:szCs w:val="20"/>
          <w:color w:val="auto"/>
        </w:rPr>
      </w:pPr>
    </w:p>
    <w:p>
      <w:pPr>
        <w:ind w:left="1360" w:hanging="270"/>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w:t>
      </w:r>
    </w:p>
    <w:p>
      <w:pPr>
        <w:spacing w:after="0" w:line="117" w:lineRule="exact"/>
        <w:rPr>
          <w:sz w:val="20"/>
          <w:szCs w:val="20"/>
          <w:color w:val="auto"/>
        </w:rPr>
      </w:pPr>
    </w:p>
    <w:p>
      <w:pPr>
        <w:ind w:left="1080" w:firstLine="381"/>
        <w:spacing w:after="0"/>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 on page 51 herein.</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1080" w:right="80" w:firstLine="381"/>
        <w:spacing w:after="0" w:line="239" w:lineRule="auto"/>
        <w:rPr>
          <w:sz w:val="20"/>
          <w:szCs w:val="20"/>
          <w:color w:val="auto"/>
        </w:rPr>
      </w:pPr>
      <w:r>
        <w:rPr>
          <w:rFonts w:ascii="Arial" w:cs="Arial" w:eastAsia="Arial" w:hAnsi="Arial"/>
          <w:sz w:val="18"/>
          <w:szCs w:val="18"/>
          <w:color w:val="auto"/>
        </w:rPr>
        <w:t>The exhibits listed on the “Index to Exhibits” beginning on page 108 of this Annual Report on Form 10-K are filed with this Annual Report on Form 10-K or incorporated herein by reference as noted in the “Index to Exhibits.” The following table provides certain information concerning each management contract or compensatory plan or arrangement required to be filed as an exhibit to this An</w:t>
      </w:r>
      <w:r>
        <w:rPr>
          <w:rFonts w:ascii="Arial" w:cs="Arial" w:eastAsia="Arial" w:hAnsi="Arial"/>
          <w:sz w:val="18"/>
          <w:szCs w:val="18"/>
          <w:u w:val="single" w:color="auto"/>
          <w:color w:val="auto"/>
        </w:rPr>
        <w:t>nua</w:t>
      </w:r>
      <w:r>
        <w:rPr>
          <w:rFonts w:ascii="Arial" w:cs="Arial" w:eastAsia="Arial" w:hAnsi="Arial"/>
          <w:sz w:val="18"/>
          <w:szCs w:val="18"/>
          <w:color w:val="auto"/>
        </w:rPr>
        <w:t>l Report on Form 10-K.</w:t>
      </w:r>
    </w:p>
    <w:p>
      <w:pPr>
        <w:ind w:left="5600"/>
        <w:spacing w:after="0"/>
        <w:rPr>
          <w:sz w:val="20"/>
          <w:szCs w:val="20"/>
          <w:color w:val="auto"/>
        </w:rPr>
      </w:pPr>
      <w:r>
        <w:rPr>
          <w:rFonts w:ascii="Arial" w:cs="Arial" w:eastAsia="Arial" w:hAnsi="Arial"/>
          <w:sz w:val="11"/>
          <w:szCs w:val="11"/>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MANAGEMENT CONTRACTS AND COMPENSATORY PLANS AND ARRANGEMENTS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780" w:type="dxa"/>
            <w:vAlign w:val="bottom"/>
            <w:tcBorders>
              <w:bottom w:val="single" w:sz="8" w:color="auto"/>
            </w:tcBorders>
            <w:gridSpan w:val="3"/>
          </w:tcPr>
          <w:p>
            <w:pPr>
              <w:ind w:left="2480"/>
              <w:spacing w:after="0"/>
              <w:rPr>
                <w:sz w:val="20"/>
                <w:szCs w:val="20"/>
                <w:color w:val="auto"/>
              </w:rPr>
            </w:pPr>
            <w:r>
              <w:rPr>
                <w:rFonts w:ascii="Arial" w:cs="Arial" w:eastAsia="Arial" w:hAnsi="Arial"/>
                <w:sz w:val="18"/>
                <w:szCs w:val="18"/>
                <w:color w:val="auto"/>
              </w:rPr>
              <w:t>Description</w:t>
            </w:r>
          </w:p>
        </w:tc>
        <w:tc>
          <w:tcPr>
            <w:tcW w:w="32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Location</w:t>
            </w:r>
          </w:p>
        </w:tc>
        <w:tc>
          <w:tcPr>
            <w:tcW w:w="800" w:type="dxa"/>
            <w:vAlign w:val="bottom"/>
          </w:tcPr>
          <w:p>
            <w:pPr>
              <w:spacing w:after="0"/>
              <w:rPr>
                <w:sz w:val="18"/>
                <w:szCs w:val="18"/>
                <w:color w:val="auto"/>
              </w:rPr>
            </w:pPr>
          </w:p>
        </w:tc>
      </w:tr>
      <w:tr>
        <w:trPr>
          <w:trHeight w:val="249"/>
        </w:trPr>
        <w:tc>
          <w:tcPr>
            <w:tcW w:w="1600" w:type="dxa"/>
            <w:vAlign w:val="bottom"/>
            <w:gridSpan w:val="2"/>
          </w:tcPr>
          <w:p>
            <w:pPr>
              <w:ind w:left="700"/>
              <w:spacing w:after="0"/>
              <w:rPr>
                <w:sz w:val="20"/>
                <w:szCs w:val="20"/>
                <w:color w:val="auto"/>
              </w:rPr>
            </w:pPr>
            <w:r>
              <w:rPr>
                <w:rFonts w:ascii="Arial" w:cs="Arial" w:eastAsia="Arial" w:hAnsi="Arial"/>
                <w:sz w:val="18"/>
                <w:szCs w:val="18"/>
                <w:color w:val="auto"/>
              </w:rPr>
              <w:t>10(a)(1)</w:t>
            </w:r>
          </w:p>
        </w:tc>
        <w:tc>
          <w:tcPr>
            <w:tcW w:w="5780" w:type="dxa"/>
            <w:vAlign w:val="bottom"/>
            <w:gridSpan w:val="3"/>
          </w:tcPr>
          <w:p>
            <w:pPr>
              <w:ind w:left="200"/>
              <w:spacing w:after="0"/>
              <w:rPr>
                <w:sz w:val="20"/>
                <w:szCs w:val="20"/>
                <w:color w:val="auto"/>
              </w:rPr>
            </w:pPr>
            <w:r>
              <w:rPr>
                <w:rFonts w:ascii="Arial" w:cs="Arial" w:eastAsia="Arial" w:hAnsi="Arial"/>
                <w:sz w:val="18"/>
                <w:szCs w:val="18"/>
                <w:color w:val="auto"/>
              </w:rPr>
              <w:t>The O.M. Scott &amp; Sons Company Excess Benefit Plan, effective</w:t>
            </w:r>
          </w:p>
        </w:tc>
        <w:tc>
          <w:tcPr>
            <w:tcW w:w="3240" w:type="dxa"/>
            <w:vAlign w:val="bottom"/>
          </w:tcPr>
          <w:p>
            <w:pPr>
              <w:ind w:left="180"/>
              <w:spacing w:after="0"/>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21"/>
                <w:szCs w:val="2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October 1, 1993</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Annual Report on Form 10-K for</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fiscal year ended September 30,</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1993, of The Scotts Company, a</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Delaware corporation (File No. 0-</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19768) [Exhibit 10(h)]</w:t>
            </w:r>
          </w:p>
        </w:tc>
        <w:tc>
          <w:tcPr>
            <w:tcW w:w="800" w:type="dxa"/>
            <w:vAlign w:val="bottom"/>
          </w:tcPr>
          <w:p>
            <w:pPr>
              <w:spacing w:after="0"/>
              <w:rPr>
                <w:sz w:val="17"/>
                <w:szCs w:val="17"/>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10(a)(2)</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First Amendment to The O.M. Scott &amp; Sons Company Excess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Benefit Plan, effective as of January 1, 1998</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Annual Report on Form 10-K for</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fiscal year ended September 30,</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w w:val="99"/>
              </w:rPr>
              <w:t>2001 of The Scotts Company, an Ohio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corporation (“Scotts”)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13292) [Exhibit 10(a)(2)]</w:t>
            </w:r>
          </w:p>
        </w:tc>
        <w:tc>
          <w:tcPr>
            <w:tcW w:w="800" w:type="dxa"/>
            <w:vAlign w:val="bottom"/>
          </w:tcPr>
          <w:p>
            <w:pPr>
              <w:spacing w:after="0"/>
              <w:rPr>
                <w:sz w:val="17"/>
                <w:szCs w:val="17"/>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10(a)(3)</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Second Amendment to The O.M. Scott &amp; Sons Company Excess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Benefit Plan, effective as of January 1, 1999</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September 30, 2001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13292) [Exhibit 10(a)(3)]</w:t>
            </w:r>
          </w:p>
        </w:tc>
        <w:tc>
          <w:tcPr>
            <w:tcW w:w="800" w:type="dxa"/>
            <w:vAlign w:val="bottom"/>
          </w:tcPr>
          <w:p>
            <w:pPr>
              <w:spacing w:after="0"/>
              <w:rPr>
                <w:sz w:val="17"/>
                <w:szCs w:val="17"/>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10(a)(4)</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Third Amendment to The O.M. Scott &amp; Sons Company Excess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Benefit Plan, effective as of March 18, 2005</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w w:val="99"/>
              </w:rPr>
              <w:t>the Quarterly Report on Form 10-Q for</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(amended title of plan to be The Scotts Company LLC Excess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quarterly period ended April 2,</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Benefit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2005 of The Scotts Miracle-Gro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Company (the “Registrant”) (File</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10(CC)]</w:t>
            </w:r>
          </w:p>
        </w:tc>
        <w:tc>
          <w:tcPr>
            <w:tcW w:w="800" w:type="dxa"/>
            <w:vAlign w:val="bottom"/>
          </w:tcPr>
          <w:p>
            <w:pPr>
              <w:spacing w:after="0"/>
              <w:rPr>
                <w:sz w:val="17"/>
                <w:szCs w:val="17"/>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10(b)</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Company LLC Executive/Management Incentive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Current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8-K filed February 2, 2006 (File</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10.4]</w:t>
            </w:r>
          </w:p>
        </w:tc>
        <w:tc>
          <w:tcPr>
            <w:tcW w:w="800" w:type="dxa"/>
            <w:vAlign w:val="bottom"/>
          </w:tcPr>
          <w:p>
            <w:pPr>
              <w:spacing w:after="0"/>
              <w:rPr>
                <w:sz w:val="17"/>
                <w:szCs w:val="17"/>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10(c)</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Specimen form of Employee Confidentiality, Noncompetition,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Nonsolicitation Agreement for employees participating in The Scotts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Company LLC Executive/Management Incentive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ended July 1, 2006 (File No. 1-13292)</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[Exhibit 10.1]</w:t>
            </w:r>
          </w:p>
        </w:tc>
        <w:tc>
          <w:tcPr>
            <w:tcW w:w="800" w:type="dxa"/>
            <w:vAlign w:val="bottom"/>
          </w:tcPr>
          <w:p>
            <w:pPr>
              <w:spacing w:after="0"/>
              <w:rPr>
                <w:sz w:val="17"/>
                <w:szCs w:val="17"/>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10(d)</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Executive Officers of The Scotts Miracle-Gro Company who are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parties to form of Employee Confidentiality, Noncompetition,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Current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Nonsolicitation Agreement for employees participating in The Scotts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8-K filed September 18, 2006</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Company LLC Executive/Management Incentive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(File No. 1-13292) [Exhibit 10.2]</w:t>
            </w:r>
          </w:p>
        </w:tc>
        <w:tc>
          <w:tcPr>
            <w:tcW w:w="800" w:type="dxa"/>
            <w:vAlign w:val="bottom"/>
          </w:tcPr>
          <w:p>
            <w:pPr>
              <w:spacing w:after="0"/>
              <w:rPr>
                <w:sz w:val="17"/>
                <w:szCs w:val="17"/>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10(e)(1)</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Company 1996 Stock Option Plan (as amended through</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May 15, 2000)</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Quarterly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w w:val="99"/>
              </w:rPr>
              <w:t>ended April 1, 2000 (File No. 1-13292)</w:t>
            </w:r>
          </w:p>
        </w:tc>
        <w:tc>
          <w:tcPr>
            <w:tcW w:w="80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[Exhibit 10(d)]</w:t>
            </w:r>
          </w:p>
        </w:tc>
        <w:tc>
          <w:tcPr>
            <w:tcW w:w="800" w:type="dxa"/>
            <w:vAlign w:val="bottom"/>
          </w:tcPr>
          <w:p>
            <w:pPr>
              <w:spacing w:after="0"/>
              <w:rPr>
                <w:sz w:val="18"/>
                <w:szCs w:val="18"/>
                <w:color w:val="auto"/>
              </w:rPr>
            </w:pPr>
          </w:p>
        </w:tc>
      </w:tr>
      <w:tr>
        <w:trPr>
          <w:trHeight w:val="134"/>
        </w:trPr>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44</w:t>
            </w:r>
          </w:p>
        </w:tc>
        <w:tc>
          <w:tcPr>
            <w:tcW w:w="15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39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32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740" w:type="dxa"/>
            <w:vAlign w:val="bottom"/>
            <w:tcBorders>
              <w:bottom w:val="single" w:sz="8" w:color="auto"/>
            </w:tcBorders>
            <w:gridSpan w:val="3"/>
          </w:tcPr>
          <w:p>
            <w:pPr>
              <w:ind w:left="2480"/>
              <w:spacing w:after="0"/>
              <w:rPr>
                <w:sz w:val="20"/>
                <w:szCs w:val="20"/>
                <w:color w:val="auto"/>
              </w:rPr>
            </w:pPr>
            <w:r>
              <w:rPr>
                <w:rFonts w:ascii="Arial" w:cs="Arial" w:eastAsia="Arial" w:hAnsi="Arial"/>
                <w:sz w:val="18"/>
                <w:szCs w:val="18"/>
                <w:color w:val="auto"/>
              </w:rPr>
              <w:t>Description</w:t>
            </w:r>
          </w:p>
        </w:tc>
        <w:tc>
          <w:tcPr>
            <w:tcW w:w="32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Location</w:t>
            </w:r>
          </w:p>
        </w:tc>
        <w:tc>
          <w:tcPr>
            <w:tcW w:w="800" w:type="dxa"/>
            <w:vAlign w:val="bottom"/>
          </w:tcPr>
          <w:p>
            <w:pPr>
              <w:spacing w:after="0"/>
              <w:rPr>
                <w:sz w:val="18"/>
                <w:szCs w:val="18"/>
                <w:color w:val="auto"/>
              </w:rPr>
            </w:pP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10(e)(2)</w:t>
            </w:r>
          </w:p>
        </w:tc>
        <w:tc>
          <w:tcPr>
            <w:tcW w:w="5740" w:type="dxa"/>
            <w:vAlign w:val="bottom"/>
            <w:gridSpan w:val="3"/>
          </w:tcPr>
          <w:p>
            <w:pPr>
              <w:ind w:left="200"/>
              <w:spacing w:after="0"/>
              <w:rPr>
                <w:sz w:val="20"/>
                <w:szCs w:val="20"/>
                <w:color w:val="auto"/>
              </w:rPr>
            </w:pPr>
            <w:r>
              <w:rPr>
                <w:rFonts w:ascii="Arial" w:cs="Arial" w:eastAsia="Arial" w:hAnsi="Arial"/>
                <w:sz w:val="18"/>
                <w:szCs w:val="18"/>
                <w:color w:val="auto"/>
              </w:rPr>
              <w:t>The Scotts Company 1996 Stock Option Plan (2002 Amendment)</w:t>
            </w:r>
          </w:p>
        </w:tc>
        <w:tc>
          <w:tcPr>
            <w:tcW w:w="3280" w:type="dxa"/>
            <w:vAlign w:val="bottom"/>
          </w:tcPr>
          <w:p>
            <w:pPr>
              <w:ind w:left="220"/>
              <w:spacing w:after="0"/>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21"/>
                <w:szCs w:val="2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Scotts’ Quarterly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ended December 28, 2002 (File</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No. 1-13292) [Exhibit 10(d)(i)]</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10(e)(3)</w:t>
            </w: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Amendment to The Scotts Company 1996 Stock Option Plan —</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2005 Amendment, effective as of March 18, 2005 (amended title of</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 to be The Scotts Miracle-Gro Company 1996 Stock Option</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w w:val="99"/>
              </w:rPr>
              <w:t>ended April 2, 2005 (File No. 1-13292)</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[Exhibit 10(z)]</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10(f)</w:t>
            </w: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Form of 1996 Stock Option Plan Stock Option Agreement — Non-</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Qualified Stock Option</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Scotts’ Current Report on Form 8-K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filed November 19, 2004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13292) [Exhibit 10.7]</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10(g)</w:t>
            </w: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Specimen form of Stock Option Agreement (as amended through</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October 23, 2001) for Non-Qualified Stock Options granted to</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employees under The Scotts Company 1996 Stock Option Plan,</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French specimen</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September 30, 2001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13292) [Exhibit 10(f)]</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10(h)(1)</w:t>
            </w: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Company Executive Retirement Plan</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September 30, 1998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11593) [Exhibit 10(j)]</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10(h)(2)</w:t>
            </w: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First Amendment to The Scotts Company Executive Retirement</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 effective as of January 1, 1999</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September 30, 2001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13292) [Exhibit 10(g)(2)]</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10(h)(3)</w:t>
            </w: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Second Amendment to The Scotts Company Executive Retirement</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 effective as of January 1, 2000</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September 30, 2001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13292) [Exhibit 10(g)(3)]</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10(h)(4)</w:t>
            </w: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Third Amendment to The Scotts Company Executive Retirement</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 effective as of January 1, 2003</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September 30, 2003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13292) [Exhibit 10(g)(4)]</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10(h)(5)</w:t>
            </w: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Fourth Amendment to The Scotts Company Executive Retirement</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 effective as of January 1, 2004</w:t>
            </w: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September 30, 2004 (File No. 1-</w:t>
            </w:r>
          </w:p>
        </w:tc>
        <w:tc>
          <w:tcPr>
            <w:tcW w:w="80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13292) [Exhibit 10(g)(5)]</w:t>
            </w:r>
          </w:p>
        </w:tc>
        <w:tc>
          <w:tcPr>
            <w:tcW w:w="800" w:type="dxa"/>
            <w:vAlign w:val="bottom"/>
          </w:tcPr>
          <w:p>
            <w:pPr>
              <w:spacing w:after="0"/>
              <w:rPr>
                <w:sz w:val="18"/>
                <w:szCs w:val="18"/>
                <w:color w:val="auto"/>
              </w:rPr>
            </w:pPr>
          </w:p>
        </w:tc>
      </w:tr>
      <w:tr>
        <w:trPr>
          <w:trHeight w:val="134"/>
        </w:trPr>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45</w:t>
            </w:r>
          </w:p>
        </w:tc>
        <w:tc>
          <w:tcPr>
            <w:tcW w:w="15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39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32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780" w:type="dxa"/>
            <w:vAlign w:val="bottom"/>
            <w:tcBorders>
              <w:bottom w:val="single" w:sz="8" w:color="auto"/>
            </w:tcBorders>
            <w:gridSpan w:val="3"/>
          </w:tcPr>
          <w:p>
            <w:pPr>
              <w:ind w:left="2480"/>
              <w:spacing w:after="0"/>
              <w:rPr>
                <w:sz w:val="20"/>
                <w:szCs w:val="20"/>
                <w:color w:val="auto"/>
              </w:rPr>
            </w:pPr>
            <w:r>
              <w:rPr>
                <w:rFonts w:ascii="Arial" w:cs="Arial" w:eastAsia="Arial" w:hAnsi="Arial"/>
                <w:sz w:val="18"/>
                <w:szCs w:val="18"/>
                <w:color w:val="auto"/>
              </w:rPr>
              <w:t>Description</w:t>
            </w:r>
          </w:p>
        </w:tc>
        <w:tc>
          <w:tcPr>
            <w:tcW w:w="32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Location</w:t>
            </w:r>
          </w:p>
        </w:tc>
        <w:tc>
          <w:tcPr>
            <w:tcW w:w="800" w:type="dxa"/>
            <w:vAlign w:val="bottom"/>
          </w:tcPr>
          <w:p>
            <w:pPr>
              <w:spacing w:after="0"/>
              <w:rPr>
                <w:sz w:val="18"/>
                <w:szCs w:val="18"/>
                <w:color w:val="auto"/>
              </w:rPr>
            </w:pP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10(h)(6)</w:t>
            </w:r>
          </w:p>
        </w:tc>
        <w:tc>
          <w:tcPr>
            <w:tcW w:w="5780" w:type="dxa"/>
            <w:vAlign w:val="bottom"/>
            <w:gridSpan w:val="3"/>
          </w:tcPr>
          <w:p>
            <w:pPr>
              <w:ind w:left="200"/>
              <w:spacing w:after="0"/>
              <w:rPr>
                <w:sz w:val="20"/>
                <w:szCs w:val="20"/>
                <w:color w:val="auto"/>
              </w:rPr>
            </w:pPr>
            <w:r>
              <w:rPr>
                <w:rFonts w:ascii="Arial" w:cs="Arial" w:eastAsia="Arial" w:hAnsi="Arial"/>
                <w:sz w:val="18"/>
                <w:szCs w:val="18"/>
                <w:color w:val="auto"/>
              </w:rPr>
              <w:t>Fifth Amendment to The Scotts Company Executive Retirement</w:t>
            </w:r>
          </w:p>
        </w:tc>
        <w:tc>
          <w:tcPr>
            <w:tcW w:w="3240" w:type="dxa"/>
            <w:vAlign w:val="bottom"/>
          </w:tcPr>
          <w:p>
            <w:pPr>
              <w:ind w:left="180"/>
              <w:spacing w:after="0"/>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21"/>
                <w:szCs w:val="2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 effective as of March 18, 2005 (amended title of plan to be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Company LLC Executive Retirement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w w:val="99"/>
              </w:rPr>
              <w:t>ended April 2, 2005 (File No. 1-13292)</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[Exhibit 10(DD)]</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10(i)</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Employment Agreement, dated as of May 19, 1995, between The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Scotts Company and James Hagedorn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September 30, 1995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11593) [Exhibit 10(p)]</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10(j)(1)</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Letter agreement, dated June 8, 2000, between The Scotts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Company and Patrick J. Norton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September 30, 2000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13292) [Exhibit 10(q)]</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10(j)(2)</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Letter agreement, dated November 5, 2002, and accepted by</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Mr. Norton on November 22, 2002, pertaining to the terms of</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employment of Patrick J. Norton through December 31, 2005, and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superseding certain provisions of the letter agreement, dated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September 30, 2002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June 8, 2000, between The Scotts Company and Mr. Norton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13292) [Exhibit 10(q)]</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10(j)(3)</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Letter of Extension, dated October 25, 2005, between The Scotts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Miracle-Gro Company and Patrick J. Norton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Current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8-K filed December 14, 2005</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(File No. 1-13292) [Exhibit 10.3]</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10(k)</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Written description of employment, severance and change in control</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terms between the Registrant and David M. Aronowitz and Denise</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 Stump</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10(l)(1)</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Company 2003 Stock Option and Incentive Equity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Quarterly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ended December 28, 2002 (File</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10(w)]</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10(l)(2)</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First Amendment to The Scotts Company 2003 Stock Option and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Incentive Equity Plan, effective as of March 18, 2005 (amended title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of plan to be The Scotts Miracle-Gro Company 2003 Stock Option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and Incentive Equity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w w:val="99"/>
              </w:rPr>
              <w:t>ended April 2, 2005 (File No. 1-13292)</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[Exhibit 10(AA)]</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10(m)</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Letter agreement between The Scotts Company and Robert F.</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Bernstock, dated April 23, 2003 and accepted by Mr. Bernstock on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Quarterly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May 2, 2003</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ended June 28, 2003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13292) [Exhibit 10(x)]</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10(n)</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Employment Agreement and Covenant Not to Compete, effective as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of October 1, 2004, between The Scotts Company and Robert F.</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Current Report on Form 8-K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Bernstock</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filed November 19, 2004 (File No. 1-</w:t>
            </w:r>
          </w:p>
        </w:tc>
        <w:tc>
          <w:tcPr>
            <w:tcW w:w="80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13292) [Exhibit 10.1]</w:t>
            </w:r>
          </w:p>
        </w:tc>
        <w:tc>
          <w:tcPr>
            <w:tcW w:w="800" w:type="dxa"/>
            <w:vAlign w:val="bottom"/>
          </w:tcPr>
          <w:p>
            <w:pPr>
              <w:spacing w:after="0"/>
              <w:rPr>
                <w:sz w:val="18"/>
                <w:szCs w:val="18"/>
                <w:color w:val="auto"/>
              </w:rPr>
            </w:pPr>
          </w:p>
        </w:tc>
      </w:tr>
      <w:tr>
        <w:trPr>
          <w:trHeight w:val="134"/>
        </w:trPr>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46</w:t>
            </w:r>
          </w:p>
        </w:tc>
        <w:tc>
          <w:tcPr>
            <w:tcW w:w="15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39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32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780" w:type="dxa"/>
            <w:vAlign w:val="bottom"/>
            <w:tcBorders>
              <w:bottom w:val="single" w:sz="8" w:color="auto"/>
            </w:tcBorders>
            <w:gridSpan w:val="3"/>
          </w:tcPr>
          <w:p>
            <w:pPr>
              <w:ind w:left="2480"/>
              <w:spacing w:after="0"/>
              <w:rPr>
                <w:sz w:val="20"/>
                <w:szCs w:val="20"/>
                <w:color w:val="auto"/>
              </w:rPr>
            </w:pPr>
            <w:r>
              <w:rPr>
                <w:rFonts w:ascii="Arial" w:cs="Arial" w:eastAsia="Arial" w:hAnsi="Arial"/>
                <w:sz w:val="18"/>
                <w:szCs w:val="18"/>
                <w:color w:val="auto"/>
              </w:rPr>
              <w:t>Description</w:t>
            </w:r>
          </w:p>
        </w:tc>
        <w:tc>
          <w:tcPr>
            <w:tcW w:w="32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Location</w:t>
            </w:r>
          </w:p>
        </w:tc>
        <w:tc>
          <w:tcPr>
            <w:tcW w:w="800" w:type="dxa"/>
            <w:vAlign w:val="bottom"/>
          </w:tcPr>
          <w:p>
            <w:pPr>
              <w:spacing w:after="0"/>
              <w:rPr>
                <w:sz w:val="18"/>
                <w:szCs w:val="18"/>
                <w:color w:val="auto"/>
              </w:rPr>
            </w:pP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10(o)</w:t>
            </w:r>
          </w:p>
        </w:tc>
        <w:tc>
          <w:tcPr>
            <w:tcW w:w="5780" w:type="dxa"/>
            <w:vAlign w:val="bottom"/>
            <w:gridSpan w:val="3"/>
          </w:tcPr>
          <w:p>
            <w:pPr>
              <w:ind w:left="200"/>
              <w:spacing w:after="0"/>
              <w:rPr>
                <w:sz w:val="20"/>
                <w:szCs w:val="20"/>
                <w:color w:val="auto"/>
              </w:rPr>
            </w:pPr>
            <w:r>
              <w:rPr>
                <w:rFonts w:ascii="Arial" w:cs="Arial" w:eastAsia="Arial" w:hAnsi="Arial"/>
                <w:sz w:val="18"/>
                <w:szCs w:val="18"/>
                <w:color w:val="auto"/>
              </w:rPr>
              <w:t>First Amendment to Employment Agreement and Covenant Not to</w:t>
            </w:r>
          </w:p>
        </w:tc>
        <w:tc>
          <w:tcPr>
            <w:tcW w:w="3240" w:type="dxa"/>
            <w:vAlign w:val="bottom"/>
          </w:tcPr>
          <w:p>
            <w:pPr>
              <w:ind w:left="180"/>
              <w:spacing w:after="0"/>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21"/>
                <w:szCs w:val="2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Compete, effective as of October 1, 2004, between The Scotts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Current Report on Form 8-K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Company and Robert F. Bernstock</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filed November 19, 2004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13292) [Exhibit 10.2]</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10(p)</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Second Amendment to Employment Agreement and Covenant Not</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to Compete, effective as of October 1, 2004, between The Scotts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Current Report on Form 8-K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Company and Robert F. Bernstock</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filed November 19, 2004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13292) [Exhibit 10.3]</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10(q)</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Third Amendment to Employment Agreement and Covenant Not to</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Compete, executed February 9, 2006 to be effective as of</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October 1, 2005, between The Scotts Miracle-Gro Company, The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Scotts Company LLC and Robert F. Bernstock</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ended December 31, 2005 (File</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10(c)]</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10(r)</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Company 2003 Stock Option and Incentive Equity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Award Agreement for Nondirectors, effective as of October 1, 2004,</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Current Report on Form 8-K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between The Scotts Company and Robert F. Bernstock, in respect</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filed November 19, 2004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of grant of 25,000 shares of restricted stock</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13292) [Exhibit 10.4]</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10(s)</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Amendment to The Scotts Company 2003 Stock Option and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Incentive Equity Plan Award Agreement for Nondirectors, effective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Current Report on Form 8-K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as of October 1, 2004, between The Scotts Company and Robert F.</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filed November 19, 2004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Bernstock, in respect of June 2, 2003 award of freestanding stock</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13292) [Exhibit 10.5]</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appreciation rights</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10(t)</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Amendment to The Scotts Company 2003 Stock Option and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Incentive Equity Plan Award Agreement for Nondirectors, effective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Scotts’ Current Report on Form 8-K</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as of October 1, 2004, between The Scotts Company and Robert F.</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filed November 19, 2004 (File No. 1-</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Bernstock, in respect of November 19, 2003 award of freestanding</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13292) [Exhibit 10.6]</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stock appreciation rights</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10(u)</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Miracle-Gro Company 2003 Stock Option and Incentive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Equity Plan Award Agreement for Nondirectors, effective as of</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December 9, 2005, between The Scotts Miracle-Gro Company and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Robert F. Bernstock, in respect of grant of 10,000 Performance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ended December 31, 2005 (File</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Shares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10(a)]</w:t>
            </w:r>
          </w:p>
        </w:tc>
        <w:tc>
          <w:tcPr>
            <w:tcW w:w="80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10(v)</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Miracle-Gro Company 2003 Stock Option and Incentive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Equity Plan Award Agreement for Nondirectors, effective as of</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October 12, 2005, between The Scotts Miracle-Gro Company and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Robert F. Bernstock, in respect of grant of Nonqualified Stock</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ended December 31, 2005 (File</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Options to purchase 16,900 common shares (33,800 common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10(d)]</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shares as adjusted for 2-for-1 stock split distributed on November 9,</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2005)</w:t>
            </w:r>
          </w:p>
        </w:tc>
        <w:tc>
          <w:tcPr>
            <w:tcW w:w="30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34"/>
        </w:trPr>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47</w:t>
            </w:r>
          </w:p>
        </w:tc>
        <w:tc>
          <w:tcPr>
            <w:tcW w:w="15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39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32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8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80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Description</w:t>
            </w:r>
          </w:p>
        </w:tc>
        <w:tc>
          <w:tcPr>
            <w:tcW w:w="32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Location</w:t>
            </w: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10(w)</w:t>
            </w:r>
          </w:p>
        </w:tc>
        <w:tc>
          <w:tcPr>
            <w:tcW w:w="5800" w:type="dxa"/>
            <w:vAlign w:val="bottom"/>
          </w:tcPr>
          <w:p>
            <w:pPr>
              <w:ind w:left="200"/>
              <w:spacing w:after="0"/>
              <w:rPr>
                <w:sz w:val="20"/>
                <w:szCs w:val="20"/>
                <w:color w:val="auto"/>
              </w:rPr>
            </w:pPr>
            <w:r>
              <w:rPr>
                <w:rFonts w:ascii="Arial" w:cs="Arial" w:eastAsia="Arial" w:hAnsi="Arial"/>
                <w:sz w:val="18"/>
                <w:szCs w:val="18"/>
                <w:color w:val="auto"/>
              </w:rPr>
              <w:t>The Scotts Miracle-Gro Company 2003 Stock Option and Incentive</w:t>
            </w:r>
          </w:p>
        </w:tc>
        <w:tc>
          <w:tcPr>
            <w:tcW w:w="3220" w:type="dxa"/>
            <w:vAlign w:val="bottom"/>
          </w:tcPr>
          <w:p>
            <w:pPr>
              <w:ind w:left="16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Equity Plan Award Agreement for Nondirectors, effective as of</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October 12, 2005, between The Scotts Miracle-Gro Company and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Robert F. Bernstock, in respect of grant of 3,200 shares of</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ended December 31, 2005 (File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Restricted Stock (6,400 as adjusted for 2-for-1 stock split distributed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on November 9, 2005)</w:t>
            </w:r>
          </w:p>
        </w:tc>
        <w:tc>
          <w:tcPr>
            <w:tcW w:w="322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10(x)</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Amendment to The Scotts Miracle-Gro Company 2003 Stock Option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and Incentive Equity Plan Award Agreement for Nondirectors, dated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February 9, 2006, effective October 12, 2005, between The Scotts</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Miracle-Gro Company and Robert F. Bernstock in respect of grant of</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ended December 31, 2005 (File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Nonqualified Stock Options to purchase 33,800 common shares (as</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10(f)]</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adjusted)</w:t>
            </w:r>
          </w:p>
        </w:tc>
        <w:tc>
          <w:tcPr>
            <w:tcW w:w="322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10(y)</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Amendment to The Scotts Miracle-Gro Company 2003 Stock Option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and Incentive Equity Plan Award Agreement for Nondirectors, dated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February 9, 2006, effective October 12, 2005, between The Scotts</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Miracle-Gro Company and Robert F. Bernstock, in respect of grant</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ended December 31, 2005 (File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of 6,400 shares of Restricted Stock (as adjusted)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10(g)]</w:t>
            </w: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10(z)</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Separation Agreement and Release of All Claims, dated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December 1, 2006, between The Scotts Company LLC and Robert</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Current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F. Bernstock</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w w:val="99"/>
              </w:rPr>
              <w:t>Form 8-K filed December 7, 2006 (File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10.3]</w:t>
            </w: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10(aa)</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Employment Agreement for Christopher Nagel, entered into</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effective as of October 1, 2006, by and between Christopher Nagel</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Current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and The Scotts Miracle-Gro Company</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w w:val="99"/>
              </w:rPr>
              <w:t>Form 8-K filed December 7, 2006 (File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10.1]</w:t>
            </w: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10(bb)</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The Scotts Miracle-Gro Company 2006 Long-Term Incentive Plan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Award Agreement for Employees, evidencing Restricted Stock</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Current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Award of 38,000 Restricted Common Shares Awarded to</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w w:val="99"/>
              </w:rPr>
              <w:t>Form 8-K filed December 7, 2006 (File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Christopher Nagel on October 1, 2006 by The Scotts Miracle-Gro</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10.2]</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Company</w:t>
            </w:r>
          </w:p>
        </w:tc>
        <w:tc>
          <w:tcPr>
            <w:tcW w:w="3220" w:type="dxa"/>
            <w:vAlign w:val="bottom"/>
          </w:tcPr>
          <w:p>
            <w:pPr>
              <w:spacing w:after="0"/>
              <w:rPr>
                <w:sz w:val="17"/>
                <w:szCs w:val="17"/>
                <w:color w:val="auto"/>
              </w:rPr>
            </w:pP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10(cc)</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Form of 2003 Stock Option and Incentive Equity Plan Award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Agreement for Nondirectors</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Annual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10-K for the fiscal year ended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September 30, 2005 (File No. 1-</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13292) [Exhibit 10(u)]</w:t>
            </w: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10(dd)</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Form of 2003 Stock Option and Incentive Equity Plan Award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Agreement for Directors</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Annual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10-K for the fiscal year ended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September 30, 2005 (File No. 1-</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13292) [Exhibit 10(v)]</w:t>
            </w: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10(ee)</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The Scotts Miracle-Gro Company 2006 Long-Term Incentive Plan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Current Report on</w:t>
            </w:r>
          </w:p>
        </w:tc>
      </w:tr>
    </w:tbl>
    <w:p>
      <w:pPr>
        <w:ind w:left="7560"/>
        <w:spacing w:after="0" w:line="234" w:lineRule="auto"/>
        <w:rPr>
          <w:sz w:val="20"/>
          <w:szCs w:val="20"/>
          <w:color w:val="auto"/>
        </w:rPr>
      </w:pPr>
      <w:r>
        <w:rPr>
          <w:rFonts w:ascii="Arial" w:cs="Arial" w:eastAsia="Arial" w:hAnsi="Arial"/>
          <w:sz w:val="18"/>
          <w:szCs w:val="18"/>
          <w:color w:val="auto"/>
        </w:rPr>
        <w:t>Form 8-K filed February 2, 2006 (File</w:t>
      </w:r>
    </w:p>
    <w:p>
      <w:pPr>
        <w:spacing w:after="0" w:line="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No. 1-13292) [Exhibit 10.2]</w:t>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7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78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Description</w:t>
            </w:r>
          </w:p>
        </w:tc>
        <w:tc>
          <w:tcPr>
            <w:tcW w:w="32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Location</w:t>
            </w: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10(ff)</w:t>
            </w:r>
          </w:p>
        </w:tc>
        <w:tc>
          <w:tcPr>
            <w:tcW w:w="5780" w:type="dxa"/>
            <w:vAlign w:val="bottom"/>
          </w:tcPr>
          <w:p>
            <w:pPr>
              <w:ind w:left="200"/>
              <w:spacing w:after="0"/>
              <w:rPr>
                <w:sz w:val="20"/>
                <w:szCs w:val="20"/>
                <w:color w:val="auto"/>
              </w:rPr>
            </w:pPr>
            <w:r>
              <w:rPr>
                <w:rFonts w:ascii="Arial" w:cs="Arial" w:eastAsia="Arial" w:hAnsi="Arial"/>
                <w:sz w:val="18"/>
                <w:szCs w:val="18"/>
                <w:color w:val="auto"/>
              </w:rPr>
              <w:t>Specimen form of Award Agreement used to evidence Time-Based</w:t>
            </w:r>
          </w:p>
        </w:tc>
        <w:tc>
          <w:tcPr>
            <w:tcW w:w="3240" w:type="dxa"/>
            <w:vAlign w:val="bottom"/>
          </w:tcPr>
          <w:p>
            <w:pPr>
              <w:ind w:left="18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Nonqualified Stock Options for Non-Employee Directors under The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Current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Scotts Miracle-Gro Company 2006 Long-Term Incentive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8-K filed February 2, 2006 (File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10.3]</w:t>
            </w: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10(gg)</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Specimen form of Award Agreement to evidence Time-Based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Nonqualified Stock Options for Employees under The Scotts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Miracle-Gro Company 2006 Long-Term Incentive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ended December 31, 2005 (File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10(b)]</w:t>
            </w: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10(hh)</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Specimen form of Award Agreement for Third Party Service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Providers to evidence awards under The Scotts Miracle-Gro</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Company 2006 Long-Term Incentive Plan to third party service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providers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ended July 1, 2006 (File No. 1-13292)</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[Exhibit 10.3]</w:t>
            </w: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10(ii)</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The Scotts Miracle-Gro Company Discounted Stock Purchase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(As Amended and Restated as of January 26, 2006; Reflects 2-for-1</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Current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Stock Split Distributed on November 9, 2005)</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8-K filed February 2, 2006 (File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10.1]</w:t>
            </w:r>
          </w:p>
        </w:tc>
      </w:tr>
      <w:tr>
        <w:trPr>
          <w:trHeight w:val="203"/>
        </w:trPr>
        <w:tc>
          <w:tcPr>
            <w:tcW w:w="16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10(jj)</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Summary of Compensation for Directors of The Scotts Miracle-Gro</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Company</w:t>
            </w:r>
          </w:p>
        </w:tc>
        <w:tc>
          <w:tcPr>
            <w:tcW w:w="3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8147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14" w:lineRule="exact"/>
        <w:rPr>
          <w:sz w:val="20"/>
          <w:szCs w:val="20"/>
          <w:color w:val="auto"/>
        </w:rPr>
      </w:pPr>
    </w:p>
    <w:p>
      <w:pPr>
        <w:ind w:left="820" w:hanging="12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1360" w:hanging="270"/>
        <w:spacing w:after="0"/>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700" w:right="220" w:firstLine="397"/>
        <w:spacing w:after="0" w:line="246" w:lineRule="auto"/>
        <w:rPr>
          <w:sz w:val="20"/>
          <w:szCs w:val="20"/>
          <w:color w:val="auto"/>
        </w:rPr>
      </w:pPr>
      <w:r>
        <w:rPr>
          <w:rFonts w:ascii="Arial" w:cs="Arial" w:eastAsia="Arial" w:hAnsi="Arial"/>
          <w:sz w:val="18"/>
          <w:szCs w:val="18"/>
          <w:color w:val="auto"/>
        </w:rPr>
        <w:t>The exhibits listed on the “Index to Exhibits” beginning on page 108 of this Annual Report on Form 10-K are filed with this Annual Report on Form 10-K or incorporated herein by reference.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 FINANCIAL STATEMENT SCHEDULE</w:t>
      </w:r>
    </w:p>
    <w:p>
      <w:pPr>
        <w:spacing w:after="0" w:line="117" w:lineRule="exact"/>
        <w:rPr>
          <w:sz w:val="20"/>
          <w:szCs w:val="20"/>
          <w:color w:val="auto"/>
        </w:rPr>
      </w:pPr>
    </w:p>
    <w:p>
      <w:pPr>
        <w:ind w:left="700" w:right="140" w:firstLine="397"/>
        <w:spacing w:after="0" w:line="239" w:lineRule="auto"/>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 see “Index to Consolidated Financial Statements and Financial Statement Schedule” on page 51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-5715</wp:posOffset>
            </wp:positionV>
            <wp:extent cx="1885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1"/>
          <w:szCs w:val="11"/>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44" w:lineRule="exact"/>
        <w:rPr>
          <w:sz w:val="20"/>
          <w:szCs w:val="20"/>
          <w:color w:val="auto"/>
        </w:rPr>
      </w:pPr>
    </w:p>
    <w:p>
      <w:pPr>
        <w:ind w:left="700" w:right="1140" w:firstLine="402"/>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6340" w:type="dxa"/>
            <w:vAlign w:val="bottom"/>
            <w:gridSpan w:val="2"/>
          </w:tcPr>
          <w:p>
            <w:pPr>
              <w:ind w:left="1520"/>
              <w:spacing w:after="0"/>
              <w:rPr>
                <w:sz w:val="20"/>
                <w:szCs w:val="20"/>
                <w:color w:val="auto"/>
              </w:rPr>
            </w:pPr>
            <w:r>
              <w:rPr>
                <w:rFonts w:ascii="Arial" w:cs="Arial" w:eastAsia="Arial" w:hAnsi="Arial"/>
                <w:sz w:val="18"/>
                <w:szCs w:val="18"/>
                <w:color w:val="auto"/>
              </w:rPr>
              <w:t>THE SCOTTS MIRACLE-GRO COMPANY</w:t>
            </w: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Dated: December 14, 2006</w:t>
            </w:r>
          </w:p>
        </w:tc>
        <w:tc>
          <w:tcPr>
            <w:tcW w:w="6340" w:type="dxa"/>
            <w:vAlign w:val="bottom"/>
            <w:gridSpan w:val="2"/>
          </w:tcPr>
          <w:p>
            <w:pPr>
              <w:ind w:left="1520"/>
              <w:spacing w:after="0"/>
              <w:rPr>
                <w:sz w:val="20"/>
                <w:szCs w:val="20"/>
                <w:color w:val="auto"/>
              </w:rPr>
            </w:pPr>
            <w:r>
              <w:rPr>
                <w:rFonts w:ascii="Arial" w:cs="Arial" w:eastAsia="Arial" w:hAnsi="Arial"/>
                <w:sz w:val="18"/>
                <w:szCs w:val="18"/>
                <w:color w:val="auto"/>
              </w:rPr>
              <w:t>By: /s/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tc>
      </w:tr>
      <w:tr>
        <w:trPr>
          <w:trHeight w:val="195"/>
        </w:trPr>
        <w:tc>
          <w:tcPr>
            <w:tcW w:w="3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5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James Hagedorn, President, Chief Executive</w:t>
            </w:r>
          </w:p>
        </w:tc>
      </w:tr>
      <w:tr>
        <w:trPr>
          <w:trHeight w:val="217"/>
        </w:trPr>
        <w:tc>
          <w:tcPr>
            <w:tcW w:w="3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Officer and Chairman of the Board</w:t>
            </w:r>
          </w:p>
        </w:tc>
      </w:tr>
    </w:tbl>
    <w:p>
      <w:pPr>
        <w:spacing w:after="0" w:line="94" w:lineRule="exact"/>
        <w:rPr>
          <w:sz w:val="20"/>
          <w:szCs w:val="20"/>
          <w:color w:val="auto"/>
        </w:rPr>
      </w:pPr>
    </w:p>
    <w:p>
      <w:pPr>
        <w:jc w:val="both"/>
        <w:ind w:left="700" w:right="700" w:firstLine="402"/>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Signature</w:t>
            </w:r>
          </w:p>
        </w:tc>
        <w:tc>
          <w:tcPr>
            <w:tcW w:w="24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Title</w:t>
            </w:r>
          </w:p>
        </w:tc>
        <w:tc>
          <w:tcPr>
            <w:tcW w:w="2700" w:type="dxa"/>
            <w:vAlign w:val="bottom"/>
          </w:tcPr>
          <w:p>
            <w:pPr>
              <w:ind w:left="1100"/>
              <w:spacing w:after="0"/>
              <w:rPr>
                <w:sz w:val="20"/>
                <w:szCs w:val="20"/>
                <w:color w:val="auto"/>
              </w:rPr>
            </w:pPr>
            <w:r>
              <w:rPr>
                <w:rFonts w:ascii="Arial" w:cs="Arial" w:eastAsia="Arial" w:hAnsi="Arial"/>
                <w:sz w:val="18"/>
                <w:szCs w:val="18"/>
                <w:color w:val="auto"/>
              </w:rPr>
              <w:t>Date</w:t>
            </w:r>
          </w:p>
        </w:tc>
      </w:tr>
      <w:tr>
        <w:trPr>
          <w:trHeight w:val="446"/>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R. B</w:t>
            </w:r>
            <w:r>
              <w:rPr>
                <w:rFonts w:ascii="Arial" w:cs="Arial" w:eastAsia="Arial" w:hAnsi="Arial"/>
                <w:sz w:val="12"/>
                <w:szCs w:val="12"/>
                <w:color w:val="auto"/>
              </w:rPr>
              <w:t>AKER</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Mark R. Baker</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ORDON</w:t>
            </w:r>
            <w:r>
              <w:rPr>
                <w:rFonts w:ascii="Arial" w:cs="Arial" w:eastAsia="Arial" w:hAnsi="Arial"/>
                <w:sz w:val="18"/>
                <w:szCs w:val="18"/>
                <w:color w:val="auto"/>
              </w:rPr>
              <w:t xml:space="preserve"> F. B</w:t>
            </w:r>
            <w:r>
              <w:rPr>
                <w:rFonts w:ascii="Arial" w:cs="Arial" w:eastAsia="Arial" w:hAnsi="Arial"/>
                <w:sz w:val="12"/>
                <w:szCs w:val="12"/>
                <w:color w:val="auto"/>
              </w:rPr>
              <w:t>RUNNER</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Gordon F. Brunner</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RNOLD</w:t>
            </w:r>
            <w:r>
              <w:rPr>
                <w:rFonts w:ascii="Arial" w:cs="Arial" w:eastAsia="Arial" w:hAnsi="Arial"/>
                <w:sz w:val="18"/>
                <w:szCs w:val="18"/>
                <w:color w:val="auto"/>
              </w:rPr>
              <w:t xml:space="preserve"> W. D</w:t>
            </w:r>
            <w:r>
              <w:rPr>
                <w:rFonts w:ascii="Arial" w:cs="Arial" w:eastAsia="Arial" w:hAnsi="Arial"/>
                <w:sz w:val="12"/>
                <w:szCs w:val="12"/>
                <w:color w:val="auto"/>
              </w:rPr>
              <w:t>ONALD</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Arnold W. Donald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OSEPH</w:t>
            </w:r>
            <w:r>
              <w:rPr>
                <w:rFonts w:ascii="Arial" w:cs="Arial" w:eastAsia="Arial" w:hAnsi="Arial"/>
                <w:sz w:val="18"/>
                <w:szCs w:val="18"/>
                <w:color w:val="auto"/>
              </w:rPr>
              <w:t xml:space="preserve"> P. F</w:t>
            </w:r>
            <w:r>
              <w:rPr>
                <w:rFonts w:ascii="Arial" w:cs="Arial" w:eastAsia="Arial" w:hAnsi="Arial"/>
                <w:sz w:val="12"/>
                <w:szCs w:val="12"/>
                <w:color w:val="auto"/>
              </w:rPr>
              <w:t>LANNERY</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Joseph P. Flannery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57"/>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President, Chief Executive Officer,</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175"/>
        </w:trPr>
        <w:tc>
          <w:tcPr>
            <w:tcW w:w="700" w:type="dxa"/>
            <w:vAlign w:val="bottom"/>
          </w:tcPr>
          <w:p>
            <w:pPr>
              <w:spacing w:after="0"/>
              <w:rPr>
                <w:sz w:val="15"/>
                <w:szCs w:val="15"/>
                <w:color w:val="auto"/>
              </w:rPr>
            </w:pPr>
          </w:p>
        </w:tc>
        <w:tc>
          <w:tcPr>
            <w:tcW w:w="4620" w:type="dxa"/>
            <w:vAlign w:val="bottom"/>
          </w:tcPr>
          <w:p>
            <w:pPr>
              <w:spacing w:after="0" w:line="175" w:lineRule="exact"/>
              <w:rPr>
                <w:sz w:val="20"/>
                <w:szCs w:val="20"/>
                <w:color w:val="auto"/>
              </w:rPr>
            </w:pPr>
            <w:r>
              <w:rPr>
                <w:rFonts w:ascii="Arial" w:cs="Arial" w:eastAsia="Arial" w:hAnsi="Arial"/>
                <w:sz w:val="18"/>
                <w:szCs w:val="18"/>
                <w:color w:val="auto"/>
              </w:rPr>
              <w:t>James Hagedorn</w:t>
            </w:r>
          </w:p>
        </w:tc>
        <w:tc>
          <w:tcPr>
            <w:tcW w:w="240" w:type="dxa"/>
            <w:vAlign w:val="bottom"/>
          </w:tcPr>
          <w:p>
            <w:pPr>
              <w:spacing w:after="0"/>
              <w:rPr>
                <w:sz w:val="15"/>
                <w:szCs w:val="15"/>
                <w:color w:val="auto"/>
              </w:rPr>
            </w:pPr>
          </w:p>
        </w:tc>
        <w:tc>
          <w:tcPr>
            <w:tcW w:w="3160" w:type="dxa"/>
            <w:vAlign w:val="bottom"/>
            <w:gridSpan w:val="2"/>
          </w:tcPr>
          <w:p>
            <w:pPr>
              <w:ind w:left="80"/>
              <w:spacing w:after="0" w:line="175" w:lineRule="exact"/>
              <w:rPr>
                <w:sz w:val="20"/>
                <w:szCs w:val="20"/>
                <w:color w:val="auto"/>
              </w:rPr>
            </w:pPr>
            <w:r>
              <w:rPr>
                <w:rFonts w:ascii="Arial" w:cs="Arial" w:eastAsia="Arial" w:hAnsi="Arial"/>
                <w:sz w:val="18"/>
                <w:szCs w:val="18"/>
                <w:color w:val="auto"/>
              </w:rPr>
              <w:t>Chairman of the Board and Director</w:t>
            </w:r>
          </w:p>
        </w:tc>
        <w:tc>
          <w:tcPr>
            <w:tcW w:w="2700" w:type="dxa"/>
            <w:vAlign w:val="bottom"/>
          </w:tcPr>
          <w:p>
            <w:pPr>
              <w:spacing w:after="0"/>
              <w:rPr>
                <w:sz w:val="15"/>
                <w:szCs w:val="15"/>
                <w:color w:val="auto"/>
              </w:rPr>
            </w:pPr>
          </w:p>
        </w:tc>
      </w:tr>
      <w:tr>
        <w:trPr>
          <w:trHeight w:val="217"/>
        </w:trPr>
        <w:tc>
          <w:tcPr>
            <w:tcW w:w="7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(Principal Executive Officer)</w:t>
            </w:r>
          </w:p>
        </w:tc>
        <w:tc>
          <w:tcPr>
            <w:tcW w:w="2700" w:type="dxa"/>
            <w:vAlign w:val="bottom"/>
          </w:tcPr>
          <w:p>
            <w:pPr>
              <w:spacing w:after="0"/>
              <w:rPr>
                <w:sz w:val="18"/>
                <w:szCs w:val="18"/>
                <w:color w:val="auto"/>
              </w:rPr>
            </w:pPr>
          </w:p>
        </w:tc>
      </w:tr>
      <w:tr>
        <w:trPr>
          <w:trHeight w:val="378"/>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N. K</w:t>
            </w:r>
            <w:r>
              <w:rPr>
                <w:rFonts w:ascii="Arial" w:cs="Arial" w:eastAsia="Arial" w:hAnsi="Arial"/>
                <w:sz w:val="12"/>
                <w:szCs w:val="12"/>
                <w:color w:val="auto"/>
              </w:rPr>
              <w:t>ELLY</w:t>
            </w:r>
            <w:r>
              <w:rPr>
                <w:rFonts w:ascii="Arial" w:cs="Arial" w:eastAsia="Arial" w:hAnsi="Arial"/>
                <w:sz w:val="18"/>
                <w:szCs w:val="18"/>
                <w:color w:val="auto"/>
              </w:rPr>
              <w:t xml:space="preserve"> J</w:t>
            </w:r>
            <w:r>
              <w:rPr>
                <w:rFonts w:ascii="Arial" w:cs="Arial" w:eastAsia="Arial" w:hAnsi="Arial"/>
                <w:sz w:val="12"/>
                <w:szCs w:val="12"/>
                <w:color w:val="auto"/>
              </w:rPr>
              <w:t>R</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Thomas N. Kelly Jr.</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ATHERINE</w:t>
            </w:r>
            <w:r>
              <w:rPr>
                <w:rFonts w:ascii="Arial" w:cs="Arial" w:eastAsia="Arial" w:hAnsi="Arial"/>
                <w:sz w:val="18"/>
                <w:szCs w:val="18"/>
                <w:color w:val="auto"/>
              </w:rPr>
              <w:t xml:space="preserve"> H</w:t>
            </w:r>
            <w:r>
              <w:rPr>
                <w:rFonts w:ascii="Arial" w:cs="Arial" w:eastAsia="Arial" w:hAnsi="Arial"/>
                <w:sz w:val="12"/>
                <w:szCs w:val="12"/>
                <w:color w:val="auto"/>
              </w:rPr>
              <w:t>AGEDORN</w:t>
            </w:r>
            <w:r>
              <w:rPr>
                <w:rFonts w:ascii="Arial" w:cs="Arial" w:eastAsia="Arial" w:hAnsi="Arial"/>
                <w:sz w:val="18"/>
                <w:szCs w:val="18"/>
                <w:color w:val="auto"/>
              </w:rPr>
              <w:t xml:space="preserve"> L</w:t>
            </w:r>
            <w:r>
              <w:rPr>
                <w:rFonts w:ascii="Arial" w:cs="Arial" w:eastAsia="Arial" w:hAnsi="Arial"/>
                <w:sz w:val="12"/>
                <w:szCs w:val="12"/>
                <w:color w:val="auto"/>
              </w:rPr>
              <w:t>ITTLEFIELD</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AREN</w:t>
            </w:r>
            <w:r>
              <w:rPr>
                <w:rFonts w:ascii="Arial" w:cs="Arial" w:eastAsia="Arial" w:hAnsi="Arial"/>
                <w:sz w:val="18"/>
                <w:szCs w:val="18"/>
                <w:color w:val="auto"/>
              </w:rPr>
              <w:t xml:space="preserve"> G. M</w:t>
            </w:r>
            <w:r>
              <w:rPr>
                <w:rFonts w:ascii="Arial" w:cs="Arial" w:eastAsia="Arial" w:hAnsi="Arial"/>
                <w:sz w:val="12"/>
                <w:szCs w:val="12"/>
                <w:color w:val="auto"/>
              </w:rPr>
              <w:t>ILLS</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Karen G. Mills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57"/>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C. E</w:t>
            </w:r>
            <w:r>
              <w:rPr>
                <w:rFonts w:ascii="Arial" w:cs="Arial" w:eastAsia="Arial" w:hAnsi="Arial"/>
                <w:sz w:val="12"/>
                <w:szCs w:val="12"/>
                <w:color w:val="auto"/>
              </w:rPr>
              <w:t>VANS</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Executive Vice President and Chief</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175"/>
        </w:trPr>
        <w:tc>
          <w:tcPr>
            <w:tcW w:w="700" w:type="dxa"/>
            <w:vAlign w:val="bottom"/>
          </w:tcPr>
          <w:p>
            <w:pPr>
              <w:spacing w:after="0"/>
              <w:rPr>
                <w:sz w:val="15"/>
                <w:szCs w:val="15"/>
                <w:color w:val="auto"/>
              </w:rPr>
            </w:pPr>
          </w:p>
        </w:tc>
        <w:tc>
          <w:tcPr>
            <w:tcW w:w="4620" w:type="dxa"/>
            <w:vAlign w:val="bottom"/>
          </w:tcPr>
          <w:p>
            <w:pPr>
              <w:spacing w:after="0" w:line="175" w:lineRule="exact"/>
              <w:rPr>
                <w:sz w:val="20"/>
                <w:szCs w:val="20"/>
                <w:color w:val="auto"/>
              </w:rPr>
            </w:pPr>
            <w:r>
              <w:rPr>
                <w:rFonts w:ascii="Arial" w:cs="Arial" w:eastAsia="Arial" w:hAnsi="Arial"/>
                <w:sz w:val="18"/>
                <w:szCs w:val="18"/>
                <w:color w:val="auto"/>
              </w:rPr>
              <w:t>David C. Evans</w:t>
            </w:r>
          </w:p>
        </w:tc>
        <w:tc>
          <w:tcPr>
            <w:tcW w:w="240" w:type="dxa"/>
            <w:vAlign w:val="bottom"/>
          </w:tcPr>
          <w:p>
            <w:pPr>
              <w:spacing w:after="0"/>
              <w:rPr>
                <w:sz w:val="15"/>
                <w:szCs w:val="15"/>
                <w:color w:val="auto"/>
              </w:rPr>
            </w:pPr>
          </w:p>
        </w:tc>
        <w:tc>
          <w:tcPr>
            <w:tcW w:w="3160" w:type="dxa"/>
            <w:vAlign w:val="bottom"/>
            <w:gridSpan w:val="2"/>
          </w:tcPr>
          <w:p>
            <w:pPr>
              <w:ind w:left="80"/>
              <w:spacing w:after="0" w:line="175" w:lineRule="exact"/>
              <w:rPr>
                <w:sz w:val="20"/>
                <w:szCs w:val="20"/>
                <w:color w:val="auto"/>
              </w:rPr>
            </w:pPr>
            <w:r>
              <w:rPr>
                <w:rFonts w:ascii="Arial" w:cs="Arial" w:eastAsia="Arial" w:hAnsi="Arial"/>
                <w:sz w:val="18"/>
                <w:szCs w:val="18"/>
                <w:color w:val="auto"/>
              </w:rPr>
              <w:t>Financial Officer (Principal Financial</w:t>
            </w:r>
          </w:p>
        </w:tc>
        <w:tc>
          <w:tcPr>
            <w:tcW w:w="2700" w:type="dxa"/>
            <w:vAlign w:val="bottom"/>
          </w:tcPr>
          <w:p>
            <w:pPr>
              <w:spacing w:after="0"/>
              <w:rPr>
                <w:sz w:val="15"/>
                <w:szCs w:val="15"/>
                <w:color w:val="auto"/>
              </w:rPr>
            </w:pPr>
          </w:p>
        </w:tc>
      </w:tr>
      <w:tr>
        <w:trPr>
          <w:trHeight w:val="203"/>
        </w:trPr>
        <w:tc>
          <w:tcPr>
            <w:tcW w:w="7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Officer and Principal Accounting</w:t>
            </w:r>
          </w:p>
        </w:tc>
        <w:tc>
          <w:tcPr>
            <w:tcW w:w="270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Officer)</w:t>
            </w:r>
          </w:p>
        </w:tc>
        <w:tc>
          <w:tcPr>
            <w:tcW w:w="2700" w:type="dxa"/>
            <w:vAlign w:val="bottom"/>
          </w:tcPr>
          <w:p>
            <w:pPr>
              <w:spacing w:after="0"/>
              <w:rPr>
                <w:sz w:val="18"/>
                <w:szCs w:val="18"/>
                <w:color w:val="auto"/>
              </w:rPr>
            </w:pPr>
          </w:p>
        </w:tc>
      </w:tr>
      <w:tr>
        <w:trPr>
          <w:trHeight w:val="378"/>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ATRICK</w:t>
            </w:r>
            <w:r>
              <w:rPr>
                <w:rFonts w:ascii="Arial" w:cs="Arial" w:eastAsia="Arial" w:hAnsi="Arial"/>
                <w:sz w:val="18"/>
                <w:szCs w:val="18"/>
                <w:color w:val="auto"/>
              </w:rPr>
              <w:t xml:space="preserve"> J. N</w:t>
            </w:r>
            <w:r>
              <w:rPr>
                <w:rFonts w:ascii="Arial" w:cs="Arial" w:eastAsia="Arial" w:hAnsi="Arial"/>
                <w:sz w:val="12"/>
                <w:szCs w:val="12"/>
                <w:color w:val="auto"/>
              </w:rPr>
              <w:t>ORTON</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Patrick J. Norton</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TEPHANIE</w:t>
            </w:r>
            <w:r>
              <w:rPr>
                <w:rFonts w:ascii="Arial" w:cs="Arial" w:eastAsia="Arial" w:hAnsi="Arial"/>
                <w:sz w:val="18"/>
                <w:szCs w:val="18"/>
                <w:color w:val="auto"/>
              </w:rPr>
              <w:t xml:space="preserve"> M. S</w:t>
            </w:r>
            <w:r>
              <w:rPr>
                <w:rFonts w:ascii="Arial" w:cs="Arial" w:eastAsia="Arial" w:hAnsi="Arial"/>
                <w:sz w:val="12"/>
                <w:szCs w:val="12"/>
                <w:color w:val="auto"/>
              </w:rPr>
              <w:t>HERN</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Stephanie M. Shern</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M. S</w:t>
            </w:r>
            <w:r>
              <w:rPr>
                <w:rFonts w:ascii="Arial" w:cs="Arial" w:eastAsia="Arial" w:hAnsi="Arial"/>
                <w:sz w:val="12"/>
                <w:szCs w:val="12"/>
                <w:color w:val="auto"/>
              </w:rPr>
              <w:t>ULLIVAN</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210"/>
        </w:trPr>
        <w:tc>
          <w:tcPr>
            <w:tcW w:w="7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John M. Sullivan</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64"/>
        </w:trPr>
        <w:tc>
          <w:tcPr>
            <w:tcW w:w="70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W</w:t>
            </w:r>
            <w:r>
              <w:rPr>
                <w:rFonts w:ascii="Arial" w:cs="Arial" w:eastAsia="Arial" w:hAnsi="Arial"/>
                <w:sz w:val="12"/>
                <w:szCs w:val="12"/>
                <w:color w:val="auto"/>
              </w:rPr>
              <w:t>ALKER</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tc>
        <w:tc>
          <w:tcPr>
            <w:tcW w:w="240" w:type="dxa"/>
            <w:vAlign w:val="bottom"/>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220"/>
              <w:spacing w:after="0"/>
              <w:rPr>
                <w:sz w:val="20"/>
                <w:szCs w:val="20"/>
                <w:color w:val="auto"/>
              </w:rPr>
            </w:pPr>
            <w:r>
              <w:rPr>
                <w:rFonts w:ascii="Arial" w:cs="Arial" w:eastAsia="Arial" w:hAnsi="Arial"/>
                <w:sz w:val="18"/>
                <w:szCs w:val="18"/>
                <w:color w:val="auto"/>
              </w:rPr>
              <w:t>December 14, 2006</w:t>
            </w:r>
          </w:p>
        </w:tc>
      </w:tr>
      <w:tr>
        <w:trPr>
          <w:trHeight w:val="196"/>
        </w:trPr>
        <w:tc>
          <w:tcPr>
            <w:tcW w:w="700" w:type="dxa"/>
            <w:vAlign w:val="bottom"/>
          </w:tcPr>
          <w:p>
            <w:pPr>
              <w:spacing w:after="0"/>
              <w:rPr>
                <w:sz w:val="17"/>
                <w:szCs w:val="17"/>
                <w:color w:val="auto"/>
              </w:rPr>
            </w:pPr>
          </w:p>
        </w:tc>
        <w:tc>
          <w:tcPr>
            <w:tcW w:w="4620" w:type="dxa"/>
            <w:vAlign w:val="bottom"/>
          </w:tcPr>
          <w:p>
            <w:pPr>
              <w:spacing w:after="0" w:line="196" w:lineRule="exact"/>
              <w:rPr>
                <w:sz w:val="20"/>
                <w:szCs w:val="20"/>
                <w:color w:val="auto"/>
              </w:rPr>
            </w:pPr>
            <w:r>
              <w:rPr>
                <w:rFonts w:ascii="Arial" w:cs="Arial" w:eastAsia="Arial" w:hAnsi="Arial"/>
                <w:sz w:val="18"/>
                <w:szCs w:val="18"/>
                <w:color w:val="auto"/>
              </w:rPr>
              <w:t>John Walker, Ph.D.</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134"/>
        </w:trPr>
        <w:tc>
          <w:tcPr>
            <w:tcW w:w="7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50</w:t>
            </w:r>
          </w:p>
        </w:tc>
        <w:tc>
          <w:tcPr>
            <w:tcW w:w="2860" w:type="dxa"/>
            <w:vAlign w:val="bottom"/>
          </w:tcPr>
          <w:p>
            <w:pPr>
              <w:spacing w:after="0"/>
              <w:rPr>
                <w:sz w:val="11"/>
                <w:szCs w:val="11"/>
                <w:color w:val="auto"/>
              </w:rPr>
            </w:pPr>
          </w:p>
        </w:tc>
        <w:tc>
          <w:tcPr>
            <w:tcW w:w="2700" w:type="dxa"/>
            <w:vAlign w:val="bottom"/>
          </w:tcPr>
          <w:p>
            <w:pPr>
              <w:spacing w:after="0"/>
              <w:rPr>
                <w:sz w:val="11"/>
                <w:szCs w:val="1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6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860" w:type="dxa"/>
            <w:vAlign w:val="bottom"/>
            <w:tcBorders>
              <w:bottom w:val="single" w:sz="8" w:color="808080"/>
            </w:tcBorders>
          </w:tcPr>
          <w:p>
            <w:pPr>
              <w:spacing w:after="0"/>
              <w:rPr>
                <w:sz w:val="18"/>
                <w:szCs w:val="18"/>
                <w:color w:val="auto"/>
              </w:rPr>
            </w:pPr>
          </w:p>
        </w:tc>
        <w:tc>
          <w:tcPr>
            <w:tcW w:w="27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-5558790</wp:posOffset>
            </wp:positionV>
            <wp:extent cx="260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-5558790</wp:posOffset>
            </wp:positionV>
            <wp:extent cx="171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-5558790</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FINANCIAL STATEMENT SCHEDULE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r>
      <w:tr>
        <w:trPr>
          <w:trHeight w:val="249"/>
        </w:trPr>
        <w:tc>
          <w:tcPr>
            <w:tcW w:w="9460" w:type="dxa"/>
            <w:vAlign w:val="bottom"/>
            <w:gridSpan w:val="11"/>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580" w:type="dxa"/>
            <w:vAlign w:val="bottom"/>
          </w:tcPr>
          <w:p>
            <w:pPr>
              <w:spacing w:after="0"/>
              <w:rPr>
                <w:sz w:val="21"/>
                <w:szCs w:val="21"/>
                <w:color w:val="auto"/>
              </w:rPr>
            </w:pPr>
          </w:p>
        </w:tc>
      </w:tr>
      <w:tr>
        <w:trPr>
          <w:trHeight w:val="176"/>
        </w:trPr>
        <w:tc>
          <w:tcPr>
            <w:tcW w:w="180" w:type="dxa"/>
            <w:vAlign w:val="bottom"/>
          </w:tcPr>
          <w:p>
            <w:pPr>
              <w:spacing w:after="0"/>
              <w:rPr>
                <w:sz w:val="15"/>
                <w:szCs w:val="15"/>
                <w:color w:val="auto"/>
              </w:rPr>
            </w:pPr>
          </w:p>
        </w:tc>
        <w:tc>
          <w:tcPr>
            <w:tcW w:w="6020" w:type="dxa"/>
            <w:vAlign w:val="bottom"/>
            <w:tcBorders>
              <w:bottom w:val="single" w:sz="8" w:color="0000EE"/>
            </w:tcBorders>
            <w:gridSpan w:val="4"/>
          </w:tcPr>
          <w:p>
            <w:pPr>
              <w:spacing w:after="0" w:line="176"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Annual Report of Management on Internal Control Over Financial Reporting</w:t>
              </w:r>
            </w:hyperlink>
          </w:p>
        </w:tc>
        <w:tc>
          <w:tcPr>
            <w:tcW w:w="3260" w:type="dxa"/>
            <w:vAlign w:val="bottom"/>
            <w:gridSpan w:val="6"/>
          </w:tcPr>
          <w:p>
            <w:pPr>
              <w:spacing w:after="0"/>
              <w:rPr>
                <w:sz w:val="15"/>
                <w:szCs w:val="15"/>
                <w:color w:val="auto"/>
              </w:rPr>
            </w:pPr>
          </w:p>
        </w:tc>
        <w:tc>
          <w:tcPr>
            <w:tcW w:w="5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52</w:t>
            </w:r>
          </w:p>
        </w:tc>
      </w:tr>
      <w:tr>
        <w:trPr>
          <w:trHeight w:val="183"/>
        </w:trPr>
        <w:tc>
          <w:tcPr>
            <w:tcW w:w="180" w:type="dxa"/>
            <w:vAlign w:val="bottom"/>
          </w:tcPr>
          <w:p>
            <w:pPr>
              <w:spacing w:after="0"/>
              <w:rPr>
                <w:sz w:val="15"/>
                <w:szCs w:val="15"/>
                <w:color w:val="auto"/>
              </w:rPr>
            </w:pPr>
          </w:p>
        </w:tc>
        <w:tc>
          <w:tcPr>
            <w:tcW w:w="478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Reports of Independent Registered Public Accounting Firms</w:t>
              </w:r>
            </w:hyperlink>
          </w:p>
        </w:tc>
        <w:tc>
          <w:tcPr>
            <w:tcW w:w="4500" w:type="dxa"/>
            <w:vAlign w:val="bottom"/>
            <w:gridSpan w:val="8"/>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53</w:t>
            </w:r>
          </w:p>
        </w:tc>
      </w:tr>
      <w:tr>
        <w:trPr>
          <w:trHeight w:val="183"/>
        </w:trPr>
        <w:tc>
          <w:tcPr>
            <w:tcW w:w="180" w:type="dxa"/>
            <w:vAlign w:val="bottom"/>
          </w:tcPr>
          <w:p>
            <w:pPr>
              <w:spacing w:after="0"/>
              <w:rPr>
                <w:sz w:val="15"/>
                <w:szCs w:val="15"/>
                <w:color w:val="auto"/>
              </w:rPr>
            </w:pPr>
          </w:p>
        </w:tc>
        <w:tc>
          <w:tcPr>
            <w:tcW w:w="9280" w:type="dxa"/>
            <w:vAlign w:val="bottom"/>
            <w:gridSpan w:val="10"/>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Operations for the fiscal years ended September 30, 2006, 2005 and 2004</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56</w:t>
            </w:r>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9280" w:type="dxa"/>
            <w:vAlign w:val="bottom"/>
            <w:gridSpan w:val="10"/>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fiscal years ended September 30, 2006, 2005 and 2004</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57</w:t>
            </w:r>
          </w:p>
        </w:tc>
      </w:tr>
      <w:tr>
        <w:trPr>
          <w:trHeight w:val="183"/>
        </w:trPr>
        <w:tc>
          <w:tcPr>
            <w:tcW w:w="180" w:type="dxa"/>
            <w:vAlign w:val="bottom"/>
          </w:tcPr>
          <w:p>
            <w:pPr>
              <w:spacing w:after="0"/>
              <w:rPr>
                <w:sz w:val="15"/>
                <w:szCs w:val="15"/>
                <w:color w:val="auto"/>
              </w:rPr>
            </w:pPr>
          </w:p>
        </w:tc>
        <w:tc>
          <w:tcPr>
            <w:tcW w:w="82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Balance Sheets at September 30, 2006 and 2005</w:t>
              </w:r>
            </w:hyperlink>
          </w:p>
        </w:tc>
        <w:tc>
          <w:tcPr>
            <w:tcW w:w="1040" w:type="dxa"/>
            <w:vAlign w:val="bottom"/>
            <w:gridSpan w:val="3"/>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58</w:t>
            </w:r>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9280" w:type="dxa"/>
            <w:vAlign w:val="bottom"/>
            <w:gridSpan w:val="10"/>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Shareholders’ Equity for the fiscal years ended September 30, 2006, 2005 and 2004</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59</w:t>
            </w:r>
          </w:p>
        </w:tc>
      </w:tr>
      <w:tr>
        <w:trPr>
          <w:trHeight w:val="183"/>
        </w:trPr>
        <w:tc>
          <w:tcPr>
            <w:tcW w:w="180" w:type="dxa"/>
            <w:vAlign w:val="bottom"/>
          </w:tcPr>
          <w:p>
            <w:pPr>
              <w:spacing w:after="0"/>
              <w:rPr>
                <w:sz w:val="15"/>
                <w:szCs w:val="15"/>
                <w:color w:val="auto"/>
              </w:rPr>
            </w:pPr>
          </w:p>
        </w:tc>
        <w:tc>
          <w:tcPr>
            <w:tcW w:w="35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Notes to Consolidated Financial Statements</w:t>
              </w:r>
            </w:hyperlink>
          </w:p>
        </w:tc>
        <w:tc>
          <w:tcPr>
            <w:tcW w:w="5460" w:type="dxa"/>
            <w:vAlign w:val="bottom"/>
            <w:tcBorders>
              <w:top w:val="single" w:sz="8" w:color="0000EE"/>
            </w:tcBorders>
            <w:gridSpan w:val="8"/>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60</w:t>
            </w:r>
          </w:p>
        </w:tc>
      </w:tr>
      <w:tr>
        <w:trPr>
          <w:trHeight w:val="209"/>
        </w:trPr>
        <w:tc>
          <w:tcPr>
            <w:tcW w:w="9460" w:type="dxa"/>
            <w:vAlign w:val="bottom"/>
            <w:gridSpan w:val="11"/>
          </w:tcPr>
          <w:p>
            <w:pPr>
              <w:spacing w:after="0"/>
              <w:rPr>
                <w:sz w:val="20"/>
                <w:szCs w:val="20"/>
                <w:color w:val="auto"/>
              </w:rPr>
            </w:pPr>
            <w:r>
              <w:rPr>
                <w:rFonts w:ascii="Arial" w:cs="Arial" w:eastAsia="Arial" w:hAnsi="Arial"/>
                <w:sz w:val="18"/>
                <w:szCs w:val="18"/>
                <w:color w:val="auto"/>
              </w:rPr>
              <w:t>Schedule Supporting the Consolidated Financial Statements:</w:t>
            </w:r>
          </w:p>
        </w:tc>
        <w:tc>
          <w:tcPr>
            <w:tcW w:w="580" w:type="dxa"/>
            <w:vAlign w:val="bottom"/>
          </w:tcPr>
          <w:p>
            <w:pPr>
              <w:spacing w:after="0"/>
              <w:rPr>
                <w:sz w:val="18"/>
                <w:szCs w:val="18"/>
                <w:color w:val="auto"/>
              </w:rPr>
            </w:pPr>
          </w:p>
        </w:tc>
      </w:tr>
      <w:tr>
        <w:trPr>
          <w:trHeight w:val="176"/>
        </w:trPr>
        <w:tc>
          <w:tcPr>
            <w:tcW w:w="180" w:type="dxa"/>
            <w:vAlign w:val="bottom"/>
          </w:tcPr>
          <w:p>
            <w:pPr>
              <w:spacing w:after="0"/>
              <w:rPr>
                <w:sz w:val="15"/>
                <w:szCs w:val="15"/>
                <w:color w:val="auto"/>
              </w:rPr>
            </w:pPr>
          </w:p>
        </w:tc>
        <w:tc>
          <w:tcPr>
            <w:tcW w:w="7480" w:type="dxa"/>
            <w:vAlign w:val="bottom"/>
            <w:tcBorders>
              <w:bottom w:val="single" w:sz="8" w:color="0000EE"/>
            </w:tcBorders>
            <w:gridSpan w:val="5"/>
          </w:tcPr>
          <w:p>
            <w:pPr>
              <w:spacing w:after="0" w:line="176" w:lineRule="exact"/>
              <w:rPr>
                <w:rFonts w:ascii="Arial" w:cs="Arial" w:eastAsia="Arial" w:hAnsi="Arial"/>
                <w:sz w:val="18"/>
                <w:szCs w:val="18"/>
                <w:color w:val="0000EE"/>
                <w:w w:val="99"/>
              </w:rPr>
            </w:pPr>
            <w:hyperlink w:anchor="page107">
              <w:r>
                <w:rPr>
                  <w:rFonts w:ascii="Arial" w:cs="Arial" w:eastAsia="Arial" w:hAnsi="Arial"/>
                  <w:sz w:val="18"/>
                  <w:szCs w:val="18"/>
                  <w:color w:val="0000EE"/>
                  <w:w w:val="99"/>
                </w:rPr>
                <w:t>Reports of Independent Registered Public Accounting Firms on Financial Statement Schedule</w:t>
              </w:r>
            </w:hyperlink>
          </w:p>
        </w:tc>
        <w:tc>
          <w:tcPr>
            <w:tcW w:w="1800" w:type="dxa"/>
            <w:vAlign w:val="bottom"/>
            <w:gridSpan w:val="5"/>
          </w:tcPr>
          <w:p>
            <w:pPr>
              <w:spacing w:after="0"/>
              <w:rPr>
                <w:sz w:val="15"/>
                <w:szCs w:val="15"/>
                <w:color w:val="auto"/>
              </w:rPr>
            </w:pPr>
          </w:p>
        </w:tc>
        <w:tc>
          <w:tcPr>
            <w:tcW w:w="5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106</w:t>
            </w:r>
          </w:p>
        </w:tc>
      </w:tr>
      <w:tr>
        <w:trPr>
          <w:trHeight w:val="183"/>
        </w:trPr>
        <w:tc>
          <w:tcPr>
            <w:tcW w:w="180" w:type="dxa"/>
            <w:vAlign w:val="bottom"/>
          </w:tcPr>
          <w:p>
            <w:pPr>
              <w:spacing w:after="0"/>
              <w:rPr>
                <w:sz w:val="15"/>
                <w:szCs w:val="15"/>
                <w:color w:val="auto"/>
              </w:rPr>
            </w:pPr>
          </w:p>
        </w:tc>
        <w:tc>
          <w:tcPr>
            <w:tcW w:w="9280" w:type="dxa"/>
            <w:vAlign w:val="bottom"/>
            <w:gridSpan w:val="10"/>
          </w:tcPr>
          <w:p>
            <w:pPr>
              <w:spacing w:after="0" w:line="182" w:lineRule="exact"/>
              <w:rPr>
                <w:rFonts w:ascii="Arial" w:cs="Arial" w:eastAsia="Arial" w:hAnsi="Arial"/>
                <w:sz w:val="18"/>
                <w:szCs w:val="18"/>
                <w:color w:val="0000EE"/>
              </w:rPr>
            </w:pPr>
            <w:hyperlink w:anchor="page108">
              <w:r>
                <w:rPr>
                  <w:rFonts w:ascii="Arial" w:cs="Arial" w:eastAsia="Arial" w:hAnsi="Arial"/>
                  <w:sz w:val="18"/>
                  <w:szCs w:val="18"/>
                  <w:color w:val="0000EE"/>
                </w:rPr>
                <w:t>Schedule II — Valuation and Qualifying Accounts for the fiscal years ended September 30, 2006, 2005 and 2004</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107</w:t>
            </w:r>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EX-4(C)(3)</w:t>
      </w:r>
    </w:p>
    <w:p>
      <w:pPr>
        <w:ind w:left="40"/>
        <w:spacing w:after="0" w:line="234" w:lineRule="auto"/>
        <w:rPr>
          <w:sz w:val="20"/>
          <w:szCs w:val="20"/>
          <w:color w:val="auto"/>
        </w:rPr>
      </w:pPr>
      <w:r>
        <w:rPr>
          <w:rFonts w:ascii="Arial" w:cs="Arial" w:eastAsia="Arial" w:hAnsi="Arial"/>
          <w:sz w:val="18"/>
          <w:szCs w:val="18"/>
          <w:u w:val="single" w:color="auto"/>
          <w:color w:val="0000EE"/>
        </w:rPr>
        <w:t>EX-4(C)(4)</w:t>
      </w:r>
    </w:p>
    <w:p>
      <w:pPr>
        <w:ind w:left="40"/>
        <w:spacing w:after="0" w:line="235" w:lineRule="auto"/>
        <w:rPr>
          <w:sz w:val="20"/>
          <w:szCs w:val="20"/>
          <w:color w:val="auto"/>
        </w:rPr>
      </w:pPr>
      <w:r>
        <w:rPr>
          <w:rFonts w:ascii="Arial" w:cs="Arial" w:eastAsia="Arial" w:hAnsi="Arial"/>
          <w:sz w:val="18"/>
          <w:szCs w:val="18"/>
          <w:u w:val="single" w:color="auto"/>
          <w:color w:val="0000EE"/>
        </w:rPr>
        <w:t>EX-4(O)</w:t>
      </w:r>
    </w:p>
    <w:p>
      <w:pPr>
        <w:ind w:left="40"/>
        <w:spacing w:after="0" w:line="235" w:lineRule="auto"/>
        <w:rPr>
          <w:sz w:val="20"/>
          <w:szCs w:val="20"/>
          <w:color w:val="auto"/>
        </w:rPr>
      </w:pPr>
      <w:r>
        <w:rPr>
          <w:rFonts w:ascii="Arial" w:cs="Arial" w:eastAsia="Arial" w:hAnsi="Arial"/>
          <w:sz w:val="18"/>
          <w:szCs w:val="18"/>
          <w:u w:val="single" w:color="auto"/>
          <w:color w:val="0000EE"/>
        </w:rPr>
        <w:t>EX-10(K)</w:t>
      </w:r>
    </w:p>
    <w:p>
      <w:pPr>
        <w:ind w:left="40"/>
        <w:spacing w:after="0" w:line="235" w:lineRule="auto"/>
        <w:rPr>
          <w:sz w:val="20"/>
          <w:szCs w:val="20"/>
          <w:color w:val="auto"/>
        </w:rPr>
      </w:pPr>
      <w:r>
        <w:rPr>
          <w:rFonts w:ascii="Arial" w:cs="Arial" w:eastAsia="Arial" w:hAnsi="Arial"/>
          <w:sz w:val="18"/>
          <w:szCs w:val="18"/>
          <w:u w:val="single" w:color="auto"/>
          <w:color w:val="0000EE"/>
        </w:rPr>
        <w:t>EX-10(JJ)</w:t>
      </w:r>
    </w:p>
    <w:p>
      <w:pPr>
        <w:ind w:left="40"/>
        <w:spacing w:after="0" w:line="235" w:lineRule="auto"/>
        <w:rPr>
          <w:sz w:val="20"/>
          <w:szCs w:val="20"/>
          <w:color w:val="auto"/>
        </w:rPr>
      </w:pPr>
      <w:r>
        <w:rPr>
          <w:rFonts w:ascii="Arial" w:cs="Arial" w:eastAsia="Arial" w:hAnsi="Arial"/>
          <w:sz w:val="18"/>
          <w:szCs w:val="18"/>
          <w:u w:val="single" w:color="auto"/>
          <w:color w:val="0000EE"/>
        </w:rPr>
        <w:t>EX-21</w:t>
      </w:r>
    </w:p>
    <w:p>
      <w:pPr>
        <w:ind w:left="40"/>
        <w:spacing w:after="0" w:line="235" w:lineRule="auto"/>
        <w:rPr>
          <w:sz w:val="20"/>
          <w:szCs w:val="20"/>
          <w:color w:val="auto"/>
        </w:rPr>
      </w:pPr>
      <w:r>
        <w:rPr>
          <w:rFonts w:ascii="Arial" w:cs="Arial" w:eastAsia="Arial" w:hAnsi="Arial"/>
          <w:sz w:val="18"/>
          <w:szCs w:val="18"/>
          <w:u w:val="single" w:color="auto"/>
          <w:color w:val="0000EE"/>
        </w:rPr>
        <w:t>EX-23(A)</w:t>
      </w:r>
    </w:p>
    <w:p>
      <w:pPr>
        <w:ind w:left="40"/>
        <w:spacing w:after="0" w:line="235" w:lineRule="auto"/>
        <w:rPr>
          <w:sz w:val="20"/>
          <w:szCs w:val="20"/>
          <w:color w:val="auto"/>
        </w:rPr>
      </w:pPr>
      <w:r>
        <w:rPr>
          <w:rFonts w:ascii="Arial" w:cs="Arial" w:eastAsia="Arial" w:hAnsi="Arial"/>
          <w:sz w:val="18"/>
          <w:szCs w:val="18"/>
          <w:u w:val="single" w:color="auto"/>
          <w:color w:val="0000EE"/>
        </w:rPr>
        <w:t>EX-23(B)</w:t>
      </w:r>
    </w:p>
    <w:p>
      <w:pPr>
        <w:ind w:left="40"/>
        <w:spacing w:after="0" w:line="235" w:lineRule="auto"/>
        <w:rPr>
          <w:sz w:val="20"/>
          <w:szCs w:val="20"/>
          <w:color w:val="auto"/>
        </w:rPr>
      </w:pPr>
      <w:r>
        <w:rPr>
          <w:rFonts w:ascii="Arial" w:cs="Arial" w:eastAsia="Arial" w:hAnsi="Arial"/>
          <w:sz w:val="18"/>
          <w:szCs w:val="18"/>
          <w:u w:val="single" w:color="auto"/>
          <w:color w:val="0000EE"/>
        </w:rPr>
        <w:t>EX-31(A)</w:t>
      </w:r>
    </w:p>
    <w:p>
      <w:pPr>
        <w:ind w:left="40"/>
        <w:spacing w:after="0" w:line="235" w:lineRule="auto"/>
        <w:rPr>
          <w:sz w:val="20"/>
          <w:szCs w:val="20"/>
          <w:color w:val="auto"/>
        </w:rPr>
      </w:pPr>
      <w:r>
        <w:rPr>
          <w:rFonts w:ascii="Arial" w:cs="Arial" w:eastAsia="Arial" w:hAnsi="Arial"/>
          <w:sz w:val="18"/>
          <w:szCs w:val="18"/>
          <w:u w:val="single" w:color="auto"/>
          <w:color w:val="0000EE"/>
        </w:rPr>
        <w:t>EX-31(B)</w:t>
      </w:r>
    </w:p>
    <w:p>
      <w:pPr>
        <w:ind w:left="40"/>
        <w:spacing w:after="0"/>
        <w:rPr>
          <w:sz w:val="20"/>
          <w:szCs w:val="20"/>
          <w:color w:val="auto"/>
        </w:rPr>
      </w:pPr>
      <w:r>
        <w:rPr>
          <w:rFonts w:ascii="Arial" w:cs="Arial" w:eastAsia="Arial" w:hAnsi="Arial"/>
          <w:sz w:val="18"/>
          <w:szCs w:val="18"/>
          <w:u w:val="single" w:color="auto"/>
          <w:color w:val="0000EE"/>
        </w:rPr>
        <w:t>EX-32</w:t>
      </w:r>
    </w:p>
    <w:p>
      <w:pPr>
        <w:spacing w:after="0" w:line="113" w:lineRule="exact"/>
        <w:rPr>
          <w:sz w:val="20"/>
          <w:szCs w:val="20"/>
          <w:color w:val="auto"/>
        </w:rPr>
      </w:pPr>
    </w:p>
    <w:p>
      <w:pPr>
        <w:ind w:right="500" w:firstLine="402"/>
        <w:spacing w:after="0" w:line="243" w:lineRule="auto"/>
        <w:rPr>
          <w:sz w:val="20"/>
          <w:szCs w:val="20"/>
          <w:color w:val="auto"/>
        </w:rPr>
      </w:pPr>
      <w:r>
        <w:rPr>
          <w:rFonts w:ascii="Arial" w:cs="Arial" w:eastAsia="Arial" w:hAnsi="Arial"/>
          <w:sz w:val="18"/>
          <w:szCs w:val="18"/>
          <w:color w:val="auto"/>
        </w:rPr>
        <w:t>Schedules other than the schedule listed above are omitted since they are not required or are not applicable, or the required information is shown in the Consolidated Financial S</w:t>
      </w:r>
      <w:r>
        <w:rPr>
          <w:rFonts w:ascii="Arial" w:cs="Arial" w:eastAsia="Arial" w:hAnsi="Arial"/>
          <w:sz w:val="18"/>
          <w:szCs w:val="18"/>
          <w:u w:val="single" w:color="auto"/>
          <w:color w:val="auto"/>
        </w:rPr>
        <w:t>tate</w:t>
      </w:r>
      <w:r>
        <w:rPr>
          <w:rFonts w:ascii="Arial" w:cs="Arial" w:eastAsia="Arial" w:hAnsi="Arial"/>
          <w:sz w:val="18"/>
          <w:szCs w:val="18"/>
          <w:color w:val="auto"/>
        </w:rPr>
        <w:t>ments or Notes thereto.</w:t>
      </w:r>
    </w:p>
    <w:p>
      <w:pPr>
        <w:jc w:val="center"/>
        <w:spacing w:after="0"/>
        <w:rPr>
          <w:sz w:val="20"/>
          <w:szCs w:val="20"/>
          <w:color w:val="auto"/>
        </w:rPr>
      </w:pPr>
      <w:r>
        <w:rPr>
          <w:rFonts w:ascii="Arial" w:cs="Arial" w:eastAsia="Arial" w:hAnsi="Arial"/>
          <w:sz w:val="11"/>
          <w:szCs w:val="11"/>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140335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40"/>
          </w:cols>
          <w:pgMar w:left="940" w:top="922" w:right="9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OF MANAGEMENT ON INTERNAL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CONTROL OVER FINANCIAL REPORTING</w:t>
      </w:r>
    </w:p>
    <w:p>
      <w:pPr>
        <w:spacing w:after="0" w:line="110" w:lineRule="exact"/>
        <w:rPr>
          <w:sz w:val="20"/>
          <w:szCs w:val="20"/>
          <w:color w:val="auto"/>
        </w:rPr>
      </w:pPr>
    </w:p>
    <w:p>
      <w:pPr>
        <w:ind w:left="700" w:right="700" w:firstLine="402"/>
        <w:spacing w:after="0" w:line="236"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the consolidated financial statements.</w:t>
      </w:r>
    </w:p>
    <w:p>
      <w:pPr>
        <w:spacing w:after="0" w:line="110" w:lineRule="exact"/>
        <w:rPr>
          <w:sz w:val="20"/>
          <w:szCs w:val="20"/>
          <w:color w:val="auto"/>
        </w:rPr>
      </w:pPr>
    </w:p>
    <w:p>
      <w:pPr>
        <w:ind w:left="700" w:right="720" w:firstLine="402"/>
        <w:spacing w:after="0" w:line="237" w:lineRule="auto"/>
        <w:rPr>
          <w:sz w:val="20"/>
          <w:szCs w:val="20"/>
          <w:color w:val="auto"/>
        </w:rPr>
      </w:pPr>
      <w:r>
        <w:rPr>
          <w:rFonts w:ascii="Arial" w:cs="Arial" w:eastAsia="Arial" w:hAnsi="Arial"/>
          <w:sz w:val="18"/>
          <w:szCs w:val="18"/>
          <w:color w:val="auto"/>
        </w:rPr>
        <w:t xml:space="preserve">Management, with the participation of our principal executive officer and principal financial officer, assessed the effectiveness of our internal control over financial reporting as of September 30, 2006, the end of our fiscal year. Management based its assessment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109" w:lineRule="exact"/>
        <w:rPr>
          <w:sz w:val="20"/>
          <w:szCs w:val="20"/>
          <w:color w:val="auto"/>
        </w:rPr>
      </w:pPr>
    </w:p>
    <w:p>
      <w:pPr>
        <w:ind w:left="700" w:right="700" w:firstLine="402"/>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08" w:lineRule="exact"/>
        <w:rPr>
          <w:sz w:val="20"/>
          <w:szCs w:val="20"/>
          <w:color w:val="auto"/>
        </w:rPr>
      </w:pPr>
    </w:p>
    <w:p>
      <w:pPr>
        <w:ind w:left="700" w:right="700" w:firstLine="402"/>
        <w:spacing w:after="0" w:line="238"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2006,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Scotts Miracle-Gro Company.</w:t>
      </w:r>
    </w:p>
    <w:p>
      <w:pPr>
        <w:spacing w:after="0" w:line="108" w:lineRule="exact"/>
        <w:rPr>
          <w:sz w:val="20"/>
          <w:szCs w:val="20"/>
          <w:color w:val="auto"/>
        </w:rPr>
      </w:pPr>
    </w:p>
    <w:p>
      <w:pPr>
        <w:ind w:left="700" w:right="740" w:firstLine="402"/>
        <w:spacing w:after="0"/>
        <w:rPr>
          <w:sz w:val="20"/>
          <w:szCs w:val="20"/>
          <w:color w:val="auto"/>
        </w:rPr>
      </w:pPr>
      <w:r>
        <w:rPr>
          <w:rFonts w:ascii="Arial" w:cs="Arial" w:eastAsia="Arial" w:hAnsi="Arial"/>
          <w:sz w:val="18"/>
          <w:szCs w:val="18"/>
          <w:color w:val="auto"/>
        </w:rPr>
        <w:t>Our independent registered public accounting firm, Deloitte &amp; Touche LLP, audited management’s assessment and independently assessed the effectiveness of our internal control over financial reporting. Deloitte &amp; Touche LLP has issued an attestation report concurring with management’s assessment, as stated in their report which appears herein.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C. E</w:t>
            </w:r>
            <w:r>
              <w:rPr>
                <w:rFonts w:ascii="Arial" w:cs="Arial" w:eastAsia="Arial" w:hAnsi="Arial"/>
                <w:sz w:val="12"/>
                <w:szCs w:val="12"/>
                <w:color w:val="auto"/>
              </w:rPr>
              <w:t>VANS</w:t>
            </w:r>
          </w:p>
        </w:tc>
        <w:tc>
          <w:tcPr>
            <w:tcW w:w="680" w:type="dxa"/>
            <w:vAlign w:val="bottom"/>
          </w:tcPr>
          <w:p>
            <w:pPr>
              <w:spacing w:after="0"/>
              <w:rPr>
                <w:sz w:val="18"/>
                <w:szCs w:val="18"/>
                <w:color w:val="auto"/>
              </w:rPr>
            </w:pPr>
          </w:p>
        </w:tc>
      </w:tr>
      <w:tr>
        <w:trPr>
          <w:trHeight w:val="182"/>
        </w:trPr>
        <w:tc>
          <w:tcPr>
            <w:tcW w:w="700" w:type="dxa"/>
            <w:vAlign w:val="bottom"/>
          </w:tcPr>
          <w:p>
            <w:pPr>
              <w:spacing w:after="0"/>
              <w:rPr>
                <w:sz w:val="15"/>
                <w:szCs w:val="15"/>
                <w:color w:val="auto"/>
              </w:rPr>
            </w:pPr>
          </w:p>
        </w:tc>
        <w:tc>
          <w:tcPr>
            <w:tcW w:w="48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James Hagedorn</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7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David C. Evans</w:t>
            </w:r>
          </w:p>
        </w:tc>
        <w:tc>
          <w:tcPr>
            <w:tcW w:w="680" w:type="dxa"/>
            <w:vAlign w:val="bottom"/>
          </w:tcPr>
          <w:p>
            <w:pPr>
              <w:spacing w:after="0"/>
              <w:rPr>
                <w:sz w:val="15"/>
                <w:szCs w:val="15"/>
                <w:color w:val="auto"/>
              </w:rPr>
            </w:pPr>
          </w:p>
        </w:tc>
      </w:tr>
      <w:tr>
        <w:trPr>
          <w:trHeight w:val="203"/>
        </w:trPr>
        <w:tc>
          <w:tcPr>
            <w:tcW w:w="70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Executive Vice President</w:t>
            </w:r>
          </w:p>
        </w:tc>
        <w:tc>
          <w:tcPr>
            <w:tcW w:w="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and Chairman of the Board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and Chief Financial Officer</w:t>
            </w:r>
          </w:p>
        </w:tc>
        <w:tc>
          <w:tcPr>
            <w:tcW w:w="68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Dated: December 13, 2006</w:t>
            </w: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Dated: December 13, 2006</w:t>
            </w:r>
          </w:p>
        </w:tc>
        <w:tc>
          <w:tcPr>
            <w:tcW w:w="680" w:type="dxa"/>
            <w:vAlign w:val="bottom"/>
          </w:tcPr>
          <w:p>
            <w:pPr>
              <w:spacing w:after="0"/>
              <w:rPr>
                <w:sz w:val="18"/>
                <w:szCs w:val="18"/>
                <w:color w:val="auto"/>
              </w:rPr>
            </w:pPr>
          </w:p>
        </w:tc>
      </w:tr>
      <w:tr>
        <w:trPr>
          <w:trHeight w:val="134"/>
        </w:trPr>
        <w:tc>
          <w:tcPr>
            <w:tcW w:w="7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rPr>
              <w:t>52</w:t>
            </w:r>
          </w:p>
        </w:tc>
        <w:tc>
          <w:tcPr>
            <w:tcW w:w="16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7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Shareholders of</w:t>
      </w:r>
    </w:p>
    <w:p>
      <w:pPr>
        <w:ind w:left="700"/>
        <w:spacing w:after="0" w:line="234" w:lineRule="auto"/>
        <w:rPr>
          <w:sz w:val="20"/>
          <w:szCs w:val="20"/>
          <w:color w:val="auto"/>
        </w:rPr>
      </w:pPr>
      <w:r>
        <w:rPr>
          <w:rFonts w:ascii="Arial" w:cs="Arial" w:eastAsia="Arial" w:hAnsi="Arial"/>
          <w:sz w:val="18"/>
          <w:szCs w:val="18"/>
          <w:color w:val="auto"/>
        </w:rPr>
        <w:t>The Scotts Miracle-Gro Company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w:t>
      </w:r>
    </w:p>
    <w:p>
      <w:pPr>
        <w:spacing w:after="0" w:line="117" w:lineRule="exact"/>
        <w:rPr>
          <w:sz w:val="20"/>
          <w:szCs w:val="20"/>
          <w:color w:val="auto"/>
        </w:rPr>
      </w:pPr>
    </w:p>
    <w:p>
      <w:pPr>
        <w:ind w:left="700" w:right="140" w:firstLine="402"/>
        <w:spacing w:after="0" w:line="239" w:lineRule="auto"/>
        <w:rPr>
          <w:sz w:val="20"/>
          <w:szCs w:val="20"/>
          <w:color w:val="auto"/>
        </w:rPr>
      </w:pPr>
      <w:r>
        <w:rPr>
          <w:rFonts w:ascii="Arial" w:cs="Arial" w:eastAsia="Arial" w:hAnsi="Arial"/>
          <w:sz w:val="18"/>
          <w:szCs w:val="18"/>
          <w:color w:val="auto"/>
        </w:rPr>
        <w:t>We have audited the accompanying consolidated balance sheets of The Scotts Miracle-Gro Company and Subsidiaries (the “Company”) as of September 30, 2006 and 2005, and the related consolidated statements of operations, shareholders’ equity, and cash flows for the years then ended. These financial statements are the responsibility of the Company’s management. Our responsibility is to express an opinion on these financial statements based on our audits.</w:t>
      </w:r>
    </w:p>
    <w:p>
      <w:pPr>
        <w:spacing w:after="0" w:line="107" w:lineRule="exact"/>
        <w:rPr>
          <w:sz w:val="20"/>
          <w:szCs w:val="20"/>
          <w:color w:val="auto"/>
        </w:rPr>
      </w:pPr>
    </w:p>
    <w:p>
      <w:pPr>
        <w:ind w:left="700" w:firstLine="402"/>
        <w:spacing w:after="0" w:line="23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1" w:lineRule="exact"/>
        <w:rPr>
          <w:sz w:val="20"/>
          <w:szCs w:val="20"/>
          <w:color w:val="auto"/>
        </w:rPr>
      </w:pPr>
    </w:p>
    <w:p>
      <w:pPr>
        <w:jc w:val="both"/>
        <w:ind w:left="700" w:right="160" w:firstLine="402"/>
        <w:spacing w:after="0"/>
        <w:rPr>
          <w:sz w:val="20"/>
          <w:szCs w:val="20"/>
          <w:color w:val="auto"/>
        </w:rPr>
      </w:pPr>
      <w:r>
        <w:rPr>
          <w:rFonts w:ascii="Arial" w:cs="Arial" w:eastAsia="Arial" w:hAnsi="Arial"/>
          <w:sz w:val="18"/>
          <w:szCs w:val="18"/>
          <w:color w:val="auto"/>
        </w:rPr>
        <w:t>In our opinion, such financial statements present fairly, in all material respects, the financial position of the Company as of September 30, 2006 and 2005, and the results of its operations and its cash flows for the years then ended, in conformity with accounting principles generally accepted in the United States of America.</w:t>
      </w:r>
    </w:p>
    <w:p>
      <w:pPr>
        <w:spacing w:after="0" w:line="108" w:lineRule="exact"/>
        <w:rPr>
          <w:sz w:val="20"/>
          <w:szCs w:val="20"/>
          <w:color w:val="auto"/>
        </w:rPr>
      </w:pPr>
    </w:p>
    <w:p>
      <w:pPr>
        <w:ind w:left="700" w:right="160" w:firstLine="402"/>
        <w:spacing w:after="0" w:line="23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September 30, 2006,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December 13, 2006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00" w:lineRule="exact"/>
        <w:rPr>
          <w:sz w:val="20"/>
          <w:szCs w:val="20"/>
          <w:color w:val="auto"/>
        </w:rPr>
      </w:pP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ELOITTE</w:t>
      </w:r>
      <w:r>
        <w:rPr>
          <w:rFonts w:ascii="Arial" w:cs="Arial" w:eastAsia="Arial" w:hAnsi="Arial"/>
          <w:sz w:val="18"/>
          <w:szCs w:val="18"/>
          <w:color w:val="auto"/>
        </w:rPr>
        <w:t xml:space="preserve"> &amp; T</w:t>
      </w:r>
      <w:r>
        <w:rPr>
          <w:rFonts w:ascii="Arial" w:cs="Arial" w:eastAsia="Arial" w:hAnsi="Arial"/>
          <w:sz w:val="12"/>
          <w:szCs w:val="12"/>
          <w:color w:val="auto"/>
        </w:rPr>
        <w:t>OUCHE</w:t>
      </w:r>
      <w:r>
        <w:rPr>
          <w:rFonts w:ascii="Arial" w:cs="Arial" w:eastAsia="Arial" w:hAnsi="Arial"/>
          <w:sz w:val="18"/>
          <w:szCs w:val="18"/>
          <w:color w:val="auto"/>
        </w:rPr>
        <w:t xml:space="preserve"> LLP</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Columbus, Ohio</w:t>
      </w:r>
    </w:p>
    <w:p>
      <w:pPr>
        <w:ind w:left="700"/>
        <w:spacing w:after="0"/>
        <w:rPr>
          <w:sz w:val="20"/>
          <w:szCs w:val="20"/>
          <w:color w:val="auto"/>
        </w:rPr>
      </w:pPr>
      <w:r>
        <w:rPr>
          <w:rFonts w:ascii="Arial" w:cs="Arial" w:eastAsia="Arial" w:hAnsi="Arial"/>
          <w:sz w:val="18"/>
          <w:szCs w:val="18"/>
          <w:color w:val="auto"/>
        </w:rPr>
        <w:t>December 13, 2006</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Shareholders of</w:t>
      </w:r>
    </w:p>
    <w:p>
      <w:pPr>
        <w:ind w:left="700"/>
        <w:spacing w:after="0"/>
        <w:rPr>
          <w:sz w:val="20"/>
          <w:szCs w:val="20"/>
          <w:color w:val="auto"/>
        </w:rPr>
      </w:pPr>
      <w:r>
        <w:rPr>
          <w:rFonts w:ascii="Arial" w:cs="Arial" w:eastAsia="Arial" w:hAnsi="Arial"/>
          <w:sz w:val="18"/>
          <w:szCs w:val="18"/>
          <w:color w:val="auto"/>
        </w:rPr>
        <w:t>The Scotts Miracle-Gro Company:</w:t>
      </w:r>
    </w:p>
    <w:p>
      <w:pPr>
        <w:spacing w:after="0" w:line="117" w:lineRule="exact"/>
        <w:rPr>
          <w:sz w:val="20"/>
          <w:szCs w:val="20"/>
          <w:color w:val="auto"/>
        </w:rPr>
      </w:pPr>
    </w:p>
    <w:p>
      <w:pPr>
        <w:ind w:left="700" w:firstLine="402"/>
        <w:spacing w:after="0" w:line="236" w:lineRule="auto"/>
        <w:rPr>
          <w:sz w:val="20"/>
          <w:szCs w:val="20"/>
          <w:color w:val="auto"/>
        </w:rPr>
      </w:pPr>
      <w:r>
        <w:rPr>
          <w:rFonts w:ascii="Arial" w:cs="Arial" w:eastAsia="Arial" w:hAnsi="Arial"/>
          <w:sz w:val="18"/>
          <w:szCs w:val="18"/>
          <w:color w:val="auto"/>
        </w:rPr>
        <w:t>In our opinion, the consolidated statements of operations, shareholders’ equity and cash flows present fairly, in all material respects, the results of operations and cash flows of The Scotts Miracle-Gro Company for the year ended September 30, 2004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00" w:lineRule="exact"/>
        <w:rPr>
          <w:sz w:val="20"/>
          <w:szCs w:val="20"/>
          <w:color w:val="auto"/>
        </w:rPr>
      </w:pP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RICEWATERHOUSE</w:t>
      </w:r>
      <w:r>
        <w:rPr>
          <w:rFonts w:ascii="Arial" w:cs="Arial" w:eastAsia="Arial" w:hAnsi="Arial"/>
          <w:sz w:val="18"/>
          <w:szCs w:val="18"/>
          <w:color w:val="auto"/>
        </w:rPr>
        <w:t>C</w:t>
      </w:r>
      <w:r>
        <w:rPr>
          <w:rFonts w:ascii="Arial" w:cs="Arial" w:eastAsia="Arial" w:hAnsi="Arial"/>
          <w:sz w:val="12"/>
          <w:szCs w:val="12"/>
          <w:color w:val="auto"/>
        </w:rPr>
        <w:t>OOPERS</w:t>
      </w:r>
      <w:r>
        <w:rPr>
          <w:rFonts w:ascii="Arial" w:cs="Arial" w:eastAsia="Arial" w:hAnsi="Arial"/>
          <w:sz w:val="18"/>
          <w:szCs w:val="18"/>
          <w:color w:val="auto"/>
        </w:rPr>
        <w:t xml:space="preserve"> LLP</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Columbus, OH</w:t>
      </w:r>
    </w:p>
    <w:p>
      <w:pPr>
        <w:ind w:left="700"/>
        <w:spacing w:after="0"/>
        <w:rPr>
          <w:sz w:val="20"/>
          <w:szCs w:val="20"/>
          <w:color w:val="auto"/>
        </w:rPr>
      </w:pPr>
      <w:r>
        <w:rPr>
          <w:rFonts w:ascii="Arial" w:cs="Arial" w:eastAsia="Arial" w:hAnsi="Arial"/>
          <w:sz w:val="18"/>
          <w:szCs w:val="18"/>
          <w:color w:val="auto"/>
        </w:rPr>
        <w:t>November 22, 2004</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Shareholders of</w:t>
      </w:r>
    </w:p>
    <w:p>
      <w:pPr>
        <w:ind w:left="700"/>
        <w:spacing w:after="0" w:line="234" w:lineRule="auto"/>
        <w:rPr>
          <w:sz w:val="20"/>
          <w:szCs w:val="20"/>
          <w:color w:val="auto"/>
        </w:rPr>
      </w:pPr>
      <w:r>
        <w:rPr>
          <w:rFonts w:ascii="Arial" w:cs="Arial" w:eastAsia="Arial" w:hAnsi="Arial"/>
          <w:sz w:val="18"/>
          <w:szCs w:val="18"/>
          <w:color w:val="auto"/>
        </w:rPr>
        <w:t>The Scotts Miracle-Gro Company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w:t>
      </w:r>
    </w:p>
    <w:p>
      <w:pPr>
        <w:spacing w:after="0" w:line="90" w:lineRule="exact"/>
        <w:rPr>
          <w:sz w:val="20"/>
          <w:szCs w:val="20"/>
          <w:color w:val="auto"/>
        </w:rPr>
      </w:pPr>
    </w:p>
    <w:p>
      <w:pPr>
        <w:ind w:left="700" w:right="40" w:firstLine="402"/>
        <w:spacing w:after="0" w:line="253" w:lineRule="auto"/>
        <w:rPr>
          <w:sz w:val="20"/>
          <w:szCs w:val="20"/>
          <w:color w:val="auto"/>
        </w:rPr>
      </w:pPr>
      <w:r>
        <w:rPr>
          <w:rFonts w:ascii="Arial" w:cs="Arial" w:eastAsia="Arial" w:hAnsi="Arial"/>
          <w:sz w:val="17"/>
          <w:szCs w:val="17"/>
          <w:color w:val="auto"/>
        </w:rPr>
        <w:t xml:space="preserve">We have audited management’s assessment, included in the accompanying Annual Report of Management on Internal Control Over Financial Reporting, that The Scotts Miracle-Gro Company and Subsidiaries (the “Company”) maintained effective internal control over financial reporting as of September 30, 2006,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57" w:lineRule="exact"/>
        <w:rPr>
          <w:sz w:val="20"/>
          <w:szCs w:val="20"/>
          <w:color w:val="auto"/>
        </w:rPr>
      </w:pPr>
    </w:p>
    <w:p>
      <w:pPr>
        <w:ind w:left="700" w:right="60" w:firstLine="402"/>
        <w:spacing w:after="0" w:line="23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70" w:lineRule="exact"/>
        <w:rPr>
          <w:sz w:val="20"/>
          <w:szCs w:val="20"/>
          <w:color w:val="auto"/>
        </w:rPr>
      </w:pPr>
    </w:p>
    <w:p>
      <w:pPr>
        <w:ind w:left="700" w:firstLine="402"/>
        <w:spacing w:after="0" w:line="248"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 w:lineRule="exact"/>
        <w:rPr>
          <w:sz w:val="20"/>
          <w:szCs w:val="20"/>
          <w:color w:val="auto"/>
        </w:rPr>
      </w:pPr>
    </w:p>
    <w:p>
      <w:pPr>
        <w:ind w:left="700" w:right="200" w:hanging="7"/>
        <w:spacing w:after="0" w:line="246" w:lineRule="auto"/>
        <w:tabs>
          <w:tab w:leader="none" w:pos="9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75" w:lineRule="exact"/>
        <w:rPr>
          <w:sz w:val="20"/>
          <w:szCs w:val="20"/>
          <w:color w:val="auto"/>
        </w:rPr>
      </w:pPr>
    </w:p>
    <w:p>
      <w:pPr>
        <w:ind w:left="700" w:right="40" w:firstLine="402"/>
        <w:spacing w:after="0" w:line="238"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our opinion, management’s assessment that the Company maintained effective internal control over financial reporting</w:t>
      </w:r>
    </w:p>
    <w:p>
      <w:pPr>
        <w:ind w:left="700"/>
        <w:spacing w:after="0" w:line="234" w:lineRule="auto"/>
        <w:rPr>
          <w:sz w:val="20"/>
          <w:szCs w:val="20"/>
          <w:color w:val="auto"/>
        </w:rPr>
      </w:pPr>
      <w:r>
        <w:rPr>
          <w:rFonts w:ascii="Arial" w:cs="Arial" w:eastAsia="Arial" w:hAnsi="Arial"/>
          <w:sz w:val="18"/>
          <w:szCs w:val="18"/>
          <w:color w:val="auto"/>
        </w:rPr>
        <w:t xml:space="preserve">as of September 30, 2006 is fairly stated, in all material respects, based on the criteria established in </w:t>
      </w:r>
      <w:r>
        <w:rPr>
          <w:rFonts w:ascii="Arial" w:cs="Arial" w:eastAsia="Arial" w:hAnsi="Arial"/>
          <w:sz w:val="18"/>
          <w:szCs w:val="18"/>
          <w:i w:val="1"/>
          <w:iCs w:val="1"/>
          <w:color w:val="auto"/>
        </w:rPr>
        <w:t>Internal Control —</w:t>
      </w:r>
    </w:p>
    <w:p>
      <w:pPr>
        <w:ind w:left="700"/>
        <w:spacing w:after="0" w:line="235" w:lineRule="auto"/>
        <w:rPr>
          <w:sz w:val="20"/>
          <w:szCs w:val="20"/>
          <w:color w:val="auto"/>
        </w:rPr>
      </w:pP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Also, in our</w:t>
      </w:r>
    </w:p>
    <w:p>
      <w:pPr>
        <w:ind w:left="700"/>
        <w:spacing w:after="0" w:line="235" w:lineRule="auto"/>
        <w:rPr>
          <w:sz w:val="20"/>
          <w:szCs w:val="20"/>
          <w:color w:val="auto"/>
        </w:rPr>
      </w:pPr>
      <w:r>
        <w:rPr>
          <w:rFonts w:ascii="Arial" w:cs="Arial" w:eastAsia="Arial" w:hAnsi="Arial"/>
          <w:sz w:val="18"/>
          <w:szCs w:val="18"/>
          <w:color w:val="auto"/>
        </w:rPr>
        <w:t>opinion, the Company maintained, in all material respects, effective internal control over financial reporting as of</w:t>
      </w:r>
    </w:p>
    <w:p>
      <w:pPr>
        <w:ind w:left="700"/>
        <w:spacing w:after="0" w:line="235" w:lineRule="auto"/>
        <w:rPr>
          <w:sz w:val="20"/>
          <w:szCs w:val="20"/>
          <w:color w:val="auto"/>
        </w:rPr>
      </w:pPr>
      <w:r>
        <w:rPr>
          <w:rFonts w:ascii="Arial" w:cs="Arial" w:eastAsia="Arial" w:hAnsi="Arial"/>
          <w:sz w:val="18"/>
          <w:szCs w:val="18"/>
          <w:color w:val="auto"/>
        </w:rPr>
        <w:t xml:space="preserve">September 30, 2006,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w:t>
      </w:r>
    </w:p>
    <w:p>
      <w:pPr>
        <w:ind w:left="700"/>
        <w:spacing w:after="0"/>
        <w:rPr>
          <w:sz w:val="20"/>
          <w:szCs w:val="20"/>
          <w:color w:val="auto"/>
        </w:rPr>
      </w:pPr>
      <w:r>
        <w:rPr>
          <w:rFonts w:ascii="Arial" w:cs="Arial" w:eastAsia="Arial" w:hAnsi="Arial"/>
          <w:sz w:val="18"/>
          <w:szCs w:val="18"/>
          <w:color w:val="auto"/>
        </w:rPr>
        <w:t>of Sponsoring Organizations of the Treadway Commission.</w:t>
      </w:r>
    </w:p>
    <w:p>
      <w:pPr>
        <w:spacing w:after="0" w:line="77" w:lineRule="exact"/>
        <w:rPr>
          <w:sz w:val="20"/>
          <w:szCs w:val="20"/>
          <w:color w:val="auto"/>
        </w:rPr>
      </w:pPr>
    </w:p>
    <w:p>
      <w:pPr>
        <w:jc w:val="both"/>
        <w:ind w:left="700" w:right="380" w:firstLine="402"/>
        <w:spacing w:after="0"/>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September 30, 2006 of the Company and our report dated December 13, 2006 expressed an unqualified opinion on those financial statements.</w:t>
      </w:r>
    </w:p>
    <w:p>
      <w:pPr>
        <w:spacing w:after="0" w:line="3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ELOITTE</w:t>
      </w:r>
      <w:r>
        <w:rPr>
          <w:rFonts w:ascii="Arial" w:cs="Arial" w:eastAsia="Arial" w:hAnsi="Arial"/>
          <w:sz w:val="18"/>
          <w:szCs w:val="18"/>
          <w:color w:val="auto"/>
        </w:rPr>
        <w:t xml:space="preserve"> &amp; T</w:t>
      </w:r>
      <w:r>
        <w:rPr>
          <w:rFonts w:ascii="Arial" w:cs="Arial" w:eastAsia="Arial" w:hAnsi="Arial"/>
          <w:sz w:val="12"/>
          <w:szCs w:val="12"/>
          <w:color w:val="auto"/>
        </w:rPr>
        <w:t>OUCHE</w:t>
      </w:r>
      <w:r>
        <w:rPr>
          <w:rFonts w:ascii="Arial" w:cs="Arial" w:eastAsia="Arial" w:hAnsi="Arial"/>
          <w:sz w:val="18"/>
          <w:szCs w:val="18"/>
          <w:color w:val="auto"/>
        </w:rPr>
        <w:t xml:space="preserve"> LLP</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Columbus, Ohio</w:t>
      </w:r>
    </w:p>
    <w:p>
      <w:pPr>
        <w:ind w:left="700"/>
        <w:spacing w:after="0"/>
        <w:rPr>
          <w:sz w:val="20"/>
          <w:szCs w:val="20"/>
          <w:color w:val="auto"/>
        </w:rPr>
      </w:pPr>
      <w:r>
        <w:rPr>
          <w:rFonts w:ascii="Arial" w:cs="Arial" w:eastAsia="Arial" w:hAnsi="Arial"/>
          <w:sz w:val="18"/>
          <w:szCs w:val="18"/>
          <w:color w:val="auto"/>
        </w:rPr>
        <w:t>December 13, 2006</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679"/>
        <w:spacing w:after="0" w:line="234" w:lineRule="auto"/>
        <w:rPr>
          <w:sz w:val="20"/>
          <w:szCs w:val="20"/>
          <w:color w:val="auto"/>
        </w:rPr>
      </w:pPr>
      <w:r>
        <w:rPr>
          <w:rFonts w:ascii="Arial" w:cs="Arial" w:eastAsia="Arial" w:hAnsi="Arial"/>
          <w:sz w:val="18"/>
          <w:szCs w:val="18"/>
          <w:b w:val="1"/>
          <w:bCs w:val="1"/>
          <w:color w:val="auto"/>
        </w:rPr>
        <w:t>for the fiscal years ended September 30, 2006, 2005 and 2004</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millions, except per share data)</w:t>
      </w:r>
    </w:p>
    <w:p>
      <w:pPr>
        <w:spacing w:after="0" w:line="239"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w w:val="96"/>
              </w:rPr>
              <w:t>2,697.1</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2,369.3</w:t>
            </w:r>
          </w:p>
        </w:tc>
        <w:tc>
          <w:tcPr>
            <w:tcW w:w="24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9"/>
              </w:rPr>
              <w:t>2,106.5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6"/>
              </w:rPr>
              <w:t>1,741.1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1,509.2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1,313.5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955.9</w:t>
            </w:r>
          </w:p>
        </w:tc>
        <w:tc>
          <w:tcPr>
            <w:tcW w:w="2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636.9</w:t>
            </w:r>
          </w:p>
        </w:tc>
        <w:tc>
          <w:tcPr>
            <w:tcW w:w="2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633.8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160"/>
              <w:spacing w:after="0" w:line="202" w:lineRule="exact"/>
              <w:rPr>
                <w:sz w:val="20"/>
                <w:szCs w:val="20"/>
                <w:color w:val="auto"/>
              </w:rPr>
            </w:pPr>
            <w:r>
              <w:rPr>
                <w:rFonts w:ascii="Arial" w:cs="Arial" w:eastAsia="Arial" w:hAnsi="Arial"/>
                <w:sz w:val="18"/>
                <w:szCs w:val="18"/>
                <w:color w:val="auto"/>
              </w:rPr>
              <w:t>Impairment, restructuring and other charges</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income, net</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Income from operations</w:t>
            </w:r>
          </w:p>
        </w:tc>
        <w:tc>
          <w:tcPr>
            <w:tcW w:w="1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related to refinancings</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before income taxes</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212.9</w:t>
            </w:r>
          </w:p>
        </w:tc>
        <w:tc>
          <w:tcPr>
            <w:tcW w:w="2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Income taxes</w:t>
            </w:r>
          </w:p>
        </w:tc>
        <w:tc>
          <w:tcPr>
            <w:tcW w:w="1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80.2</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from continuing operations</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132.7</w:t>
            </w:r>
          </w:p>
        </w:tc>
        <w:tc>
          <w:tcPr>
            <w:tcW w:w="2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340"/>
              <w:spacing w:after="0" w:line="202" w:lineRule="exact"/>
              <w:rPr>
                <w:sz w:val="20"/>
                <w:szCs w:val="20"/>
                <w:color w:val="auto"/>
              </w:rPr>
            </w:pPr>
            <w:r>
              <w:rPr>
                <w:rFonts w:ascii="Arial" w:cs="Arial" w:eastAsia="Arial" w:hAnsi="Arial"/>
                <w:sz w:val="18"/>
                <w:szCs w:val="18"/>
                <w:color w:val="auto"/>
              </w:rPr>
              <w:t>Income from discontinued operations</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income</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132.7</w:t>
            </w:r>
          </w:p>
        </w:tc>
        <w:tc>
          <w:tcPr>
            <w:tcW w:w="22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100.6</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gridSpan w:val="2"/>
            <w:vMerge w:val="continue"/>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from continuing operations</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22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340"/>
              <w:spacing w:after="0" w:line="202" w:lineRule="exact"/>
              <w:rPr>
                <w:sz w:val="20"/>
                <w:szCs w:val="20"/>
                <w:color w:val="auto"/>
              </w:rPr>
            </w:pPr>
            <w:r>
              <w:rPr>
                <w:rFonts w:ascii="Arial" w:cs="Arial" w:eastAsia="Arial" w:hAnsi="Arial"/>
                <w:sz w:val="18"/>
                <w:szCs w:val="18"/>
                <w:color w:val="auto"/>
              </w:rPr>
              <w:t>Income from discontinued operations</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income</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22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gridSpan w:val="2"/>
            <w:vMerge w:val="continue"/>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from continuing operations</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22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340"/>
              <w:spacing w:after="0" w:line="202" w:lineRule="exact"/>
              <w:rPr>
                <w:sz w:val="20"/>
                <w:szCs w:val="20"/>
                <w:color w:val="auto"/>
              </w:rPr>
            </w:pPr>
            <w:r>
              <w:rPr>
                <w:rFonts w:ascii="Arial" w:cs="Arial" w:eastAsia="Arial" w:hAnsi="Arial"/>
                <w:sz w:val="18"/>
                <w:szCs w:val="18"/>
                <w:color w:val="auto"/>
              </w:rPr>
              <w:t>Income from discontinued operations</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income</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22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679"/>
        <w:spacing w:after="0" w:line="234" w:lineRule="auto"/>
        <w:rPr>
          <w:sz w:val="20"/>
          <w:szCs w:val="20"/>
          <w:color w:val="auto"/>
        </w:rPr>
      </w:pPr>
      <w:r>
        <w:rPr>
          <w:rFonts w:ascii="Arial" w:cs="Arial" w:eastAsia="Arial" w:hAnsi="Arial"/>
          <w:sz w:val="18"/>
          <w:szCs w:val="18"/>
          <w:b w:val="1"/>
          <w:bCs w:val="1"/>
          <w:color w:val="auto"/>
        </w:rPr>
        <w:t>for the fiscal years ended September 30, 2006, 2005 and 2004</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millions)</w:t>
      </w:r>
    </w:p>
    <w:p>
      <w:pPr>
        <w:spacing w:after="0" w:line="239"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6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7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132.7</w:t>
            </w:r>
          </w:p>
        </w:tc>
        <w:tc>
          <w:tcPr>
            <w:tcW w:w="200" w:type="dxa"/>
            <w:vAlign w:val="bottom"/>
            <w:tcBorders>
              <w:right w:val="single" w:sz="8" w:color="auto"/>
            </w:tcBorders>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100.6</w:t>
            </w:r>
          </w:p>
        </w:tc>
        <w:tc>
          <w:tcPr>
            <w:tcW w:w="2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$ 100.9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320"/>
              <w:spacing w:after="0"/>
              <w:rPr>
                <w:sz w:val="20"/>
                <w:szCs w:val="20"/>
                <w:color w:val="auto"/>
              </w:rPr>
            </w:pPr>
            <w:r>
              <w:rPr>
                <w:rFonts w:ascii="Arial" w:cs="Arial" w:eastAsia="Arial" w:hAnsi="Arial"/>
                <w:sz w:val="16"/>
                <w:szCs w:val="16"/>
                <w:color w:val="auto"/>
              </w:rPr>
              <w:t>Impairment of intangible assets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66.4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Costs related to refinancings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15.7</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2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320"/>
              <w:spacing w:after="0"/>
              <w:rPr>
                <w:sz w:val="20"/>
                <w:szCs w:val="20"/>
                <w:color w:val="auto"/>
              </w:rPr>
            </w:pPr>
            <w:r>
              <w:rPr>
                <w:rFonts w:ascii="Arial" w:cs="Arial" w:eastAsia="Arial" w:hAnsi="Arial"/>
                <w:sz w:val="16"/>
                <w:szCs w:val="16"/>
                <w:color w:val="auto"/>
              </w:rPr>
              <w:t>Amortization</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17.6</w:t>
            </w:r>
          </w:p>
        </w:tc>
        <w:tc>
          <w:tcPr>
            <w:tcW w:w="2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taxes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320"/>
              <w:spacing w:after="0"/>
              <w:rPr>
                <w:sz w:val="20"/>
                <w:szCs w:val="20"/>
                <w:color w:val="auto"/>
              </w:rPr>
            </w:pPr>
            <w:r>
              <w:rPr>
                <w:rFonts w:ascii="Arial" w:cs="Arial" w:eastAsia="Arial" w:hAnsi="Arial"/>
                <w:sz w:val="16"/>
                <w:szCs w:val="16"/>
                <w:color w:val="auto"/>
              </w:rPr>
              <w:t>Gain on sale of property, plant and equipment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 net of acquired businesses: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(37.9)</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Inventories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89"/>
        </w:trPr>
        <w:tc>
          <w:tcPr>
            <w:tcW w:w="6720" w:type="dxa"/>
            <w:vAlign w:val="bottom"/>
          </w:tcPr>
          <w:p>
            <w:pPr>
              <w:ind w:left="480"/>
              <w:spacing w:after="0"/>
              <w:rPr>
                <w:sz w:val="20"/>
                <w:szCs w:val="20"/>
                <w:color w:val="auto"/>
              </w:rPr>
            </w:pPr>
            <w:r>
              <w:rPr>
                <w:rFonts w:ascii="Arial" w:cs="Arial" w:eastAsia="Arial" w:hAnsi="Arial"/>
                <w:sz w:val="16"/>
                <w:szCs w:val="16"/>
                <w:color w:val="auto"/>
              </w:rPr>
              <w:t>Prepaid and other current assets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16"/>
                <w:szCs w:val="16"/>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89"/>
        </w:trPr>
        <w:tc>
          <w:tcPr>
            <w:tcW w:w="6720" w:type="dxa"/>
            <w:vAlign w:val="bottom"/>
          </w:tcPr>
          <w:p>
            <w:pPr>
              <w:ind w:left="480"/>
              <w:spacing w:after="0"/>
              <w:rPr>
                <w:sz w:val="20"/>
                <w:szCs w:val="20"/>
                <w:color w:val="auto"/>
              </w:rPr>
            </w:pPr>
            <w:r>
              <w:rPr>
                <w:rFonts w:ascii="Arial" w:cs="Arial" w:eastAsia="Arial" w:hAnsi="Arial"/>
                <w:sz w:val="16"/>
                <w:szCs w:val="16"/>
                <w:color w:val="auto"/>
              </w:rPr>
              <w:t>Accrued taxes and liabilities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(33.4)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27.9</w:t>
            </w:r>
          </w:p>
        </w:tc>
        <w:tc>
          <w:tcPr>
            <w:tcW w:w="2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Restructuring reserves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480"/>
              <w:spacing w:after="0"/>
              <w:rPr>
                <w:sz w:val="20"/>
                <w:szCs w:val="20"/>
                <w:color w:val="auto"/>
              </w:rPr>
            </w:pPr>
            <w:r>
              <w:rPr>
                <w:rFonts w:ascii="Arial" w:cs="Arial" w:eastAsia="Arial" w:hAnsi="Arial"/>
                <w:sz w:val="16"/>
                <w:szCs w:val="16"/>
                <w:color w:val="auto"/>
              </w:rPr>
              <w:t>Other non-current items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w:t>
            </w:r>
          </w:p>
        </w:tc>
        <w:tc>
          <w:tcPr>
            <w:tcW w:w="220" w:type="dxa"/>
            <w:vAlign w:val="bottom"/>
          </w:tcPr>
          <w:p>
            <w:pPr>
              <w:spacing w:after="0"/>
              <w:rPr>
                <w:sz w:val="16"/>
                <w:szCs w:val="16"/>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net</w:t>
            </w:r>
          </w:p>
        </w:tc>
        <w:tc>
          <w:tcPr>
            <w:tcW w:w="8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182.4</w:t>
            </w: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226.7</w:t>
            </w:r>
          </w:p>
        </w:tc>
        <w:tc>
          <w:tcPr>
            <w:tcW w:w="2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8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Investment in available for sale securities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Redemption of available for sale securities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Payments on seller notes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sale of property, plant and equipment</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Investment in property, plant and equipment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(57.0)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(40.4)</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Investments in acquired businesses, net of cash acquired</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(118.4)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(77.7)</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tcPr>
          <w:p>
            <w:pPr>
              <w:ind w:left="640"/>
              <w:spacing w:after="0"/>
              <w:rPr>
                <w:sz w:val="20"/>
                <w:szCs w:val="20"/>
                <w:color w:val="auto"/>
              </w:rPr>
            </w:pPr>
            <w:r>
              <w:rPr>
                <w:rFonts w:ascii="Arial" w:cs="Arial" w:eastAsia="Arial" w:hAnsi="Arial"/>
                <w:sz w:val="16"/>
                <w:szCs w:val="16"/>
                <w:color w:val="auto"/>
              </w:rPr>
              <w:t>Net cash used in investing activities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98"/>
              </w:rPr>
              <w:t>(174.1)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(60.9)</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(112.8)</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8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Borrowings under revolving and bank lines of credit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746.9</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924.2</w:t>
            </w:r>
          </w:p>
        </w:tc>
        <w:tc>
          <w:tcPr>
            <w:tcW w:w="2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648.6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Repayments under revolving and bank lines of credit</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(691.7)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(736.4)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(646.6)</w:t>
            </w: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Repayment of term loans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(399.0)</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(827.5)</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issuance of term loans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line="189" w:lineRule="exact"/>
              <w:rPr>
                <w:sz w:val="20"/>
                <w:szCs w:val="20"/>
                <w:color w:val="auto"/>
              </w:rPr>
            </w:pPr>
            <w:r>
              <w:rPr>
                <w:rFonts w:ascii="Arial" w:cs="Arial" w:eastAsia="Arial" w:hAnsi="Arial"/>
                <w:sz w:val="16"/>
                <w:szCs w:val="16"/>
                <w:color w:val="auto"/>
              </w:rPr>
              <w:t>Redemption of 8</w:t>
            </w:r>
            <w:r>
              <w:rPr>
                <w:rFonts w:ascii="Arial" w:cs="Arial" w:eastAsia="Arial" w:hAnsi="Arial"/>
                <w:sz w:val="21"/>
                <w:szCs w:val="21"/>
                <w:color w:val="auto"/>
                <w:vertAlign w:val="superscript"/>
              </w:rPr>
              <w:t>5</w:t>
            </w:r>
            <w:r>
              <w:rPr>
                <w:rFonts w:ascii="Arial" w:cs="Arial" w:eastAsia="Arial" w:hAnsi="Arial"/>
                <w:sz w:val="16"/>
                <w:szCs w:val="16"/>
                <w:color w:val="auto"/>
              </w:rPr>
              <w:t>/</w:t>
            </w:r>
            <w:r>
              <w:rPr>
                <w:rFonts w:ascii="Arial" w:cs="Arial" w:eastAsia="Arial" w:hAnsi="Arial"/>
                <w:sz w:val="11"/>
                <w:szCs w:val="11"/>
                <w:color w:val="auto"/>
              </w:rPr>
              <w:t>8</w:t>
            </w:r>
            <w:r>
              <w:rPr>
                <w:rFonts w:ascii="Arial" w:cs="Arial" w:eastAsia="Arial" w:hAnsi="Arial"/>
                <w:sz w:val="16"/>
                <w:szCs w:val="16"/>
                <w:color w:val="auto"/>
              </w:rPr>
              <w:t>% Senior Subordinated Notes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(418.0)</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line="189" w:lineRule="exact"/>
              <w:rPr>
                <w:sz w:val="20"/>
                <w:szCs w:val="20"/>
                <w:color w:val="auto"/>
              </w:rPr>
            </w:pPr>
            <w:r>
              <w:rPr>
                <w:rFonts w:ascii="Arial" w:cs="Arial" w:eastAsia="Arial" w:hAnsi="Arial"/>
                <w:sz w:val="16"/>
                <w:szCs w:val="16"/>
                <w:color w:val="auto"/>
              </w:rPr>
              <w:t>Proceeds from issuance of 6</w:t>
            </w:r>
            <w:r>
              <w:rPr>
                <w:rFonts w:ascii="Arial" w:cs="Arial" w:eastAsia="Arial" w:hAnsi="Arial"/>
                <w:sz w:val="21"/>
                <w:szCs w:val="21"/>
                <w:color w:val="auto"/>
                <w:vertAlign w:val="superscript"/>
              </w:rPr>
              <w:t>5</w:t>
            </w:r>
            <w:r>
              <w:rPr>
                <w:rFonts w:ascii="Arial" w:cs="Arial" w:eastAsia="Arial" w:hAnsi="Arial"/>
                <w:sz w:val="16"/>
                <w:szCs w:val="16"/>
                <w:color w:val="auto"/>
              </w:rPr>
              <w:t>/</w:t>
            </w:r>
            <w:r>
              <w:rPr>
                <w:rFonts w:ascii="Arial" w:cs="Arial" w:eastAsia="Arial" w:hAnsi="Arial"/>
                <w:sz w:val="11"/>
                <w:szCs w:val="11"/>
                <w:color w:val="auto"/>
              </w:rPr>
              <w:t>8</w:t>
            </w:r>
            <w:r>
              <w:rPr>
                <w:rFonts w:ascii="Arial" w:cs="Arial" w:eastAsia="Arial" w:hAnsi="Arial"/>
                <w:sz w:val="16"/>
                <w:szCs w:val="16"/>
                <w:color w:val="auto"/>
              </w:rPr>
              <w:t>% Senior Subordinated Notes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Financing and issuance fees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(3.6)</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Dividends paid</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Payments on sellers notes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 of common shares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Excess tax benefits from share-based payment arrangements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6.2</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received from exercise of stock options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20" w:type="dxa"/>
            <w:vAlign w:val="bottom"/>
          </w:tcPr>
          <w:p>
            <w:pPr>
              <w:ind w:left="160"/>
              <w:spacing w:after="0"/>
              <w:rPr>
                <w:sz w:val="20"/>
                <w:szCs w:val="20"/>
                <w:color w:val="auto"/>
              </w:rPr>
            </w:pPr>
            <w:r>
              <w:rPr>
                <w:rFonts w:ascii="Arial" w:cs="Arial" w:eastAsia="Arial" w:hAnsi="Arial"/>
                <w:sz w:val="16"/>
                <w:szCs w:val="16"/>
                <w:color w:val="auto"/>
              </w:rPr>
              <w:t>Proceeds from termination of interest rate swaps</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financing activities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6.5</w:t>
            </w: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(6.0)</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8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year</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200" w:type="dxa"/>
            <w:vAlign w:val="bottom"/>
            <w:tcBorders>
              <w:right w:val="single" w:sz="8" w:color="auto"/>
            </w:tcBorders>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$ 115.6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6"/>
                <w:szCs w:val="16"/>
                <w:color w:val="auto"/>
              </w:rPr>
              <w:t>SUPPLEMENTAL CASH FLOW INFORMATION</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paid, net of interest capitalized</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Income taxes paid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(64.0)</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Balance Sheets</w:t>
      </w:r>
    </w:p>
    <w:p>
      <w:pPr>
        <w:jc w:val="center"/>
        <w:ind w:right="-679"/>
        <w:spacing w:after="0" w:line="234" w:lineRule="auto"/>
        <w:rPr>
          <w:sz w:val="20"/>
          <w:szCs w:val="20"/>
          <w:color w:val="auto"/>
        </w:rPr>
      </w:pPr>
      <w:r>
        <w:rPr>
          <w:rFonts w:ascii="Arial" w:cs="Arial" w:eastAsia="Arial" w:hAnsi="Arial"/>
          <w:sz w:val="18"/>
          <w:szCs w:val="18"/>
          <w:b w:val="1"/>
          <w:bCs w:val="1"/>
          <w:color w:val="auto"/>
        </w:rPr>
        <w:t>September 30, 2006 and 2005</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millions except per share data)</w:t>
      </w:r>
    </w:p>
    <w:p>
      <w:pPr>
        <w:spacing w:after="0" w:line="239"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4640"/>
              <w:spacing w:after="0" w:line="202"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w:t>
            </w:r>
          </w:p>
        </w:tc>
        <w:tc>
          <w:tcPr>
            <w:tcW w:w="600" w:type="dxa"/>
            <w:vAlign w:val="bottom"/>
            <w:tcBorders>
              <w:right w:val="single" w:sz="8" w:color="auto"/>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Accounts receivable, less allowances of $11.3 in 2006 and $11.4 in 2005</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380.4</w:t>
            </w:r>
          </w:p>
        </w:tc>
        <w:tc>
          <w:tcPr>
            <w:tcW w:w="6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323.3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409.2</w:t>
            </w:r>
          </w:p>
        </w:tc>
        <w:tc>
          <w:tcPr>
            <w:tcW w:w="6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324.9</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Prepaid and other assets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104.3</w:t>
            </w:r>
          </w:p>
        </w:tc>
        <w:tc>
          <w:tcPr>
            <w:tcW w:w="6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942.0</w:t>
            </w:r>
          </w:p>
        </w:tc>
        <w:tc>
          <w:tcPr>
            <w:tcW w:w="6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787.8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367.6</w:t>
            </w:r>
          </w:p>
        </w:tc>
        <w:tc>
          <w:tcPr>
            <w:tcW w:w="6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337.0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458.1</w:t>
            </w:r>
          </w:p>
        </w:tc>
        <w:tc>
          <w:tcPr>
            <w:tcW w:w="6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424.7</w:t>
            </w:r>
          </w:p>
        </w:tc>
        <w:tc>
          <w:tcPr>
            <w:tcW w:w="6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439.5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6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2,217.6</w:t>
            </w:r>
          </w:p>
        </w:tc>
        <w:tc>
          <w:tcPr>
            <w:tcW w:w="600" w:type="dxa"/>
            <w:vAlign w:val="bottom"/>
            <w:tcBorders>
              <w:right w:val="single" w:sz="8" w:color="auto"/>
            </w:tcBorders>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2,018.9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3140"/>
              <w:spacing w:after="0" w:line="202" w:lineRule="exact"/>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Current portion of debt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600" w:type="dxa"/>
            <w:vAlign w:val="bottom"/>
            <w:tcBorders>
              <w:right w:val="single" w:sz="8" w:color="auto"/>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200.4</w:t>
            </w:r>
          </w:p>
        </w:tc>
        <w:tc>
          <w:tcPr>
            <w:tcW w:w="6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151.7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269.1</w:t>
            </w:r>
          </w:p>
        </w:tc>
        <w:tc>
          <w:tcPr>
            <w:tcW w:w="6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Accrued taxes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6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496.2</w:t>
            </w:r>
          </w:p>
        </w:tc>
        <w:tc>
          <w:tcPr>
            <w:tcW w:w="6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475.2</w:t>
            </w:r>
          </w:p>
        </w:tc>
        <w:tc>
          <w:tcPr>
            <w:tcW w:w="6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382.4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164.5</w:t>
            </w:r>
          </w:p>
        </w:tc>
        <w:tc>
          <w:tcPr>
            <w:tcW w:w="6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730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1,135.9</w:t>
            </w:r>
          </w:p>
        </w:tc>
        <w:tc>
          <w:tcPr>
            <w:tcW w:w="6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(Notes 14, 15 and 16)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shares and capital in excess of $.01 stated value per share,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shares issued and outstanding of 66.6 in 2006 and 67.8 in 2005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509.1</w:t>
            </w:r>
          </w:p>
        </w:tc>
        <w:tc>
          <w:tcPr>
            <w:tcW w:w="6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491.3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690.7</w:t>
            </w:r>
          </w:p>
        </w:tc>
        <w:tc>
          <w:tcPr>
            <w:tcW w:w="6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591.5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Treasury shares, at cost; 1.5 shares</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(66.5)</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540"/>
              <w:spacing w:after="0" w:line="202" w:lineRule="exact"/>
              <w:rPr>
                <w:sz w:val="20"/>
                <w:szCs w:val="20"/>
                <w:color w:val="auto"/>
              </w:rPr>
            </w:pPr>
            <w:r>
              <w:rPr>
                <w:rFonts w:ascii="Arial" w:cs="Arial" w:eastAsia="Arial" w:hAnsi="Arial"/>
                <w:sz w:val="18"/>
                <w:szCs w:val="18"/>
                <w:color w:val="auto"/>
              </w:rPr>
              <w:t>(51.6)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(56.6)</w:t>
            </w: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1,081.7</w:t>
            </w:r>
          </w:p>
        </w:tc>
        <w:tc>
          <w:tcPr>
            <w:tcW w:w="600" w:type="dxa"/>
            <w:vAlign w:val="bottom"/>
            <w:tcBorders>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1,026.2</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2,217.6</w:t>
            </w:r>
          </w:p>
        </w:tc>
        <w:tc>
          <w:tcPr>
            <w:tcW w:w="600" w:type="dxa"/>
            <w:vAlign w:val="bottom"/>
            <w:tcBorders>
              <w:right w:val="single" w:sz="8" w:color="auto"/>
            </w:tcBorders>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2,018.9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fiscal years ended September 30, 2006, 2005, and 2004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5"/>
            <w:vMerge w:val="restart"/>
          </w:tcPr>
          <w:p>
            <w:pPr>
              <w:jc w:val="right"/>
              <w:spacing w:after="0"/>
              <w:rPr>
                <w:sz w:val="20"/>
                <w:szCs w:val="20"/>
                <w:color w:val="auto"/>
              </w:rPr>
            </w:pPr>
            <w:r>
              <w:rPr>
                <w:rFonts w:ascii="Arial" w:cs="Arial" w:eastAsia="Arial" w:hAnsi="Arial"/>
                <w:sz w:val="14"/>
                <w:szCs w:val="14"/>
                <w:color w:val="auto"/>
              </w:rPr>
              <w:t>Common Stock</w:t>
            </w:r>
          </w:p>
        </w:tc>
        <w:tc>
          <w:tcPr>
            <w:tcW w:w="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Capital in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5"/>
            <w:vMerge w:val="restart"/>
          </w:tcPr>
          <w:p>
            <w:pPr>
              <w:jc w:val="right"/>
              <w:ind w:right="8"/>
              <w:spacing w:after="0"/>
              <w:rPr>
                <w:sz w:val="20"/>
                <w:szCs w:val="20"/>
                <w:color w:val="auto"/>
              </w:rPr>
            </w:pPr>
            <w:r>
              <w:rPr>
                <w:rFonts w:ascii="Arial" w:cs="Arial" w:eastAsia="Arial" w:hAnsi="Arial"/>
                <w:sz w:val="14"/>
                <w:szCs w:val="14"/>
                <w:color w:val="auto"/>
              </w:rPr>
              <w:t>Treasury Stock</w:t>
            </w:r>
          </w:p>
        </w:tc>
        <w:tc>
          <w:tcPr>
            <w:tcW w:w="10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bottom w:val="single" w:sz="8" w:color="auto"/>
            </w:tcBorders>
            <w:gridSpan w:val="5"/>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220"/>
              <w:spacing w:after="0" w:line="147" w:lineRule="exact"/>
              <w:rPr>
                <w:sz w:val="20"/>
                <w:szCs w:val="20"/>
                <w:color w:val="auto"/>
              </w:rPr>
            </w:pPr>
            <w:r>
              <w:rPr>
                <w:rFonts w:ascii="Arial" w:cs="Arial" w:eastAsia="Arial" w:hAnsi="Arial"/>
                <w:sz w:val="14"/>
                <w:szCs w:val="14"/>
                <w:color w:val="auto"/>
                <w:w w:val="98"/>
              </w:rPr>
              <w:t>Excess of</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Deferred</w:t>
            </w:r>
          </w:p>
        </w:tc>
        <w:tc>
          <w:tcPr>
            <w:tcW w:w="740" w:type="dxa"/>
            <w:vAlign w:val="bottom"/>
            <w:gridSpan w:val="4"/>
          </w:tcPr>
          <w:p>
            <w:pPr>
              <w:ind w:left="60"/>
              <w:spacing w:after="0" w:line="147" w:lineRule="exact"/>
              <w:rPr>
                <w:sz w:val="20"/>
                <w:szCs w:val="20"/>
                <w:color w:val="auto"/>
              </w:rPr>
            </w:pPr>
            <w:r>
              <w:rPr>
                <w:rFonts w:ascii="Arial" w:cs="Arial" w:eastAsia="Arial" w:hAnsi="Arial"/>
                <w:sz w:val="14"/>
                <w:szCs w:val="14"/>
                <w:color w:val="auto"/>
              </w:rPr>
              <w:t>Retained</w:t>
            </w:r>
          </w:p>
        </w:tc>
        <w:tc>
          <w:tcPr>
            <w:tcW w:w="60" w:type="dxa"/>
            <w:vAlign w:val="bottom"/>
          </w:tcPr>
          <w:p>
            <w:pPr>
              <w:spacing w:after="0"/>
              <w:rPr>
                <w:sz w:val="12"/>
                <w:szCs w:val="12"/>
                <w:color w:val="auto"/>
              </w:rPr>
            </w:pPr>
          </w:p>
        </w:tc>
        <w:tc>
          <w:tcPr>
            <w:tcW w:w="1100" w:type="dxa"/>
            <w:vAlign w:val="bottom"/>
            <w:tcBorders>
              <w:bottom w:val="single" w:sz="8" w:color="auto"/>
            </w:tcBorders>
            <w:gridSpan w:val="5"/>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rPr>
              <w:t>Comprehensive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gridSpan w:val="3"/>
          </w:tcPr>
          <w:p>
            <w:pPr>
              <w:ind w:left="160"/>
              <w:spacing w:after="0"/>
              <w:rPr>
                <w:sz w:val="20"/>
                <w:szCs w:val="20"/>
                <w:color w:val="auto"/>
              </w:rPr>
            </w:pPr>
            <w:r>
              <w:rPr>
                <w:rFonts w:ascii="Arial" w:cs="Arial" w:eastAsia="Arial" w:hAnsi="Arial"/>
                <w:sz w:val="14"/>
                <w:szCs w:val="14"/>
                <w:color w:val="auto"/>
              </w:rPr>
              <w:t>Shares</w:t>
            </w:r>
          </w:p>
        </w:tc>
        <w:tc>
          <w:tcPr>
            <w:tcW w:w="660" w:type="dxa"/>
            <w:vAlign w:val="bottom"/>
            <w:gridSpan w:val="4"/>
          </w:tcPr>
          <w:p>
            <w:pPr>
              <w:ind w:left="80"/>
              <w:spacing w:after="0"/>
              <w:rPr>
                <w:sz w:val="20"/>
                <w:szCs w:val="20"/>
                <w:color w:val="auto"/>
              </w:rPr>
            </w:pPr>
            <w:r>
              <w:rPr>
                <w:rFonts w:ascii="Arial" w:cs="Arial" w:eastAsia="Arial" w:hAnsi="Arial"/>
                <w:sz w:val="14"/>
                <w:szCs w:val="14"/>
                <w:color w:val="auto"/>
              </w:rPr>
              <w:t>Amount</w:t>
            </w:r>
          </w:p>
        </w:tc>
        <w:tc>
          <w:tcPr>
            <w:tcW w:w="1000" w:type="dxa"/>
            <w:vAlign w:val="bottom"/>
            <w:gridSpan w:val="5"/>
          </w:tcPr>
          <w:p>
            <w:pPr>
              <w:ind w:left="80"/>
              <w:spacing w:after="0"/>
              <w:rPr>
                <w:sz w:val="20"/>
                <w:szCs w:val="20"/>
                <w:color w:val="auto"/>
              </w:rPr>
            </w:pPr>
            <w:r>
              <w:rPr>
                <w:rFonts w:ascii="Arial" w:cs="Arial" w:eastAsia="Arial" w:hAnsi="Arial"/>
                <w:sz w:val="14"/>
                <w:szCs w:val="14"/>
                <w:color w:val="auto"/>
              </w:rPr>
              <w:t>Stated Value</w:t>
            </w:r>
          </w:p>
        </w:tc>
        <w:tc>
          <w:tcPr>
            <w:tcW w:w="1060" w:type="dxa"/>
            <w:vAlign w:val="bottom"/>
            <w:gridSpan w:val="4"/>
          </w:tcPr>
          <w:p>
            <w:pPr>
              <w:ind w:left="40"/>
              <w:spacing w:after="0"/>
              <w:rPr>
                <w:sz w:val="20"/>
                <w:szCs w:val="20"/>
                <w:color w:val="auto"/>
              </w:rPr>
            </w:pPr>
            <w:r>
              <w:rPr>
                <w:rFonts w:ascii="Arial" w:cs="Arial" w:eastAsia="Arial" w:hAnsi="Arial"/>
                <w:sz w:val="14"/>
                <w:szCs w:val="14"/>
                <w:color w:val="auto"/>
              </w:rPr>
              <w:t>Compensation</w:t>
            </w:r>
          </w:p>
        </w:tc>
        <w:tc>
          <w:tcPr>
            <w:tcW w:w="740" w:type="dxa"/>
            <w:vAlign w:val="bottom"/>
            <w:gridSpan w:val="4"/>
          </w:tcPr>
          <w:p>
            <w:pPr>
              <w:ind w:left="60"/>
              <w:spacing w:after="0"/>
              <w:rPr>
                <w:sz w:val="20"/>
                <w:szCs w:val="20"/>
                <w:color w:val="auto"/>
              </w:rPr>
            </w:pPr>
            <w:r>
              <w:rPr>
                <w:rFonts w:ascii="Arial" w:cs="Arial" w:eastAsia="Arial" w:hAnsi="Arial"/>
                <w:sz w:val="14"/>
                <w:szCs w:val="14"/>
                <w:color w:val="auto"/>
              </w:rPr>
              <w:t>Earnings</w:t>
            </w:r>
          </w:p>
        </w:tc>
        <w:tc>
          <w:tcPr>
            <w:tcW w:w="600" w:type="dxa"/>
            <w:vAlign w:val="bottom"/>
            <w:gridSpan w:val="3"/>
          </w:tcPr>
          <w:p>
            <w:pPr>
              <w:jc w:val="right"/>
              <w:ind w:right="100"/>
              <w:spacing w:after="0"/>
              <w:rPr>
                <w:sz w:val="20"/>
                <w:szCs w:val="20"/>
                <w:color w:val="auto"/>
              </w:rPr>
            </w:pPr>
            <w:r>
              <w:rPr>
                <w:rFonts w:ascii="Arial" w:cs="Arial" w:eastAsia="Arial" w:hAnsi="Arial"/>
                <w:sz w:val="14"/>
                <w:szCs w:val="14"/>
                <w:color w:val="auto"/>
              </w:rPr>
              <w:t>Shares</w:t>
            </w:r>
          </w:p>
        </w:tc>
        <w:tc>
          <w:tcPr>
            <w:tcW w:w="660" w:type="dxa"/>
            <w:vAlign w:val="bottom"/>
            <w:gridSpan w:val="4"/>
          </w:tcPr>
          <w:p>
            <w:pPr>
              <w:ind w:left="60"/>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rPr>
              <w:t>Income/(loss)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8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Balance, September 30, 2003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398.4</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w:t>
            </w:r>
          </w:p>
        </w:tc>
        <w:tc>
          <w:tcPr>
            <w:tcW w:w="8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100.9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(0.9)</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Unrecognized gain on derivatives, net of tax</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Minimum pension liability, net of tax</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940" w:type="dxa"/>
            <w:vAlign w:val="bottom"/>
          </w:tcPr>
          <w:p>
            <w:pPr>
              <w:ind w:left="120"/>
              <w:spacing w:after="0"/>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103.9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awarded</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Stock-based compensation forfeitures</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Issuance of common shares</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Balance, September 30, 2004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443.0</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(57.8)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874.6</w:t>
            </w:r>
          </w:p>
        </w:tc>
        <w:tc>
          <w:tcPr>
            <w:tcW w:w="8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100.6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Unrecognized gain on derivatives, net of tax</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Minimum pension liability, net of tax</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940" w:type="dxa"/>
            <w:vAlign w:val="bottom"/>
          </w:tcPr>
          <w:p>
            <w:pPr>
              <w:ind w:left="120"/>
              <w:spacing w:after="0"/>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101.8</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awarded</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Stock-based compensation forfeitures</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Cash dividends paid (12.5 cents per share)</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(8.6)</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(8.6)</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shares</w:t>
            </w:r>
          </w:p>
        </w:tc>
        <w:tc>
          <w:tcPr>
            <w:tcW w:w="1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8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Balance, September 30, 2005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503.2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591.5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8"/>
              </w:rPr>
              <w:t>1,026.2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8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Foreign currency translation</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FAS 123(R) reclassification</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Minimum pension liability, net of tax</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income</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8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paid (50 cents per share)</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(33.5)</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(33.5)</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Treasury stock purchases</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(87.9)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(87.9)</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Treasury stock issuances</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(21.4)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gridSpan w:val="2"/>
          </w:tcPr>
          <w:p>
            <w:pPr>
              <w:ind w:left="580"/>
              <w:spacing w:after="0"/>
              <w:rPr>
                <w:sz w:val="20"/>
                <w:szCs w:val="20"/>
                <w:color w:val="auto"/>
              </w:rPr>
            </w:pPr>
            <w:r>
              <w:rPr>
                <w:rFonts w:ascii="Arial" w:cs="Arial" w:eastAsia="Arial" w:hAnsi="Arial"/>
                <w:sz w:val="14"/>
                <w:szCs w:val="14"/>
                <w:color w:val="auto"/>
              </w:rPr>
              <w:t>Issuance of common shares</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Balance, September 30, 2006</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508.8</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690.7</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1,081.7</w:t>
            </w:r>
          </w:p>
        </w:tc>
        <w:tc>
          <w:tcPr>
            <w:tcW w:w="8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0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59</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808080"/>
            </w:tcBorders>
          </w:tcPr>
          <w:p>
            <w:pPr>
              <w:spacing w:after="0"/>
              <w:rPr>
                <w:sz w:val="18"/>
                <w:szCs w:val="18"/>
                <w:color w:val="auto"/>
              </w:rPr>
            </w:pPr>
          </w:p>
        </w:tc>
        <w:tc>
          <w:tcPr>
            <w:tcW w:w="29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9"/>
        <w:spacing w:after="0"/>
        <w:rPr>
          <w:sz w:val="20"/>
          <w:szCs w:val="20"/>
          <w:color w:val="auto"/>
        </w:rPr>
      </w:pPr>
      <w:r>
        <w:rPr>
          <w:rFonts w:ascii="Arial" w:cs="Arial" w:eastAsia="Arial" w:hAnsi="Arial"/>
          <w:sz w:val="20"/>
          <w:szCs w:val="20"/>
          <w:b w:val="1"/>
          <w:bCs w:val="1"/>
          <w:color w:val="auto"/>
        </w:rPr>
        <w:t>The Scotts Miracle-Gro Company</w:t>
      </w:r>
    </w:p>
    <w:p>
      <w:pPr>
        <w:spacing w:after="0" w:line="54" w:lineRule="exact"/>
        <w:rPr>
          <w:sz w:val="20"/>
          <w:szCs w:val="20"/>
          <w:color w:val="auto"/>
        </w:rPr>
      </w:pPr>
    </w:p>
    <w:p>
      <w:pPr>
        <w:jc w:val="center"/>
        <w:ind w:right="-59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Nature of Operations</w:t>
      </w:r>
    </w:p>
    <w:p>
      <w:pPr>
        <w:spacing w:after="0" w:line="144" w:lineRule="exact"/>
        <w:rPr>
          <w:sz w:val="20"/>
          <w:szCs w:val="20"/>
          <w:color w:val="auto"/>
        </w:rPr>
      </w:pPr>
    </w:p>
    <w:p>
      <w:pPr>
        <w:ind w:left="580" w:right="40" w:firstLine="411"/>
        <w:spacing w:after="0" w:line="236" w:lineRule="auto"/>
        <w:rPr>
          <w:sz w:val="20"/>
          <w:szCs w:val="20"/>
          <w:color w:val="auto"/>
        </w:rPr>
      </w:pPr>
      <w:r>
        <w:rPr>
          <w:rFonts w:ascii="Arial" w:cs="Arial" w:eastAsia="Arial" w:hAnsi="Arial"/>
          <w:sz w:val="18"/>
          <w:szCs w:val="18"/>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We also operate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which provides lawn and tree and shrub fertilization, insect control and other related services in the United States and Smith &amp; Hawken</w:t>
      </w:r>
      <w:r>
        <w:rPr>
          <w:rFonts w:ascii="Arial" w:cs="Arial" w:eastAsia="Arial" w:hAnsi="Arial"/>
          <w:sz w:val="15"/>
          <w:szCs w:val="15"/>
          <w:color w:val="auto"/>
        </w:rPr>
        <w:t>®</w:t>
      </w:r>
      <w:r>
        <w:rPr>
          <w:rFonts w:ascii="Arial" w:cs="Arial" w:eastAsia="Arial" w:hAnsi="Arial"/>
          <w:sz w:val="18"/>
          <w:szCs w:val="18"/>
          <w:color w:val="auto"/>
        </w:rPr>
        <w:t>, a leading brand in the outdoor living and gardening lifestyle category. Effective November 18, 2005, the Company entered the North America wild bird food category with the acquisition of Gutwein &amp; Co., Inc. (“Gutwein”).</w:t>
      </w:r>
    </w:p>
    <w:p>
      <w:pPr>
        <w:spacing w:after="0" w:line="114" w:lineRule="exact"/>
        <w:rPr>
          <w:sz w:val="20"/>
          <w:szCs w:val="20"/>
          <w:color w:val="auto"/>
        </w:rPr>
      </w:pPr>
    </w:p>
    <w:p>
      <w:pPr>
        <w:ind w:left="580" w:right="60" w:firstLine="411"/>
        <w:spacing w:after="0"/>
        <w:rPr>
          <w:sz w:val="20"/>
          <w:szCs w:val="20"/>
          <w:color w:val="auto"/>
        </w:rPr>
      </w:pPr>
      <w:r>
        <w:rPr>
          <w:rFonts w:ascii="Arial" w:cs="Arial" w:eastAsia="Arial" w:hAnsi="Arial"/>
          <w:sz w:val="18"/>
          <w:szCs w:val="18"/>
          <w:color w:val="auto"/>
        </w:rPr>
        <w:t>Due to the nature of the lawn and garden business, the majority of shipments to retailers occur in the Company’s second and third fiscal quarters. On a combined basis, net sales for the second and third fiscal quarters generally represent 70% to 75% of annual net sales.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Restructuring Merger</w:t>
      </w:r>
    </w:p>
    <w:p>
      <w:pPr>
        <w:spacing w:after="0" w:line="144" w:lineRule="exact"/>
        <w:rPr>
          <w:sz w:val="20"/>
          <w:szCs w:val="20"/>
          <w:color w:val="auto"/>
        </w:rPr>
      </w:pPr>
    </w:p>
    <w:p>
      <w:pPr>
        <w:ind w:left="580" w:right="100" w:firstLine="411"/>
        <w:spacing w:after="0" w:line="236" w:lineRule="auto"/>
        <w:rPr>
          <w:sz w:val="20"/>
          <w:szCs w:val="20"/>
          <w:color w:val="auto"/>
        </w:rPr>
      </w:pPr>
      <w:r>
        <w:rPr>
          <w:rFonts w:ascii="Arial" w:cs="Arial" w:eastAsia="Arial" w:hAnsi="Arial"/>
          <w:sz w:val="18"/>
          <w:szCs w:val="18"/>
          <w:color w:val="auto"/>
        </w:rPr>
        <w:t>On March 18, 2005, The Scotts Company consummated the restructuring of its corporate structure into a holding company structure by merging The Scotts Company into a newly-created, wholly-owned, second-tier Ohio limited liability company subsidiary, The Scotts Company LLC, pursuant to the Agreement and Plan of Merger, dated as of December 13, 2004, by and among The Scotts Company, The Scotts Company LLC and Scotts Miracle-Gro (the “Restructuring Merger”). As a result of the Restructuring Merger, each of The Scotts Company’s common shares, without par value, issued and outstanding immediately prior to the consummation of the Restructuring Merger was automatically converted into one fully paid and nonassessable common share, without par value, of Scotts Miracle-Gro. Scotts Miracle-Gro is the public company successor to The Scotts Company. Following the consummation of the Restructuring Merger, The Scotts Company LLC is the successor to The Scotts Company and is a direct, wholly-owned subsidiary of Scotts Miracle-Gro, the new parent holding company.</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Organization and Basis of Presentation</w:t>
      </w:r>
    </w:p>
    <w:p>
      <w:pPr>
        <w:spacing w:after="0" w:line="144" w:lineRule="exact"/>
        <w:rPr>
          <w:sz w:val="20"/>
          <w:szCs w:val="20"/>
          <w:color w:val="auto"/>
        </w:rPr>
      </w:pPr>
    </w:p>
    <w:p>
      <w:pPr>
        <w:ind w:left="580" w:firstLine="411"/>
        <w:spacing w:after="0" w:line="238" w:lineRule="auto"/>
        <w:rPr>
          <w:sz w:val="20"/>
          <w:szCs w:val="20"/>
          <w:color w:val="auto"/>
        </w:rPr>
      </w:pPr>
      <w:r>
        <w:rPr>
          <w:rFonts w:ascii="Arial" w:cs="Arial" w:eastAsia="Arial" w:hAnsi="Arial"/>
          <w:sz w:val="18"/>
          <w:szCs w:val="18"/>
          <w:color w:val="auto"/>
        </w:rPr>
        <w:t>The Company’s consolidated financial statements are presented in accordance with accounting principles generally accepted in the United States of America. The consolidated financial statements include the accounts of Scotts Miracle-Gro and all wholly-owned and majority-owned subsidiaries. All intercompany transactions and accounts are eliminated in consolidation. The Company’s criteria for consolidating entities is based on majority ownership (as evidenced by a majority voting interest in the entity) and an objective evaluation and determination of effective management control.</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Revenue Recognition</w:t>
      </w:r>
    </w:p>
    <w:p>
      <w:pPr>
        <w:spacing w:after="0" w:line="144" w:lineRule="exact"/>
        <w:rPr>
          <w:sz w:val="20"/>
          <w:szCs w:val="20"/>
          <w:color w:val="auto"/>
        </w:rPr>
      </w:pPr>
    </w:p>
    <w:p>
      <w:pPr>
        <w:ind w:left="580" w:right="60" w:firstLine="411"/>
        <w:spacing w:after="0" w:line="239" w:lineRule="auto"/>
        <w:rPr>
          <w:sz w:val="20"/>
          <w:szCs w:val="20"/>
          <w:color w:val="auto"/>
        </w:rPr>
      </w:pPr>
      <w:r>
        <w:rPr>
          <w:rFonts w:ascii="Arial" w:cs="Arial" w:eastAsia="Arial" w:hAnsi="Arial"/>
          <w:sz w:val="18"/>
          <w:szCs w:val="18"/>
          <w:color w:val="auto"/>
        </w:rPr>
        <w:t>Revenue is recognized when title and risk of loss transfer, which generally occurs when products are received by the customer. Provisions for estimated returns and allowances are recorded at the time revenue is recognized based on historical rates and are periodically adjusted for known changes in return levels. Shipping and handling costs are included in cost of sales. Scotts LawnService</w:t>
      </w:r>
      <w:r>
        <w:rPr>
          <w:rFonts w:ascii="Arial" w:cs="Arial" w:eastAsia="Arial" w:hAnsi="Arial"/>
          <w:sz w:val="15"/>
          <w:szCs w:val="15"/>
          <w:color w:val="auto"/>
        </w:rPr>
        <w:t>®</w:t>
      </w:r>
      <w:r>
        <w:rPr>
          <w:rFonts w:ascii="Arial" w:cs="Arial" w:eastAsia="Arial" w:hAnsi="Arial"/>
          <w:sz w:val="18"/>
          <w:szCs w:val="18"/>
          <w:color w:val="auto"/>
        </w:rPr>
        <w:t xml:space="preserve"> revenues are recognized at the time service is provided to the customer.</w:t>
      </w:r>
    </w:p>
    <w:p>
      <w:pPr>
        <w:spacing w:after="0" w:line="107" w:lineRule="exact"/>
        <w:rPr>
          <w:sz w:val="20"/>
          <w:szCs w:val="20"/>
          <w:color w:val="auto"/>
        </w:rPr>
      </w:pPr>
    </w:p>
    <w:p>
      <w:pPr>
        <w:ind w:left="580" w:right="140" w:firstLine="411"/>
        <w:spacing w:after="0" w:line="238" w:lineRule="auto"/>
        <w:rPr>
          <w:sz w:val="20"/>
          <w:szCs w:val="20"/>
          <w:color w:val="auto"/>
        </w:rPr>
      </w:pPr>
      <w:r>
        <w:rPr>
          <w:rFonts w:ascii="Arial" w:cs="Arial" w:eastAsia="Arial" w:hAnsi="Arial"/>
          <w:sz w:val="18"/>
          <w:szCs w:val="18"/>
          <w:color w:val="auto"/>
        </w:rPr>
        <w:t>Under the terms of the Amended and Restated Exclusive Agency and Marketing Agreement (the “Marketing Agreement”) between the Company and Monsanto, the Company, in its role as exclusive agent performs certain functions, such as sales support, merchandising, distribution and logistics, and incurs certain costs in support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by the Company on behalf of Roundup</w:t>
      </w:r>
      <w:r>
        <w:rPr>
          <w:rFonts w:ascii="Arial" w:cs="Arial" w:eastAsia="Arial" w:hAnsi="Arial"/>
          <w:sz w:val="15"/>
          <w:szCs w:val="15"/>
          <w:color w:val="auto"/>
        </w:rPr>
        <w:t>®</w:t>
      </w:r>
      <w:r>
        <w:rPr>
          <w:rFonts w:ascii="Arial" w:cs="Arial" w:eastAsia="Arial" w:hAnsi="Arial"/>
          <w:sz w:val="18"/>
          <w:szCs w:val="18"/>
          <w:color w:val="auto"/>
        </w:rPr>
        <w:t xml:space="preserve"> are recovered from Monsanto through the terms of the Marketing Agreement. The reimbursement of costs for which the Compan</w:t>
      </w:r>
      <w:r>
        <w:rPr>
          <w:rFonts w:ascii="Arial" w:cs="Arial" w:eastAsia="Arial" w:hAnsi="Arial"/>
          <w:sz w:val="18"/>
          <w:szCs w:val="18"/>
          <w:u w:val="single" w:color="auto"/>
          <w:color w:val="auto"/>
        </w:rPr>
        <w:t>y is</w:t>
      </w:r>
      <w:r>
        <w:rPr>
          <w:rFonts w:ascii="Arial" w:cs="Arial" w:eastAsia="Arial" w:hAnsi="Arial"/>
          <w:sz w:val="18"/>
          <w:szCs w:val="18"/>
          <w:color w:val="auto"/>
        </w:rPr>
        <w:t xml:space="preserve"> considered the primary obligator is included in net sales.</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Promotional Allowances</w:t>
      </w:r>
    </w:p>
    <w:p>
      <w:pPr>
        <w:spacing w:after="0" w:line="144" w:lineRule="exact"/>
        <w:rPr>
          <w:sz w:val="20"/>
          <w:szCs w:val="20"/>
          <w:color w:val="auto"/>
        </w:rPr>
      </w:pPr>
    </w:p>
    <w:p>
      <w:pPr>
        <w:ind w:left="580" w:right="20" w:firstLine="411"/>
        <w:spacing w:after="0" w:line="238" w:lineRule="auto"/>
        <w:rPr>
          <w:sz w:val="20"/>
          <w:szCs w:val="20"/>
          <w:color w:val="auto"/>
        </w:rPr>
      </w:pPr>
      <w:r>
        <w:rPr>
          <w:rFonts w:ascii="Arial" w:cs="Arial" w:eastAsia="Arial" w:hAnsi="Arial"/>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 programs are included in the “Accrued liabilities” line in the Consolidated Balance Sheets.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Advertising</w:t>
      </w:r>
    </w:p>
    <w:p>
      <w:pPr>
        <w:spacing w:after="0" w:line="144" w:lineRule="exact"/>
        <w:rPr>
          <w:sz w:val="20"/>
          <w:szCs w:val="20"/>
          <w:color w:val="auto"/>
        </w:rPr>
      </w:pPr>
    </w:p>
    <w:p>
      <w:pPr>
        <w:ind w:left="580" w:right="40" w:firstLine="411"/>
        <w:spacing w:after="0" w:line="238" w:lineRule="auto"/>
        <w:rPr>
          <w:sz w:val="20"/>
          <w:szCs w:val="20"/>
          <w:color w:val="auto"/>
        </w:rPr>
      </w:pPr>
      <w:r>
        <w:rPr>
          <w:rFonts w:ascii="Arial" w:cs="Arial" w:eastAsia="Arial" w:hAnsi="Arial"/>
          <w:sz w:val="18"/>
          <w:szCs w:val="18"/>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 Advertising expenses were $137.3 million in fiscal 2006, $122.5 million in fiscal 2005 and $105.0 million in fiscal 2004.</w:t>
      </w:r>
    </w:p>
    <w:p>
      <w:pPr>
        <w:spacing w:after="0" w:line="106" w:lineRule="exact"/>
        <w:rPr>
          <w:sz w:val="20"/>
          <w:szCs w:val="20"/>
          <w:color w:val="auto"/>
        </w:rPr>
      </w:pPr>
    </w:p>
    <w:p>
      <w:pPr>
        <w:ind w:left="580" w:right="60" w:firstLine="411"/>
        <w:spacing w:after="0" w:line="238"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are not direct advertising costs are expensed within the fiscal year incurred on a monthly basis in proportion of net sales. The costs deferred at September 30, 2006 and 2005 were $5.6 million and $2.4 million, respectively.</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Research and Development</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costs associated with research and development are charged to expense as incurred. Expense for fiscal 2006, 2005 and</w:t>
      </w:r>
    </w:p>
    <w:p>
      <w:pPr>
        <w:ind w:left="580" w:right="560"/>
        <w:spacing w:after="0" w:line="246" w:lineRule="auto"/>
        <w:rPr>
          <w:sz w:val="20"/>
          <w:szCs w:val="20"/>
          <w:color w:val="auto"/>
        </w:rPr>
      </w:pPr>
      <w:r>
        <w:rPr>
          <w:rFonts w:ascii="Arial" w:cs="Arial" w:eastAsia="Arial" w:hAnsi="Arial"/>
          <w:sz w:val="18"/>
          <w:szCs w:val="18"/>
          <w:color w:val="auto"/>
        </w:rPr>
        <w:t>2004 was $35.1 million, $38.0 million and $34.4 million including registrations of $8.2 million, $7.5 million and $6.8 million, respectively.</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Environmental Costs</w:t>
      </w:r>
    </w:p>
    <w:p>
      <w:pPr>
        <w:spacing w:after="0" w:line="144" w:lineRule="exact"/>
        <w:rPr>
          <w:sz w:val="20"/>
          <w:szCs w:val="20"/>
          <w:color w:val="auto"/>
        </w:rPr>
      </w:pPr>
    </w:p>
    <w:p>
      <w:pPr>
        <w:ind w:left="580" w:firstLine="411"/>
        <w:spacing w:after="0" w:line="239"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Stock-Based Compensation Awards</w:t>
      </w:r>
    </w:p>
    <w:p>
      <w:pPr>
        <w:spacing w:after="0" w:line="144" w:lineRule="exact"/>
        <w:rPr>
          <w:sz w:val="20"/>
          <w:szCs w:val="20"/>
          <w:color w:val="auto"/>
        </w:rPr>
      </w:pPr>
    </w:p>
    <w:p>
      <w:pPr>
        <w:ind w:left="580" w:right="280" w:firstLine="411"/>
        <w:spacing w:after="0" w:line="253" w:lineRule="auto"/>
        <w:rPr>
          <w:sz w:val="20"/>
          <w:szCs w:val="20"/>
          <w:color w:val="auto"/>
        </w:rPr>
      </w:pPr>
      <w:r>
        <w:rPr>
          <w:rFonts w:ascii="Arial" w:cs="Arial" w:eastAsia="Arial" w:hAnsi="Arial"/>
          <w:sz w:val="17"/>
          <w:szCs w:val="17"/>
          <w:color w:val="auto"/>
        </w:rPr>
        <w:t>In fiscal 2003, the Company began expensing prospective grants of employee stock-based compensation awards in accordance with Statement of Financial Accounting Standards (SFAS) No. 123, “Accounting for Stock-Based Compensation.” The Company adopted SFAS 123(R), “Share-Based Payment” effective October 1, 2005, following the modified prospective application approach. The Company was already in substantial compliance with SFAS 123(R) at the adoption date as SFAS 123(R) closely parallels SFAS 123. The adoption of SFAS 123(R) did not have a significant effect on the Company’s results of operations for the period ended September 30, 2006. The fair value of awards is expensed ratably over the vesting period, generally three years, except for grants to members of the Board of Directors that have a shorter vesting period.</w:t>
      </w:r>
    </w:p>
    <w:p>
      <w:pPr>
        <w:spacing w:after="0" w:line="97" w:lineRule="exact"/>
        <w:rPr>
          <w:sz w:val="20"/>
          <w:szCs w:val="20"/>
          <w:color w:val="auto"/>
        </w:rPr>
      </w:pPr>
    </w:p>
    <w:p>
      <w:pPr>
        <w:ind w:left="580" w:right="80" w:firstLine="411"/>
        <w:spacing w:after="0" w:line="236" w:lineRule="auto"/>
        <w:rPr>
          <w:sz w:val="20"/>
          <w:szCs w:val="20"/>
          <w:color w:val="auto"/>
        </w:rPr>
      </w:pPr>
      <w:r>
        <w:rPr>
          <w:rFonts w:ascii="Arial" w:cs="Arial" w:eastAsia="Arial" w:hAnsi="Arial"/>
          <w:sz w:val="18"/>
          <w:szCs w:val="18"/>
          <w:color w:val="auto"/>
        </w:rPr>
        <w:t>The Company changed its fair value option pricing model from the Black-Scholes model to a binomial model for all options granted on or after October 1, 2004. The fair value of options granted prior to October 1, 2004, was determined using the Black-Scholes model. The Company believes the binomial model considers characteristics of fair value option pricing that are not available under the Black-Scholes model. Both the Black-Scholes model and the binomial model take into account a number of variables such as volatility, risk-free interest rate, contractual term of the option, the probability that the option will be exercised prior to the end of its contractual life, and the probability of termination or retirement of the option holder in computing the value of the option. However, the binomial model uses a more refined approach in applying those variables thereby improving the quality of the estimate of fair value.</w:t>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Earnings per Common Share</w:t>
      </w:r>
    </w:p>
    <w:p>
      <w:pPr>
        <w:spacing w:after="0" w:line="144" w:lineRule="exact"/>
        <w:rPr>
          <w:sz w:val="20"/>
          <w:szCs w:val="20"/>
          <w:color w:val="auto"/>
        </w:rPr>
      </w:pPr>
    </w:p>
    <w:p>
      <w:pPr>
        <w:jc w:val="both"/>
        <w:ind w:left="700" w:right="80" w:firstLine="397"/>
        <w:spacing w:after="0"/>
        <w:rPr>
          <w:sz w:val="20"/>
          <w:szCs w:val="20"/>
          <w:color w:val="auto"/>
        </w:rPr>
      </w:pPr>
      <w:r>
        <w:rPr>
          <w:rFonts w:ascii="Arial" w:cs="Arial" w:eastAsia="Arial" w:hAnsi="Arial"/>
          <w:sz w:val="18"/>
          <w:szCs w:val="18"/>
          <w:color w:val="auto"/>
        </w:rPr>
        <w:t>On November 9, 2005, the Company executed a 2-for-1 stock split to shareholders of record on November 2, 2005. All share and per share information included in these consolidated financial statements and notes thereto reflect this stock split for all periods presented.</w:t>
      </w:r>
    </w:p>
    <w:p>
      <w:pPr>
        <w:spacing w:after="0" w:line="108" w:lineRule="exact"/>
        <w:rPr>
          <w:sz w:val="20"/>
          <w:szCs w:val="20"/>
          <w:color w:val="auto"/>
        </w:rPr>
      </w:pPr>
    </w:p>
    <w:p>
      <w:pPr>
        <w:ind w:left="700" w:right="20" w:firstLine="397"/>
        <w:spacing w:after="0" w:line="239" w:lineRule="auto"/>
        <w:rPr>
          <w:sz w:val="20"/>
          <w:szCs w:val="20"/>
          <w:color w:val="auto"/>
        </w:rPr>
      </w:pPr>
      <w:r>
        <w:rPr>
          <w:rFonts w:ascii="Arial" w:cs="Arial" w:eastAsia="Arial" w:hAnsi="Arial"/>
          <w:sz w:val="18"/>
          <w:szCs w:val="18"/>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restricted stock, performance shares and stock appreciation rights) outstanding each period.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Cash and Cash Equivalents</w:t>
      </w:r>
    </w:p>
    <w:p>
      <w:pPr>
        <w:spacing w:after="0" w:line="144" w:lineRule="exact"/>
        <w:rPr>
          <w:sz w:val="20"/>
          <w:szCs w:val="20"/>
          <w:color w:val="auto"/>
        </w:rPr>
      </w:pPr>
    </w:p>
    <w:p>
      <w:pPr>
        <w:ind w:left="700" w:right="60" w:firstLine="397"/>
        <w:spacing w:after="0" w:line="239"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institutions and believes that any potential credit loss is minimal.</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Investments</w:t>
      </w:r>
    </w:p>
    <w:p>
      <w:pPr>
        <w:spacing w:after="0" w:line="144" w:lineRule="exact"/>
        <w:rPr>
          <w:sz w:val="20"/>
          <w:szCs w:val="20"/>
          <w:color w:val="auto"/>
        </w:rPr>
      </w:pPr>
    </w:p>
    <w:p>
      <w:pPr>
        <w:ind w:left="700" w:right="40" w:firstLine="397"/>
        <w:spacing w:after="0" w:line="239" w:lineRule="auto"/>
        <w:rPr>
          <w:sz w:val="20"/>
          <w:szCs w:val="20"/>
          <w:color w:val="auto"/>
        </w:rPr>
      </w:pPr>
      <w:r>
        <w:rPr>
          <w:rFonts w:ascii="Arial" w:cs="Arial" w:eastAsia="Arial" w:hAnsi="Arial"/>
          <w:sz w:val="18"/>
          <w:szCs w:val="18"/>
          <w:color w:val="auto"/>
        </w:rPr>
        <w:t>At September 30, 2004, the Company held investments consisting of adjustable rate notes issued by a variety of borrowers (the “Notes”). The Notes were accounted for as “available for sale securities” in accordance with SFAS No. 115, “Accounting for Certain Investments in Debt and Equity Securities.” The Notes held at September 30, 2004, in the amount of $57.2 million, were redeemed on October 1, 2004.</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Accounts Receivable and Allowances</w:t>
      </w:r>
    </w:p>
    <w:p>
      <w:pPr>
        <w:spacing w:after="0" w:line="144" w:lineRule="exact"/>
        <w:rPr>
          <w:sz w:val="20"/>
          <w:szCs w:val="20"/>
          <w:color w:val="auto"/>
        </w:rPr>
      </w:pPr>
    </w:p>
    <w:p>
      <w:pPr>
        <w:ind w:left="700" w:right="40" w:firstLine="397"/>
        <w:spacing w:after="0" w:line="237" w:lineRule="auto"/>
        <w:rPr>
          <w:sz w:val="20"/>
          <w:szCs w:val="20"/>
          <w:color w:val="auto"/>
        </w:rPr>
      </w:pPr>
      <w:r>
        <w:rPr>
          <w:rFonts w:ascii="Arial" w:cs="Arial" w:eastAsia="Arial" w:hAnsi="Arial"/>
          <w:sz w:val="18"/>
          <w:szCs w:val="18"/>
          <w:color w:val="auto"/>
        </w:rPr>
        <w:t>Trade accounts receivable are recorded at the invoiced amount and do not bear interest. Allowances reflect our best estimate of amounts in our existing accounts receivable that may not be collected due to customer claims, the return of goods, or customer inability or unwillingness to pay. We determine the allowance based on customer risk assessment and historical experience. We review our allowances monthly. Past due balances over 90 days and in excess of a specified amount are reviewed individually for collectibility. All other balances are reviewed on a pooled basis by type of receivable. Account balances are charged off against the allowance when we feel it is probable the receivable will not be recovered. We do not have any off-balance-sheet credit exposure related to our customers.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Inventories</w:t>
      </w:r>
    </w:p>
    <w:p>
      <w:pPr>
        <w:spacing w:after="0" w:line="144"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color w:val="auto"/>
        </w:rPr>
        <w:t>Inventories are stated at the lower of cost or market, principally determined by the FIFO method. Certain growing media inventories are accounted for by the LIFO method. Approximately 5% and 6% of inventories were valued at the lower of LIFO cost or market at September 30, 2006 and 2005, respectively. Inventories include the cost of raw materials, labor and manufacturing overhead. The Company makes provisions for obsolete or slow -moving inventories as necessary to properly reflect inventory at the lower of cost or market value. Reserves for excess and obsolete inventories were $15.1 million and $16.3 million at September 30, 2006 and 2005, respectively.</w:t>
      </w:r>
    </w:p>
    <w:p>
      <w:pPr>
        <w:spacing w:after="0" w:line="111" w:lineRule="exact"/>
        <w:rPr>
          <w:sz w:val="20"/>
          <w:szCs w:val="20"/>
          <w:color w:val="auto"/>
        </w:rPr>
      </w:pPr>
    </w:p>
    <w:p>
      <w:pPr>
        <w:ind w:left="700" w:right="120" w:firstLine="397"/>
        <w:spacing w:after="0" w:line="237" w:lineRule="auto"/>
        <w:rPr>
          <w:sz w:val="20"/>
          <w:szCs w:val="20"/>
          <w:color w:val="auto"/>
        </w:rPr>
      </w:pPr>
      <w:r>
        <w:rPr>
          <w:rFonts w:ascii="Arial" w:cs="Arial" w:eastAsia="Arial" w:hAnsi="Arial"/>
          <w:sz w:val="18"/>
          <w:szCs w:val="18"/>
          <w:color w:val="auto"/>
        </w:rPr>
        <w:t>The Company adopted the provisions of SFAS 151, “Inventory Costs,” in the first quarter of fiscal 2006. SFAS 151 amends ARB 43, Chapter 4, to clarify that abnormal amounts of idle facility expense, freight, handling costs, and wasted materials (spoilage) should be recognized as current-period charges. In addition, SFAS 151 requires that allocation of fixed production overheads to the costs of conversion be based on the normal capacity of the production facilities. The Company has completed its evaluation of the provisions of SFAS 151, and its adoption did not have a material impact on its financial position or results of operations.</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Goodwill and Indefinite-lived Intangible Assets</w:t>
      </w:r>
    </w:p>
    <w:p>
      <w:pPr>
        <w:spacing w:after="0" w:line="144" w:lineRule="exact"/>
        <w:rPr>
          <w:sz w:val="20"/>
          <w:szCs w:val="20"/>
          <w:color w:val="auto"/>
        </w:rPr>
      </w:pPr>
    </w:p>
    <w:p>
      <w:pPr>
        <w:ind w:left="700" w:right="140" w:firstLine="397"/>
        <w:spacing w:after="0" w:line="239" w:lineRule="auto"/>
        <w:rPr>
          <w:sz w:val="20"/>
          <w:szCs w:val="20"/>
          <w:color w:val="auto"/>
        </w:rPr>
      </w:pPr>
      <w:r>
        <w:rPr>
          <w:rFonts w:ascii="Arial" w:cs="Arial" w:eastAsia="Arial" w:hAnsi="Arial"/>
          <w:sz w:val="18"/>
          <w:szCs w:val="18"/>
          <w:color w:val="auto"/>
        </w:rPr>
        <w:t>In accordance with SFAS 142, goodwill and intangible assets determined to have indefinite lives are not subject to amortization. Goodwill and indefinite-lived intangible assets are reviewed for impairment by applying a fair-value based test on an annual basis or more frequently if circumstances indicate a potential impairment. The Company conducts its annual impairment review of indefinite-lived tradenames</w:t>
      </w:r>
    </w:p>
    <w:p>
      <w:pPr>
        <w:ind w:left="5600"/>
        <w:spacing w:after="0"/>
        <w:rPr>
          <w:sz w:val="20"/>
          <w:szCs w:val="20"/>
          <w:color w:val="auto"/>
        </w:rPr>
      </w:pPr>
      <w:r>
        <w:rPr>
          <w:rFonts w:ascii="Arial" w:cs="Arial" w:eastAsia="Arial" w:hAnsi="Arial"/>
          <w:sz w:val="11"/>
          <w:szCs w:val="11"/>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80" w:right="260"/>
        <w:spacing w:after="0"/>
        <w:rPr>
          <w:sz w:val="20"/>
          <w:szCs w:val="20"/>
          <w:color w:val="auto"/>
        </w:rPr>
      </w:pPr>
      <w:r>
        <w:rPr>
          <w:rFonts w:ascii="Arial" w:cs="Arial" w:eastAsia="Arial" w:hAnsi="Arial"/>
          <w:sz w:val="18"/>
          <w:szCs w:val="18"/>
          <w:color w:val="auto"/>
        </w:rPr>
        <w:t>and goodwill during its first fiscal quarter. If it is determined that an impairment has occurred, an impairment loss is recognized for the amount by which the carrying amount of the asset exceeds its estimated fair value and classified as “Impairment, restructuring, and other charges” in the Consolidated Statement of Operations.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Long-lived Assets</w:t>
      </w:r>
    </w:p>
    <w:p>
      <w:pPr>
        <w:spacing w:after="0" w:line="144" w:lineRule="exact"/>
        <w:rPr>
          <w:sz w:val="20"/>
          <w:szCs w:val="20"/>
          <w:color w:val="auto"/>
        </w:rPr>
      </w:pPr>
    </w:p>
    <w:p>
      <w:pPr>
        <w:jc w:val="both"/>
        <w:ind w:left="580" w:right="280" w:firstLine="411"/>
        <w:spacing w:after="0"/>
        <w:rPr>
          <w:sz w:val="20"/>
          <w:szCs w:val="20"/>
          <w:color w:val="auto"/>
        </w:rPr>
      </w:pPr>
      <w:r>
        <w:rPr>
          <w:rFonts w:ascii="Arial" w:cs="Arial" w:eastAsia="Arial" w:hAnsi="Arial"/>
          <w:sz w:val="18"/>
          <w:szCs w:val="18"/>
          <w:color w:val="auto"/>
        </w:rPr>
        <w:t>Property, plant and equipment, are stated at cost.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108" w:lineRule="exact"/>
        <w:rPr>
          <w:sz w:val="20"/>
          <w:szCs w:val="20"/>
          <w:color w:val="auto"/>
        </w:rPr>
      </w:pPr>
    </w:p>
    <w:p>
      <w:pPr>
        <w:ind w:left="580" w:right="140" w:firstLine="411"/>
        <w:spacing w:after="0" w:line="246"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25 years</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36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 40 years</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3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 15 years</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36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 10 years</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3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8"/>
              </w:rPr>
              <w:t>3 — 8 years</w:t>
            </w:r>
          </w:p>
        </w:tc>
      </w:tr>
    </w:tbl>
    <w:p>
      <w:pPr>
        <w:spacing w:after="0" w:line="121" w:lineRule="exact"/>
        <w:rPr>
          <w:sz w:val="20"/>
          <w:szCs w:val="20"/>
          <w:color w:val="auto"/>
        </w:rPr>
      </w:pPr>
    </w:p>
    <w:p>
      <w:pPr>
        <w:ind w:left="580" w:right="780" w:firstLine="411"/>
        <w:spacing w:after="0" w:line="246" w:lineRule="auto"/>
        <w:rPr>
          <w:sz w:val="20"/>
          <w:szCs w:val="20"/>
          <w:color w:val="auto"/>
        </w:rPr>
      </w:pPr>
      <w:r>
        <w:rPr>
          <w:rFonts w:ascii="Arial" w:cs="Arial" w:eastAsia="Arial" w:hAnsi="Arial"/>
          <w:sz w:val="18"/>
          <w:szCs w:val="18"/>
          <w:color w:val="auto"/>
        </w:rPr>
        <w:t>Interest capitalized on capital projects amounted to $0.5 million and $0.3 million during fiscal 2006 and fiscal 2005, respectively. No interest was capitalized on capital projects in fiscal 2004.</w:t>
      </w:r>
    </w:p>
    <w:p>
      <w:pPr>
        <w:spacing w:after="0" w:line="102" w:lineRule="exact"/>
        <w:rPr>
          <w:sz w:val="20"/>
          <w:szCs w:val="20"/>
          <w:color w:val="auto"/>
        </w:rPr>
      </w:pPr>
    </w:p>
    <w:p>
      <w:pPr>
        <w:ind w:left="580" w:right="20" w:firstLine="411"/>
        <w:spacing w:after="0" w:line="238" w:lineRule="auto"/>
        <w:rPr>
          <w:sz w:val="20"/>
          <w:szCs w:val="20"/>
          <w:color w:val="auto"/>
        </w:rPr>
      </w:pPr>
      <w:r>
        <w:rPr>
          <w:rFonts w:ascii="Arial" w:cs="Arial" w:eastAsia="Arial" w:hAnsi="Arial"/>
          <w:sz w:val="18"/>
          <w:szCs w:val="18"/>
          <w:color w:val="auto"/>
        </w:rPr>
        <w:t>Intangible assets with finite lives, and therefore subject to amortization, include technology (e.g., patents), customer accounts, and certain tradenames. These intangible assets are being amortized on the straight-line method over periods typically ranging from 10 to 25 years. The Company’s fixed assets and intangible assets subject to amortization are required to be tested for recoverability under SFAS No. 144, “Accounting for the Impairment or Disposal of Long-Lived Assets”, whenever events or changes in circumstances indicate that its carrying amount may not be recoverable.</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Internal Use Software</w:t>
      </w:r>
    </w:p>
    <w:p>
      <w:pPr>
        <w:spacing w:after="0" w:line="144" w:lineRule="exact"/>
        <w:rPr>
          <w:sz w:val="20"/>
          <w:szCs w:val="20"/>
          <w:color w:val="auto"/>
        </w:rPr>
      </w:pPr>
    </w:p>
    <w:p>
      <w:pPr>
        <w:ind w:left="580" w:right="260" w:firstLine="411"/>
        <w:spacing w:after="0" w:line="237" w:lineRule="auto"/>
        <w:rPr>
          <w:sz w:val="20"/>
          <w:szCs w:val="20"/>
          <w:color w:val="auto"/>
        </w:rPr>
      </w:pPr>
      <w:r>
        <w:rPr>
          <w:rFonts w:ascii="Arial" w:cs="Arial" w:eastAsia="Arial" w:hAnsi="Arial"/>
          <w:sz w:val="18"/>
          <w:szCs w:val="18"/>
          <w:color w:val="auto"/>
        </w:rPr>
        <w:t>The Company accounts for the costs of internal use software in accordance with Statement of Position 98-1, “Accounting for the Costs of Computer Software Developed or Obtained for Internal Use.” Accordingly, costs are expensed or capitalized depending on whether they are incurred in the preliminary project stage, application development stage or the post-implementation/operation stage. As of September 30, 2006 and 2005, the Company had $29.4 million and $37.4 million, respectively, in unamortized capitalized internal use computer software costs. Amortization of these costs was $10.7 million, $9.6 million and $8.7 million during fiscal 2006, 2005 and 2004, respectively.</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Translation of Foreign Currencies</w:t>
      </w:r>
    </w:p>
    <w:p>
      <w:pPr>
        <w:spacing w:after="0" w:line="144" w:lineRule="exact"/>
        <w:rPr>
          <w:sz w:val="20"/>
          <w:szCs w:val="20"/>
          <w:color w:val="auto"/>
        </w:rPr>
      </w:pPr>
    </w:p>
    <w:p>
      <w:pPr>
        <w:ind w:left="580" w:right="100" w:firstLine="411"/>
        <w:spacing w:after="0" w:line="237" w:lineRule="auto"/>
        <w:rPr>
          <w:sz w:val="20"/>
          <w:szCs w:val="20"/>
          <w:color w:val="auto"/>
        </w:rPr>
      </w:pPr>
      <w:r>
        <w:rPr>
          <w:rFonts w:ascii="Arial" w:cs="Arial" w:eastAsia="Arial" w:hAnsi="Arial"/>
          <w:sz w:val="18"/>
          <w:szCs w:val="18"/>
          <w:color w:val="auto"/>
        </w:rPr>
        <w:t>For all foreign operations, the functional currency is the local currency. Assets and liabilities of these operations are translated at the exchange rate in effect at each year-end. Income and expense accounts are translated at the average rate of exchange prevailing during the year. Translation gains and losses arising from the use of differing exchange rates from period to period are included in other comprehensive income, a component of shareholders’ equity. Foreign currency transaction gains and losses are included in the determination of net income and amounted to a loss of $0.5 million, a gain of $2.1 million and a loss of $0.7 million in fiscal years 2006, 2005, and 2004, respectively.</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Derivative Instruments</w:t>
      </w:r>
    </w:p>
    <w:p>
      <w:pPr>
        <w:spacing w:after="0" w:line="144" w:lineRule="exact"/>
        <w:rPr>
          <w:sz w:val="20"/>
          <w:szCs w:val="20"/>
          <w:color w:val="auto"/>
        </w:rPr>
      </w:pPr>
    </w:p>
    <w:p>
      <w:pPr>
        <w:ind w:left="580" w:right="100" w:firstLine="411"/>
        <w:spacing w:after="0" w:line="239" w:lineRule="auto"/>
        <w:rPr>
          <w:sz w:val="20"/>
          <w:szCs w:val="20"/>
          <w:color w:val="auto"/>
        </w:rPr>
      </w:pPr>
      <w:r>
        <w:rPr>
          <w:rFonts w:ascii="Arial" w:cs="Arial" w:eastAsia="Arial" w:hAnsi="Arial"/>
          <w:sz w:val="18"/>
          <w:szCs w:val="18"/>
          <w:color w:val="auto"/>
        </w:rPr>
        <w:t>In the normal course of business, the Company is exposed to fluctuations in interest rates, the value of foreign currencies, and the cost of commodities. A variety of financial instruments, including forward and swap contracts, are used to manage these exposures. The Company’s objective in managing these exposures is to better control these elements of cost and mitigate the earnings and cash flow volatility associated with changes in th</w:t>
      </w:r>
      <w:r>
        <w:rPr>
          <w:rFonts w:ascii="Arial" w:cs="Arial" w:eastAsia="Arial" w:hAnsi="Arial"/>
          <w:sz w:val="18"/>
          <w:szCs w:val="18"/>
          <w:u w:val="single" w:color="auto"/>
          <w:color w:val="auto"/>
        </w:rPr>
        <w:t>e ap</w:t>
      </w:r>
      <w:r>
        <w:rPr>
          <w:rFonts w:ascii="Arial" w:cs="Arial" w:eastAsia="Arial" w:hAnsi="Arial"/>
          <w:sz w:val="18"/>
          <w:szCs w:val="18"/>
          <w:color w:val="auto"/>
        </w:rPr>
        <w:t>plicable rates and prices.</w:t>
      </w:r>
    </w:p>
    <w:p>
      <w:pPr>
        <w:ind w:left="5660"/>
        <w:spacing w:after="0"/>
        <w:rPr>
          <w:sz w:val="20"/>
          <w:szCs w:val="20"/>
          <w:color w:val="auto"/>
        </w:rPr>
      </w:pPr>
      <w:r>
        <w:rPr>
          <w:rFonts w:ascii="Arial" w:cs="Arial" w:eastAsia="Arial" w:hAnsi="Arial"/>
          <w:sz w:val="11"/>
          <w:szCs w:val="11"/>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80" w:right="240" w:firstLine="411"/>
        <w:spacing w:after="0"/>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Use of Estimates</w:t>
      </w:r>
    </w:p>
    <w:p>
      <w:pPr>
        <w:spacing w:after="0" w:line="144" w:lineRule="exact"/>
        <w:rPr>
          <w:sz w:val="20"/>
          <w:szCs w:val="20"/>
          <w:color w:val="auto"/>
        </w:rPr>
      </w:pPr>
    </w:p>
    <w:p>
      <w:pPr>
        <w:ind w:left="580" w:right="20" w:firstLine="411"/>
        <w:spacing w:after="0" w:line="23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6"/>
          <w:szCs w:val="16"/>
          <w:b w:val="1"/>
          <w:bCs w:val="1"/>
          <w:u w:val="single" w:color="auto"/>
          <w:color w:val="auto"/>
        </w:rPr>
        <w:t>Statement of Financial Accounting Standards No. 157 — Fair Value Measurements</w:t>
      </w:r>
    </w:p>
    <w:p>
      <w:pPr>
        <w:spacing w:after="0" w:line="144" w:lineRule="exact"/>
        <w:rPr>
          <w:sz w:val="20"/>
          <w:szCs w:val="20"/>
          <w:color w:val="auto"/>
        </w:rPr>
      </w:pPr>
    </w:p>
    <w:p>
      <w:pPr>
        <w:ind w:left="580" w:right="20" w:firstLine="411"/>
        <w:spacing w:after="0" w:line="238" w:lineRule="auto"/>
        <w:rPr>
          <w:sz w:val="20"/>
          <w:szCs w:val="20"/>
          <w:color w:val="auto"/>
        </w:rPr>
      </w:pPr>
      <w:r>
        <w:rPr>
          <w:rFonts w:ascii="Arial" w:cs="Arial" w:eastAsia="Arial" w:hAnsi="Arial"/>
          <w:sz w:val="18"/>
          <w:szCs w:val="18"/>
          <w:color w:val="auto"/>
        </w:rPr>
        <w:t>In September 2006, the Financial Accounting Standards Board issued SFAS No. 157, “Fair Value Measurements”. SFAS 157 defines fair value, establishes a framework for measuring fair value, and expands disclosures about fair value measurements. The Company will be required to adopt SFAS 157 no later than October 1, 2008, the beginning of its 2009 fiscal year. The Company has not yet determined the effect, if any, that the adoption of SFAS 157 will have on its consolidated financial statements.</w:t>
      </w:r>
    </w:p>
    <w:p>
      <w:pPr>
        <w:spacing w:after="0" w:line="199" w:lineRule="exact"/>
        <w:rPr>
          <w:sz w:val="20"/>
          <w:szCs w:val="20"/>
          <w:color w:val="auto"/>
        </w:rPr>
      </w:pPr>
    </w:p>
    <w:p>
      <w:pPr>
        <w:ind w:left="680" w:right="920"/>
        <w:spacing w:after="0" w:line="286" w:lineRule="auto"/>
        <w:rPr>
          <w:sz w:val="20"/>
          <w:szCs w:val="20"/>
          <w:color w:val="auto"/>
        </w:rPr>
      </w:pPr>
      <w:r>
        <w:rPr>
          <w:rFonts w:ascii="Arial" w:cs="Arial" w:eastAsia="Arial" w:hAnsi="Arial"/>
          <w:sz w:val="16"/>
          <w:szCs w:val="16"/>
          <w:b w:val="1"/>
          <w:bCs w:val="1"/>
          <w:u w:val="single" w:color="auto"/>
          <w:color w:val="auto"/>
        </w:rPr>
        <w:t>Statement of Financial Accounting Standards No. 158 — Employers’ Accounting For Defined Benefit Pension And Other Postretirement Plans</w:t>
      </w:r>
    </w:p>
    <w:p>
      <w:pPr>
        <w:spacing w:after="0" w:line="78" w:lineRule="exact"/>
        <w:rPr>
          <w:sz w:val="20"/>
          <w:szCs w:val="20"/>
          <w:color w:val="auto"/>
        </w:rPr>
      </w:pPr>
    </w:p>
    <w:p>
      <w:pPr>
        <w:ind w:left="580" w:right="80" w:firstLine="411"/>
        <w:spacing w:after="0" w:line="237" w:lineRule="auto"/>
        <w:rPr>
          <w:sz w:val="20"/>
          <w:szCs w:val="20"/>
          <w:color w:val="auto"/>
        </w:rPr>
      </w:pPr>
      <w:r>
        <w:rPr>
          <w:rFonts w:ascii="Arial" w:cs="Arial" w:eastAsia="Arial" w:hAnsi="Arial"/>
          <w:sz w:val="18"/>
          <w:szCs w:val="18"/>
          <w:color w:val="auto"/>
        </w:rPr>
        <w:t>The Financial Accounting Standards Board has issued SFAS No. 158, “Employers’ Accounting for Defined Benefit Pension and Other Postretirement Plans, an amendment of FASB Statements No. 87, 88, 106, and 132(R).” SFAS 108 will require the Company to recognize the underfunded status of its defined benefit postretirement plans as a liability in its statement of financial position and to recognize changes in that funded status in the year in which the changes occur through comprehensive income. SFAS 158 does not change the way the Company measures plan assets and benefit obligations as of the date of its balance sheet and in determining the amount of net periodic benefit cost.</w:t>
      </w:r>
    </w:p>
    <w:p>
      <w:pPr>
        <w:spacing w:after="0" w:line="111" w:lineRule="exact"/>
        <w:rPr>
          <w:sz w:val="20"/>
          <w:szCs w:val="20"/>
          <w:color w:val="auto"/>
        </w:rPr>
      </w:pPr>
    </w:p>
    <w:p>
      <w:pPr>
        <w:ind w:left="580" w:right="60" w:firstLine="411"/>
        <w:spacing w:after="0" w:line="237" w:lineRule="auto"/>
        <w:rPr>
          <w:sz w:val="20"/>
          <w:szCs w:val="20"/>
          <w:color w:val="auto"/>
        </w:rPr>
      </w:pPr>
      <w:r>
        <w:rPr>
          <w:rFonts w:ascii="Arial" w:cs="Arial" w:eastAsia="Arial" w:hAnsi="Arial"/>
          <w:sz w:val="18"/>
          <w:szCs w:val="18"/>
          <w:color w:val="auto"/>
        </w:rPr>
        <w:t>The Company will be required to adopt the provisions of SFAS 158 as of September 30, 2007. As disclosed in Note 7, Retirement Plans, the Company’s projected benefit obligation for its international defined benefit plans exceeded the accumulated benefit obligation at September 30, 2006. As disclosed in Note 8, Associate Medical Benefits, the Company’s accumulated plan benefit obligation for its post-retirement medical plan exceeded the liability recorded at September 30, 2006. If the provisions of SFAS 158 were adopted as of September 30, 2006, the Company would be required to record an additional long-term liability of $26.3 million, an additional long-term deferred tax asset of $9.6 million, and charge the accumulated other comprehensive loss component of shareholders’ equity for $16.7 million.</w:t>
      </w:r>
    </w:p>
    <w:p>
      <w:pPr>
        <w:spacing w:after="0" w:line="200" w:lineRule="exact"/>
        <w:rPr>
          <w:sz w:val="20"/>
          <w:szCs w:val="20"/>
          <w:color w:val="auto"/>
        </w:rPr>
      </w:pPr>
    </w:p>
    <w:p>
      <w:pPr>
        <w:ind w:left="680"/>
        <w:spacing w:after="0"/>
        <w:rPr>
          <w:sz w:val="20"/>
          <w:szCs w:val="20"/>
          <w:color w:val="auto"/>
        </w:rPr>
      </w:pPr>
      <w:r>
        <w:rPr>
          <w:rFonts w:ascii="Arial" w:cs="Arial" w:eastAsia="Arial" w:hAnsi="Arial"/>
          <w:sz w:val="16"/>
          <w:szCs w:val="16"/>
          <w:b w:val="1"/>
          <w:bCs w:val="1"/>
          <w:u w:val="single" w:color="auto"/>
          <w:color w:val="auto"/>
        </w:rPr>
        <w:t>FIN 48 — Accounting For Uncertainty In Income Taxes — An Interpretation Of FASB Statement No. 109</w:t>
      </w:r>
    </w:p>
    <w:p>
      <w:pPr>
        <w:spacing w:after="0" w:line="144" w:lineRule="exact"/>
        <w:rPr>
          <w:sz w:val="20"/>
          <w:szCs w:val="20"/>
          <w:color w:val="auto"/>
        </w:rPr>
      </w:pPr>
    </w:p>
    <w:p>
      <w:pPr>
        <w:ind w:left="580" w:right="140" w:firstLine="411"/>
        <w:spacing w:after="0" w:line="237" w:lineRule="auto"/>
        <w:rPr>
          <w:sz w:val="20"/>
          <w:szCs w:val="20"/>
          <w:color w:val="auto"/>
        </w:rPr>
      </w:pPr>
      <w:r>
        <w:rPr>
          <w:rFonts w:ascii="Arial" w:cs="Arial" w:eastAsia="Arial" w:hAnsi="Arial"/>
          <w:sz w:val="18"/>
          <w:szCs w:val="18"/>
          <w:color w:val="auto"/>
        </w:rPr>
        <w:t>The Financial Accounting Standards Board has issued Interpretation (FIN) 48, “Accounting for Uncertainty in Income Taxes — an interpretation of FASB Statement No. 109.” This Interpretation clarifies the accounting for uncertainty in income taxes recognized in an enterprise’s financial statements in accordance with SFAS No. 109, “Accounting for Income Taxes.” This Interpretation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w:t>
      </w:r>
    </w:p>
    <w:p>
      <w:pPr>
        <w:spacing w:after="0" w:line="111" w:lineRule="exact"/>
        <w:rPr>
          <w:sz w:val="20"/>
          <w:szCs w:val="20"/>
          <w:color w:val="auto"/>
        </w:rPr>
      </w:pPr>
    </w:p>
    <w:p>
      <w:pPr>
        <w:ind w:left="580" w:firstLine="411"/>
        <w:spacing w:after="0" w:line="239" w:lineRule="auto"/>
        <w:rPr>
          <w:sz w:val="20"/>
          <w:szCs w:val="20"/>
          <w:color w:val="auto"/>
        </w:rPr>
      </w:pPr>
      <w:r>
        <w:rPr>
          <w:rFonts w:ascii="Arial" w:cs="Arial" w:eastAsia="Arial" w:hAnsi="Arial"/>
          <w:sz w:val="18"/>
          <w:szCs w:val="18"/>
          <w:color w:val="auto"/>
        </w:rPr>
        <w:t>The evaluation of a tax position in accordance with this Interpretation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w:t>
      </w:r>
    </w:p>
    <w:p>
      <w:pPr>
        <w:ind w:left="5660"/>
        <w:spacing w:after="0"/>
        <w:rPr>
          <w:sz w:val="20"/>
          <w:szCs w:val="20"/>
          <w:color w:val="auto"/>
        </w:rPr>
      </w:pPr>
      <w:r>
        <w:rPr>
          <w:rFonts w:ascii="Arial" w:cs="Arial" w:eastAsia="Arial" w:hAnsi="Arial"/>
          <w:sz w:val="11"/>
          <w:szCs w:val="11"/>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80" w:right="160"/>
        <w:spacing w:after="0" w:line="238" w:lineRule="auto"/>
        <w:rPr>
          <w:sz w:val="20"/>
          <w:szCs w:val="20"/>
          <w:color w:val="auto"/>
        </w:rPr>
      </w:pPr>
      <w:r>
        <w:rPr>
          <w:rFonts w:ascii="Arial" w:cs="Arial" w:eastAsia="Arial" w:hAnsi="Arial"/>
          <w:sz w:val="18"/>
          <w:szCs w:val="18"/>
          <w:color w:val="auto"/>
        </w:rPr>
        <w:t>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w:t>
      </w:r>
    </w:p>
    <w:p>
      <w:pPr>
        <w:spacing w:after="0" w:line="108" w:lineRule="exact"/>
        <w:rPr>
          <w:sz w:val="20"/>
          <w:szCs w:val="20"/>
          <w:color w:val="auto"/>
        </w:rPr>
      </w:pPr>
    </w:p>
    <w:p>
      <w:pPr>
        <w:jc w:val="both"/>
        <w:ind w:left="580" w:right="100" w:firstLine="411"/>
        <w:spacing w:after="0" w:line="239" w:lineRule="auto"/>
        <w:rPr>
          <w:sz w:val="20"/>
          <w:szCs w:val="20"/>
          <w:color w:val="auto"/>
        </w:rPr>
      </w:pPr>
      <w:r>
        <w:rPr>
          <w:rFonts w:ascii="Arial" w:cs="Arial" w:eastAsia="Arial" w:hAnsi="Arial"/>
          <w:sz w:val="18"/>
          <w:szCs w:val="18"/>
          <w:color w:val="auto"/>
        </w:rPr>
        <w:t>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w:t>
      </w:r>
    </w:p>
    <w:p>
      <w:pPr>
        <w:spacing w:after="0" w:line="107" w:lineRule="exact"/>
        <w:rPr>
          <w:sz w:val="20"/>
          <w:szCs w:val="20"/>
          <w:color w:val="auto"/>
        </w:rPr>
      </w:pPr>
    </w:p>
    <w:p>
      <w:pPr>
        <w:ind w:left="580" w:firstLine="411"/>
        <w:spacing w:after="0" w:line="238" w:lineRule="auto"/>
        <w:rPr>
          <w:sz w:val="20"/>
          <w:szCs w:val="20"/>
          <w:color w:val="auto"/>
        </w:rPr>
      </w:pPr>
      <w:r>
        <w:rPr>
          <w:rFonts w:ascii="Arial" w:cs="Arial" w:eastAsia="Arial" w:hAnsi="Arial"/>
          <w:sz w:val="18"/>
          <w:szCs w:val="18"/>
          <w:color w:val="auto"/>
        </w:rPr>
        <w:t>The Company will be required to adopt the provisions of FIN 48 in respect of all the Company’s tax positions as of October 1, 2007, the beginning of the 2008 fiscal year. The cumulative effect of applying the provisions of the Interpretation will be reported as an adjustment to the opening balance of retained earnings for the 2008 fiscal year. The Company has not completed its evaluation of FIN 48 and the effect the adoption of the Interpretation will have on the Company’s consolidated financial statements. It is possible that the adoption of this Interpretation will have a material effect on future results of operations.</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SEC Staff Accounting Bulletin (“SAB”) No. 108 — Quantifying Financial Statement Misstatements</w:t>
      </w:r>
    </w:p>
    <w:p>
      <w:pPr>
        <w:spacing w:after="0" w:line="139" w:lineRule="exact"/>
        <w:rPr>
          <w:sz w:val="20"/>
          <w:szCs w:val="20"/>
          <w:color w:val="auto"/>
        </w:rPr>
      </w:pPr>
    </w:p>
    <w:p>
      <w:pPr>
        <w:ind w:left="580" w:right="240" w:firstLine="411"/>
        <w:spacing w:after="0" w:line="237" w:lineRule="auto"/>
        <w:rPr>
          <w:sz w:val="20"/>
          <w:szCs w:val="20"/>
          <w:color w:val="auto"/>
        </w:rPr>
      </w:pPr>
      <w:r>
        <w:rPr>
          <w:rFonts w:ascii="Arial" w:cs="Arial" w:eastAsia="Arial" w:hAnsi="Arial"/>
          <w:sz w:val="18"/>
          <w:szCs w:val="18"/>
          <w:color w:val="auto"/>
        </w:rPr>
        <w:t>In September 2006, the Securities and Exchange Commission issued Staff Accounting Bulletin (“SAB”) No. 108, “Quantifying Financial Statement Misstatements”. Due to diversity in practice among registrants, the SEC staff in SAB 108 expresses its views regarding the process by which misstatements in financial statements are evaluated for purposes of determining whether financial statement restatement is necessary. The Company will be required to adopt SAB 108 in fiscal 2007. The Company is in the process of evaluating SAB 108, but does not believe it will have a material impact on its financial condition, results of operations or liquidity.</w:t>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8160" w:type="dxa"/>
            <w:vAlign w:val="bottom"/>
            <w:gridSpan w:val="5"/>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5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800" w:type="dxa"/>
            <w:vAlign w:val="bottom"/>
            <w:gridSpan w:val="3"/>
          </w:tcPr>
          <w:p>
            <w:pPr>
              <w:jc w:val="center"/>
              <w:ind w:left="181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60" w:type="dxa"/>
            <w:vAlign w:val="bottom"/>
            <w:gridSpan w:val="5"/>
          </w:tcPr>
          <w:p>
            <w:pPr>
              <w:ind w:left="580"/>
              <w:spacing w:after="0"/>
              <w:rPr>
                <w:sz w:val="20"/>
                <w:szCs w:val="20"/>
                <w:color w:val="auto"/>
              </w:rPr>
            </w:pPr>
            <w:r>
              <w:rPr>
                <w:rFonts w:ascii="Arial" w:cs="Arial" w:eastAsia="Arial" w:hAnsi="Arial"/>
                <w:sz w:val="18"/>
                <w:szCs w:val="18"/>
                <w:b w:val="1"/>
                <w:bCs w:val="1"/>
                <w:color w:val="auto"/>
              </w:rPr>
              <w:t>NOTE 2. DETAIL OF CERTAIN FINANCIAL STATEMENT ACCOUNTS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September 30,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2006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(In millions)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8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tcPr>
          <w:p>
            <w:pPr>
              <w:spacing w:after="0"/>
              <w:rPr>
                <w:sz w:val="17"/>
                <w:szCs w:val="17"/>
                <w:color w:val="auto"/>
              </w:rPr>
            </w:pPr>
          </w:p>
        </w:tc>
        <w:tc>
          <w:tcPr>
            <w:tcW w:w="75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INVENTORIES,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Finished goods</w:t>
            </w: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$ 267.4</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$ 216.0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Work-in-progress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$ 409.2</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$ 324.9</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PROPERTY, PLANT AND EQUIPMENT, NET:</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39.6</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144.6</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131.1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401.8</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353.7</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Software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737.6</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659.4</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(370.0)</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(322.4)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$ 367.6</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$ 337.0</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ACCRUED LIABILITIES:</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Payroll and other compensation accruals</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62.5</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Advertising and promotional accruals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126.8</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114.0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Restructuring accruals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$ 269.1</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$ 314.7</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OTHER NON-CURRENT LIABILITIES:</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pension and postretirement liabilities</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93.8</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$ 102.9</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Legal and environmental reserves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$ 164.5</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$ 124.1</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7"/>
          </w:tcPr>
          <w:p>
            <w:pPr>
              <w:jc w:val="center"/>
              <w:ind w:right="700"/>
              <w:spacing w:after="0"/>
              <w:rPr>
                <w:sz w:val="20"/>
                <w:szCs w:val="20"/>
                <w:color w:val="auto"/>
              </w:rPr>
            </w:pPr>
            <w:r>
              <w:rPr>
                <w:rFonts w:ascii="Arial" w:cs="Arial" w:eastAsia="Arial" w:hAnsi="Arial"/>
                <w:sz w:val="18"/>
                <w:szCs w:val="18"/>
                <w:color w:val="auto"/>
                <w:w w:val="99"/>
              </w:rPr>
              <w:t>September 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99"/>
              </w:rPr>
              <w:t>2005</w:t>
            </w: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8"/>
              </w:rPr>
              <w:t>(in millions)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8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tcPr>
          <w:p>
            <w:pPr>
              <w:spacing w:after="0"/>
              <w:rPr>
                <w:sz w:val="17"/>
                <w:szCs w:val="17"/>
                <w:color w:val="auto"/>
              </w:rPr>
            </w:pPr>
          </w:p>
        </w:tc>
        <w:tc>
          <w:tcPr>
            <w:tcW w:w="75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ACCUMULATED OTHER COMPREHENSIVE LOSS: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Unrecognized gain (loss) on derivatives, net of tax of $(0.9), $(1.2) and $0.2</w:t>
            </w: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1.8</w:t>
            </w:r>
          </w:p>
        </w:tc>
        <w:tc>
          <w:tcPr>
            <w:tcW w:w="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1.8</w:t>
            </w:r>
          </w:p>
        </w:tc>
        <w:tc>
          <w:tcPr>
            <w:tcW w:w="280" w:type="dxa"/>
            <w:vAlign w:val="bottom"/>
          </w:tcPr>
          <w:p>
            <w:pPr>
              <w:spacing w:after="0"/>
              <w:rPr>
                <w:sz w:val="17"/>
                <w:szCs w:val="17"/>
                <w:color w:val="auto"/>
              </w:rPr>
            </w:pPr>
          </w:p>
        </w:tc>
        <w:tc>
          <w:tcPr>
            <w:tcW w:w="74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 (0.3)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Minimum pension liability, net of tax of $19.5, $23.7 and $22.7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(40.6)</w:t>
            </w:r>
          </w:p>
        </w:tc>
        <w:tc>
          <w:tcPr>
            <w:tcW w:w="7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w:t>
            </w:r>
          </w:p>
        </w:tc>
        <w:tc>
          <w:tcPr>
            <w:tcW w:w="11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(17.8)</w:t>
            </w:r>
          </w:p>
        </w:tc>
        <w:tc>
          <w:tcPr>
            <w:tcW w:w="74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(21.9)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w:t>
            </w: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(56.6)</w:t>
            </w:r>
          </w:p>
        </w:tc>
        <w:tc>
          <w:tcPr>
            <w:tcW w:w="7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360" w:type="dxa"/>
            <w:vAlign w:val="bottom"/>
            <w:gridSpan w:val="2"/>
            <w:vMerge w:val="restart"/>
          </w:tcPr>
          <w:p>
            <w:pPr>
              <w:spacing w:after="0" w:line="20" w:lineRule="exact"/>
              <w:rPr>
                <w:sz w:val="1"/>
                <w:szCs w:val="1"/>
                <w:color w:val="auto"/>
              </w:rPr>
            </w:pPr>
          </w:p>
        </w:tc>
        <w:tc>
          <w:tcPr>
            <w:tcW w:w="42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360" w:type="dxa"/>
            <w:vAlign w:val="bottom"/>
            <w:gridSpan w:val="2"/>
            <w:vMerge w:val="continue"/>
          </w:tcPr>
          <w:p>
            <w:pPr>
              <w:spacing w:after="0"/>
              <w:rPr>
                <w:sz w:val="10"/>
                <w:szCs w:val="10"/>
                <w:color w:val="auto"/>
              </w:rPr>
            </w:pPr>
          </w:p>
        </w:tc>
        <w:tc>
          <w:tcPr>
            <w:tcW w:w="4200" w:type="dxa"/>
            <w:vAlign w:val="bottom"/>
            <w:vMerge w:val="continue"/>
          </w:tcPr>
          <w:p>
            <w:pPr>
              <w:spacing w:after="0"/>
              <w:rPr>
                <w:sz w:val="10"/>
                <w:szCs w:val="10"/>
                <w:color w:val="auto"/>
              </w:rPr>
            </w:pPr>
          </w:p>
        </w:tc>
        <w:tc>
          <w:tcPr>
            <w:tcW w:w="3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66</w:t>
            </w: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42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3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3. MARKETING AGREEMENT</w:t>
      </w:r>
    </w:p>
    <w:p>
      <w:pPr>
        <w:spacing w:after="0" w:line="247" w:lineRule="exact"/>
        <w:rPr>
          <w:sz w:val="20"/>
          <w:szCs w:val="20"/>
          <w:color w:val="auto"/>
        </w:rPr>
      </w:pPr>
    </w:p>
    <w:p>
      <w:pPr>
        <w:ind w:left="580" w:firstLine="411"/>
        <w:spacing w:after="0" w:line="238" w:lineRule="auto"/>
        <w:rPr>
          <w:sz w:val="20"/>
          <w:szCs w:val="20"/>
          <w:color w:val="auto"/>
        </w:rPr>
      </w:pPr>
      <w:r>
        <w:rPr>
          <w:rFonts w:ascii="Arial" w:cs="Arial" w:eastAsia="Arial" w:hAnsi="Arial"/>
          <w:sz w:val="18"/>
          <w:szCs w:val="18"/>
          <w:color w:val="auto"/>
        </w:rPr>
        <w:t>Under the terms of the Marketing Agreement with Monsanto, the Company is Monsanto’s exclusive agent for the domestic and international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herbicide products. Under the terms of the Marketing Agreement, the Company is entitled to receive an annual commission from Monsanto in consideration for the performance of the Company’s duties as agent. The Marketing Agreement also requires the Company to make annual payments to Monsanto as a contribution against the overall expenses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w:t>
      </w:r>
    </w:p>
    <w:p>
      <w:pPr>
        <w:spacing w:after="0" w:line="108" w:lineRule="exact"/>
        <w:rPr>
          <w:sz w:val="20"/>
          <w:szCs w:val="20"/>
          <w:color w:val="auto"/>
        </w:rPr>
      </w:pPr>
    </w:p>
    <w:p>
      <w:pPr>
        <w:ind w:left="580" w:right="120" w:firstLine="411"/>
        <w:spacing w:after="0" w:line="239" w:lineRule="auto"/>
        <w:rPr>
          <w:sz w:val="20"/>
          <w:szCs w:val="20"/>
          <w:color w:val="auto"/>
        </w:rPr>
      </w:pPr>
      <w:r>
        <w:rPr>
          <w:rFonts w:ascii="Arial" w:cs="Arial" w:eastAsia="Arial" w:hAnsi="Arial"/>
          <w:sz w:val="18"/>
          <w:szCs w:val="18"/>
          <w:color w:val="auto"/>
        </w:rPr>
        <w:t>The annual gross commission under the Marketing Agreement is calculated as a percentage of the actual earnings before interest and income taxes (EBIT)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as defined in the Marketing Agreement. Each year’s percentage varies in accordance with the terms of the Marketing Agreement based on the achievement of two earnings thresholds and on commission rates that vary by threshold and program year.</w:t>
      </w:r>
    </w:p>
    <w:p>
      <w:pPr>
        <w:spacing w:after="0" w:line="107" w:lineRule="exact"/>
        <w:rPr>
          <w:sz w:val="20"/>
          <w:szCs w:val="20"/>
          <w:color w:val="auto"/>
        </w:rPr>
      </w:pPr>
    </w:p>
    <w:p>
      <w:pPr>
        <w:ind w:left="580" w:right="40" w:firstLine="411"/>
        <w:spacing w:after="0" w:line="236" w:lineRule="auto"/>
        <w:rPr>
          <w:sz w:val="20"/>
          <w:szCs w:val="20"/>
          <w:color w:val="auto"/>
        </w:rPr>
      </w:pPr>
      <w:r>
        <w:rPr>
          <w:rFonts w:ascii="Arial" w:cs="Arial" w:eastAsia="Arial" w:hAnsi="Arial"/>
          <w:sz w:val="18"/>
          <w:szCs w:val="18"/>
          <w:color w:val="auto"/>
        </w:rPr>
        <w:t>The annual contribution payment is defined in the Marketing Agreement as $20 million; however, portions of the annual contribution payments for the first three years of the Marketing Agreement were deferred. Through July 2, 2005, the Company recognized a periodic charge associated with the annual contribution payments equal to the required payment for that period. The Company had not recognized a charge for the portions of the contribution payments that were deferred until the time those deferred amounts were due under the terms of the Marketing Agreement. Based on the then available facts and circumstances, the Company considered this method of accounting to be appropriate. Factors considered in this determination included the likely term of the Marketing Agreement, the Company’s ability to terminate the Marketing Agreement without paying the deferred amounts, the Company’s assessment that the Marketing Agreement could have been terminated at any balance sheet date without incurring significant economic consequences as a result of such action and the fact that a significant portion of the deferred amount could never have been paid, even if the Marketing Agreement was not terminated prior to 2018, unless significant earnings targets were exceeded.</w:t>
      </w:r>
    </w:p>
    <w:p>
      <w:pPr>
        <w:spacing w:after="0" w:line="111" w:lineRule="exact"/>
        <w:rPr>
          <w:sz w:val="20"/>
          <w:szCs w:val="20"/>
          <w:color w:val="auto"/>
        </w:rPr>
      </w:pPr>
    </w:p>
    <w:p>
      <w:pPr>
        <w:ind w:left="580" w:firstLine="411"/>
        <w:spacing w:after="0" w:line="237" w:lineRule="auto"/>
        <w:rPr>
          <w:sz w:val="20"/>
          <w:szCs w:val="20"/>
          <w:color w:val="auto"/>
        </w:rPr>
      </w:pPr>
      <w:r>
        <w:rPr>
          <w:rFonts w:ascii="Arial" w:cs="Arial" w:eastAsia="Arial" w:hAnsi="Arial"/>
          <w:sz w:val="18"/>
          <w:szCs w:val="18"/>
          <w:color w:val="auto"/>
        </w:rPr>
        <w:t>During the quarter ended July 2, 2005, the Company updated its assessment of the amounts deferred and previously considered a contingent obligation under the Marketing Agreement. Based on the strong performance and other economic developments surrounding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Company concluded that it was probable that the deferred contribution payment that totaled $45.7 million as of July 2, 2005 would be paid. Since the recognition of this contingent obligation was for previously deferred contribution payments under the Marketing Agreement, the Company recorded this liability with a charge to net sales in the quarter ended July 2, 2005. This amount bore interest at 8% until it was paid in October 2005. The deferred contribution balance was recorded as a current liability at September 30, 2005.</w:t>
      </w:r>
    </w:p>
    <w:p>
      <w:pPr>
        <w:spacing w:after="0" w:line="109" w:lineRule="exact"/>
        <w:rPr>
          <w:sz w:val="20"/>
          <w:szCs w:val="20"/>
          <w:color w:val="auto"/>
        </w:rPr>
      </w:pPr>
    </w:p>
    <w:p>
      <w:pPr>
        <w:ind w:left="580" w:firstLine="411"/>
        <w:spacing w:after="0" w:line="237"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selling and marketing support, on behalf of Monsanto in the conduct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for these activities are charged to and reimbursed by Monsanto, for which the Company recognizes no gross profit or net income.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$37.6 million, $40.7 million and $40.1 million for fiscal 2006, 2005 and 2004, respectively. The elements</w:t>
      </w:r>
    </w:p>
    <w:p>
      <w:pPr>
        <w:spacing w:after="0" w:line="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700" w:right="260"/>
        <w:spacing w:after="0" w:line="246" w:lineRule="auto"/>
        <w:rPr>
          <w:sz w:val="20"/>
          <w:szCs w:val="20"/>
          <w:color w:val="auto"/>
        </w:rPr>
      </w:pPr>
      <w:r>
        <w:rPr>
          <w:rFonts w:ascii="Arial" w:cs="Arial" w:eastAsia="Arial" w:hAnsi="Arial"/>
          <w:sz w:val="18"/>
          <w:szCs w:val="18"/>
          <w:color w:val="auto"/>
        </w:rPr>
        <w:t>of the net commission earned under Marketing Agreement included in “Net sales” for each of the three years in the period ended September 30, 2006 are as follows:</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commission</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$ 60.7</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$ 67.0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Contribution expenses</w:t>
            </w:r>
          </w:p>
        </w:tc>
        <w:tc>
          <w:tcPr>
            <w:tcW w:w="23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(20.0)</w:t>
            </w: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(23.8)</w:t>
            </w: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contribution charge</w:t>
            </w:r>
          </w:p>
        </w:tc>
        <w:tc>
          <w:tcPr>
            <w:tcW w:w="15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Amortization of marketing fee</w:t>
            </w:r>
          </w:p>
        </w:tc>
        <w:tc>
          <w:tcPr>
            <w:tcW w:w="154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(0.8)</w:t>
            </w: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(2.8)</w:t>
            </w: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commission income (expense)</w:t>
            </w:r>
          </w:p>
        </w:tc>
        <w:tc>
          <w:tcPr>
            <w:tcW w:w="15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Reimbursements associated with marketing agreement</w:t>
            </w:r>
          </w:p>
        </w:tc>
        <w:tc>
          <w:tcPr>
            <w:tcW w:w="154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Total net sales associated with marketing agreement</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$ 77.5</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$ 35.4</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20" w:firstLine="397"/>
        <w:spacing w:after="0" w:line="238"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$ 33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 Prior to fiscal 2005, the marketing fee had been amortized over ten years.</w:t>
      </w:r>
    </w:p>
    <w:p>
      <w:pPr>
        <w:spacing w:after="0" w:line="108" w:lineRule="exact"/>
        <w:rPr>
          <w:sz w:val="20"/>
          <w:szCs w:val="20"/>
          <w:color w:val="auto"/>
        </w:rPr>
      </w:pPr>
    </w:p>
    <w:p>
      <w:pPr>
        <w:ind w:left="700" w:right="20" w:firstLine="397"/>
        <w:spacing w:after="0" w:line="235" w:lineRule="auto"/>
        <w:rPr>
          <w:sz w:val="20"/>
          <w:szCs w:val="20"/>
          <w:color w:val="auto"/>
        </w:rPr>
      </w:pPr>
      <w:r>
        <w:rPr>
          <w:rFonts w:ascii="Arial" w:cs="Arial" w:eastAsia="Arial" w:hAnsi="Arial"/>
          <w:sz w:val="18"/>
          <w:szCs w:val="18"/>
          <w:color w:val="auto"/>
        </w:rPr>
        <w:t>The Marketing Agreement has no definite term except as it relates to the European Union countries. With respect to the European Union countries, the term of the Marketing Agreement has been extended through September 30, 2008 and may be renewed at the option of both parties for two additional successive terms ending on September 30, 2015 and 2018, with a separate determination being made by the parties at least six months prior to the expiration of each such term as to whether to commence a subsequent renewal term. If Monsanto does not agree to the renewal term with respect to the European Union countries, the commission structure will be renegotiated within the terms of the Marketing Agreement. For countries outside of the European Union, the Marketing Agreement continues indefinitely unless terminated by either party. The Marketing Agreement provides Monsanto with the right to terminate the Marketing Agreement for an event of default (as defined in the Marketing Agreement) by the Company or a change in control of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Unless Monsanto terminates the Marketing Agreement for an event of default by the Company, Monsanto is required to pay a termination fee to the Company that varies by program year. If Monsanto terminates the Marketing Agreement upon a change of control of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prior to September 30, 2008, we will be entitled to a termination fee in excess of $100 million. If we terminate the Marketing Agreement upon an uncured material breach, material fraud or material willful misconduct by Monsanto, we will be entitled to receive a termination fee in excess of $100 million if the termination occurs prior to September 30, 2008. The termination fee declines over time from $100 million to a minimum of $16 million for terminations between September 30, 2008 and September 30, 2018. If Monsanto was to terminate the Marketing Agreement for cause, we would not be entitled to any termination fee, and we would lose all, or a significant portion, of the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 (1) over a cumulative three fiscal year period; or (2) by more than 5% for each of two consecutive years.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4. IMPAIRMENT, RESTRUCTURING AND OTHER CHARGES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2006 Charges</w:t>
      </w:r>
    </w:p>
    <w:p>
      <w:pPr>
        <w:spacing w:after="0" w:line="144" w:lineRule="exact"/>
        <w:rPr>
          <w:sz w:val="20"/>
          <w:szCs w:val="20"/>
          <w:color w:val="auto"/>
        </w:rPr>
      </w:pPr>
    </w:p>
    <w:p>
      <w:pPr>
        <w:ind w:left="700" w:right="20" w:firstLine="397"/>
        <w:spacing w:after="0" w:line="238" w:lineRule="auto"/>
        <w:rPr>
          <w:sz w:val="20"/>
          <w:szCs w:val="20"/>
          <w:color w:val="auto"/>
        </w:rPr>
      </w:pPr>
      <w:r>
        <w:rPr>
          <w:rFonts w:ascii="Arial" w:cs="Arial" w:eastAsia="Arial" w:hAnsi="Arial"/>
          <w:sz w:val="18"/>
          <w:szCs w:val="18"/>
          <w:color w:val="auto"/>
        </w:rPr>
        <w:t>An impairment charge of $1.0 million was recorded in the first quarter related to a tradename no longer in use in the U.K. consumer business. As further discussed in Note 6, an impairment charge of $65.4 million primarily related to indefinite-lived tradenames in our European consumer business was recorded in the fourth quarter as a result of the interim date impairment analysis of indefinite-lived intangibles and goodwill. During fiscal 2006, the Company recorded $9.4 million of restructuring and</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700" w:right="40"/>
        <w:spacing w:after="0" w:line="246" w:lineRule="auto"/>
        <w:rPr>
          <w:sz w:val="20"/>
          <w:szCs w:val="20"/>
          <w:color w:val="auto"/>
        </w:rPr>
      </w:pPr>
      <w:r>
        <w:rPr>
          <w:rFonts w:ascii="Arial" w:cs="Arial" w:eastAsia="Arial" w:hAnsi="Arial"/>
          <w:sz w:val="18"/>
          <w:szCs w:val="18"/>
          <w:color w:val="auto"/>
        </w:rPr>
        <w:t>other charges relating to the strategic improvement plan initiated in fiscal 2005, consisting primarily of severance and related costs.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2005 Charges</w:t>
      </w:r>
    </w:p>
    <w:p>
      <w:pPr>
        <w:spacing w:after="0" w:line="144" w:lineRule="exact"/>
        <w:rPr>
          <w:sz w:val="20"/>
          <w:szCs w:val="20"/>
          <w:color w:val="auto"/>
        </w:rPr>
      </w:pPr>
    </w:p>
    <w:p>
      <w:pPr>
        <w:ind w:left="700" w:right="100" w:firstLine="397"/>
        <w:spacing w:after="0" w:line="236" w:lineRule="auto"/>
        <w:rPr>
          <w:sz w:val="20"/>
          <w:szCs w:val="20"/>
          <w:color w:val="auto"/>
        </w:rPr>
      </w:pPr>
      <w:r>
        <w:rPr>
          <w:rFonts w:ascii="Arial" w:cs="Arial" w:eastAsia="Arial" w:hAnsi="Arial"/>
          <w:sz w:val="18"/>
          <w:szCs w:val="18"/>
          <w:color w:val="auto"/>
        </w:rPr>
        <w:t>During fiscal 2005, the Company recorded $9.5 million of restructuring and other charges. The Company recognized restructuring costs relating primarily to the Company’s strategic improvement plan designed to significantly improve long-term earnings through a sustained effort to reduce general and administrative costs. Primarily in relation to the plan, the Company recognized $ 26.3 million of severance and related costs, including curtailment charges relating to a pension plan and the retiree medical plan. The Company anticipates that restructuring activities under the strategic improvement plan will continue through fiscal 2007 and that total costs under the plan will be in the range of $33 million to $35 million. In the first quarter of fiscal 2005, the Company recorded an impairment charge of $22.0 million for indefinite-lived tradenames in our U.K. consumer business, reflecting a reduction in the value of the business resulting primarily from the decline in the profitability of its growing media business and unfavorable category mix trends.</w:t>
      </w:r>
    </w:p>
    <w:p>
      <w:pPr>
        <w:spacing w:after="0" w:line="113" w:lineRule="exact"/>
        <w:rPr>
          <w:sz w:val="20"/>
          <w:szCs w:val="20"/>
          <w:color w:val="auto"/>
        </w:rPr>
      </w:pPr>
    </w:p>
    <w:p>
      <w:pPr>
        <w:ind w:left="700" w:right="280" w:firstLine="397"/>
        <w:spacing w:after="0"/>
        <w:rPr>
          <w:sz w:val="20"/>
          <w:szCs w:val="20"/>
          <w:color w:val="auto"/>
        </w:rPr>
      </w:pPr>
      <w:r>
        <w:rPr>
          <w:rFonts w:ascii="Arial" w:cs="Arial" w:eastAsia="Arial" w:hAnsi="Arial"/>
          <w:sz w:val="18"/>
          <w:szCs w:val="18"/>
          <w:color w:val="auto"/>
        </w:rPr>
        <w:t>Offsetting these charges was a reserve reversal to restructuring income of $7.9 million related to the collection of outstanding accounts receivable due from Central Garden &amp; Pet Company (Central Garden), and a net settlement gain of $8.9 million was recorded relating to the lawsuit against Aventis.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2004 Charges</w:t>
      </w:r>
    </w:p>
    <w:p>
      <w:pPr>
        <w:spacing w:after="0" w:line="144" w:lineRule="exact"/>
        <w:rPr>
          <w:sz w:val="20"/>
          <w:szCs w:val="20"/>
          <w:color w:val="auto"/>
        </w:rPr>
      </w:pPr>
    </w:p>
    <w:p>
      <w:pPr>
        <w:ind w:left="700" w:right="60" w:firstLine="397"/>
        <w:spacing w:after="0" w:line="237" w:lineRule="auto"/>
        <w:rPr>
          <w:sz w:val="20"/>
          <w:szCs w:val="20"/>
          <w:color w:val="auto"/>
        </w:rPr>
      </w:pPr>
      <w:r>
        <w:rPr>
          <w:rFonts w:ascii="Arial" w:cs="Arial" w:eastAsia="Arial" w:hAnsi="Arial"/>
          <w:sz w:val="18"/>
          <w:szCs w:val="18"/>
          <w:color w:val="auto"/>
        </w:rPr>
        <w:t>During fiscal 2004, the Company recorded $9.7 million of restructuring and other charges. Charges related to our North America distribution restructuring were classified as cost of sales in the amount of $0.6 million. Severance costs related to our International Profit Improvement Plan and the restructuring of our International team amounted to $6.1 million. The restructuring of our Global Business Information Services group amounted to $3.0 million and related primarily to severance and outside service costs. The severance costs incurred in fiscal 2004 are related to the reduction of 75 administrative and production employees.</w:t>
      </w:r>
    </w:p>
    <w:p>
      <w:pPr>
        <w:spacing w:after="0" w:line="111" w:lineRule="exact"/>
        <w:rPr>
          <w:sz w:val="20"/>
          <w:szCs w:val="20"/>
          <w:color w:val="auto"/>
        </w:rPr>
      </w:pPr>
    </w:p>
    <w:p>
      <w:pPr>
        <w:ind w:left="700" w:right="300" w:firstLine="397"/>
        <w:spacing w:after="0" w:line="246" w:lineRule="auto"/>
        <w:rPr>
          <w:sz w:val="20"/>
          <w:szCs w:val="20"/>
          <w:color w:val="auto"/>
        </w:rPr>
      </w:pPr>
      <w:r>
        <w:rPr>
          <w:rFonts w:ascii="Arial" w:cs="Arial" w:eastAsia="Arial" w:hAnsi="Arial"/>
          <w:sz w:val="18"/>
          <w:szCs w:val="18"/>
          <w:color w:val="auto"/>
        </w:rPr>
        <w:t>The following is the detail of impairment, restructuring, and other charges and a rollforward of the cash portion of the restructuring and other charges accrued in fiscal 2006, 2005, and 2004 (in millions).</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160"/>
              <w:spacing w:after="0" w:line="202" w:lineRule="exact"/>
              <w:rPr>
                <w:sz w:val="20"/>
                <w:szCs w:val="20"/>
                <w:color w:val="auto"/>
              </w:rPr>
            </w:pPr>
            <w:r>
              <w:rPr>
                <w:rFonts w:ascii="Arial" w:cs="Arial" w:eastAsia="Arial" w:hAnsi="Arial"/>
                <w:sz w:val="18"/>
                <w:szCs w:val="18"/>
                <w:color w:val="auto"/>
              </w:rPr>
              <w:t>Severance</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6"/>
              </w:rPr>
              <w:t>15.9</w:t>
            </w:r>
          </w:p>
        </w:tc>
        <w:tc>
          <w:tcPr>
            <w:tcW w:w="22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Facility exit costs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160"/>
              <w:spacing w:after="0" w:line="202" w:lineRule="exact"/>
              <w:rPr>
                <w:sz w:val="20"/>
                <w:szCs w:val="20"/>
                <w:color w:val="auto"/>
              </w:rPr>
            </w:pPr>
            <w:r>
              <w:rPr>
                <w:rFonts w:ascii="Arial" w:cs="Arial" w:eastAsia="Arial" w:hAnsi="Arial"/>
                <w:sz w:val="18"/>
                <w:szCs w:val="18"/>
                <w:color w:val="auto"/>
              </w:rPr>
              <w:t>Central Garden litigation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w:t>
            </w:r>
          </w:p>
        </w:tc>
        <w:tc>
          <w:tcPr>
            <w:tcW w:w="160" w:type="dxa"/>
            <w:vAlign w:val="bottom"/>
          </w:tcPr>
          <w:p>
            <w:pPr>
              <w:spacing w:after="0"/>
              <w:rPr>
                <w:sz w:val="17"/>
                <w:szCs w:val="17"/>
                <w:color w:val="auto"/>
              </w:rPr>
            </w:pPr>
          </w:p>
        </w:tc>
        <w:tc>
          <w:tcPr>
            <w:tcW w:w="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Aventis litigation</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160"/>
              <w:spacing w:after="0" w:line="202" w:lineRule="exact"/>
              <w:rPr>
                <w:sz w:val="20"/>
                <w:szCs w:val="20"/>
                <w:color w:val="auto"/>
              </w:rPr>
            </w:pPr>
            <w:r>
              <w:rPr>
                <w:rFonts w:ascii="Arial" w:cs="Arial" w:eastAsia="Arial" w:hAnsi="Arial"/>
                <w:sz w:val="18"/>
                <w:szCs w:val="18"/>
                <w:color w:val="auto"/>
              </w:rPr>
              <w:t>Curtailment of pension and retiree medical plans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related costs</w:t>
            </w:r>
          </w:p>
        </w:tc>
        <w:tc>
          <w:tcPr>
            <w:tcW w:w="8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w:t>
            </w:r>
          </w:p>
        </w:tc>
        <w:tc>
          <w:tcPr>
            <w:tcW w:w="8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160"/>
              <w:spacing w:after="0" w:line="202" w:lineRule="exact"/>
              <w:rPr>
                <w:sz w:val="20"/>
                <w:szCs w:val="20"/>
                <w:color w:val="auto"/>
              </w:rPr>
            </w:pPr>
            <w:r>
              <w:rPr>
                <w:rFonts w:ascii="Arial" w:cs="Arial" w:eastAsia="Arial" w:hAnsi="Arial"/>
                <w:sz w:val="18"/>
                <w:szCs w:val="18"/>
                <w:color w:val="auto"/>
              </w:rPr>
              <w:t>Other intangibles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66.4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6"/>
              </w:rPr>
              <w:t>23.4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restructuring and asset impairment expense</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75.8</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32.9</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gridSpan w:val="2"/>
          </w:tcPr>
          <w:p>
            <w:pPr>
              <w:spacing w:after="0" w:line="196" w:lineRule="exact"/>
              <w:rPr>
                <w:sz w:val="20"/>
                <w:szCs w:val="20"/>
                <w:color w:val="auto"/>
              </w:rPr>
            </w:pPr>
            <w:r>
              <w:rPr>
                <w:rFonts w:ascii="Arial" w:cs="Arial" w:eastAsia="Arial" w:hAnsi="Arial"/>
                <w:sz w:val="18"/>
                <w:szCs w:val="18"/>
                <w:color w:val="auto"/>
              </w:rPr>
              <w:t>Amounts reserved for restructuring and other charges at beginning of year</w:t>
            </w: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22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20" w:type="dxa"/>
            <w:vAlign w:val="bottom"/>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Restructuring expense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160"/>
              <w:spacing w:after="0" w:line="202" w:lineRule="exact"/>
              <w:rPr>
                <w:sz w:val="20"/>
                <w:szCs w:val="20"/>
                <w:color w:val="auto"/>
              </w:rPr>
            </w:pPr>
            <w:r>
              <w:rPr>
                <w:rFonts w:ascii="Arial" w:cs="Arial" w:eastAsia="Arial" w:hAnsi="Arial"/>
                <w:sz w:val="18"/>
                <w:szCs w:val="18"/>
                <w:color w:val="auto"/>
              </w:rPr>
              <w:t>Receipts, payments and other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(18.6)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220" w:type="dxa"/>
            <w:vAlign w:val="bottom"/>
          </w:tcPr>
          <w:p>
            <w:pPr>
              <w:spacing w:after="0"/>
              <w:rPr>
                <w:sz w:val="17"/>
                <w:szCs w:val="17"/>
                <w:color w:val="auto"/>
              </w:rPr>
            </w:pPr>
          </w:p>
        </w:tc>
        <w:tc>
          <w:tcPr>
            <w:tcW w:w="6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Amounts reserved for restructuring and other charges at end of year</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15.6</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80" w:firstLine="397"/>
        <w:spacing w:after="0"/>
        <w:rPr>
          <w:sz w:val="20"/>
          <w:szCs w:val="20"/>
          <w:color w:val="auto"/>
        </w:rPr>
      </w:pPr>
      <w:r>
        <w:rPr>
          <w:rFonts w:ascii="Arial" w:cs="Arial" w:eastAsia="Arial" w:hAnsi="Arial"/>
          <w:sz w:val="18"/>
          <w:szCs w:val="18"/>
          <w:color w:val="auto"/>
        </w:rPr>
        <w:t>The restructuring activities to which these costs apply are expected to be largely completed in fiscal 2007. The balance of the accrued charges at September 30, 2006 and 2005, are included in “Accrued liabilities” on the Consolidated Balance Sheets.</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5. ACQUISITIONS</w:t>
      </w:r>
    </w:p>
    <w:p>
      <w:pPr>
        <w:spacing w:after="0" w:line="247" w:lineRule="exact"/>
        <w:rPr>
          <w:sz w:val="20"/>
          <w:szCs w:val="20"/>
          <w:color w:val="auto"/>
        </w:rPr>
      </w:pPr>
    </w:p>
    <w:p>
      <w:pPr>
        <w:ind w:left="700" w:right="700" w:firstLine="397"/>
        <w:spacing w:after="0" w:line="246" w:lineRule="auto"/>
        <w:rPr>
          <w:sz w:val="20"/>
          <w:szCs w:val="20"/>
          <w:color w:val="auto"/>
        </w:rPr>
      </w:pPr>
      <w:r>
        <w:rPr>
          <w:rFonts w:ascii="Arial" w:cs="Arial" w:eastAsia="Arial" w:hAnsi="Arial"/>
          <w:sz w:val="18"/>
          <w:szCs w:val="18"/>
          <w:color w:val="auto"/>
        </w:rPr>
        <w:t>The Company continues to view strategic acquisitions as a means to enhance our strong core businesses. The following recaps key acquisitions made over the last two years:</w:t>
      </w:r>
    </w:p>
    <w:p>
      <w:pPr>
        <w:spacing w:after="0" w:line="119" w:lineRule="exact"/>
        <w:rPr>
          <w:sz w:val="20"/>
          <w:szCs w:val="20"/>
          <w:color w:val="auto"/>
        </w:rPr>
      </w:pPr>
    </w:p>
    <w:p>
      <w:pPr>
        <w:ind w:left="1020"/>
        <w:spacing w:after="0"/>
        <w:tabs>
          <w:tab w:leader="none" w:pos="3480" w:val="left"/>
          <w:tab w:leader="none" w:pos="6240" w:val="left"/>
          <w:tab w:leader="none" w:pos="8420" w:val="left"/>
        </w:tabs>
        <w:rPr>
          <w:sz w:val="20"/>
          <w:szCs w:val="20"/>
          <w:color w:val="auto"/>
        </w:rPr>
      </w:pPr>
      <w:r>
        <w:rPr>
          <w:rFonts w:ascii="Arial" w:cs="Arial" w:eastAsia="Arial" w:hAnsi="Arial"/>
          <w:sz w:val="16"/>
          <w:szCs w:val="16"/>
          <w:color w:val="auto"/>
        </w:rPr>
        <w:t>Date of Acquisition</w:t>
      </w:r>
      <w:r>
        <w:rPr>
          <w:sz w:val="20"/>
          <w:szCs w:val="20"/>
          <w:color w:val="auto"/>
        </w:rPr>
        <w:tab/>
      </w:r>
      <w:r>
        <w:rPr>
          <w:rFonts w:ascii="Arial" w:cs="Arial" w:eastAsia="Arial" w:hAnsi="Arial"/>
          <w:sz w:val="16"/>
          <w:szCs w:val="16"/>
          <w:color w:val="auto"/>
        </w:rPr>
        <w:t>Assets Acquired</w:t>
      </w:r>
      <w:r>
        <w:rPr>
          <w:sz w:val="20"/>
          <w:szCs w:val="20"/>
          <w:color w:val="auto"/>
        </w:rPr>
        <w:tab/>
      </w:r>
      <w:r>
        <w:rPr>
          <w:rFonts w:ascii="Arial" w:cs="Arial" w:eastAsia="Arial" w:hAnsi="Arial"/>
          <w:sz w:val="16"/>
          <w:szCs w:val="16"/>
          <w:color w:val="auto"/>
        </w:rPr>
        <w:t>Consideration</w:t>
      </w:r>
      <w:r>
        <w:rPr>
          <w:sz w:val="20"/>
          <w:szCs w:val="20"/>
          <w:color w:val="auto"/>
        </w:rPr>
        <w:tab/>
      </w:r>
      <w:r>
        <w:rPr>
          <w:rFonts w:ascii="Arial" w:cs="Arial" w:eastAsia="Arial" w:hAnsi="Arial"/>
          <w:sz w:val="16"/>
          <w:szCs w:val="16"/>
          <w:color w:val="auto"/>
        </w:rPr>
        <w:t>Reasons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63030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p>
      <w:pPr>
        <w:spacing w:after="0" w:line="65" w:lineRule="exact"/>
        <w:rPr>
          <w:sz w:val="20"/>
          <w:szCs w:val="20"/>
          <w:color w:val="auto"/>
        </w:rPr>
      </w:pPr>
    </w:p>
    <w:p>
      <w:pPr>
        <w:ind w:left="700"/>
        <w:spacing w:after="0"/>
        <w:tabs>
          <w:tab w:leader="none" w:pos="2880" w:val="left"/>
        </w:tabs>
        <w:rPr>
          <w:sz w:val="20"/>
          <w:szCs w:val="20"/>
          <w:color w:val="auto"/>
        </w:rPr>
      </w:pPr>
      <w:r>
        <w:rPr>
          <w:rFonts w:ascii="Arial" w:cs="Arial" w:eastAsia="Arial" w:hAnsi="Arial"/>
          <w:sz w:val="18"/>
          <w:szCs w:val="18"/>
          <w:color w:val="auto"/>
        </w:rPr>
        <w:t>June 2006</w:t>
      </w:r>
      <w:r>
        <w:rPr>
          <w:sz w:val="20"/>
          <w:szCs w:val="20"/>
          <w:color w:val="auto"/>
        </w:rPr>
        <w:tab/>
      </w:r>
      <w:r>
        <w:rPr>
          <w:rFonts w:ascii="Arial" w:cs="Arial" w:eastAsia="Arial" w:hAnsi="Arial"/>
          <w:sz w:val="17"/>
          <w:szCs w:val="17"/>
          <w:color w:val="auto"/>
        </w:rPr>
        <w:t>Certain brands and assets of</w:t>
      </w:r>
    </w:p>
    <w:p>
      <w:pPr>
        <w:ind w:left="2900"/>
        <w:spacing w:after="0" w:line="234" w:lineRule="auto"/>
        <w:rPr>
          <w:sz w:val="20"/>
          <w:szCs w:val="20"/>
          <w:color w:val="auto"/>
        </w:rPr>
      </w:pPr>
      <w:r>
        <w:rPr>
          <w:rFonts w:ascii="Arial" w:cs="Arial" w:eastAsia="Arial" w:hAnsi="Arial"/>
          <w:sz w:val="18"/>
          <w:szCs w:val="18"/>
          <w:color w:val="auto"/>
        </w:rPr>
        <w:t>Landmark Seed Company, a</w:t>
      </w:r>
    </w:p>
    <w:p>
      <w:pPr>
        <w:ind w:left="2900"/>
        <w:spacing w:after="0" w:line="235" w:lineRule="auto"/>
        <w:rPr>
          <w:sz w:val="20"/>
          <w:szCs w:val="20"/>
          <w:color w:val="auto"/>
        </w:rPr>
      </w:pPr>
      <w:r>
        <w:rPr>
          <w:rFonts w:ascii="Arial" w:cs="Arial" w:eastAsia="Arial" w:hAnsi="Arial"/>
          <w:sz w:val="18"/>
          <w:szCs w:val="18"/>
          <w:color w:val="auto"/>
        </w:rPr>
        <w:t>leading producer and</w:t>
      </w:r>
    </w:p>
    <w:p>
      <w:pPr>
        <w:ind w:left="2900"/>
        <w:spacing w:after="0" w:line="235" w:lineRule="auto"/>
        <w:rPr>
          <w:sz w:val="20"/>
          <w:szCs w:val="20"/>
          <w:color w:val="auto"/>
        </w:rPr>
      </w:pPr>
      <w:r>
        <w:rPr>
          <w:rFonts w:ascii="Arial" w:cs="Arial" w:eastAsia="Arial" w:hAnsi="Arial"/>
          <w:sz w:val="18"/>
          <w:szCs w:val="18"/>
          <w:color w:val="auto"/>
        </w:rPr>
        <w:t>distributor of quality</w:t>
      </w:r>
    </w:p>
    <w:p>
      <w:pPr>
        <w:ind w:left="2900"/>
        <w:spacing w:after="0" w:line="235" w:lineRule="auto"/>
        <w:rPr>
          <w:sz w:val="20"/>
          <w:szCs w:val="20"/>
          <w:color w:val="auto"/>
        </w:rPr>
      </w:pPr>
      <w:r>
        <w:rPr>
          <w:rFonts w:ascii="Arial" w:cs="Arial" w:eastAsia="Arial" w:hAnsi="Arial"/>
          <w:sz w:val="18"/>
          <w:szCs w:val="18"/>
          <w:color w:val="auto"/>
        </w:rPr>
        <w:t>professional seed and</w:t>
      </w:r>
    </w:p>
    <w:p>
      <w:pPr>
        <w:ind w:left="2900"/>
        <w:spacing w:after="0" w:line="235" w:lineRule="auto"/>
        <w:rPr>
          <w:sz w:val="20"/>
          <w:szCs w:val="20"/>
          <w:color w:val="auto"/>
        </w:rPr>
      </w:pPr>
      <w:r>
        <w:rPr>
          <w:rFonts w:ascii="Arial" w:cs="Arial" w:eastAsia="Arial" w:hAnsi="Arial"/>
          <w:sz w:val="18"/>
          <w:szCs w:val="18"/>
          <w:color w:val="auto"/>
        </w:rPr>
        <w:t>turfgrasses.</w:t>
      </w:r>
    </w:p>
    <w:p>
      <w:pPr>
        <w:ind w:left="700"/>
        <w:spacing w:after="0"/>
        <w:tabs>
          <w:tab w:leader="none" w:pos="2880" w:val="left"/>
        </w:tabs>
        <w:rPr>
          <w:sz w:val="20"/>
          <w:szCs w:val="20"/>
          <w:color w:val="auto"/>
        </w:rPr>
      </w:pPr>
      <w:r>
        <w:rPr>
          <w:rFonts w:ascii="Arial" w:cs="Arial" w:eastAsia="Arial" w:hAnsi="Arial"/>
          <w:sz w:val="18"/>
          <w:szCs w:val="18"/>
          <w:color w:val="auto"/>
        </w:rPr>
        <w:t>May 2006</w:t>
      </w:r>
      <w:r>
        <w:rPr>
          <w:sz w:val="20"/>
          <w:szCs w:val="20"/>
          <w:color w:val="auto"/>
        </w:rPr>
        <w:tab/>
      </w:r>
      <w:r>
        <w:rPr>
          <w:rFonts w:ascii="Arial" w:cs="Arial" w:eastAsia="Arial" w:hAnsi="Arial"/>
          <w:sz w:val="17"/>
          <w:szCs w:val="17"/>
          <w:color w:val="auto"/>
        </w:rPr>
        <w:t>Certain brands and assets of</w:t>
      </w:r>
    </w:p>
    <w:p>
      <w:pPr>
        <w:ind w:left="2900"/>
        <w:spacing w:after="0" w:line="235" w:lineRule="auto"/>
        <w:rPr>
          <w:sz w:val="20"/>
          <w:szCs w:val="20"/>
          <w:color w:val="auto"/>
        </w:rPr>
      </w:pPr>
      <w:r>
        <w:rPr>
          <w:rFonts w:ascii="Arial" w:cs="Arial" w:eastAsia="Arial" w:hAnsi="Arial"/>
          <w:sz w:val="18"/>
          <w:szCs w:val="18"/>
          <w:color w:val="auto"/>
        </w:rPr>
        <w:t>Turf-Seed, Inc., a leading</w:t>
      </w:r>
    </w:p>
    <w:p>
      <w:pPr>
        <w:ind w:left="2900"/>
        <w:spacing w:after="0" w:line="235" w:lineRule="auto"/>
        <w:rPr>
          <w:sz w:val="20"/>
          <w:szCs w:val="20"/>
          <w:color w:val="auto"/>
        </w:rPr>
      </w:pPr>
      <w:r>
        <w:rPr>
          <w:rFonts w:ascii="Arial" w:cs="Arial" w:eastAsia="Arial" w:hAnsi="Arial"/>
          <w:sz w:val="18"/>
          <w:szCs w:val="18"/>
          <w:color w:val="auto"/>
        </w:rPr>
        <w:t>producer of quality</w:t>
      </w:r>
    </w:p>
    <w:p>
      <w:pPr>
        <w:ind w:left="2900"/>
        <w:spacing w:after="0" w:line="235" w:lineRule="auto"/>
        <w:rPr>
          <w:sz w:val="20"/>
          <w:szCs w:val="20"/>
          <w:color w:val="auto"/>
        </w:rPr>
      </w:pPr>
      <w:r>
        <w:rPr>
          <w:rFonts w:ascii="Arial" w:cs="Arial" w:eastAsia="Arial" w:hAnsi="Arial"/>
          <w:sz w:val="18"/>
          <w:szCs w:val="18"/>
          <w:color w:val="auto"/>
        </w:rPr>
        <w:t>commercial turfgrasses,</w:t>
      </w:r>
    </w:p>
    <w:p>
      <w:pPr>
        <w:ind w:left="2900"/>
        <w:spacing w:after="0" w:line="234" w:lineRule="auto"/>
        <w:rPr>
          <w:sz w:val="20"/>
          <w:szCs w:val="20"/>
          <w:color w:val="auto"/>
        </w:rPr>
      </w:pPr>
      <w:r>
        <w:rPr>
          <w:rFonts w:ascii="Arial" w:cs="Arial" w:eastAsia="Arial" w:hAnsi="Arial"/>
          <w:sz w:val="18"/>
          <w:szCs w:val="18"/>
          <w:color w:val="auto"/>
        </w:rPr>
        <w:t>including 49% equity interest</w:t>
      </w:r>
    </w:p>
    <w:p>
      <w:pPr>
        <w:ind w:left="2900"/>
        <w:spacing w:after="0" w:line="235" w:lineRule="auto"/>
        <w:rPr>
          <w:sz w:val="20"/>
          <w:szCs w:val="20"/>
          <w:color w:val="auto"/>
        </w:rPr>
      </w:pPr>
      <w:r>
        <w:rPr>
          <w:rFonts w:ascii="Arial" w:cs="Arial" w:eastAsia="Arial" w:hAnsi="Arial"/>
          <w:sz w:val="18"/>
          <w:szCs w:val="18"/>
          <w:color w:val="auto"/>
        </w:rPr>
        <w:t>in Turf-Seed Europe, which</w:t>
      </w:r>
    </w:p>
    <w:p>
      <w:pPr>
        <w:ind w:left="2900"/>
        <w:spacing w:after="0" w:line="235" w:lineRule="auto"/>
        <w:rPr>
          <w:sz w:val="20"/>
          <w:szCs w:val="20"/>
          <w:color w:val="auto"/>
        </w:rPr>
      </w:pPr>
      <w:r>
        <w:rPr>
          <w:rFonts w:ascii="Arial" w:cs="Arial" w:eastAsia="Arial" w:hAnsi="Arial"/>
          <w:sz w:val="18"/>
          <w:szCs w:val="18"/>
          <w:color w:val="auto"/>
        </w:rPr>
        <w:t>distributes Turf-Seed’s grass</w:t>
      </w:r>
    </w:p>
    <w:p>
      <w:pPr>
        <w:ind w:left="2900"/>
        <w:spacing w:after="0" w:line="235" w:lineRule="auto"/>
        <w:rPr>
          <w:sz w:val="20"/>
          <w:szCs w:val="20"/>
          <w:color w:val="auto"/>
        </w:rPr>
      </w:pPr>
      <w:r>
        <w:rPr>
          <w:rFonts w:ascii="Arial" w:cs="Arial" w:eastAsia="Arial" w:hAnsi="Arial"/>
          <w:sz w:val="18"/>
          <w:szCs w:val="18"/>
          <w:color w:val="auto"/>
        </w:rPr>
        <w:t>varieties throughout the</w:t>
      </w:r>
    </w:p>
    <w:p>
      <w:pPr>
        <w:ind w:left="2900"/>
        <w:spacing w:after="0" w:line="235" w:lineRule="auto"/>
        <w:rPr>
          <w:sz w:val="20"/>
          <w:szCs w:val="20"/>
          <w:color w:val="auto"/>
        </w:rPr>
      </w:pPr>
      <w:r>
        <w:rPr>
          <w:rFonts w:ascii="Arial" w:cs="Arial" w:eastAsia="Arial" w:hAnsi="Arial"/>
          <w:sz w:val="18"/>
          <w:szCs w:val="18"/>
          <w:color w:val="auto"/>
        </w:rPr>
        <w:t>European Union and other</w:t>
      </w:r>
    </w:p>
    <w:p>
      <w:pPr>
        <w:ind w:left="2900"/>
        <w:spacing w:after="0" w:line="235" w:lineRule="auto"/>
        <w:rPr>
          <w:sz w:val="20"/>
          <w:szCs w:val="20"/>
          <w:color w:val="auto"/>
        </w:rPr>
      </w:pPr>
      <w:r>
        <w:rPr>
          <w:rFonts w:ascii="Arial" w:cs="Arial" w:eastAsia="Arial" w:hAnsi="Arial"/>
          <w:sz w:val="18"/>
          <w:szCs w:val="18"/>
          <w:color w:val="auto"/>
        </w:rPr>
        <w:t>countries in the region.</w:t>
      </w:r>
    </w:p>
    <w:p>
      <w:pPr>
        <w:ind w:left="700"/>
        <w:spacing w:after="0"/>
        <w:tabs>
          <w:tab w:leader="none" w:pos="2880" w:val="left"/>
        </w:tabs>
        <w:rPr>
          <w:sz w:val="20"/>
          <w:szCs w:val="20"/>
          <w:color w:val="auto"/>
        </w:rPr>
      </w:pPr>
      <w:r>
        <w:rPr>
          <w:rFonts w:ascii="Arial" w:cs="Arial" w:eastAsia="Arial" w:hAnsi="Arial"/>
          <w:sz w:val="18"/>
          <w:szCs w:val="18"/>
          <w:color w:val="auto"/>
        </w:rPr>
        <w:t>November 2005</w:t>
      </w:r>
      <w:r>
        <w:rPr>
          <w:sz w:val="20"/>
          <w:szCs w:val="20"/>
          <w:color w:val="auto"/>
        </w:rPr>
        <w:tab/>
      </w:r>
      <w:r>
        <w:rPr>
          <w:rFonts w:ascii="Arial" w:cs="Arial" w:eastAsia="Arial" w:hAnsi="Arial"/>
          <w:sz w:val="17"/>
          <w:szCs w:val="17"/>
          <w:color w:val="auto"/>
        </w:rPr>
        <w:t>All the outstanding shares of</w:t>
      </w:r>
    </w:p>
    <w:p>
      <w:pPr>
        <w:ind w:left="2900"/>
        <w:spacing w:after="0" w:line="235" w:lineRule="auto"/>
        <w:rPr>
          <w:sz w:val="20"/>
          <w:szCs w:val="20"/>
          <w:color w:val="auto"/>
        </w:rPr>
      </w:pPr>
      <w:r>
        <w:rPr>
          <w:rFonts w:ascii="Arial" w:cs="Arial" w:eastAsia="Arial" w:hAnsi="Arial"/>
          <w:sz w:val="18"/>
          <w:szCs w:val="18"/>
          <w:color w:val="auto"/>
        </w:rPr>
        <w:t>Gutwein &amp; Co., Inc.</w:t>
      </w:r>
    </w:p>
    <w:p>
      <w:pPr>
        <w:ind w:left="2900"/>
        <w:spacing w:after="0" w:line="235" w:lineRule="auto"/>
        <w:rPr>
          <w:sz w:val="20"/>
          <w:szCs w:val="20"/>
          <w:color w:val="auto"/>
        </w:rPr>
      </w:pPr>
      <w:r>
        <w:rPr>
          <w:rFonts w:ascii="Arial" w:cs="Arial" w:eastAsia="Arial" w:hAnsi="Arial"/>
          <w:sz w:val="18"/>
          <w:szCs w:val="18"/>
          <w:color w:val="auto"/>
        </w:rPr>
        <w:t>(“Gutwein”), a leader in the</w:t>
      </w:r>
    </w:p>
    <w:p>
      <w:pPr>
        <w:ind w:left="2900"/>
        <w:spacing w:after="0" w:line="234" w:lineRule="auto"/>
        <w:rPr>
          <w:sz w:val="20"/>
          <w:szCs w:val="20"/>
          <w:color w:val="auto"/>
        </w:rPr>
      </w:pPr>
      <w:r>
        <w:rPr>
          <w:rFonts w:ascii="Arial" w:cs="Arial" w:eastAsia="Arial" w:hAnsi="Arial"/>
          <w:sz w:val="18"/>
          <w:szCs w:val="18"/>
          <w:color w:val="auto"/>
        </w:rPr>
        <w:t>growing North America wild</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bird food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00"/>
        <w:spacing w:after="0"/>
        <w:tabs>
          <w:tab w:leader="none" w:pos="2880" w:val="left"/>
        </w:tabs>
        <w:rPr>
          <w:sz w:val="20"/>
          <w:szCs w:val="20"/>
          <w:color w:val="auto"/>
        </w:rPr>
      </w:pPr>
      <w:r>
        <w:rPr>
          <w:rFonts w:ascii="Arial" w:cs="Arial" w:eastAsia="Arial" w:hAnsi="Arial"/>
          <w:sz w:val="18"/>
          <w:szCs w:val="18"/>
          <w:color w:val="auto"/>
        </w:rPr>
        <w:t>October 2005</w:t>
      </w:r>
      <w:r>
        <w:rPr>
          <w:sz w:val="20"/>
          <w:szCs w:val="20"/>
          <w:color w:val="auto"/>
        </w:rPr>
        <w:tab/>
      </w:r>
      <w:r>
        <w:rPr>
          <w:rFonts w:ascii="Arial" w:cs="Arial" w:eastAsia="Arial" w:hAnsi="Arial"/>
          <w:sz w:val="17"/>
          <w:szCs w:val="17"/>
          <w:color w:val="auto"/>
        </w:rPr>
        <w:t>All the outstanding shares of</w:t>
      </w:r>
    </w:p>
    <w:p>
      <w:pPr>
        <w:ind w:left="2900"/>
        <w:spacing w:after="0" w:line="234" w:lineRule="auto"/>
        <w:rPr>
          <w:sz w:val="20"/>
          <w:szCs w:val="20"/>
          <w:color w:val="auto"/>
        </w:rPr>
      </w:pPr>
      <w:r>
        <w:rPr>
          <w:rFonts w:ascii="Arial" w:cs="Arial" w:eastAsia="Arial" w:hAnsi="Arial"/>
          <w:sz w:val="18"/>
          <w:szCs w:val="18"/>
          <w:color w:val="auto"/>
        </w:rPr>
        <w:t>Rod McLellan Company</w:t>
      </w:r>
    </w:p>
    <w:p>
      <w:pPr>
        <w:ind w:left="2900"/>
        <w:spacing w:after="0" w:line="235" w:lineRule="auto"/>
        <w:rPr>
          <w:sz w:val="20"/>
          <w:szCs w:val="20"/>
          <w:color w:val="auto"/>
        </w:rPr>
      </w:pPr>
      <w:r>
        <w:rPr>
          <w:rFonts w:ascii="Arial" w:cs="Arial" w:eastAsia="Arial" w:hAnsi="Arial"/>
          <w:sz w:val="18"/>
          <w:szCs w:val="18"/>
          <w:color w:val="auto"/>
        </w:rPr>
        <w:t>(“RMC”), a leading branded</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17"/>
          <w:szCs w:val="17"/>
          <w:color w:val="auto"/>
        </w:rPr>
        <w:t>producer and marketer of soil</w:t>
      </w:r>
    </w:p>
    <w:p>
      <w:pPr>
        <w:spacing w:after="0" w:line="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and landscape products in</w:t>
      </w:r>
    </w:p>
    <w:p>
      <w:pPr>
        <w:ind w:left="2900"/>
        <w:spacing w:after="0" w:line="234" w:lineRule="auto"/>
        <w:rPr>
          <w:sz w:val="20"/>
          <w:szCs w:val="20"/>
          <w:color w:val="auto"/>
        </w:rPr>
      </w:pPr>
      <w:r>
        <w:rPr>
          <w:rFonts w:ascii="Arial" w:cs="Arial" w:eastAsia="Arial" w:hAnsi="Arial"/>
          <w:sz w:val="18"/>
          <w:szCs w:val="18"/>
          <w:color w:val="auto"/>
        </w:rPr>
        <w:t>the western U.S.</w:t>
      </w:r>
    </w:p>
    <w:p>
      <w:pPr>
        <w:ind w:left="700"/>
        <w:spacing w:after="0"/>
        <w:tabs>
          <w:tab w:leader="none" w:pos="2880" w:val="left"/>
        </w:tabs>
        <w:rPr>
          <w:sz w:val="20"/>
          <w:szCs w:val="20"/>
          <w:color w:val="auto"/>
        </w:rPr>
      </w:pPr>
      <w:r>
        <w:rPr>
          <w:rFonts w:ascii="Arial" w:cs="Arial" w:eastAsia="Arial" w:hAnsi="Arial"/>
          <w:sz w:val="18"/>
          <w:szCs w:val="18"/>
          <w:color w:val="auto"/>
        </w:rPr>
        <w:t>October 2004</w:t>
      </w:r>
      <w:r>
        <w:rPr>
          <w:sz w:val="20"/>
          <w:szCs w:val="20"/>
          <w:color w:val="auto"/>
        </w:rPr>
        <w:tab/>
      </w:r>
      <w:r>
        <w:rPr>
          <w:rFonts w:ascii="Arial" w:cs="Arial" w:eastAsia="Arial" w:hAnsi="Arial"/>
          <w:sz w:val="17"/>
          <w:szCs w:val="17"/>
          <w:color w:val="auto"/>
        </w:rPr>
        <w:t>All the outstanding shares of</w:t>
      </w:r>
    </w:p>
    <w:p>
      <w:pPr>
        <w:ind w:left="2900"/>
        <w:spacing w:after="0" w:line="235" w:lineRule="auto"/>
        <w:rPr>
          <w:sz w:val="20"/>
          <w:szCs w:val="20"/>
          <w:color w:val="auto"/>
        </w:rPr>
      </w:pPr>
      <w:r>
        <w:rPr>
          <w:rFonts w:ascii="Arial" w:cs="Arial" w:eastAsia="Arial" w:hAnsi="Arial"/>
          <w:sz w:val="18"/>
          <w:szCs w:val="18"/>
          <w:color w:val="auto"/>
        </w:rPr>
        <w:t>Smith &amp; Hawken, Ltd., a</w:t>
      </w:r>
    </w:p>
    <w:p>
      <w:pPr>
        <w:ind w:left="2900"/>
        <w:spacing w:after="0" w:line="235" w:lineRule="auto"/>
        <w:rPr>
          <w:sz w:val="20"/>
          <w:szCs w:val="20"/>
          <w:color w:val="auto"/>
        </w:rPr>
      </w:pPr>
      <w:r>
        <w:rPr>
          <w:rFonts w:ascii="Arial" w:cs="Arial" w:eastAsia="Arial" w:hAnsi="Arial"/>
          <w:sz w:val="18"/>
          <w:szCs w:val="18"/>
          <w:color w:val="auto"/>
        </w:rPr>
        <w:t>leader in the outdoor living</w:t>
      </w:r>
    </w:p>
    <w:p>
      <w:pPr>
        <w:ind w:left="2900"/>
        <w:spacing w:after="0" w:line="235" w:lineRule="auto"/>
        <w:rPr>
          <w:sz w:val="20"/>
          <w:szCs w:val="20"/>
          <w:color w:val="auto"/>
        </w:rPr>
      </w:pPr>
      <w:r>
        <w:rPr>
          <w:rFonts w:ascii="Arial" w:cs="Arial" w:eastAsia="Arial" w:hAnsi="Arial"/>
          <w:sz w:val="18"/>
          <w:szCs w:val="18"/>
          <w:color w:val="auto"/>
        </w:rPr>
        <w:t>and gardening lifestyle</w:t>
      </w:r>
    </w:p>
    <w:p>
      <w:pPr>
        <w:ind w:left="2900"/>
        <w:spacing w:after="0"/>
        <w:rPr>
          <w:sz w:val="20"/>
          <w:szCs w:val="20"/>
          <w:color w:val="auto"/>
        </w:rPr>
      </w:pPr>
      <w:r>
        <w:rPr>
          <w:rFonts w:ascii="Arial" w:cs="Arial" w:eastAsia="Arial" w:hAnsi="Arial"/>
          <w:sz w:val="18"/>
          <w:szCs w:val="18"/>
          <w:color w:val="auto"/>
        </w:rPr>
        <w:t>category.</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Cash of $6.2 million with an additional $1 million deferred to future periods.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Cash of $10.0 million plus</w:t>
      </w:r>
    </w:p>
    <w:p>
      <w:pPr>
        <w:spacing w:after="0" w:line="234" w:lineRule="auto"/>
        <w:rPr>
          <w:sz w:val="20"/>
          <w:szCs w:val="20"/>
          <w:color w:val="auto"/>
        </w:rPr>
      </w:pPr>
      <w:r>
        <w:rPr>
          <w:rFonts w:ascii="Arial" w:cs="Arial" w:eastAsia="Arial" w:hAnsi="Arial"/>
          <w:sz w:val="18"/>
          <w:szCs w:val="18"/>
          <w:color w:val="auto"/>
        </w:rPr>
        <w:t>assumed liabilities of</w:t>
      </w:r>
    </w:p>
    <w:p>
      <w:pPr>
        <w:spacing w:after="0" w:line="235" w:lineRule="auto"/>
        <w:rPr>
          <w:sz w:val="20"/>
          <w:szCs w:val="20"/>
          <w:color w:val="auto"/>
        </w:rPr>
      </w:pPr>
      <w:r>
        <w:rPr>
          <w:rFonts w:ascii="Arial" w:cs="Arial" w:eastAsia="Arial" w:hAnsi="Arial"/>
          <w:sz w:val="18"/>
          <w:szCs w:val="18"/>
          <w:color w:val="auto"/>
        </w:rPr>
        <w:t>$4.5 million. Contingent</w:t>
      </w:r>
    </w:p>
    <w:p>
      <w:pPr>
        <w:spacing w:after="0" w:line="235" w:lineRule="auto"/>
        <w:rPr>
          <w:sz w:val="20"/>
          <w:szCs w:val="20"/>
          <w:color w:val="auto"/>
        </w:rPr>
      </w:pPr>
      <w:r>
        <w:rPr>
          <w:rFonts w:ascii="Arial" w:cs="Arial" w:eastAsia="Arial" w:hAnsi="Arial"/>
          <w:sz w:val="18"/>
          <w:szCs w:val="18"/>
          <w:color w:val="auto"/>
        </w:rPr>
        <w:t>consideration based on future</w:t>
      </w:r>
    </w:p>
    <w:p>
      <w:pPr>
        <w:spacing w:after="0" w:line="235" w:lineRule="auto"/>
        <w:rPr>
          <w:sz w:val="20"/>
          <w:szCs w:val="20"/>
          <w:color w:val="auto"/>
        </w:rPr>
      </w:pPr>
      <w:r>
        <w:rPr>
          <w:rFonts w:ascii="Arial" w:cs="Arial" w:eastAsia="Arial" w:hAnsi="Arial"/>
          <w:sz w:val="18"/>
          <w:szCs w:val="18"/>
          <w:color w:val="auto"/>
        </w:rPr>
        <w:t>performance of the business</w:t>
      </w:r>
    </w:p>
    <w:p>
      <w:pPr>
        <w:spacing w:after="0" w:line="235" w:lineRule="auto"/>
        <w:rPr>
          <w:sz w:val="20"/>
          <w:szCs w:val="20"/>
          <w:color w:val="auto"/>
        </w:rPr>
      </w:pPr>
      <w:r>
        <w:rPr>
          <w:rFonts w:ascii="Arial" w:cs="Arial" w:eastAsia="Arial" w:hAnsi="Arial"/>
          <w:sz w:val="18"/>
          <w:szCs w:val="18"/>
          <w:color w:val="auto"/>
        </w:rPr>
        <w:t>due in 2012 that may</w:t>
      </w:r>
    </w:p>
    <w:p>
      <w:pPr>
        <w:spacing w:after="0" w:line="235" w:lineRule="auto"/>
        <w:rPr>
          <w:sz w:val="20"/>
          <w:szCs w:val="20"/>
          <w:color w:val="auto"/>
        </w:rPr>
      </w:pPr>
      <w:r>
        <w:rPr>
          <w:rFonts w:ascii="Arial" w:cs="Arial" w:eastAsia="Arial" w:hAnsi="Arial"/>
          <w:sz w:val="18"/>
          <w:szCs w:val="18"/>
          <w:color w:val="auto"/>
        </w:rPr>
        <w:t>approximate $15 million</w:t>
      </w:r>
    </w:p>
    <w:p>
      <w:pPr>
        <w:spacing w:after="0" w:line="235" w:lineRule="auto"/>
        <w:rPr>
          <w:sz w:val="20"/>
          <w:szCs w:val="20"/>
          <w:color w:val="auto"/>
        </w:rPr>
      </w:pPr>
      <w:r>
        <w:rPr>
          <w:rFonts w:ascii="Arial" w:cs="Arial" w:eastAsia="Arial" w:hAnsi="Arial"/>
          <w:sz w:val="18"/>
          <w:szCs w:val="18"/>
          <w:color w:val="auto"/>
        </w:rPr>
        <w:t>which would be recorded as</w:t>
      </w:r>
    </w:p>
    <w:p>
      <w:pPr>
        <w:spacing w:after="0"/>
        <w:rPr>
          <w:sz w:val="20"/>
          <w:szCs w:val="20"/>
          <w:color w:val="auto"/>
        </w:rPr>
      </w:pPr>
      <w:r>
        <w:rPr>
          <w:rFonts w:ascii="Arial" w:cs="Arial" w:eastAsia="Arial" w:hAnsi="Arial"/>
          <w:sz w:val="18"/>
          <w:szCs w:val="18"/>
          <w:color w:val="auto"/>
        </w:rPr>
        <w:t>additional purchase price.</w:t>
      </w:r>
    </w:p>
    <w:p>
      <w:pPr>
        <w:spacing w:after="0" w:line="198"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$78.3 million in cash plus assumed liabilities of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$20.5 million in cash plus assumed liabilities of $6.8 million.</w:t>
      </w:r>
    </w:p>
    <w:p>
      <w:pPr>
        <w:spacing w:after="0" w:line="200" w:lineRule="exact"/>
        <w:rPr>
          <w:sz w:val="20"/>
          <w:szCs w:val="20"/>
          <w:color w:val="auto"/>
        </w:rPr>
      </w:pPr>
    </w:p>
    <w:p>
      <w:pPr>
        <w:spacing w:after="0" w:line="395"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$73.6 million in cash plus assumed liabilities of $13.9 million.</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Transaction enhances the Company’s position in the global turfgrass seed industry and compliments the acquisition of Turf-Seed, Inc.</w:t>
      </w:r>
    </w:p>
    <w:p>
      <w:pPr>
        <w:spacing w:after="0" w:line="18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Integration of Turf-Seed’s extensive professional seed sales and distribution network with the Company’s existing presence and industry leading brands in the consumer seed market will strengthen the Company’s overall global position in the seed category.</w:t>
      </w:r>
    </w:p>
    <w:p>
      <w:pPr>
        <w:spacing w:after="0" w:line="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Gutwein’s Morning Song</w:t>
      </w:r>
      <w:r>
        <w:rPr>
          <w:rFonts w:ascii="Arial" w:cs="Arial" w:eastAsia="Arial" w:hAnsi="Arial"/>
          <w:sz w:val="15"/>
          <w:szCs w:val="15"/>
          <w:color w:val="auto"/>
        </w:rPr>
        <w:t>®</w:t>
      </w:r>
      <w:r>
        <w:rPr>
          <w:rFonts w:ascii="Arial" w:cs="Arial" w:eastAsia="Arial" w:hAnsi="Arial"/>
          <w:sz w:val="18"/>
          <w:szCs w:val="18"/>
          <w:color w:val="auto"/>
        </w:rPr>
        <w:t xml:space="preserve"> branded products are sold at leading mass retailers, grocery, pet and general merchandise stores. This acquisition gives the Company its entry into the North America wild bird food category. We are leveraging the strengths of both organizations to drive continued growth in this category.</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RMC compliments our existing line of growing media products and has been integrated into that business.</w:t>
      </w:r>
    </w:p>
    <w:p>
      <w:pPr>
        <w:spacing w:after="0" w:line="37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power and flexibility of the Smith &amp; Hawken</w:t>
      </w:r>
      <w:r>
        <w:rPr>
          <w:rFonts w:ascii="Arial" w:cs="Arial" w:eastAsia="Arial" w:hAnsi="Arial"/>
          <w:sz w:val="15"/>
          <w:szCs w:val="15"/>
          <w:color w:val="auto"/>
        </w:rPr>
        <w:t>®</w:t>
      </w:r>
      <w:r>
        <w:rPr>
          <w:rFonts w:ascii="Arial" w:cs="Arial" w:eastAsia="Arial" w:hAnsi="Arial"/>
          <w:sz w:val="18"/>
          <w:szCs w:val="18"/>
          <w:color w:val="auto"/>
        </w:rPr>
        <w:t xml:space="preserve"> brand in outdoor living fits our strategy to extend our reach into adjacent lawn and garden categories and to own industry leading brands in every category in which we compete.</w:t>
      </w:r>
    </w:p>
    <w:p>
      <w:pPr>
        <w:spacing w:after="0" w:line="113" w:lineRule="exact"/>
        <w:rPr>
          <w:sz w:val="20"/>
          <w:szCs w:val="20"/>
          <w:color w:val="auto"/>
        </w:rPr>
      </w:pPr>
    </w:p>
    <w:p>
      <w:pPr>
        <w:sectPr>
          <w:pgSz w:w="11900" w:h="16838" w:orient="portrait"/>
          <w:cols w:equalWidth="0" w:num="3">
            <w:col w:w="5240" w:space="320"/>
            <w:col w:w="2380" w:space="300"/>
            <w:col w:w="2380"/>
          </w:cols>
          <w:pgMar w:left="240" w:top="419" w:right="1039" w:bottom="1440" w:gutter="0" w:footer="0" w:header="0"/>
          <w:type w:val="continuous"/>
        </w:sectPr>
      </w:pPr>
    </w:p>
    <w:p>
      <w:pPr>
        <w:ind w:left="700" w:right="60" w:firstLine="397"/>
        <w:spacing w:after="0" w:line="239" w:lineRule="auto"/>
        <w:rPr>
          <w:sz w:val="20"/>
          <w:szCs w:val="20"/>
          <w:color w:val="auto"/>
        </w:rPr>
      </w:pPr>
      <w:r>
        <w:rPr>
          <w:rFonts w:ascii="Arial" w:cs="Arial" w:eastAsia="Arial" w:hAnsi="Arial"/>
          <w:sz w:val="18"/>
          <w:szCs w:val="18"/>
          <w:color w:val="auto"/>
        </w:rPr>
        <w:t>Preliminary allocations of purchase price to assets acquired and liabilities assumed have been recorded for all acquisitions made during fiscal 2006, based on estimated fair values at the date of the acquisitions. The Company has finalized purchase accounting allocations for the RMC acquisition and expects to complete the Gutwein allocation during the first quarter of fiscal 2007. Purchase price</w:t>
      </w:r>
    </w:p>
    <w:p>
      <w:pPr>
        <w:ind w:left="5600"/>
        <w:spacing w:after="0"/>
        <w:rPr>
          <w:sz w:val="20"/>
          <w:szCs w:val="20"/>
          <w:color w:val="auto"/>
        </w:rPr>
      </w:pPr>
      <w:r>
        <w:rPr>
          <w:rFonts w:ascii="Arial" w:cs="Arial" w:eastAsia="Arial" w:hAnsi="Arial"/>
          <w:sz w:val="11"/>
          <w:szCs w:val="11"/>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allocations for the assets acquired from Turf-Seed, Inc. and Landmark Seed Company will be completed during fiscal 2007.</w:t>
      </w:r>
    </w:p>
    <w:p>
      <w:pPr>
        <w:spacing w:after="0" w:line="117"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7"/>
          <w:szCs w:val="17"/>
          <w:color w:val="auto"/>
        </w:rPr>
        <w:t>On a pro forma basis, net sales for the year ended September 30, 2005 would have been $2.48 billion (an increase of $114.5 million) had the acquisitions of RMC and Gutwein, and the brands and assets from Turf-Seed and Landmark Seed occurred as of October 1, 2004. The pro forma reported net income for the year ended September 30, 2005 would have increased by approximately $ 6.5 million or 0.09 cents per diluted common share. Due to the timing of these acquisitions in fiscal 2006, pro forma results would not be materially different from actual results for the year ended September 30, 2006.</w:t>
      </w:r>
    </w:p>
    <w:p>
      <w:pPr>
        <w:spacing w:after="0" w:line="96" w:lineRule="exact"/>
        <w:rPr>
          <w:sz w:val="20"/>
          <w:szCs w:val="20"/>
          <w:color w:val="auto"/>
        </w:rPr>
      </w:pPr>
    </w:p>
    <w:p>
      <w:pPr>
        <w:ind w:left="700" w:right="40" w:firstLine="397"/>
        <w:spacing w:after="0" w:line="239" w:lineRule="auto"/>
        <w:rPr>
          <w:sz w:val="20"/>
          <w:szCs w:val="20"/>
          <w:color w:val="auto"/>
        </w:rPr>
      </w:pPr>
      <w:r>
        <w:rPr>
          <w:rFonts w:ascii="Arial" w:cs="Arial" w:eastAsia="Arial" w:hAnsi="Arial"/>
          <w:sz w:val="18"/>
          <w:szCs w:val="18"/>
          <w:color w:val="auto"/>
        </w:rPr>
        <w:t>On a pro forma basis, net sales for the years ended September 30, 2004, would have been $2.26 billion (an increase of $148.5 million) had the acquisition of Smith &amp; Hawken, Ltd. occurred as of October 1, 2003. Reported net income on a pro forma basis would have decreased by approximately $1.6 million, or $0.02 per common share, for the year ended September 30, 2004.</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Scotts LawnService</w:t>
      </w:r>
      <w:r>
        <w:rPr>
          <w:rFonts w:ascii="Arial" w:cs="Arial" w:eastAsia="Arial" w:hAnsi="Arial"/>
          <w:sz w:val="27"/>
          <w:szCs w:val="27"/>
          <w:b w:val="1"/>
          <w:bCs w:val="1"/>
          <w:u w:val="single" w:color="auto"/>
          <w:color w:val="auto"/>
          <w:vertAlign w:val="superscript"/>
        </w:rPr>
        <w:t>®</w:t>
      </w:r>
    </w:p>
    <w:p>
      <w:pPr>
        <w:spacing w:after="0" w:line="16" w:lineRule="exact"/>
        <w:rPr>
          <w:sz w:val="20"/>
          <w:szCs w:val="20"/>
          <w:color w:val="auto"/>
        </w:rPr>
      </w:pPr>
    </w:p>
    <w:p>
      <w:pPr>
        <w:ind w:left="700" w:right="300" w:firstLine="397"/>
        <w:spacing w:after="0" w:line="242" w:lineRule="auto"/>
        <w:rPr>
          <w:sz w:val="20"/>
          <w:szCs w:val="20"/>
          <w:color w:val="auto"/>
        </w:rPr>
      </w:pPr>
      <w:r>
        <w:rPr>
          <w:rFonts w:ascii="Arial" w:cs="Arial" w:eastAsia="Arial" w:hAnsi="Arial"/>
          <w:sz w:val="18"/>
          <w:szCs w:val="18"/>
          <w:color w:val="auto"/>
        </w:rPr>
        <w:t>From fiscal 2004 through 2006, the Company’s Scotts LawnService</w:t>
      </w:r>
      <w:r>
        <w:rPr>
          <w:rFonts w:ascii="Arial" w:cs="Arial" w:eastAsia="Arial" w:hAnsi="Arial"/>
          <w:sz w:val="15"/>
          <w:szCs w:val="15"/>
          <w:color w:val="auto"/>
        </w:rPr>
        <w:t>®</w:t>
      </w:r>
      <w:r>
        <w:rPr>
          <w:rFonts w:ascii="Arial" w:cs="Arial" w:eastAsia="Arial" w:hAnsi="Arial"/>
          <w:sz w:val="18"/>
          <w:szCs w:val="18"/>
          <w:color w:val="auto"/>
        </w:rPr>
        <w:t xml:space="preserve"> segment acquired 12 individual lawn service entities for a total cost of approximately $14.8 million. The following table summarizes the details of these transactions by fiscal year (dollar amounts in millions):</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Fiscal Year</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4"/>
              </w:rPr>
              <w:t>2006</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2005</w:t>
            </w:r>
          </w:p>
        </w:tc>
        <w:tc>
          <w:tcPr>
            <w:tcW w:w="480" w:type="dxa"/>
            <w:vAlign w:val="bottom"/>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individual acquisitions</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0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Total cost</w:t>
            </w:r>
          </w:p>
        </w:tc>
        <w:tc>
          <w:tcPr>
            <w:tcW w:w="2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$ 4.4</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$ 6.4</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$ 4.0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Portion of cost paid in cash</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0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Notes issued and liabilities assumed</w:t>
            </w:r>
          </w:p>
        </w:tc>
        <w:tc>
          <w:tcPr>
            <w:tcW w:w="2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2.3</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0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Other intangible assets</w:t>
            </w:r>
          </w:p>
        </w:tc>
        <w:tc>
          <w:tcPr>
            <w:tcW w:w="2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0.9</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and property, plant and equipment</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0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0.8</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00" w:right="60" w:firstLine="397"/>
        <w:spacing w:after="0" w:line="237" w:lineRule="auto"/>
        <w:rPr>
          <w:sz w:val="20"/>
          <w:szCs w:val="20"/>
          <w:color w:val="auto"/>
        </w:rPr>
      </w:pPr>
      <w:r>
        <w:rPr>
          <w:rFonts w:ascii="Arial" w:cs="Arial" w:eastAsia="Arial" w:hAnsi="Arial"/>
          <w:sz w:val="18"/>
          <w:szCs w:val="18"/>
          <w:color w:val="auto"/>
        </w:rPr>
        <w:t>In addition to the above, the Company acquired the minority interest in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during fiscal 2004 for $5.2 million ($2.0 million in cash and $3.2 million in seller notes). The purchase price was allocated to goodwill in the amount of $5.1 million and other intangible assets in the amount of $0.1 million. Substantially all of the recorded goodwill relating to the Scotts LawnService</w:t>
      </w:r>
      <w:r>
        <w:rPr>
          <w:rFonts w:ascii="Arial" w:cs="Arial" w:eastAsia="Arial" w:hAnsi="Arial"/>
          <w:sz w:val="15"/>
          <w:szCs w:val="15"/>
          <w:color w:val="auto"/>
        </w:rPr>
        <w:t>®</w:t>
      </w:r>
      <w:r>
        <w:rPr>
          <w:rFonts w:ascii="Arial" w:cs="Arial" w:eastAsia="Arial" w:hAnsi="Arial"/>
          <w:sz w:val="18"/>
          <w:szCs w:val="18"/>
          <w:color w:val="auto"/>
        </w:rPr>
        <w:t xml:space="preserve"> acquisitions is deductible for tax purposes. Goodwill is not being amortized for financial reporting purposes. Other intangible assets consist primarily of customer lists and non-compete agreements, and are being amortized for financial reporting purposes over a period of 7 and 3 years, respectively. These acquisitions are deemed immaterial for pro forma disclosure.</w:t>
      </w:r>
    </w:p>
    <w:p>
      <w:pPr>
        <w:spacing w:after="0" w:line="111" w:lineRule="exact"/>
        <w:rPr>
          <w:sz w:val="20"/>
          <w:szCs w:val="20"/>
          <w:color w:val="auto"/>
        </w:rPr>
      </w:pPr>
    </w:p>
    <w:p>
      <w:pPr>
        <w:ind w:left="700" w:right="320" w:firstLine="397"/>
        <w:spacing w:after="0" w:line="246" w:lineRule="auto"/>
        <w:rPr>
          <w:sz w:val="20"/>
          <w:szCs w:val="20"/>
          <w:color w:val="auto"/>
        </w:rPr>
      </w:pPr>
      <w:r>
        <w:rPr>
          <w:rFonts w:ascii="Arial" w:cs="Arial" w:eastAsia="Arial" w:hAnsi="Arial"/>
          <w:sz w:val="18"/>
          <w:szCs w:val="18"/>
          <w:color w:val="auto"/>
        </w:rPr>
        <w:t>During fiscal 2004, the Company acquired the minority interest in a subsidiary for $3.2 million, the cost of which was allocated to intangible assets.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6. GOODWILL AND INTANGIBLE ASSETS, NET</w:t>
      </w:r>
    </w:p>
    <w:p>
      <w:pPr>
        <w:spacing w:after="0" w:line="139" w:lineRule="exact"/>
        <w:rPr>
          <w:sz w:val="20"/>
          <w:szCs w:val="20"/>
          <w:color w:val="auto"/>
        </w:rPr>
      </w:pPr>
    </w:p>
    <w:p>
      <w:pPr>
        <w:ind w:left="700" w:right="60" w:firstLine="397"/>
        <w:spacing w:after="0" w:line="236" w:lineRule="auto"/>
        <w:rPr>
          <w:sz w:val="20"/>
          <w:szCs w:val="20"/>
          <w:color w:val="auto"/>
        </w:rPr>
      </w:pPr>
      <w:r>
        <w:rPr>
          <w:rFonts w:ascii="Arial" w:cs="Arial" w:eastAsia="Arial" w:hAnsi="Arial"/>
          <w:sz w:val="18"/>
          <w:szCs w:val="18"/>
          <w:color w:val="auto"/>
        </w:rPr>
        <w:t>In accordance with SFAS 142, goodwill and indefinite-lived intangible assets are not subject to amortization. Goodwill and indefinite-lived intangible assets are reviewed for impairment by applying a fair-value based test on an annual basis or more frequently if circumstances indicate a potential impairment. The Company performed its annual impairment analysis of indefinite-lived intangible assets and goodwill during the first quarter of fiscal 2006, which resulted in an impairment charge of $1.0 million associated with a tradename no longer in use in its European consumer business. The European consumer business of our International reporting segment and Smith &amp; Hawken experienced significant off plan performance in 2006. Management believes the off plan performance of the European consumer business was driven largely by category declines in the European consumer markets. The off plan performance of these two businesses was an indication that, more-likely-than-not, the fair values of the related reporting units and indefinite-lived intangibles have declined below their carrying amount. Accordingly, an interim impairment test was perform</w:t>
      </w:r>
      <w:r>
        <w:rPr>
          <w:rFonts w:ascii="Arial" w:cs="Arial" w:eastAsia="Arial" w:hAnsi="Arial"/>
          <w:sz w:val="18"/>
          <w:szCs w:val="18"/>
          <w:u w:val="single" w:color="auto"/>
          <w:color w:val="auto"/>
        </w:rPr>
        <w:t>ed f</w:t>
      </w:r>
      <w:r>
        <w:rPr>
          <w:rFonts w:ascii="Arial" w:cs="Arial" w:eastAsia="Arial" w:hAnsi="Arial"/>
          <w:sz w:val="18"/>
          <w:szCs w:val="18"/>
          <w:color w:val="auto"/>
        </w:rPr>
        <w:t>or the goodwill and indefinite-lived tradenames</w:t>
      </w:r>
    </w:p>
    <w:p>
      <w:pPr>
        <w:spacing w:after="0" w:line="5"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700" w:right="820"/>
        <w:spacing w:after="0" w:line="248" w:lineRule="auto"/>
        <w:rPr>
          <w:sz w:val="20"/>
          <w:szCs w:val="20"/>
          <w:color w:val="auto"/>
        </w:rPr>
      </w:pPr>
      <w:r>
        <w:rPr>
          <w:rFonts w:ascii="Arial" w:cs="Arial" w:eastAsia="Arial" w:hAnsi="Arial"/>
          <w:sz w:val="17"/>
          <w:szCs w:val="17"/>
          <w:color w:val="auto"/>
        </w:rPr>
        <w:t>of these reporting units during the fourth quarter. Management engaged an independent valuation firm to assist in the interim impairment assessment. The value of all indefinite-lived tradenames was determined using a royalty savings methodology similar to that employed when the associated businesses were acquired but using updated estimates of sales, cash flow and profitability. The fair value of the Company’s reporting units for purposes of goodwill testing was determined primarily by employing a discounted cash flow methodology. As a result of the interim impairment test, the Company recorded a</w:t>
      </w:r>
    </w:p>
    <w:p>
      <w:pPr>
        <w:spacing w:after="0" w:line="3" w:lineRule="exact"/>
        <w:rPr>
          <w:sz w:val="20"/>
          <w:szCs w:val="20"/>
          <w:color w:val="auto"/>
        </w:rPr>
      </w:pPr>
    </w:p>
    <w:p>
      <w:pPr>
        <w:ind w:left="700" w:right="840"/>
        <w:spacing w:after="0" w:line="238" w:lineRule="auto"/>
        <w:rPr>
          <w:sz w:val="20"/>
          <w:szCs w:val="20"/>
          <w:color w:val="auto"/>
        </w:rPr>
      </w:pPr>
      <w:r>
        <w:rPr>
          <w:rFonts w:ascii="Arial" w:cs="Arial" w:eastAsia="Arial" w:hAnsi="Arial"/>
          <w:sz w:val="18"/>
          <w:szCs w:val="18"/>
          <w:color w:val="auto"/>
        </w:rPr>
        <w:t>$65.4 million non-cash impairment charge, $62.3 million of which was associated with indefinite-lived tradenames that continue to be employed in the consumer portion of the International reporting segment. The balance of the fiscal 2006 fourth quarter impairment charge was in our North America segment and consisted of $1.3 million for a Canadian tradename being phased out and $1.8 million related to goodwill of a pottery business we exited. The interim impairment testing of the Smith &amp; Hawken goodwill and indefinite-lived tradename did not indicate impairment.</w:t>
      </w:r>
    </w:p>
    <w:p>
      <w:pPr>
        <w:spacing w:after="0" w:line="108" w:lineRule="exact"/>
        <w:rPr>
          <w:sz w:val="20"/>
          <w:szCs w:val="20"/>
          <w:color w:val="auto"/>
        </w:rPr>
      </w:pPr>
    </w:p>
    <w:p>
      <w:pPr>
        <w:ind w:left="700" w:right="840" w:firstLine="397"/>
        <w:spacing w:after="0" w:line="237" w:lineRule="auto"/>
        <w:rPr>
          <w:sz w:val="20"/>
          <w:szCs w:val="20"/>
          <w:color w:val="auto"/>
        </w:rPr>
      </w:pPr>
      <w:r>
        <w:rPr>
          <w:rFonts w:ascii="Arial" w:cs="Arial" w:eastAsia="Arial" w:hAnsi="Arial"/>
          <w:sz w:val="18"/>
          <w:szCs w:val="18"/>
          <w:color w:val="auto"/>
        </w:rPr>
        <w:t>In the first quarter of fiscal 2005, the Company completed its annual impairment analysis of goodwill and indefinite-lived tradenames and determined that tradenames associated with the consumer business in the United Kingdom were impaired. The fair value of the tradenames was determined using the royalty savings approach described above. The reduction in the value of the tradenames has resulted primarily from a decline in the profitability of the U.K. growing media business and unfavorable category mix trends. As a result of this evaluation, an impairment charge of $22.0 million was recorded for certain indefinite-lived tradenames associated with this business.</w:t>
      </w:r>
    </w:p>
    <w:p>
      <w:pPr>
        <w:spacing w:after="0" w:line="1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presents goodwill and intangible assets as of September 30, 2006 and 2005 (dollars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gridSpan w:val="3"/>
          </w:tcPr>
          <w:p>
            <w:pPr>
              <w:jc w:val="center"/>
              <w:ind w:left="3"/>
              <w:spacing w:after="0"/>
              <w:rPr>
                <w:sz w:val="20"/>
                <w:szCs w:val="20"/>
                <w:color w:val="auto"/>
              </w:rPr>
            </w:pPr>
            <w:r>
              <w:rPr>
                <w:rFonts w:ascii="Arial" w:cs="Arial" w:eastAsia="Arial" w:hAnsi="Arial"/>
                <w:sz w:val="16"/>
                <w:szCs w:val="16"/>
                <w:color w:val="auto"/>
              </w:rPr>
              <w:t>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color w:val="auto"/>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52"/>
              <w:spacing w:after="0"/>
              <w:rPr>
                <w:sz w:val="20"/>
                <w:szCs w:val="20"/>
                <w:color w:val="auto"/>
              </w:rPr>
            </w:pPr>
            <w:r>
              <w:rPr>
                <w:rFonts w:ascii="Arial" w:cs="Arial" w:eastAsia="Arial" w:hAnsi="Arial"/>
                <w:sz w:val="16"/>
                <w:szCs w:val="16"/>
                <w:color w:val="auto"/>
              </w:rPr>
              <w:t>2006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color w:val="auto"/>
              </w:rPr>
              <w:t>2005</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920" w:type="dxa"/>
            <w:vAlign w:val="bottom"/>
          </w:tcPr>
          <w:p>
            <w:pPr>
              <w:jc w:val="right"/>
              <w:ind w:right="54"/>
              <w:spacing w:after="0"/>
              <w:rPr>
                <w:sz w:val="20"/>
                <w:szCs w:val="20"/>
                <w:color w:val="auto"/>
              </w:rPr>
            </w:pPr>
            <w:r>
              <w:rPr>
                <w:rFonts w:ascii="Arial" w:cs="Arial" w:eastAsia="Arial" w:hAnsi="Arial"/>
                <w:sz w:val="16"/>
                <w:szCs w:val="16"/>
                <w:color w:val="auto"/>
              </w:rPr>
              <w:t>Weighted</w:t>
            </w:r>
          </w:p>
        </w:tc>
        <w:tc>
          <w:tcPr>
            <w:tcW w:w="120" w:type="dxa"/>
            <w:vAlign w:val="bottom"/>
          </w:tcPr>
          <w:p>
            <w:pPr>
              <w:spacing w:after="0"/>
              <w:rPr>
                <w:sz w:val="16"/>
                <w:szCs w:val="16"/>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6"/>
                <w:szCs w:val="16"/>
                <w:color w:val="auto"/>
              </w:rPr>
              <w:t>Gross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6"/>
                <w:szCs w:val="16"/>
                <w:color w:val="auto"/>
              </w:rPr>
              <w:t>Net</w:t>
            </w:r>
          </w:p>
        </w:tc>
        <w:tc>
          <w:tcPr>
            <w:tcW w:w="120" w:type="dxa"/>
            <w:vAlign w:val="bottom"/>
          </w:tcPr>
          <w:p>
            <w:pPr>
              <w:spacing w:after="0"/>
              <w:rPr>
                <w:sz w:val="16"/>
                <w:szCs w:val="16"/>
                <w:color w:val="auto"/>
              </w:rPr>
            </w:pPr>
          </w:p>
        </w:tc>
        <w:tc>
          <w:tcPr>
            <w:tcW w:w="720" w:type="dxa"/>
            <w:vAlign w:val="bottom"/>
            <w:gridSpan w:val="2"/>
          </w:tcPr>
          <w:p>
            <w:pPr>
              <w:jc w:val="center"/>
              <w:ind w:right="10"/>
              <w:spacing w:after="0"/>
              <w:rPr>
                <w:sz w:val="20"/>
                <w:szCs w:val="20"/>
                <w:color w:val="auto"/>
              </w:rPr>
            </w:pPr>
            <w:r>
              <w:rPr>
                <w:rFonts w:ascii="Arial" w:cs="Arial" w:eastAsia="Arial" w:hAnsi="Arial"/>
                <w:sz w:val="16"/>
                <w:szCs w:val="16"/>
                <w:color w:val="auto"/>
                <w:w w:val="98"/>
              </w:rPr>
              <w:t>Gross</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Net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920" w:type="dxa"/>
            <w:vAlign w:val="bottom"/>
          </w:tcPr>
          <w:p>
            <w:pPr>
              <w:jc w:val="right"/>
              <w:ind w:right="94"/>
              <w:spacing w:after="0"/>
              <w:rPr>
                <w:sz w:val="20"/>
                <w:szCs w:val="20"/>
                <w:color w:val="auto"/>
              </w:rPr>
            </w:pPr>
            <w:r>
              <w:rPr>
                <w:rFonts w:ascii="Arial" w:cs="Arial" w:eastAsia="Arial" w:hAnsi="Arial"/>
                <w:sz w:val="16"/>
                <w:szCs w:val="16"/>
                <w:color w:val="auto"/>
              </w:rPr>
              <w:t>Average</w:t>
            </w:r>
          </w:p>
        </w:tc>
        <w:tc>
          <w:tcPr>
            <w:tcW w:w="740" w:type="dxa"/>
            <w:vAlign w:val="bottom"/>
            <w:gridSpan w:val="3"/>
          </w:tcPr>
          <w:p>
            <w:pPr>
              <w:ind w:left="120"/>
              <w:spacing w:after="0"/>
              <w:rPr>
                <w:sz w:val="20"/>
                <w:szCs w:val="20"/>
                <w:color w:val="auto"/>
              </w:rPr>
            </w:pPr>
            <w:r>
              <w:rPr>
                <w:rFonts w:ascii="Arial" w:cs="Arial" w:eastAsia="Arial" w:hAnsi="Arial"/>
                <w:sz w:val="16"/>
                <w:szCs w:val="16"/>
                <w:color w:val="auto"/>
                <w:w w:val="99"/>
              </w:rPr>
              <w:t>Carrying</w:t>
            </w:r>
          </w:p>
        </w:tc>
        <w:tc>
          <w:tcPr>
            <w:tcW w:w="1340" w:type="dxa"/>
            <w:vAlign w:val="bottom"/>
            <w:gridSpan w:val="3"/>
          </w:tcPr>
          <w:p>
            <w:pPr>
              <w:jc w:val="center"/>
              <w:ind w:left="3"/>
              <w:spacing w:after="0"/>
              <w:rPr>
                <w:sz w:val="20"/>
                <w:szCs w:val="20"/>
                <w:color w:val="auto"/>
              </w:rPr>
            </w:pPr>
            <w:r>
              <w:rPr>
                <w:rFonts w:ascii="Arial" w:cs="Arial" w:eastAsia="Arial" w:hAnsi="Arial"/>
                <w:sz w:val="16"/>
                <w:szCs w:val="16"/>
                <w:color w:val="auto"/>
              </w:rPr>
              <w:t>Accumulated</w:t>
            </w:r>
          </w:p>
        </w:tc>
        <w:tc>
          <w:tcPr>
            <w:tcW w:w="860" w:type="dxa"/>
            <w:vAlign w:val="bottom"/>
            <w:gridSpan w:val="4"/>
          </w:tcPr>
          <w:p>
            <w:pPr>
              <w:ind w:left="100"/>
              <w:spacing w:after="0"/>
              <w:rPr>
                <w:sz w:val="20"/>
                <w:szCs w:val="20"/>
                <w:color w:val="auto"/>
              </w:rPr>
            </w:pPr>
            <w:r>
              <w:rPr>
                <w:rFonts w:ascii="Arial" w:cs="Arial" w:eastAsia="Arial" w:hAnsi="Arial"/>
                <w:sz w:val="16"/>
                <w:szCs w:val="16"/>
                <w:color w:val="auto"/>
              </w:rPr>
              <w:t>Carrying</w:t>
            </w:r>
          </w:p>
        </w:tc>
        <w:tc>
          <w:tcPr>
            <w:tcW w:w="840" w:type="dxa"/>
            <w:vAlign w:val="bottom"/>
            <w:gridSpan w:val="3"/>
          </w:tcPr>
          <w:p>
            <w:pPr>
              <w:jc w:val="center"/>
              <w:spacing w:after="0"/>
              <w:rPr>
                <w:sz w:val="20"/>
                <w:szCs w:val="20"/>
                <w:color w:val="auto"/>
              </w:rPr>
            </w:pPr>
            <w:r>
              <w:rPr>
                <w:rFonts w:ascii="Arial" w:cs="Arial" w:eastAsia="Arial" w:hAnsi="Arial"/>
                <w:sz w:val="16"/>
                <w:szCs w:val="16"/>
                <w:color w:val="auto"/>
              </w:rPr>
              <w:t>Carrying</w:t>
            </w:r>
          </w:p>
        </w:tc>
        <w:tc>
          <w:tcPr>
            <w:tcW w:w="1280" w:type="dxa"/>
            <w:vAlign w:val="bottom"/>
            <w:gridSpan w:val="2"/>
          </w:tcPr>
          <w:p>
            <w:pPr>
              <w:jc w:val="center"/>
              <w:spacing w:after="0"/>
              <w:rPr>
                <w:sz w:val="20"/>
                <w:szCs w:val="20"/>
                <w:color w:val="auto"/>
              </w:rPr>
            </w:pPr>
            <w:r>
              <w:rPr>
                <w:rFonts w:ascii="Arial" w:cs="Arial" w:eastAsia="Arial" w:hAnsi="Arial"/>
                <w:sz w:val="16"/>
                <w:szCs w:val="16"/>
                <w:color w:val="auto"/>
              </w:rPr>
              <w:t>Accumulated</w:t>
            </w:r>
          </w:p>
        </w:tc>
        <w:tc>
          <w:tcPr>
            <w:tcW w:w="800" w:type="dxa"/>
            <w:vAlign w:val="bottom"/>
            <w:gridSpan w:val="4"/>
          </w:tcPr>
          <w:p>
            <w:pPr>
              <w:ind w:left="100"/>
              <w:spacing w:after="0"/>
              <w:rPr>
                <w:sz w:val="20"/>
                <w:szCs w:val="20"/>
                <w:color w:val="auto"/>
              </w:rPr>
            </w:pPr>
            <w:r>
              <w:rPr>
                <w:rFonts w:ascii="Arial" w:cs="Arial" w:eastAsia="Arial" w:hAnsi="Arial"/>
                <w:sz w:val="16"/>
                <w:szCs w:val="16"/>
                <w:color w:val="auto"/>
              </w:rPr>
              <w:t>Carrying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920" w:type="dxa"/>
            <w:vAlign w:val="bottom"/>
          </w:tcPr>
          <w:p>
            <w:pPr>
              <w:jc w:val="right"/>
              <w:ind w:right="254"/>
              <w:spacing w:after="0"/>
              <w:rPr>
                <w:sz w:val="20"/>
                <w:szCs w:val="20"/>
                <w:color w:val="auto"/>
              </w:rPr>
            </w:pPr>
            <w:r>
              <w:rPr>
                <w:rFonts w:ascii="Arial" w:cs="Arial" w:eastAsia="Arial" w:hAnsi="Arial"/>
                <w:sz w:val="16"/>
                <w:szCs w:val="16"/>
                <w:color w:val="auto"/>
              </w:rPr>
              <w:t>Life</w:t>
            </w:r>
          </w:p>
        </w:tc>
        <w:tc>
          <w:tcPr>
            <w:tcW w:w="1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Amount</w:t>
            </w:r>
          </w:p>
        </w:tc>
        <w:tc>
          <w:tcPr>
            <w:tcW w:w="1340" w:type="dxa"/>
            <w:vAlign w:val="bottom"/>
            <w:gridSpan w:val="3"/>
          </w:tcPr>
          <w:p>
            <w:pPr>
              <w:jc w:val="center"/>
              <w:ind w:left="3"/>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6"/>
                <w:szCs w:val="16"/>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6"/>
                <w:szCs w:val="16"/>
                <w:color w:val="auto"/>
                <w:w w:val="97"/>
              </w:rPr>
              <w:t>Amount</w:t>
            </w:r>
          </w:p>
        </w:tc>
        <w:tc>
          <w:tcPr>
            <w:tcW w:w="120" w:type="dxa"/>
            <w:vAlign w:val="bottom"/>
          </w:tcPr>
          <w:p>
            <w:pPr>
              <w:spacing w:after="0"/>
              <w:rPr>
                <w:sz w:val="16"/>
                <w:szCs w:val="16"/>
                <w:color w:val="auto"/>
              </w:rPr>
            </w:pPr>
          </w:p>
        </w:tc>
        <w:tc>
          <w:tcPr>
            <w:tcW w:w="720" w:type="dxa"/>
            <w:vAlign w:val="bottom"/>
            <w:gridSpan w:val="2"/>
          </w:tcPr>
          <w:p>
            <w:pPr>
              <w:jc w:val="center"/>
              <w:ind w:right="30"/>
              <w:spacing w:after="0"/>
              <w:rPr>
                <w:sz w:val="20"/>
                <w:szCs w:val="20"/>
                <w:color w:val="auto"/>
              </w:rPr>
            </w:pPr>
            <w:r>
              <w:rPr>
                <w:rFonts w:ascii="Arial" w:cs="Arial" w:eastAsia="Arial" w:hAnsi="Arial"/>
                <w:sz w:val="16"/>
                <w:szCs w:val="16"/>
                <w:color w:val="auto"/>
              </w:rPr>
              <w:t>Amount</w:t>
            </w:r>
          </w:p>
        </w:tc>
        <w:tc>
          <w:tcPr>
            <w:tcW w:w="1280" w:type="dxa"/>
            <w:vAlign w:val="bottom"/>
            <w:gridSpan w:val="2"/>
          </w:tcPr>
          <w:p>
            <w:pPr>
              <w:jc w:val="center"/>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6"/>
                <w:szCs w:val="16"/>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6"/>
                <w:szCs w:val="16"/>
                <w:color w:val="auto"/>
              </w:rPr>
              <w:t>Amount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40" w:type="dxa"/>
            <w:vAlign w:val="bottom"/>
          </w:tcPr>
          <w:p>
            <w:pPr>
              <w:ind w:left="180"/>
              <w:spacing w:after="0" w:line="202" w:lineRule="exact"/>
              <w:rPr>
                <w:sz w:val="20"/>
                <w:szCs w:val="20"/>
                <w:color w:val="auto"/>
              </w:rPr>
            </w:pPr>
            <w:r>
              <w:rPr>
                <w:rFonts w:ascii="Arial" w:cs="Arial" w:eastAsia="Arial" w:hAnsi="Arial"/>
                <w:sz w:val="18"/>
                <w:szCs w:val="18"/>
                <w:color w:val="auto"/>
              </w:rPr>
              <w:t>Technology</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54.3</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(34.3)</w:t>
            </w:r>
          </w:p>
        </w:tc>
        <w:tc>
          <w:tcPr>
            <w:tcW w:w="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14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49.4</w:t>
            </w:r>
          </w:p>
        </w:tc>
        <w:tc>
          <w:tcPr>
            <w:tcW w:w="3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(29.8)</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Customer accounts</w:t>
            </w:r>
          </w:p>
        </w:tc>
        <w:tc>
          <w:tcPr>
            <w:tcW w:w="9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17</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49.1</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40" w:type="dxa"/>
            <w:vAlign w:val="bottom"/>
          </w:tcPr>
          <w:p>
            <w:pPr>
              <w:ind w:left="180"/>
              <w:spacing w:after="0" w:line="202" w:lineRule="exact"/>
              <w:rPr>
                <w:sz w:val="20"/>
                <w:szCs w:val="20"/>
                <w:color w:val="auto"/>
              </w:rPr>
            </w:pPr>
            <w:r>
              <w:rPr>
                <w:rFonts w:ascii="Arial" w:cs="Arial" w:eastAsia="Arial" w:hAnsi="Arial"/>
                <w:sz w:val="18"/>
                <w:szCs w:val="18"/>
                <w:color w:val="auto"/>
              </w:rPr>
              <w:t>Tradenames</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17</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w:t>
            </w:r>
          </w:p>
        </w:tc>
        <w:tc>
          <w:tcPr>
            <w:tcW w:w="36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111.2</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108.6</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Total amortizable intangible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40" w:type="dxa"/>
            <w:vAlign w:val="bottom"/>
          </w:tcPr>
          <w:p>
            <w:pPr>
              <w:ind w:left="360"/>
              <w:spacing w:after="0" w:line="203" w:lineRule="exact"/>
              <w:rPr>
                <w:sz w:val="20"/>
                <w:szCs w:val="20"/>
                <w:color w:val="auto"/>
              </w:rPr>
            </w:pPr>
            <w:r>
              <w:rPr>
                <w:rFonts w:ascii="Arial" w:cs="Arial" w:eastAsia="Arial" w:hAnsi="Arial"/>
                <w:sz w:val="18"/>
                <w:szCs w:val="18"/>
                <w:color w:val="auto"/>
              </w:rPr>
              <w:t>net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124.6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101.3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Unamortizable intangible assets: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140" w:type="dxa"/>
            <w:vAlign w:val="bottom"/>
          </w:tcPr>
          <w:p>
            <w:pPr>
              <w:ind w:left="180"/>
              <w:spacing w:after="0" w:line="202" w:lineRule="exact"/>
              <w:rPr>
                <w:sz w:val="20"/>
                <w:szCs w:val="20"/>
                <w:color w:val="auto"/>
              </w:rPr>
            </w:pPr>
            <w:r>
              <w:rPr>
                <w:rFonts w:ascii="Arial" w:cs="Arial" w:eastAsia="Arial" w:hAnsi="Arial"/>
                <w:sz w:val="18"/>
                <w:szCs w:val="18"/>
                <w:color w:val="auto"/>
              </w:rPr>
              <w:t>Tradenames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intangible assets, net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140" w:type="dxa"/>
            <w:vAlign w:val="bottom"/>
          </w:tcPr>
          <w:p>
            <w:pPr>
              <w:ind w:left="180"/>
              <w:spacing w:after="0" w:line="202" w:lineRule="exact"/>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432.9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Total goodwill and intangible assets,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net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872.4</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jc w:val="right"/>
              <w:ind w:right="3"/>
              <w:spacing w:after="0" w:line="122" w:lineRule="exact"/>
              <w:rPr>
                <w:sz w:val="20"/>
                <w:szCs w:val="20"/>
                <w:color w:val="auto"/>
              </w:rPr>
            </w:pPr>
            <w:r>
              <w:rPr>
                <w:rFonts w:ascii="Arial" w:cs="Arial" w:eastAsia="Arial" w:hAnsi="Arial"/>
                <w:sz w:val="11"/>
                <w:szCs w:val="11"/>
                <w:b w:val="1"/>
                <w:bCs w:val="1"/>
                <w:color w:val="auto"/>
              </w:rPr>
              <w:t>72</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314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700" w:right="40" w:firstLine="397"/>
        <w:spacing w:after="0" w:line="246" w:lineRule="auto"/>
        <w:rPr>
          <w:sz w:val="20"/>
          <w:szCs w:val="20"/>
          <w:color w:val="auto"/>
        </w:rPr>
      </w:pPr>
      <w:r>
        <w:rPr>
          <w:rFonts w:ascii="Arial" w:cs="Arial" w:eastAsia="Arial" w:hAnsi="Arial"/>
          <w:sz w:val="18"/>
          <w:szCs w:val="18"/>
          <w:color w:val="auto"/>
        </w:rPr>
        <w:t>The changes to the net carrying value of goodwill by segment for the fiscal years ended September 30, 2006 and 2005, are as follows (in millions):</w:t>
      </w:r>
    </w:p>
    <w:p>
      <w:pPr>
        <w:spacing w:after="0" w:line="119" w:lineRule="exact"/>
        <w:rPr>
          <w:sz w:val="20"/>
          <w:szCs w:val="20"/>
          <w:color w:val="auto"/>
        </w:rPr>
      </w:pPr>
    </w:p>
    <w:p>
      <w:pPr>
        <w:ind w:left="5240"/>
        <w:spacing w:after="0"/>
        <w:tabs>
          <w:tab w:leader="none" w:pos="6380" w:val="left"/>
          <w:tab w:leader="none" w:pos="8960" w:val="left"/>
        </w:tabs>
        <w:rPr>
          <w:sz w:val="20"/>
          <w:szCs w:val="20"/>
          <w:color w:val="auto"/>
        </w:rPr>
      </w:pPr>
      <w:r>
        <w:rPr>
          <w:rFonts w:ascii="Arial" w:cs="Arial" w:eastAsia="Arial" w:hAnsi="Arial"/>
          <w:sz w:val="16"/>
          <w:szCs w:val="16"/>
          <w:color w:val="auto"/>
        </w:rPr>
        <w:t>North</w:t>
      </w:r>
      <w:r>
        <w:rPr>
          <w:sz w:val="20"/>
          <w:szCs w:val="20"/>
          <w:color w:val="auto"/>
        </w:rPr>
        <w:tab/>
      </w:r>
      <w:r>
        <w:rPr>
          <w:rFonts w:ascii="Arial" w:cs="Arial" w:eastAsia="Arial" w:hAnsi="Arial"/>
          <w:sz w:val="16"/>
          <w:szCs w:val="16"/>
          <w:color w:val="auto"/>
        </w:rPr>
        <w:t>Scotts</w:t>
      </w:r>
      <w:r>
        <w:rPr>
          <w:sz w:val="20"/>
          <w:szCs w:val="20"/>
          <w:color w:val="auto"/>
        </w:rPr>
        <w:tab/>
      </w:r>
      <w:r>
        <w:rPr>
          <w:rFonts w:ascii="Arial" w:cs="Arial" w:eastAsia="Arial" w:hAnsi="Arial"/>
          <w:sz w:val="15"/>
          <w:szCs w:val="15"/>
          <w:color w:val="auto"/>
        </w:rPr>
        <w:t>Other/</w:t>
      </w:r>
    </w:p>
    <w:p>
      <w:pPr>
        <w:ind w:left="5160"/>
        <w:spacing w:after="0"/>
        <w:tabs>
          <w:tab w:leader="none" w:pos="6100" w:val="left"/>
          <w:tab w:leader="none" w:pos="7520" w:val="left"/>
          <w:tab w:leader="none" w:pos="8820" w:val="left"/>
          <w:tab w:leader="none" w:pos="10060" w:val="left"/>
        </w:tabs>
        <w:rPr>
          <w:sz w:val="20"/>
          <w:szCs w:val="20"/>
          <w:color w:val="auto"/>
        </w:rPr>
      </w:pPr>
      <w:r>
        <w:rPr>
          <w:rFonts w:ascii="Arial" w:cs="Arial" w:eastAsia="Arial" w:hAnsi="Arial"/>
          <w:sz w:val="16"/>
          <w:szCs w:val="16"/>
          <w:color w:val="auto"/>
        </w:rPr>
        <w:t>America</w:t>
      </w:r>
      <w:r>
        <w:rPr>
          <w:sz w:val="20"/>
          <w:szCs w:val="20"/>
          <w:color w:val="auto"/>
        </w:rPr>
        <w:tab/>
      </w:r>
      <w:r>
        <w:rPr>
          <w:rFonts w:ascii="Arial" w:cs="Arial" w:eastAsia="Arial" w:hAnsi="Arial"/>
          <w:sz w:val="16"/>
          <w:szCs w:val="16"/>
          <w:color w:val="auto"/>
        </w:rPr>
        <w:t>LawnService</w:t>
      </w:r>
      <w:r>
        <w:rPr>
          <w:rFonts w:ascii="Arial" w:cs="Arial" w:eastAsia="Arial" w:hAnsi="Arial"/>
          <w:sz w:val="27"/>
          <w:szCs w:val="27"/>
          <w:color w:val="auto"/>
          <w:vertAlign w:val="superscript"/>
        </w:rPr>
        <w:t>®</w:t>
      </w:r>
      <w:r>
        <w:rPr>
          <w:sz w:val="20"/>
          <w:szCs w:val="20"/>
          <w:color w:val="auto"/>
        </w:rPr>
        <w:tab/>
      </w:r>
      <w:r>
        <w:rPr>
          <w:rFonts w:ascii="Arial" w:cs="Arial" w:eastAsia="Arial" w:hAnsi="Arial"/>
          <w:sz w:val="16"/>
          <w:szCs w:val="16"/>
          <w:color w:val="auto"/>
        </w:rPr>
        <w:t>International</w:t>
      </w:r>
      <w:r>
        <w:rPr>
          <w:sz w:val="20"/>
          <w:szCs w:val="20"/>
          <w:color w:val="auto"/>
        </w:rPr>
        <w:tab/>
      </w:r>
      <w:r>
        <w:rPr>
          <w:rFonts w:ascii="Arial" w:cs="Arial" w:eastAsia="Arial" w:hAnsi="Arial"/>
          <w:sz w:val="16"/>
          <w:szCs w:val="16"/>
          <w:color w:val="auto"/>
        </w:rPr>
        <w:t>Corporate</w:t>
      </w:r>
      <w:r>
        <w:rPr>
          <w:sz w:val="20"/>
          <w:szCs w:val="20"/>
          <w:color w:val="auto"/>
        </w:rPr>
        <w:tab/>
      </w: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45085</wp:posOffset>
            </wp:positionV>
            <wp:extent cx="6243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460" w:type="dxa"/>
            <w:vAlign w:val="bottom"/>
          </w:tcPr>
          <w:p>
            <w:pPr>
              <w:spacing w:after="0"/>
              <w:rPr>
                <w:sz w:val="20"/>
                <w:szCs w:val="20"/>
                <w:color w:val="auto"/>
              </w:rPr>
            </w:pPr>
            <w:r>
              <w:rPr>
                <w:rFonts w:ascii="Arial" w:cs="Arial" w:eastAsia="Arial" w:hAnsi="Arial"/>
                <w:sz w:val="18"/>
                <w:szCs w:val="18"/>
                <w:color w:val="auto"/>
              </w:rPr>
              <w:t>Balance as of September 30, 2004</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$ 198.7</w:t>
            </w:r>
          </w:p>
        </w:tc>
        <w:tc>
          <w:tcPr>
            <w:tcW w:w="20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100.3</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118.9</w:t>
            </w:r>
          </w:p>
        </w:tc>
        <w:tc>
          <w:tcPr>
            <w:tcW w:w="24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Increases due to acquisitions</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Reclassifications</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tcPr>
          <w:p>
            <w:pPr>
              <w:spacing w:after="0" w:line="203" w:lineRule="exact"/>
              <w:rPr>
                <w:sz w:val="20"/>
                <w:szCs w:val="20"/>
                <w:color w:val="auto"/>
              </w:rPr>
            </w:pPr>
            <w:r>
              <w:rPr>
                <w:rFonts w:ascii="Arial" w:cs="Arial" w:eastAsia="Arial" w:hAnsi="Arial"/>
                <w:sz w:val="18"/>
                <w:szCs w:val="18"/>
                <w:color w:val="auto"/>
              </w:rPr>
              <w:t>Other, primarily cumulative translation</w:t>
            </w: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(3.8)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Balance as of September 30, 2005</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Increases due to acquisitions</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Impairment</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tcPr>
          <w:p>
            <w:pPr>
              <w:spacing w:after="0" w:line="203" w:lineRule="exact"/>
              <w:rPr>
                <w:sz w:val="20"/>
                <w:szCs w:val="20"/>
                <w:color w:val="auto"/>
              </w:rPr>
            </w:pPr>
            <w:r>
              <w:rPr>
                <w:rFonts w:ascii="Arial" w:cs="Arial" w:eastAsia="Arial" w:hAnsi="Arial"/>
                <w:sz w:val="18"/>
                <w:szCs w:val="18"/>
                <w:color w:val="auto"/>
              </w:rPr>
              <w:t>Other, primarily cumulative translation</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Balance as of September 30, 2006</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$ 205.7</w:t>
            </w:r>
          </w:p>
        </w:tc>
        <w:tc>
          <w:tcPr>
            <w:tcW w:w="20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108.6</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119.2</w:t>
            </w:r>
          </w:p>
        </w:tc>
        <w:tc>
          <w:tcPr>
            <w:tcW w:w="2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4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-1217295</wp:posOffset>
            </wp:positionV>
            <wp:extent cx="630301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03010" cy="12890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-960120</wp:posOffset>
            </wp:positionV>
            <wp:extent cx="630301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03010" cy="12890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-685165</wp:posOffset>
            </wp:positionV>
            <wp:extent cx="630301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03010" cy="12890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-427990</wp:posOffset>
            </wp:positionV>
            <wp:extent cx="630301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03010" cy="12890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-153670</wp:posOffset>
            </wp:positionV>
            <wp:extent cx="630301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03010" cy="128905"/>
                    </a:xfrm>
                    <a:prstGeom prst="rect">
                      <a:avLst/>
                    </a:prstGeom>
                    <a:noFill/>
                  </pic:spPr>
                </pic:pic>
              </a:graphicData>
            </a:graphic>
          </wp:anchor>
        </w:drawing>
      </w:r>
    </w:p>
    <w:p>
      <w:pPr>
        <w:spacing w:after="0" w:line="114" w:lineRule="exact"/>
        <w:rPr>
          <w:sz w:val="20"/>
          <w:szCs w:val="20"/>
          <w:color w:val="auto"/>
        </w:rPr>
      </w:pPr>
    </w:p>
    <w:p>
      <w:pPr>
        <w:ind w:left="700" w:firstLine="397"/>
        <w:spacing w:after="0"/>
        <w:rPr>
          <w:sz w:val="20"/>
          <w:szCs w:val="20"/>
          <w:color w:val="auto"/>
        </w:rPr>
      </w:pPr>
      <w:r>
        <w:rPr>
          <w:rFonts w:ascii="Arial" w:cs="Arial" w:eastAsia="Arial" w:hAnsi="Arial"/>
          <w:sz w:val="18"/>
          <w:szCs w:val="18"/>
          <w:color w:val="auto"/>
        </w:rPr>
        <w:t>The total amortization expense for the years ended September 30, 2006, 2005 and 2004 was $16.0 million, $17.6 million and $8.3 million, respectively. Amortization expense is estimated to be as follows for the years ended September 30 (in millions):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122" w:hanging="122"/>
        <w:spacing w:after="0"/>
        <w:tabs>
          <w:tab w:leader="none" w:pos="1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417.9</w:t>
      </w:r>
    </w:p>
    <w:p>
      <w:pPr>
        <w:ind w:left="222"/>
        <w:spacing w:after="0" w:line="234" w:lineRule="auto"/>
        <w:rPr>
          <w:rFonts w:ascii="Arial" w:cs="Arial" w:eastAsia="Arial" w:hAnsi="Arial"/>
          <w:sz w:val="18"/>
          <w:szCs w:val="18"/>
          <w:color w:val="auto"/>
        </w:rPr>
      </w:pPr>
      <w:r>
        <w:rPr>
          <w:rFonts w:ascii="Arial" w:cs="Arial" w:eastAsia="Arial" w:hAnsi="Arial"/>
          <w:sz w:val="18"/>
          <w:szCs w:val="18"/>
          <w:color w:val="auto"/>
        </w:rPr>
        <w:t>29.3</w:t>
      </w:r>
    </w:p>
    <w:p>
      <w:pPr>
        <w:jc w:val="right"/>
        <w:ind w:right="40"/>
        <w:spacing w:after="0" w:line="235" w:lineRule="auto"/>
        <w:rPr>
          <w:sz w:val="20"/>
          <w:szCs w:val="20"/>
          <w:color w:val="auto"/>
        </w:rPr>
      </w:pPr>
      <w:r>
        <w:rPr>
          <w:rFonts w:ascii="Arial" w:cs="Arial" w:eastAsia="Arial" w:hAnsi="Arial"/>
          <w:sz w:val="18"/>
          <w:szCs w:val="18"/>
          <w:color w:val="auto"/>
        </w:rPr>
        <w:t>(10.7)</w:t>
      </w:r>
    </w:p>
    <w:p>
      <w:pPr>
        <w:spacing w:after="0" w:line="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3600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color w:val="auto"/>
        </w:rPr>
        <w:t>432.9</w:t>
      </w:r>
    </w:p>
    <w:p>
      <w:pPr>
        <w:jc w:val="right"/>
        <w:ind w:right="100"/>
        <w:spacing w:after="0" w:line="234" w:lineRule="auto"/>
        <w:rPr>
          <w:sz w:val="20"/>
          <w:szCs w:val="20"/>
          <w:color w:val="auto"/>
        </w:rPr>
      </w:pPr>
      <w:r>
        <w:rPr>
          <w:rFonts w:ascii="Arial" w:cs="Arial" w:eastAsia="Arial" w:hAnsi="Arial"/>
          <w:sz w:val="18"/>
          <w:szCs w:val="18"/>
          <w:color w:val="auto"/>
        </w:rPr>
        <w:t>20.2</w:t>
      </w:r>
    </w:p>
    <w:p>
      <w:pPr>
        <w:jc w:val="right"/>
        <w:ind w:right="40"/>
        <w:spacing w:after="0" w:line="235" w:lineRule="auto"/>
        <w:rPr>
          <w:sz w:val="20"/>
          <w:szCs w:val="20"/>
          <w:color w:val="auto"/>
        </w:rPr>
      </w:pPr>
      <w:r>
        <w:rPr>
          <w:rFonts w:ascii="Arial" w:cs="Arial" w:eastAsia="Arial" w:hAnsi="Arial"/>
          <w:sz w:val="18"/>
          <w:szCs w:val="18"/>
          <w:color w:val="auto"/>
        </w:rPr>
        <w:t>(1.8)</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3600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$458.1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600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910" w:lineRule="exact"/>
        <w:rPr>
          <w:sz w:val="20"/>
          <w:szCs w:val="20"/>
          <w:color w:val="auto"/>
        </w:rPr>
      </w:pPr>
    </w:p>
    <w:p>
      <w:pPr>
        <w:sectPr>
          <w:pgSz w:w="11900" w:h="16838" w:orient="portrait"/>
          <w:cols w:equalWidth="0" w:num="2">
            <w:col w:w="9780" w:space="178"/>
            <w:col w:w="662"/>
          </w:cols>
          <w:pgMar w:left="240" w:top="419" w:right="103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4880" w:type="dxa"/>
            <w:vAlign w:val="bottom"/>
            <w:shd w:val="clear" w:color="auto" w:fill="CCEEFF"/>
          </w:tcPr>
          <w:p>
            <w:pPr>
              <w:jc w:val="right"/>
              <w:ind w:right="4390"/>
              <w:spacing w:after="0"/>
              <w:rPr>
                <w:sz w:val="20"/>
                <w:szCs w:val="20"/>
                <w:color w:val="auto"/>
              </w:rPr>
            </w:pPr>
            <w:r>
              <w:rPr>
                <w:rFonts w:ascii="Arial" w:cs="Arial" w:eastAsia="Arial" w:hAnsi="Arial"/>
                <w:sz w:val="18"/>
                <w:szCs w:val="18"/>
                <w:color w:val="auto"/>
                <w:w w:val="94"/>
              </w:rPr>
              <w:t>2007</w:t>
            </w:r>
          </w:p>
        </w:tc>
        <w:tc>
          <w:tcPr>
            <w:tcW w:w="5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03"/>
        </w:trPr>
        <w:tc>
          <w:tcPr>
            <w:tcW w:w="4880" w:type="dxa"/>
            <w:vAlign w:val="bottom"/>
          </w:tcPr>
          <w:p>
            <w:pPr>
              <w:jc w:val="right"/>
              <w:ind w:right="4390"/>
              <w:spacing w:after="0" w:line="202" w:lineRule="exact"/>
              <w:rPr>
                <w:sz w:val="20"/>
                <w:szCs w:val="20"/>
                <w:color w:val="auto"/>
              </w:rPr>
            </w:pPr>
            <w:r>
              <w:rPr>
                <w:rFonts w:ascii="Arial" w:cs="Arial" w:eastAsia="Arial" w:hAnsi="Arial"/>
                <w:sz w:val="18"/>
                <w:szCs w:val="18"/>
                <w:color w:val="auto"/>
                <w:w w:val="94"/>
              </w:rPr>
              <w:t>2008</w:t>
            </w:r>
          </w:p>
        </w:tc>
        <w:tc>
          <w:tcPr>
            <w:tcW w:w="5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13.7</w:t>
            </w:r>
          </w:p>
        </w:tc>
      </w:tr>
      <w:tr>
        <w:trPr>
          <w:trHeight w:val="203"/>
        </w:trPr>
        <w:tc>
          <w:tcPr>
            <w:tcW w:w="4880" w:type="dxa"/>
            <w:vAlign w:val="bottom"/>
            <w:shd w:val="clear" w:color="auto" w:fill="CCEEFF"/>
          </w:tcPr>
          <w:p>
            <w:pPr>
              <w:jc w:val="right"/>
              <w:ind w:right="4390"/>
              <w:spacing w:after="0" w:line="202" w:lineRule="exact"/>
              <w:rPr>
                <w:sz w:val="20"/>
                <w:szCs w:val="20"/>
                <w:color w:val="auto"/>
              </w:rPr>
            </w:pPr>
            <w:r>
              <w:rPr>
                <w:rFonts w:ascii="Arial" w:cs="Arial" w:eastAsia="Arial" w:hAnsi="Arial"/>
                <w:sz w:val="18"/>
                <w:szCs w:val="18"/>
                <w:color w:val="auto"/>
                <w:w w:val="94"/>
              </w:rPr>
              <w:t>2009</w:t>
            </w:r>
          </w:p>
        </w:tc>
        <w:tc>
          <w:tcPr>
            <w:tcW w:w="5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12.0</w:t>
            </w:r>
          </w:p>
        </w:tc>
      </w:tr>
      <w:tr>
        <w:trPr>
          <w:trHeight w:val="203"/>
        </w:trPr>
        <w:tc>
          <w:tcPr>
            <w:tcW w:w="4880" w:type="dxa"/>
            <w:vAlign w:val="bottom"/>
          </w:tcPr>
          <w:p>
            <w:pPr>
              <w:jc w:val="right"/>
              <w:ind w:right="4390"/>
              <w:spacing w:after="0" w:line="202" w:lineRule="exact"/>
              <w:rPr>
                <w:sz w:val="20"/>
                <w:szCs w:val="20"/>
                <w:color w:val="auto"/>
              </w:rPr>
            </w:pPr>
            <w:r>
              <w:rPr>
                <w:rFonts w:ascii="Arial" w:cs="Arial" w:eastAsia="Arial" w:hAnsi="Arial"/>
                <w:sz w:val="18"/>
                <w:szCs w:val="18"/>
                <w:color w:val="auto"/>
                <w:w w:val="94"/>
              </w:rPr>
              <w:t>2010</w:t>
            </w:r>
          </w:p>
        </w:tc>
        <w:tc>
          <w:tcPr>
            <w:tcW w:w="5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w:t>
            </w:r>
          </w:p>
        </w:tc>
      </w:tr>
      <w:tr>
        <w:trPr>
          <w:trHeight w:val="203"/>
        </w:trPr>
        <w:tc>
          <w:tcPr>
            <w:tcW w:w="4880" w:type="dxa"/>
            <w:vAlign w:val="bottom"/>
            <w:shd w:val="clear" w:color="auto" w:fill="CCEEFF"/>
          </w:tcPr>
          <w:p>
            <w:pPr>
              <w:jc w:val="right"/>
              <w:ind w:right="4390"/>
              <w:spacing w:after="0" w:line="202" w:lineRule="exact"/>
              <w:rPr>
                <w:sz w:val="20"/>
                <w:szCs w:val="20"/>
                <w:color w:val="auto"/>
              </w:rPr>
            </w:pPr>
            <w:r>
              <w:rPr>
                <w:rFonts w:ascii="Arial" w:cs="Arial" w:eastAsia="Arial" w:hAnsi="Arial"/>
                <w:sz w:val="18"/>
                <w:szCs w:val="18"/>
                <w:color w:val="auto"/>
                <w:w w:val="94"/>
              </w:rPr>
              <w:t>2011</w:t>
            </w:r>
          </w:p>
        </w:tc>
        <w:tc>
          <w:tcPr>
            <w:tcW w:w="5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9.6</w:t>
            </w: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7. RETIREMENT PLANS</w:t>
      </w:r>
    </w:p>
    <w:p>
      <w:pPr>
        <w:spacing w:after="0" w:line="139"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color w:val="auto"/>
        </w:rPr>
        <w:t>The Company sponsors a defined contribution profit sharing and 401(k) plan for substantially all U.S. associates. The Company provides a base contribution equal to 2% of compensation up to 50% of the Social Security taxable wage base plus 4% of remaining compensation. Associates also may make pretax contributions from compensation that are matched by the Company at 100% of the associates’ initial 3% contribution and 50% of their remaining contribution up to 5%. The Company recorded charges of $10.3 million, $10.8 million and $9.7 million under the plan in fiscal 2006, 2005 and 2004, respectively.</w:t>
      </w:r>
    </w:p>
    <w:p>
      <w:pPr>
        <w:spacing w:after="0" w:line="111" w:lineRule="exact"/>
        <w:rPr>
          <w:sz w:val="20"/>
          <w:szCs w:val="20"/>
          <w:color w:val="auto"/>
        </w:rPr>
      </w:pPr>
    </w:p>
    <w:p>
      <w:pPr>
        <w:ind w:left="700" w:right="40" w:firstLine="397"/>
        <w:spacing w:after="0" w:line="237" w:lineRule="auto"/>
        <w:rPr>
          <w:sz w:val="20"/>
          <w:szCs w:val="20"/>
          <w:color w:val="auto"/>
        </w:rPr>
      </w:pPr>
      <w:r>
        <w:rPr>
          <w:rFonts w:ascii="Arial" w:cs="Arial" w:eastAsia="Arial" w:hAnsi="Arial"/>
          <w:sz w:val="18"/>
          <w:szCs w:val="18"/>
          <w:color w:val="auto"/>
        </w:rPr>
        <w:t>The Company sponsors two defined benefit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w:t>
      </w:r>
    </w:p>
    <w:p>
      <w:pPr>
        <w:spacing w:after="0" w:line="109" w:lineRule="exact"/>
        <w:rPr>
          <w:sz w:val="20"/>
          <w:szCs w:val="20"/>
          <w:color w:val="auto"/>
        </w:rPr>
      </w:pPr>
    </w:p>
    <w:p>
      <w:pPr>
        <w:ind w:left="700" w:right="180" w:firstLine="397"/>
        <w:spacing w:after="0" w:line="238" w:lineRule="auto"/>
        <w:rPr>
          <w:sz w:val="20"/>
          <w:szCs w:val="20"/>
          <w:color w:val="auto"/>
        </w:rPr>
      </w:pPr>
      <w:r>
        <w:rPr>
          <w:rFonts w:ascii="Arial" w:cs="Arial" w:eastAsia="Arial" w:hAnsi="Arial"/>
          <w:sz w:val="18"/>
          <w:szCs w:val="18"/>
          <w:color w:val="auto"/>
        </w:rPr>
        <w:t>The Company sponsors defined benefit pension plans associated with its International businesses in the United Kingdom, the Netherlands, Germany, and France. These plans generally cover all associates of the respective businesses with retirement benefits primarily based on years of service and compensation levels. During fiscal 2004, the U.K. plans were closed to new participants, but existing participants continue to accrue benefits. All newly hired associates of the U.K. business now participate in a new defined contribution plan i</w:t>
      </w:r>
      <w:r>
        <w:rPr>
          <w:rFonts w:ascii="Arial" w:cs="Arial" w:eastAsia="Arial" w:hAnsi="Arial"/>
          <w:sz w:val="18"/>
          <w:szCs w:val="18"/>
          <w:u w:val="single" w:color="auto"/>
          <w:color w:val="auto"/>
        </w:rPr>
        <w:t>n lie</w:t>
      </w:r>
      <w:r>
        <w:rPr>
          <w:rFonts w:ascii="Arial" w:cs="Arial" w:eastAsia="Arial" w:hAnsi="Arial"/>
          <w:sz w:val="18"/>
          <w:szCs w:val="18"/>
          <w:color w:val="auto"/>
        </w:rPr>
        <w:t>u of the defined benefit plans.</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700" w:right="840" w:firstLine="397"/>
        <w:spacing w:after="0" w:line="246"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6"/>
                <w:szCs w:val="16"/>
                <w:color w:val="auto"/>
              </w:rPr>
              <w:t>Curtailed Defined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6"/>
                <w:szCs w:val="16"/>
                <w:color w:val="auto"/>
              </w:rPr>
              <w:t>International</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6"/>
                <w:szCs w:val="16"/>
                <w:color w:val="auto"/>
              </w:rPr>
              <w:t>Benefit Plans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6"/>
                <w:szCs w:val="16"/>
                <w:color w:val="auto"/>
              </w:rPr>
              <w:t>Benefit Plans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2006</w:t>
            </w:r>
          </w:p>
        </w:tc>
        <w:tc>
          <w:tcPr>
            <w:tcW w:w="3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2005</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11"/>
              <w:spacing w:after="0"/>
              <w:rPr>
                <w:sz w:val="20"/>
                <w:szCs w:val="20"/>
                <w:color w:val="auto"/>
              </w:rPr>
            </w:pPr>
            <w:r>
              <w:rPr>
                <w:rFonts w:ascii="Arial" w:cs="Arial" w:eastAsia="Arial" w:hAnsi="Arial"/>
                <w:sz w:val="16"/>
                <w:szCs w:val="16"/>
                <w:color w:val="auto"/>
                <w:w w:val="95"/>
              </w:rPr>
              <w:t>2006</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Arial" w:cs="Arial" w:eastAsia="Arial" w:hAnsi="Arial"/>
                <w:sz w:val="16"/>
                <w:szCs w:val="16"/>
                <w:color w:val="auto"/>
                <w:w w:val="95"/>
              </w:rPr>
              <w:t>2005</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 in projected benefit obligation</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$ 96.1</w:t>
            </w:r>
          </w:p>
        </w:tc>
        <w:tc>
          <w:tcPr>
            <w:tcW w:w="3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$ 92.1</w:t>
            </w:r>
          </w:p>
        </w:tc>
        <w:tc>
          <w:tcPr>
            <w:tcW w:w="3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158.2</w:t>
            </w:r>
          </w:p>
        </w:tc>
        <w:tc>
          <w:tcPr>
            <w:tcW w:w="3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130.9</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w:t>
            </w:r>
          </w:p>
        </w:tc>
        <w:tc>
          <w:tcPr>
            <w:tcW w:w="3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tcPr>
          <w:p>
            <w:pPr>
              <w:spacing w:after="0" w:line="202" w:lineRule="exact"/>
              <w:rPr>
                <w:sz w:val="20"/>
                <w:szCs w:val="20"/>
                <w:color w:val="auto"/>
              </w:rPr>
            </w:pPr>
            <w:r>
              <w:rPr>
                <w:rFonts w:ascii="Arial" w:cs="Arial" w:eastAsia="Arial" w:hAnsi="Arial"/>
                <w:sz w:val="18"/>
                <w:szCs w:val="18"/>
                <w:color w:val="auto"/>
              </w:rPr>
              <w:t>Curtailment / settlement loss (gain)</w:t>
            </w:r>
          </w:p>
        </w:tc>
        <w:tc>
          <w:tcPr>
            <w:tcW w:w="14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Actuarial loss (gain)</w:t>
            </w:r>
          </w:p>
        </w:tc>
        <w:tc>
          <w:tcPr>
            <w:tcW w:w="9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tcPr>
          <w:p>
            <w:pPr>
              <w:spacing w:after="0" w:line="202" w:lineRule="exact"/>
              <w:rPr>
                <w:sz w:val="20"/>
                <w:szCs w:val="20"/>
                <w:color w:val="auto"/>
              </w:rPr>
            </w:pPr>
            <w:r>
              <w:rPr>
                <w:rFonts w:ascii="Arial" w:cs="Arial" w:eastAsia="Arial" w:hAnsi="Arial"/>
                <w:sz w:val="18"/>
                <w:szCs w:val="18"/>
                <w:color w:val="auto"/>
              </w:rPr>
              <w:t>Benefits paid</w:t>
            </w:r>
          </w:p>
        </w:tc>
        <w:tc>
          <w:tcPr>
            <w:tcW w:w="9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(6.2)</w:t>
            </w:r>
          </w:p>
        </w:tc>
        <w:tc>
          <w:tcPr>
            <w:tcW w:w="9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4"/>
          </w:tcPr>
          <w:p>
            <w:pPr>
              <w:ind w:left="700"/>
              <w:spacing w:after="0"/>
              <w:rPr>
                <w:sz w:val="20"/>
                <w:szCs w:val="20"/>
                <w:color w:val="auto"/>
              </w:rPr>
            </w:pPr>
            <w:r>
              <w:rPr>
                <w:rFonts w:ascii="Arial" w:cs="Arial" w:eastAsia="Arial" w:hAnsi="Arial"/>
                <w:sz w:val="18"/>
                <w:szCs w:val="18"/>
                <w:color w:val="auto"/>
              </w:rPr>
              <w:t>Projected benefit obligation at end of year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$ 93.4</w:t>
            </w:r>
          </w:p>
        </w:tc>
        <w:tc>
          <w:tcPr>
            <w:tcW w:w="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$ 96.1</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178.7</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158.2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61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Accumulated benefit obligation at end of year</w:t>
            </w: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$ 93.4</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$ 96.1</w:t>
            </w:r>
          </w:p>
        </w:tc>
        <w:tc>
          <w:tcPr>
            <w:tcW w:w="3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154.5</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143.3</w:t>
            </w: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Change in plan assets</w:t>
            </w: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$ 72.5</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$ 69.6</w:t>
            </w:r>
          </w:p>
        </w:tc>
        <w:tc>
          <w:tcPr>
            <w:tcW w:w="3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w:t>
            </w:r>
          </w:p>
        </w:tc>
        <w:tc>
          <w:tcPr>
            <w:tcW w:w="3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Employer contribution</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14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Benefits paid</w:t>
            </w:r>
          </w:p>
        </w:tc>
        <w:tc>
          <w:tcPr>
            <w:tcW w:w="9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(6.2)</w:t>
            </w:r>
          </w:p>
        </w:tc>
        <w:tc>
          <w:tcPr>
            <w:tcW w:w="9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end of year</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$ 70.9</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$ 72.5</w:t>
            </w:r>
          </w:p>
        </w:tc>
        <w:tc>
          <w:tcPr>
            <w:tcW w:w="3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116.1</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w:t>
            </w: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Amounts recognized in the balance sheets consist of:</w:t>
            </w: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Funded Status — projected benefit obligation in excess of plan assets as of</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shd w:val="clear" w:color="auto" w:fill="CCEEFF"/>
          </w:tcPr>
          <w:p>
            <w:pPr>
              <w:ind w:left="180"/>
              <w:spacing w:after="0" w:line="203" w:lineRule="exact"/>
              <w:rPr>
                <w:sz w:val="20"/>
                <w:szCs w:val="20"/>
                <w:color w:val="auto"/>
              </w:rPr>
            </w:pPr>
            <w:r>
              <w:rPr>
                <w:rFonts w:ascii="Arial" w:cs="Arial" w:eastAsia="Arial" w:hAnsi="Arial"/>
                <w:sz w:val="18"/>
                <w:szCs w:val="18"/>
                <w:color w:val="auto"/>
              </w:rPr>
              <w:t>September 30 measurement date</w:t>
            </w:r>
          </w:p>
        </w:tc>
        <w:tc>
          <w:tcPr>
            <w:tcW w:w="960" w:type="dxa"/>
            <w:vAlign w:val="bottom"/>
            <w:gridSpan w:val="3"/>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$(22.5)</w:t>
            </w:r>
          </w:p>
        </w:tc>
        <w:tc>
          <w:tcPr>
            <w:tcW w:w="960" w:type="dxa"/>
            <w:vAlign w:val="bottom"/>
            <w:gridSpan w:val="3"/>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$(23.6)</w:t>
            </w:r>
          </w:p>
        </w:tc>
        <w:tc>
          <w:tcPr>
            <w:tcW w:w="2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(62.6)</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(61.8)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120" w:type="dxa"/>
            <w:vAlign w:val="bottom"/>
            <w:gridSpan w:val="3"/>
          </w:tcPr>
          <w:p>
            <w:pPr>
              <w:spacing w:after="0" w:line="202" w:lineRule="exact"/>
              <w:rPr>
                <w:sz w:val="20"/>
                <w:szCs w:val="20"/>
                <w:color w:val="auto"/>
              </w:rPr>
            </w:pPr>
            <w:r>
              <w:rPr>
                <w:rFonts w:ascii="Arial" w:cs="Arial" w:eastAsia="Arial" w:hAnsi="Arial"/>
                <w:sz w:val="18"/>
                <w:szCs w:val="18"/>
                <w:color w:val="auto"/>
              </w:rPr>
              <w:t>Unrecognized losses</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amount recognized</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tcPr>
          <w:p>
            <w:pPr>
              <w:spacing w:after="0" w:line="202" w:lineRule="exact"/>
              <w:rPr>
                <w:sz w:val="20"/>
                <w:szCs w:val="20"/>
                <w:color w:val="auto"/>
              </w:rPr>
            </w:pPr>
            <w:r>
              <w:rPr>
                <w:rFonts w:ascii="Arial" w:cs="Arial" w:eastAsia="Arial" w:hAnsi="Arial"/>
                <w:sz w:val="18"/>
                <w:szCs w:val="18"/>
                <w:color w:val="auto"/>
              </w:rPr>
              <w:t>Additional minimum pension liability</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(29.3)</w:t>
            </w:r>
          </w:p>
        </w:tc>
        <w:tc>
          <w:tcPr>
            <w:tcW w:w="9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amount accrued</w:t>
            </w:r>
          </w:p>
        </w:tc>
        <w:tc>
          <w:tcPr>
            <w:tcW w:w="9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w:t>
            </w:r>
          </w:p>
        </w:tc>
        <w:tc>
          <w:tcPr>
            <w:tcW w:w="9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(40.1)</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Weighted average assumptions used in development of projected</w:t>
            </w: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8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b w:val="1"/>
                <w:bCs w:val="1"/>
                <w:color w:val="auto"/>
              </w:rPr>
              <w:t>benefit obligation:</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9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5.93%</w:t>
            </w:r>
          </w:p>
        </w:tc>
        <w:tc>
          <w:tcPr>
            <w:tcW w:w="9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Rate of compensation increase</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gridSpan w:val="2"/>
            <w:vMerge w:val="restart"/>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5500" w:type="dxa"/>
            <w:vAlign w:val="bottom"/>
            <w:gridSpan w:val="2"/>
            <w:vMerge w:val="continue"/>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74</w:t>
            </w: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8"/>
          </w:tcPr>
          <w:p>
            <w:pPr>
              <w:jc w:val="center"/>
              <w:ind w:left="52"/>
              <w:spacing w:after="0"/>
              <w:rPr>
                <w:sz w:val="20"/>
                <w:szCs w:val="20"/>
                <w:color w:val="auto"/>
              </w:rPr>
            </w:pPr>
            <w:r>
              <w:rPr>
                <w:rFonts w:ascii="Arial" w:cs="Arial" w:eastAsia="Arial" w:hAnsi="Arial"/>
                <w:sz w:val="16"/>
                <w:szCs w:val="16"/>
                <w:color w:val="auto"/>
              </w:rPr>
              <w:t>Curtailed Defined</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color w:val="auto"/>
              </w:rPr>
              <w:t>International</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6"/>
                <w:szCs w:val="16"/>
                <w:color w:val="auto"/>
              </w:rPr>
              <w:t>Benefit Plan</w:t>
            </w:r>
          </w:p>
        </w:tc>
        <w:tc>
          <w:tcPr>
            <w:tcW w:w="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Benefit Plans</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2006</w:t>
            </w:r>
          </w:p>
        </w:tc>
        <w:tc>
          <w:tcPr>
            <w:tcW w:w="80" w:type="dxa"/>
            <w:vAlign w:val="bottom"/>
          </w:tcPr>
          <w:p>
            <w:pPr>
              <w:spacing w:after="0"/>
              <w:rPr>
                <w:sz w:val="16"/>
                <w:szCs w:val="16"/>
                <w:color w:val="auto"/>
              </w:rPr>
            </w:pPr>
          </w:p>
        </w:tc>
        <w:tc>
          <w:tcPr>
            <w:tcW w:w="720" w:type="dxa"/>
            <w:vAlign w:val="bottom"/>
            <w:gridSpan w:val="3"/>
          </w:tcPr>
          <w:p>
            <w:pPr>
              <w:jc w:val="center"/>
              <w:ind w:left="193"/>
              <w:spacing w:after="0"/>
              <w:rPr>
                <w:sz w:val="20"/>
                <w:szCs w:val="20"/>
                <w:color w:val="auto"/>
              </w:rPr>
            </w:pPr>
            <w:r>
              <w:rPr>
                <w:rFonts w:ascii="Arial" w:cs="Arial" w:eastAsia="Arial" w:hAnsi="Arial"/>
                <w:sz w:val="16"/>
                <w:szCs w:val="16"/>
                <w:color w:val="auto"/>
              </w:rPr>
              <w:t>2005</w:t>
            </w:r>
          </w:p>
        </w:tc>
        <w:tc>
          <w:tcPr>
            <w:tcW w:w="12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2004</w:t>
            </w:r>
          </w:p>
        </w:tc>
        <w:tc>
          <w:tcPr>
            <w:tcW w:w="1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2006</w:t>
            </w:r>
          </w:p>
        </w:tc>
        <w:tc>
          <w:tcPr>
            <w:tcW w:w="80" w:type="dxa"/>
            <w:vAlign w:val="bottom"/>
          </w:tcPr>
          <w:p>
            <w:pPr>
              <w:spacing w:after="0"/>
              <w:rPr>
                <w:sz w:val="16"/>
                <w:szCs w:val="16"/>
                <w:color w:val="auto"/>
              </w:rPr>
            </w:pPr>
          </w:p>
        </w:tc>
        <w:tc>
          <w:tcPr>
            <w:tcW w:w="720" w:type="dxa"/>
            <w:vAlign w:val="bottom"/>
            <w:gridSpan w:val="2"/>
          </w:tcPr>
          <w:p>
            <w:pPr>
              <w:jc w:val="center"/>
              <w:ind w:left="193"/>
              <w:spacing w:after="0"/>
              <w:rPr>
                <w:sz w:val="20"/>
                <w:szCs w:val="20"/>
                <w:color w:val="auto"/>
              </w:rPr>
            </w:pPr>
            <w:r>
              <w:rPr>
                <w:rFonts w:ascii="Arial" w:cs="Arial" w:eastAsia="Arial" w:hAnsi="Arial"/>
                <w:sz w:val="16"/>
                <w:szCs w:val="16"/>
                <w:color w:val="auto"/>
              </w:rPr>
              <w:t>2005</w:t>
            </w:r>
          </w:p>
        </w:tc>
        <w:tc>
          <w:tcPr>
            <w:tcW w:w="30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Components of net periodic benefit cost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$ 4.2</w:t>
            </w:r>
          </w:p>
        </w:tc>
        <w:tc>
          <w:tcPr>
            <w:tcW w:w="8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$ 3.3</w:t>
            </w:r>
          </w:p>
        </w:tc>
        <w:tc>
          <w:tcPr>
            <w:tcW w:w="30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5.1</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1"/>
              </w:rPr>
              <w:t>(5.5)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1"/>
              </w:rPr>
              <w:t>(5.4)</w:t>
            </w:r>
          </w:p>
        </w:tc>
        <w:tc>
          <w:tcPr>
            <w:tcW w:w="8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7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(7.0)</w:t>
            </w:r>
          </w:p>
        </w:tc>
        <w:tc>
          <w:tcPr>
            <w:tcW w:w="10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(6.3)</w:t>
            </w:r>
          </w:p>
        </w:tc>
        <w:tc>
          <w:tcPr>
            <w:tcW w:w="6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amortization</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Curtailment / settlement loss (gain)</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Total benefit cost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$ 5.7</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$ 5.5</w:t>
            </w:r>
          </w:p>
        </w:tc>
        <w:tc>
          <w:tcPr>
            <w:tcW w:w="3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gridSpan w:val="7"/>
          </w:tcPr>
          <w:p>
            <w:pPr>
              <w:jc w:val="right"/>
              <w:ind w:right="40"/>
              <w:spacing w:after="0"/>
              <w:rPr>
                <w:sz w:val="20"/>
                <w:szCs w:val="20"/>
                <w:color w:val="auto"/>
              </w:rPr>
            </w:pPr>
            <w:r>
              <w:rPr>
                <w:rFonts w:ascii="Arial" w:cs="Arial" w:eastAsia="Arial" w:hAnsi="Arial"/>
                <w:sz w:val="16"/>
                <w:szCs w:val="16"/>
                <w:color w:val="auto"/>
              </w:rPr>
              <w:t>Curtailed Defined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5"/>
          </w:tcPr>
          <w:p>
            <w:pPr>
              <w:jc w:val="center"/>
              <w:ind w:left="116"/>
              <w:spacing w:after="0"/>
              <w:rPr>
                <w:sz w:val="20"/>
                <w:szCs w:val="20"/>
                <w:color w:val="auto"/>
              </w:rPr>
            </w:pPr>
            <w:r>
              <w:rPr>
                <w:rFonts w:ascii="Arial" w:cs="Arial" w:eastAsia="Arial" w:hAnsi="Arial"/>
                <w:sz w:val="16"/>
                <w:szCs w:val="16"/>
                <w:color w:val="auto"/>
                <w:w w:val="99"/>
              </w:rPr>
              <w:t>International</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6"/>
                <w:szCs w:val="16"/>
                <w:color w:val="auto"/>
              </w:rPr>
              <w:t>Benefit Plan</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center"/>
              <w:ind w:left="116"/>
              <w:spacing w:after="0"/>
              <w:rPr>
                <w:sz w:val="20"/>
                <w:szCs w:val="20"/>
                <w:color w:val="auto"/>
              </w:rPr>
            </w:pPr>
            <w:r>
              <w:rPr>
                <w:rFonts w:ascii="Arial" w:cs="Arial" w:eastAsia="Arial" w:hAnsi="Arial"/>
                <w:sz w:val="16"/>
                <w:szCs w:val="16"/>
                <w:color w:val="auto"/>
              </w:rPr>
              <w:t>Benefit Plans</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2006</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2005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2004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56"/>
              <w:spacing w:after="0"/>
              <w:rPr>
                <w:sz w:val="20"/>
                <w:szCs w:val="20"/>
                <w:color w:val="auto"/>
              </w:rPr>
            </w:pPr>
            <w:r>
              <w:rPr>
                <w:rFonts w:ascii="Arial" w:cs="Arial" w:eastAsia="Arial" w:hAnsi="Arial"/>
                <w:sz w:val="16"/>
                <w:szCs w:val="16"/>
                <w:color w:val="auto"/>
              </w:rPr>
              <w:t>2006</w:t>
            </w:r>
          </w:p>
        </w:tc>
        <w:tc>
          <w:tcPr>
            <w:tcW w:w="8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color w:val="auto"/>
              </w:rPr>
              <w:t>2005</w:t>
            </w:r>
          </w:p>
        </w:tc>
        <w:tc>
          <w:tcPr>
            <w:tcW w:w="300" w:type="dxa"/>
            <w:vAlign w:val="bottom"/>
          </w:tcPr>
          <w:p>
            <w:pPr>
              <w:spacing w:after="0"/>
              <w:rPr>
                <w:sz w:val="16"/>
                <w:szCs w:val="16"/>
                <w:color w:val="auto"/>
              </w:rPr>
            </w:pPr>
          </w:p>
        </w:tc>
        <w:tc>
          <w:tcPr>
            <w:tcW w:w="500" w:type="dxa"/>
            <w:vAlign w:val="bottom"/>
            <w:gridSpan w:val="2"/>
          </w:tcPr>
          <w:p>
            <w:pPr>
              <w:jc w:val="right"/>
              <w:ind w:right="30"/>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540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Weighted average assumptions used in development of net</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periodic benefit cost: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780" w:type="dxa"/>
            <w:vAlign w:val="bottom"/>
            <w:gridSpan w:val="3"/>
          </w:tcPr>
          <w:p>
            <w:pPr>
              <w:jc w:val="right"/>
              <w:ind w:right="112"/>
              <w:spacing w:after="0" w:line="202" w:lineRule="exact"/>
              <w:rPr>
                <w:sz w:val="20"/>
                <w:szCs w:val="20"/>
                <w:color w:val="auto"/>
              </w:rPr>
            </w:pPr>
            <w:r>
              <w:rPr>
                <w:rFonts w:ascii="Arial" w:cs="Arial" w:eastAsia="Arial" w:hAnsi="Arial"/>
                <w:sz w:val="18"/>
                <w:szCs w:val="18"/>
                <w:color w:val="auto"/>
              </w:rPr>
              <w:t>5.63%</w:t>
            </w:r>
          </w:p>
        </w:tc>
        <w:tc>
          <w:tcPr>
            <w:tcW w:w="80" w:type="dxa"/>
            <w:vAlign w:val="bottom"/>
          </w:tcPr>
          <w:p>
            <w:pPr>
              <w:spacing w:after="0"/>
              <w:rPr>
                <w:sz w:val="17"/>
                <w:szCs w:val="17"/>
                <w:color w:val="auto"/>
              </w:rPr>
            </w:pPr>
          </w:p>
        </w:tc>
        <w:tc>
          <w:tcPr>
            <w:tcW w:w="72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5.75%</w:t>
            </w:r>
          </w:p>
        </w:tc>
        <w:tc>
          <w:tcPr>
            <w:tcW w:w="120" w:type="dxa"/>
            <w:vAlign w:val="bottom"/>
          </w:tcPr>
          <w:p>
            <w:pPr>
              <w:spacing w:after="0"/>
              <w:rPr>
                <w:sz w:val="17"/>
                <w:szCs w:val="17"/>
                <w:color w:val="auto"/>
              </w:rPr>
            </w:pPr>
          </w:p>
        </w:tc>
        <w:tc>
          <w:tcPr>
            <w:tcW w:w="66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6.0%</w:t>
            </w:r>
          </w:p>
        </w:tc>
        <w:tc>
          <w:tcPr>
            <w:tcW w:w="16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4.68%</w:t>
            </w:r>
          </w:p>
        </w:tc>
        <w:tc>
          <w:tcPr>
            <w:tcW w:w="80" w:type="dxa"/>
            <w:vAlign w:val="bottom"/>
          </w:tcPr>
          <w:p>
            <w:pPr>
              <w:spacing w:after="0"/>
              <w:rPr>
                <w:sz w:val="17"/>
                <w:szCs w:val="17"/>
                <w:color w:val="auto"/>
              </w:rPr>
            </w:pPr>
          </w:p>
        </w:tc>
        <w:tc>
          <w:tcPr>
            <w:tcW w:w="10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5.35%</w:t>
            </w:r>
          </w:p>
        </w:tc>
        <w:tc>
          <w:tcPr>
            <w:tcW w:w="6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780" w:type="dxa"/>
            <w:vAlign w:val="bottom"/>
            <w:gridSpan w:val="3"/>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7.5%</w:t>
            </w:r>
          </w:p>
        </w:tc>
        <w:tc>
          <w:tcPr>
            <w:tcW w:w="6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400"/>
              <w:spacing w:after="0"/>
              <w:rPr>
                <w:sz w:val="20"/>
                <w:szCs w:val="20"/>
                <w:color w:val="auto"/>
              </w:rPr>
            </w:pPr>
            <w:r>
              <w:rPr>
                <w:rFonts w:ascii="Arial" w:cs="Arial" w:eastAsia="Arial" w:hAnsi="Arial"/>
                <w:sz w:val="18"/>
                <w:szCs w:val="18"/>
                <w:color w:val="auto"/>
              </w:rPr>
              <w:t>n/a</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w w:val="95"/>
              </w:rPr>
              <w:t>n/a</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3.7%</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gridSpan w:val="2"/>
          </w:tcPr>
          <w:p>
            <w:pPr>
              <w:ind w:left="580"/>
              <w:spacing w:after="0"/>
              <w:rPr>
                <w:sz w:val="20"/>
                <w:szCs w:val="20"/>
                <w:color w:val="auto"/>
              </w:rPr>
            </w:pPr>
            <w:r>
              <w:rPr>
                <w:rFonts w:ascii="Arial" w:cs="Arial" w:eastAsia="Arial" w:hAnsi="Arial"/>
                <w:sz w:val="16"/>
                <w:szCs w:val="16"/>
                <w:b w:val="1"/>
                <w:bCs w:val="1"/>
                <w:color w:val="auto"/>
              </w:rPr>
              <w:t>Other Information:</w:t>
            </w: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6"/>
                <w:szCs w:val="16"/>
                <w:color w:val="auto"/>
              </w:rPr>
              <w:t>International</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20" w:type="dxa"/>
            <w:vAlign w:val="bottom"/>
          </w:tcPr>
          <w:p>
            <w:pPr>
              <w:jc w:val="right"/>
              <w:ind w:right="351"/>
              <w:spacing w:after="0"/>
              <w:rPr>
                <w:sz w:val="20"/>
                <w:szCs w:val="20"/>
                <w:color w:val="auto"/>
              </w:rPr>
            </w:pPr>
            <w:r>
              <w:rPr>
                <w:rFonts w:ascii="Arial" w:cs="Arial" w:eastAsia="Arial" w:hAnsi="Arial"/>
                <w:sz w:val="16"/>
                <w:szCs w:val="16"/>
                <w:color w:val="auto"/>
              </w:rPr>
              <w:t>Curtailed Defined</w:t>
            </w:r>
          </w:p>
        </w:tc>
        <w:tc>
          <w:tcPr>
            <w:tcW w:w="3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color w:val="auto"/>
              </w:rPr>
              <w:t>Benefit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20" w:type="dxa"/>
            <w:vAlign w:val="bottom"/>
          </w:tcPr>
          <w:p>
            <w:pPr>
              <w:jc w:val="right"/>
              <w:ind w:right="511"/>
              <w:spacing w:after="0"/>
              <w:rPr>
                <w:sz w:val="20"/>
                <w:szCs w:val="20"/>
                <w:color w:val="auto"/>
              </w:rPr>
            </w:pPr>
            <w:r>
              <w:rPr>
                <w:rFonts w:ascii="Arial" w:cs="Arial" w:eastAsia="Arial" w:hAnsi="Arial"/>
                <w:sz w:val="16"/>
                <w:szCs w:val="16"/>
                <w:color w:val="auto"/>
              </w:rPr>
              <w:t>Benefit Plans</w:t>
            </w:r>
          </w:p>
        </w:tc>
        <w:tc>
          <w:tcPr>
            <w:tcW w:w="3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color w:val="auto"/>
              </w:rPr>
              <w:t>Plans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4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8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Plan asset allocations:</w:t>
            </w: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tcPr>
          <w:p>
            <w:pPr>
              <w:ind w:left="180"/>
              <w:spacing w:after="0" w:line="202" w:lineRule="exact"/>
              <w:rPr>
                <w:sz w:val="20"/>
                <w:szCs w:val="20"/>
                <w:color w:val="auto"/>
              </w:rPr>
            </w:pPr>
            <w:r>
              <w:rPr>
                <w:rFonts w:ascii="Arial" w:cs="Arial" w:eastAsia="Arial" w:hAnsi="Arial"/>
                <w:sz w:val="18"/>
                <w:szCs w:val="18"/>
                <w:color w:val="auto"/>
              </w:rPr>
              <w:t>Target for September 30, 2007:</w:t>
            </w: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tcPr>
          <w:p>
            <w:pPr>
              <w:ind w:left="360"/>
              <w:spacing w:after="0" w:line="202" w:lineRule="exact"/>
              <w:rPr>
                <w:sz w:val="20"/>
                <w:szCs w:val="20"/>
                <w:color w:val="auto"/>
              </w:rPr>
            </w:pPr>
            <w:r>
              <w:rPr>
                <w:rFonts w:ascii="Arial" w:cs="Arial" w:eastAsia="Arial" w:hAnsi="Arial"/>
                <w:sz w:val="18"/>
                <w:szCs w:val="18"/>
                <w:color w:val="auto"/>
              </w:rPr>
              <w:t>Debt securities</w:t>
            </w: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40%</w:t>
            </w:r>
          </w:p>
        </w:tc>
        <w:tc>
          <w:tcPr>
            <w:tcW w:w="34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September 30, 2006:</w:t>
            </w: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tcPr>
          <w:p>
            <w:pPr>
              <w:ind w:left="360"/>
              <w:spacing w:after="0" w:line="202" w:lineRule="exact"/>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66%</w:t>
            </w:r>
          </w:p>
        </w:tc>
        <w:tc>
          <w:tcPr>
            <w:tcW w:w="34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Debt securities</w:t>
            </w: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September 30, 2005:</w:t>
            </w: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tcPr>
          <w:p>
            <w:pPr>
              <w:ind w:left="360"/>
              <w:spacing w:after="0" w:line="202" w:lineRule="exact"/>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63%</w:t>
            </w:r>
          </w:p>
        </w:tc>
        <w:tc>
          <w:tcPr>
            <w:tcW w:w="34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Debt securities</w:t>
            </w: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contributions in fiscal 2007:</w:t>
            </w: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tcPr>
          <w:p>
            <w:pPr>
              <w:ind w:left="180"/>
              <w:spacing w:after="0" w:line="202" w:lineRule="exact"/>
              <w:rPr>
                <w:sz w:val="20"/>
                <w:szCs w:val="20"/>
                <w:color w:val="auto"/>
              </w:rPr>
            </w:pPr>
            <w:r>
              <w:rPr>
                <w:rFonts w:ascii="Arial" w:cs="Arial" w:eastAsia="Arial" w:hAnsi="Arial"/>
                <w:sz w:val="18"/>
                <w:szCs w:val="18"/>
                <w:color w:val="auto"/>
              </w:rPr>
              <w:t>Company</w:t>
            </w:r>
          </w:p>
        </w:tc>
        <w:tc>
          <w:tcPr>
            <w:tcW w:w="2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4.1</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Employee</w:t>
            </w: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Expected future benefit payments:</w:t>
            </w: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2007</w:t>
            </w:r>
          </w:p>
        </w:tc>
        <w:tc>
          <w:tcPr>
            <w:tcW w:w="2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tcPr>
          <w:p>
            <w:pPr>
              <w:ind w:left="180"/>
              <w:spacing w:after="0" w:line="202" w:lineRule="exact"/>
              <w:rPr>
                <w:sz w:val="20"/>
                <w:szCs w:val="20"/>
                <w:color w:val="auto"/>
              </w:rPr>
            </w:pPr>
            <w:r>
              <w:rPr>
                <w:rFonts w:ascii="Arial" w:cs="Arial" w:eastAsia="Arial" w:hAnsi="Arial"/>
                <w:sz w:val="18"/>
                <w:szCs w:val="18"/>
                <w:color w:val="auto"/>
              </w:rPr>
              <w:t>2008</w:t>
            </w: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6.4</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2009</w:t>
            </w: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tcPr>
          <w:p>
            <w:pPr>
              <w:ind w:left="180"/>
              <w:spacing w:after="0" w:line="202" w:lineRule="exact"/>
              <w:rPr>
                <w:sz w:val="20"/>
                <w:szCs w:val="20"/>
                <w:color w:val="auto"/>
              </w:rPr>
            </w:pPr>
            <w:r>
              <w:rPr>
                <w:rFonts w:ascii="Arial" w:cs="Arial" w:eastAsia="Arial" w:hAnsi="Arial"/>
                <w:sz w:val="18"/>
                <w:szCs w:val="18"/>
                <w:color w:val="auto"/>
              </w:rPr>
              <w:t>2010</w:t>
            </w: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6.5</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Total 2012 to 2016</w:t>
            </w:r>
          </w:p>
        </w:tc>
        <w:tc>
          <w:tcPr>
            <w:tcW w:w="300" w:type="dxa"/>
            <w:vAlign w:val="bottom"/>
            <w:tcBorders>
              <w:bottom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1720" w:type="dxa"/>
            <w:vAlign w:val="bottom"/>
          </w:tcPr>
          <w:p>
            <w:pPr>
              <w:jc w:val="right"/>
              <w:ind w:right="211"/>
              <w:spacing w:after="0"/>
              <w:rPr>
                <w:sz w:val="20"/>
                <w:szCs w:val="20"/>
                <w:color w:val="auto"/>
              </w:rPr>
            </w:pPr>
            <w:r>
              <w:rPr>
                <w:rFonts w:ascii="Arial" w:cs="Arial" w:eastAsia="Arial" w:hAnsi="Arial"/>
                <w:sz w:val="18"/>
                <w:szCs w:val="18"/>
                <w:color w:val="auto"/>
              </w:rPr>
              <w:t>33.8</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58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300" w:type="dxa"/>
            <w:vAlign w:val="bottom"/>
          </w:tcPr>
          <w:p>
            <w:pPr>
              <w:jc w:val="right"/>
              <w:ind w:right="22"/>
              <w:spacing w:after="0"/>
              <w:rPr>
                <w:sz w:val="20"/>
                <w:szCs w:val="20"/>
                <w:color w:val="auto"/>
              </w:rPr>
            </w:pPr>
            <w:r>
              <w:rPr>
                <w:rFonts w:ascii="Arial" w:cs="Arial" w:eastAsia="Arial" w:hAnsi="Arial"/>
                <w:sz w:val="11"/>
                <w:szCs w:val="11"/>
                <w:b w:val="1"/>
                <w:bCs w:val="1"/>
                <w:color w:val="auto"/>
              </w:rPr>
              <w:t>75</w:t>
            </w:r>
          </w:p>
        </w:tc>
        <w:tc>
          <w:tcPr>
            <w:tcW w:w="19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808080"/>
            </w:tcBorders>
          </w:tcPr>
          <w:p>
            <w:pPr>
              <w:spacing w:after="0"/>
              <w:rPr>
                <w:sz w:val="18"/>
                <w:szCs w:val="18"/>
                <w:color w:val="auto"/>
              </w:rPr>
            </w:pPr>
          </w:p>
        </w:tc>
        <w:tc>
          <w:tcPr>
            <w:tcW w:w="49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Investment Strategy:</w:t>
      </w:r>
    </w:p>
    <w:p>
      <w:pPr>
        <w:spacing w:after="0" w:line="144" w:lineRule="exact"/>
        <w:rPr>
          <w:sz w:val="20"/>
          <w:szCs w:val="20"/>
          <w:color w:val="auto"/>
        </w:rPr>
      </w:pPr>
    </w:p>
    <w:p>
      <w:pPr>
        <w:ind w:left="580" w:right="80" w:firstLine="411"/>
        <w:spacing w:after="0" w:line="239" w:lineRule="auto"/>
        <w:rPr>
          <w:sz w:val="20"/>
          <w:szCs w:val="20"/>
          <w:color w:val="auto"/>
        </w:rPr>
      </w:pPr>
      <w:r>
        <w:rPr>
          <w:rFonts w:ascii="Arial" w:cs="Arial" w:eastAsia="Arial" w:hAnsi="Arial"/>
          <w:sz w:val="18"/>
          <w:szCs w:val="18"/>
          <w:color w:val="auto"/>
        </w:rPr>
        <w:t>The Company maintains target allocation percentages among various asset classes based on an individual investment policy established for each of the various pension plans which are designed to achieve long term objectives of return, while mitigating against downside risk and considering expected cash requirements to fund benefit payments. Our investment policies are reviewed from time to time to ensure consistency with our long-term objectives.</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Basis for Long-Term Rate of Return on Asset Assumptions:</w:t>
      </w:r>
    </w:p>
    <w:p>
      <w:pPr>
        <w:spacing w:after="0" w:line="144" w:lineRule="exact"/>
        <w:rPr>
          <w:sz w:val="20"/>
          <w:szCs w:val="20"/>
          <w:color w:val="auto"/>
        </w:rPr>
      </w:pPr>
    </w:p>
    <w:p>
      <w:pPr>
        <w:ind w:left="580" w:firstLine="411"/>
        <w:spacing w:after="0" w:line="237" w:lineRule="auto"/>
        <w:rPr>
          <w:sz w:val="20"/>
          <w:szCs w:val="20"/>
          <w:color w:val="auto"/>
        </w:rPr>
      </w:pPr>
      <w:r>
        <w:rPr>
          <w:rFonts w:ascii="Arial" w:cs="Arial" w:eastAsia="Arial" w:hAnsi="Arial"/>
          <w:sz w:val="18"/>
          <w:szCs w:val="18"/>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 to determine the average rate of earnings expected on the funds invested to provide for benefits under the various pension plans. While the studies give appropriate consideration to recent fund performance and historical returns, the assumptions primarily represent expectations about future rates of return over the long term.</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8. ASSOCIATE MEDICAL BENEFITS</w:t>
      </w:r>
    </w:p>
    <w:p>
      <w:pPr>
        <w:spacing w:after="0" w:line="139" w:lineRule="exact"/>
        <w:rPr>
          <w:sz w:val="20"/>
          <w:szCs w:val="20"/>
          <w:color w:val="auto"/>
        </w:rPr>
      </w:pPr>
    </w:p>
    <w:p>
      <w:pPr>
        <w:ind w:left="580" w:right="380" w:firstLine="411"/>
        <w:spacing w:after="0" w:line="238" w:lineRule="auto"/>
        <w:rPr>
          <w:sz w:val="20"/>
          <w:szCs w:val="20"/>
          <w:color w:val="auto"/>
        </w:rPr>
      </w:pPr>
      <w:r>
        <w:rPr>
          <w:rFonts w:ascii="Arial" w:cs="Arial" w:eastAsia="Arial" w:hAnsi="Arial"/>
          <w:sz w:val="18"/>
          <w:szCs w:val="18"/>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w:t>
      </w:r>
      <w:r>
        <w:rPr>
          <w:rFonts w:ascii="Arial" w:cs="Arial" w:eastAsia="Arial" w:hAnsi="Arial"/>
          <w:sz w:val="18"/>
          <w:szCs w:val="18"/>
          <w:u w:val="single" w:color="auto"/>
          <w:color w:val="auto"/>
        </w:rPr>
        <w:t>as-</w:t>
      </w:r>
      <w:r>
        <w:rPr>
          <w:rFonts w:ascii="Arial" w:cs="Arial" w:eastAsia="Arial" w:hAnsi="Arial"/>
          <w:sz w:val="18"/>
          <w:szCs w:val="18"/>
          <w:color w:val="auto"/>
        </w:rPr>
        <w:t>you-go basis.</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the information about the retiree medical plan for domestic associates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4"/>
          </w:tcPr>
          <w:p>
            <w:pPr>
              <w:ind w:left="18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8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 in Accumulated Plan Benefit Obligation (APBO)</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$ 34.7</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$ 33.8</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tcPr>
          <w:p>
            <w:pPr>
              <w:spacing w:after="0" w:line="202" w:lineRule="exact"/>
              <w:rPr>
                <w:sz w:val="20"/>
                <w:szCs w:val="20"/>
                <w:color w:val="auto"/>
              </w:rPr>
            </w:pPr>
            <w:r>
              <w:rPr>
                <w:rFonts w:ascii="Arial" w:cs="Arial" w:eastAsia="Arial" w:hAnsi="Arial"/>
                <w:sz w:val="18"/>
                <w:szCs w:val="18"/>
                <w:color w:val="auto"/>
              </w:rPr>
              <w:t>Loss on curtailment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Actuarial gain</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tcPr>
          <w:p>
            <w:pPr>
              <w:spacing w:after="0" w:line="202" w:lineRule="exact"/>
              <w:rPr>
                <w:sz w:val="20"/>
                <w:szCs w:val="20"/>
                <w:color w:val="auto"/>
              </w:rPr>
            </w:pPr>
            <w:r>
              <w:rPr>
                <w:rFonts w:ascii="Arial" w:cs="Arial" w:eastAsia="Arial" w:hAnsi="Arial"/>
                <w:sz w:val="18"/>
                <w:szCs w:val="18"/>
                <w:color w:val="auto"/>
              </w:rPr>
              <w:t>Benefits paid</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APBO at end of year</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$ 33.2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$ 34.7</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Change in plan assets</w:t>
            </w: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20" w:type="dxa"/>
            <w:vAlign w:val="bottom"/>
            <w:gridSpan w:val="4"/>
            <w:vMerge w:val="continue"/>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tcPr>
          <w:p>
            <w:pPr>
              <w:spacing w:after="0" w:line="202" w:lineRule="exact"/>
              <w:rPr>
                <w:sz w:val="20"/>
                <w:szCs w:val="20"/>
                <w:color w:val="auto"/>
              </w:rPr>
            </w:pPr>
            <w:r>
              <w:rPr>
                <w:rFonts w:ascii="Arial" w:cs="Arial" w:eastAsia="Arial" w:hAnsi="Arial"/>
                <w:sz w:val="18"/>
                <w:szCs w:val="18"/>
                <w:color w:val="auto"/>
              </w:rPr>
              <w:t>Employer contribution</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tcPr>
          <w:p>
            <w:pPr>
              <w:spacing w:after="0" w:line="202" w:lineRule="exact"/>
              <w:rPr>
                <w:sz w:val="20"/>
                <w:szCs w:val="20"/>
                <w:color w:val="auto"/>
              </w:rPr>
            </w:pPr>
            <w:r>
              <w:rPr>
                <w:rFonts w:ascii="Arial" w:cs="Arial" w:eastAsia="Arial" w:hAnsi="Arial"/>
                <w:sz w:val="18"/>
                <w:szCs w:val="18"/>
                <w:color w:val="auto"/>
              </w:rPr>
              <w:t>Benefits paid</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end of year</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Amounts recognized in the balance sheets consist of:</w:t>
            </w: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20" w:type="dxa"/>
            <w:vAlign w:val="bottom"/>
            <w:gridSpan w:val="4"/>
            <w:vMerge w:val="continue"/>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Funded status as of September 30 measurement date</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6"/>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$(33.2)</w:t>
            </w:r>
          </w:p>
        </w:tc>
        <w:tc>
          <w:tcPr>
            <w:tcW w:w="8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540" w:type="dxa"/>
            <w:vAlign w:val="bottom"/>
            <w:gridSpan w:val="3"/>
          </w:tcPr>
          <w:p>
            <w:pPr>
              <w:spacing w:after="0" w:line="202" w:lineRule="exact"/>
              <w:rPr>
                <w:sz w:val="20"/>
                <w:szCs w:val="20"/>
                <w:color w:val="auto"/>
              </w:rPr>
            </w:pPr>
            <w:r>
              <w:rPr>
                <w:rFonts w:ascii="Arial" w:cs="Arial" w:eastAsia="Arial" w:hAnsi="Arial"/>
                <w:sz w:val="18"/>
                <w:szCs w:val="18"/>
                <w:color w:val="auto"/>
              </w:rPr>
              <w:t>Unrecognized prior loss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Accrued benefit cost (net amount recognized)</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6"/>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w:t>
            </w:r>
          </w:p>
        </w:tc>
        <w:tc>
          <w:tcPr>
            <w:tcW w:w="8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Discount rate used in development of APBO</w:t>
            </w: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20" w:type="dxa"/>
            <w:vAlign w:val="bottom"/>
            <w:gridSpan w:val="4"/>
            <w:vMerge w:val="continue"/>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6"/>
          </w:tcPr>
          <w:p>
            <w:pPr>
              <w:jc w:val="right"/>
              <w:ind w:right="160"/>
              <w:spacing w:after="0" w:line="196" w:lineRule="exact"/>
              <w:rPr>
                <w:sz w:val="20"/>
                <w:szCs w:val="20"/>
                <w:color w:val="auto"/>
              </w:rPr>
            </w:pPr>
            <w:r>
              <w:rPr>
                <w:rFonts w:ascii="Arial" w:cs="Arial" w:eastAsia="Arial" w:hAnsi="Arial"/>
                <w:sz w:val="18"/>
                <w:szCs w:val="18"/>
                <w:color w:val="auto"/>
              </w:rPr>
              <w:t>5.86%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Development of accrued benefit cost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tcPr>
          <w:p>
            <w:pPr>
              <w:spacing w:after="0" w:line="202" w:lineRule="exact"/>
              <w:rPr>
                <w:sz w:val="20"/>
                <w:szCs w:val="20"/>
                <w:color w:val="auto"/>
              </w:rPr>
            </w:pPr>
            <w:r>
              <w:rPr>
                <w:rFonts w:ascii="Arial" w:cs="Arial" w:eastAsia="Arial" w:hAnsi="Arial"/>
                <w:sz w:val="18"/>
                <w:szCs w:val="18"/>
                <w:color w:val="auto"/>
              </w:rPr>
              <w:t>Accrued benefit cost at beginning of year</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$ 28.6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$ 25.0</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Postretirement benefit cost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tcPr>
          <w:p>
            <w:pPr>
              <w:spacing w:after="0" w:line="202" w:lineRule="exact"/>
              <w:rPr>
                <w:sz w:val="20"/>
                <w:szCs w:val="20"/>
                <w:color w:val="auto"/>
              </w:rPr>
            </w:pPr>
            <w:r>
              <w:rPr>
                <w:rFonts w:ascii="Arial" w:cs="Arial" w:eastAsia="Arial" w:hAnsi="Arial"/>
                <w:sz w:val="18"/>
                <w:szCs w:val="18"/>
                <w:color w:val="auto"/>
              </w:rPr>
              <w:t>Curtailment charge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Employer contributions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4"/>
          </w:tcPr>
          <w:p>
            <w:pPr>
              <w:ind w:left="580"/>
              <w:spacing w:after="0"/>
              <w:rPr>
                <w:sz w:val="20"/>
                <w:szCs w:val="20"/>
                <w:color w:val="auto"/>
              </w:rPr>
            </w:pPr>
            <w:r>
              <w:rPr>
                <w:rFonts w:ascii="Arial" w:cs="Arial" w:eastAsia="Arial" w:hAnsi="Arial"/>
                <w:sz w:val="18"/>
                <w:szCs w:val="18"/>
                <w:color w:val="auto"/>
              </w:rPr>
              <w:t>Accrued benefit cost at end of year</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$ 29.5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$ 28.6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24"/>
                <w:szCs w:val="24"/>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8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Components of net periodic benefit cost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tcPr>
          <w:p>
            <w:pPr>
              <w:spacing w:after="0" w:line="202" w:lineRule="exact"/>
              <w:rPr>
                <w:sz w:val="20"/>
                <w:szCs w:val="20"/>
                <w:color w:val="auto"/>
              </w:rPr>
            </w:pPr>
            <w:r>
              <w:rPr>
                <w:rFonts w:ascii="Arial" w:cs="Arial" w:eastAsia="Arial" w:hAnsi="Arial"/>
                <w:sz w:val="18"/>
                <w:szCs w:val="18"/>
                <w:color w:val="auto"/>
              </w:rPr>
              <w:t>Service cost</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60" w:type="dxa"/>
            <w:vAlign w:val="bottom"/>
          </w:tcPr>
          <w:p>
            <w:pPr>
              <w:spacing w:after="0"/>
              <w:rPr>
                <w:sz w:val="17"/>
                <w:szCs w:val="17"/>
                <w:color w:val="auto"/>
              </w:rPr>
            </w:pPr>
          </w:p>
        </w:tc>
        <w:tc>
          <w:tcPr>
            <w:tcW w:w="300" w:type="dxa"/>
            <w:vAlign w:val="bottom"/>
            <w:gridSpan w:val="3"/>
          </w:tcPr>
          <w:p>
            <w:pPr>
              <w:ind w:left="20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w:t>
            </w:r>
          </w:p>
        </w:tc>
        <w:tc>
          <w:tcPr>
            <w:tcW w:w="30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Actuarial loss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5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Prior service cost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periodic postretirement benefit cost</w:t>
            </w:r>
          </w:p>
        </w:tc>
        <w:tc>
          <w:tcPr>
            <w:tcW w:w="1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540" w:type="dxa"/>
            <w:vAlign w:val="bottom"/>
            <w:gridSpan w:val="3"/>
          </w:tcPr>
          <w:p>
            <w:pPr>
              <w:spacing w:after="0" w:line="202" w:lineRule="exact"/>
              <w:rPr>
                <w:sz w:val="20"/>
                <w:szCs w:val="20"/>
                <w:color w:val="auto"/>
              </w:rPr>
            </w:pPr>
            <w:r>
              <w:rPr>
                <w:rFonts w:ascii="Arial" w:cs="Arial" w:eastAsia="Arial" w:hAnsi="Arial"/>
                <w:sz w:val="18"/>
                <w:szCs w:val="18"/>
                <w:color w:val="auto"/>
              </w:rPr>
              <w:t>Curtailment charge</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postretirement benefit cost</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7"/>
                <w:szCs w:val="17"/>
                <w:color w:val="auto"/>
              </w:rPr>
            </w:pPr>
          </w:p>
        </w:tc>
        <w:tc>
          <w:tcPr>
            <w:tcW w:w="30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Discount rate used in development of net periodic benefit cost</w:t>
            </w: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4"/>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5.75%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5560" w:type="dxa"/>
            <w:vAlign w:val="bottom"/>
            <w:gridSpan w:val="2"/>
          </w:tcPr>
          <w:p>
            <w:pPr>
              <w:spacing w:after="0"/>
              <w:rPr>
                <w:sz w:val="11"/>
                <w:szCs w:val="11"/>
                <w:color w:val="auto"/>
              </w:rPr>
            </w:pPr>
          </w:p>
        </w:tc>
        <w:tc>
          <w:tcPr>
            <w:tcW w:w="3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77</w:t>
            </w:r>
          </w:p>
        </w:tc>
        <w:tc>
          <w:tcPr>
            <w:tcW w:w="1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808080"/>
            </w:tcBorders>
          </w:tcPr>
          <w:p>
            <w:pPr>
              <w:spacing w:after="0"/>
              <w:rPr>
                <w:sz w:val="18"/>
                <w:szCs w:val="18"/>
                <w:color w:val="auto"/>
              </w:rPr>
            </w:pPr>
          </w:p>
        </w:tc>
        <w:tc>
          <w:tcPr>
            <w:tcW w:w="49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80" w:right="580" w:firstLine="411"/>
        <w:spacing w:after="0" w:line="236" w:lineRule="auto"/>
        <w:rPr>
          <w:sz w:val="20"/>
          <w:szCs w:val="20"/>
          <w:color w:val="auto"/>
        </w:rPr>
      </w:pPr>
      <w:r>
        <w:rPr>
          <w:rFonts w:ascii="Arial" w:cs="Arial" w:eastAsia="Arial" w:hAnsi="Arial"/>
          <w:sz w:val="18"/>
          <w:szCs w:val="18"/>
          <w:color w:val="auto"/>
        </w:rPr>
        <w:t>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On May 19, 2004, the FASB issued Staff Position No. 106-2, “Accounting and Disclosure Requirements Related to the Medicare Prescription Drug, Improvement and Modernization Act of 2003” (the “FSP”). The FSP provides guidance on accounting for the effects of the Act, which the Company adopted at the beginning of its fourth quarter of fiscal 2004. The APBO at September 30, 2006, has been reduced by a deferred actuarial gain in the amount of $6.0 million to reflect the effect of the subsidy related to benefits attributed to past service. The amortization of the actuarial gain and reduction of service and interest costs served to reduce net periodic post retirement benefit cost for fiscal years 2006, 2005 and 2004 by $0.9, $0.2 and $0.1 million, respectively.</w:t>
      </w:r>
    </w:p>
    <w:p>
      <w:pPr>
        <w:spacing w:after="0" w:line="113" w:lineRule="exact"/>
        <w:rPr>
          <w:sz w:val="20"/>
          <w:szCs w:val="20"/>
          <w:color w:val="auto"/>
        </w:rPr>
      </w:pPr>
    </w:p>
    <w:p>
      <w:pPr>
        <w:jc w:val="both"/>
        <w:ind w:left="580" w:right="680" w:firstLine="411"/>
        <w:spacing w:after="0" w:line="234" w:lineRule="auto"/>
        <w:rPr>
          <w:sz w:val="20"/>
          <w:szCs w:val="20"/>
          <w:color w:val="auto"/>
        </w:rPr>
      </w:pPr>
      <w:r>
        <w:rPr>
          <w:rFonts w:ascii="Arial" w:cs="Arial" w:eastAsia="Arial" w:hAnsi="Arial"/>
          <w:sz w:val="18"/>
          <w:szCs w:val="18"/>
          <w:color w:val="auto"/>
        </w:rPr>
        <w:t>For measurement as of September 30, 2006, management has assumed that health care costs will increase at an annual rate of 8.0% in fiscal 2007, decreasing 0.50% per year to an ultimate trend of 5.00% in 2013. A 1% increase in health cost trend rate assumptions would increase the APBO as of September 30, 2006 and 2005 by $0.1 million and $0.2 million, respectively. A 1% decrease in health cost trend rate assumptions would decrease the APBO as of September 30, 2006 and 2005 by</w:t>
      </w:r>
    </w:p>
    <w:p>
      <w:pPr>
        <w:spacing w:after="0" w:line="3" w:lineRule="exact"/>
        <w:rPr>
          <w:sz w:val="20"/>
          <w:szCs w:val="20"/>
          <w:color w:val="auto"/>
        </w:rPr>
      </w:pPr>
    </w:p>
    <w:p>
      <w:pPr>
        <w:ind w:left="580" w:right="1140"/>
        <w:spacing w:after="0" w:line="246" w:lineRule="auto"/>
        <w:rPr>
          <w:sz w:val="20"/>
          <w:szCs w:val="20"/>
          <w:color w:val="auto"/>
        </w:rPr>
      </w:pPr>
      <w:r>
        <w:rPr>
          <w:rFonts w:ascii="Arial" w:cs="Arial" w:eastAsia="Arial" w:hAnsi="Arial"/>
          <w:sz w:val="18"/>
          <w:szCs w:val="18"/>
          <w:color w:val="auto"/>
        </w:rPr>
        <w:t>$0.2 million and $0.2 million, respectively. A 1% increase or decrease in the same rate would not have a material effect on service or interest costs.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Estimated Future Benefit Payments</w:t>
      </w:r>
    </w:p>
    <w:p>
      <w:pPr>
        <w:spacing w:after="0" w:line="144" w:lineRule="exact"/>
        <w:rPr>
          <w:sz w:val="20"/>
          <w:szCs w:val="20"/>
          <w:color w:val="auto"/>
        </w:rPr>
      </w:pPr>
    </w:p>
    <w:p>
      <w:pPr>
        <w:ind w:left="580" w:right="640" w:firstLine="411"/>
        <w:spacing w:after="0" w:line="246" w:lineRule="auto"/>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 (in millions):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20" w:type="dxa"/>
            <w:vAlign w:val="bottom"/>
          </w:tcPr>
          <w:p>
            <w:pPr>
              <w:jc w:val="center"/>
              <w:ind w:right="230"/>
              <w:spacing w:after="0"/>
              <w:rPr>
                <w:sz w:val="20"/>
                <w:szCs w:val="20"/>
                <w:color w:val="auto"/>
              </w:rPr>
            </w:pPr>
            <w:r>
              <w:rPr>
                <w:rFonts w:ascii="Arial" w:cs="Arial" w:eastAsia="Arial" w:hAnsi="Arial"/>
                <w:sz w:val="18"/>
                <w:szCs w:val="18"/>
                <w:color w:val="auto"/>
                <w:w w:val="99"/>
              </w:rPr>
              <w:t>Gross</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Medicare</w:t>
            </w:r>
          </w:p>
        </w:tc>
        <w:tc>
          <w:tcPr>
            <w:tcW w:w="360" w:type="dxa"/>
            <w:vAlign w:val="bottom"/>
          </w:tcPr>
          <w:p>
            <w:pPr>
              <w:spacing w:after="0"/>
              <w:rPr>
                <w:sz w:val="17"/>
                <w:szCs w:val="17"/>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Net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2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99"/>
              </w:rPr>
              <w:t>Benefit</w:t>
            </w:r>
          </w:p>
        </w:tc>
        <w:tc>
          <w:tcPr>
            <w:tcW w:w="420" w:type="dxa"/>
            <w:vAlign w:val="bottom"/>
          </w:tcPr>
          <w:p>
            <w:pPr>
              <w:spacing w:after="0"/>
              <w:rPr>
                <w:sz w:val="17"/>
                <w:szCs w:val="17"/>
                <w:color w:val="auto"/>
              </w:rPr>
            </w:pPr>
          </w:p>
        </w:tc>
        <w:tc>
          <w:tcPr>
            <w:tcW w:w="12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Retiree</w:t>
            </w:r>
          </w:p>
        </w:tc>
        <w:tc>
          <w:tcPr>
            <w:tcW w:w="300" w:type="dxa"/>
            <w:vAlign w:val="bottom"/>
          </w:tcPr>
          <w:p>
            <w:pPr>
              <w:spacing w:after="0"/>
              <w:rPr>
                <w:sz w:val="17"/>
                <w:szCs w:val="17"/>
                <w:color w:val="auto"/>
              </w:rPr>
            </w:pPr>
          </w:p>
        </w:tc>
        <w:tc>
          <w:tcPr>
            <w:tcW w:w="920" w:type="dxa"/>
            <w:vAlign w:val="bottom"/>
          </w:tcPr>
          <w:p>
            <w:pPr>
              <w:jc w:val="center"/>
              <w:ind w:right="270"/>
              <w:spacing w:after="0" w:line="202" w:lineRule="exact"/>
              <w:rPr>
                <w:sz w:val="20"/>
                <w:szCs w:val="20"/>
                <w:color w:val="auto"/>
              </w:rPr>
            </w:pPr>
            <w:r>
              <w:rPr>
                <w:rFonts w:ascii="Arial" w:cs="Arial" w:eastAsia="Arial" w:hAnsi="Arial"/>
                <w:sz w:val="18"/>
                <w:szCs w:val="18"/>
                <w:color w:val="auto"/>
              </w:rPr>
              <w:t>Part D</w:t>
            </w:r>
          </w:p>
        </w:tc>
        <w:tc>
          <w:tcPr>
            <w:tcW w:w="110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8"/>
              </w:rPr>
              <w:t>Company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40" w:type="dxa"/>
            <w:vAlign w:val="bottom"/>
            <w:gridSpan w:val="2"/>
          </w:tcPr>
          <w:p>
            <w:pPr>
              <w:jc w:val="center"/>
              <w:ind w:left="1910"/>
              <w:spacing w:after="0"/>
              <w:rPr>
                <w:sz w:val="20"/>
                <w:szCs w:val="20"/>
                <w:color w:val="auto"/>
              </w:rPr>
            </w:pPr>
            <w:r>
              <w:rPr>
                <w:rFonts w:ascii="Arial" w:cs="Arial" w:eastAsia="Arial" w:hAnsi="Arial"/>
                <w:sz w:val="18"/>
                <w:szCs w:val="18"/>
                <w:color w:val="auto"/>
                <w:w w:val="99"/>
              </w:rPr>
              <w:t>Payments</w:t>
            </w: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Contributions</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Subsidy</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Payments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2007</w:t>
            </w: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line="202" w:lineRule="exact"/>
              <w:rPr>
                <w:sz w:val="20"/>
                <w:szCs w:val="20"/>
                <w:color w:val="auto"/>
              </w:rPr>
            </w:pPr>
            <w:r>
              <w:rPr>
                <w:rFonts w:ascii="Arial" w:cs="Arial" w:eastAsia="Arial" w:hAnsi="Arial"/>
                <w:sz w:val="18"/>
                <w:szCs w:val="18"/>
                <w:color w:val="auto"/>
              </w:rPr>
              <w:t>2008</w:t>
            </w:r>
          </w:p>
        </w:tc>
        <w:tc>
          <w:tcPr>
            <w:tcW w:w="2320" w:type="dxa"/>
            <w:vAlign w:val="bottom"/>
          </w:tcPr>
          <w:p>
            <w:pPr>
              <w:spacing w:after="0"/>
              <w:rPr>
                <w:sz w:val="17"/>
                <w:szCs w:val="17"/>
                <w:color w:val="auto"/>
              </w:rPr>
            </w:pPr>
          </w:p>
        </w:tc>
        <w:tc>
          <w:tcPr>
            <w:tcW w:w="9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4.0</w:t>
            </w:r>
          </w:p>
        </w:tc>
        <w:tc>
          <w:tcPr>
            <w:tcW w:w="420" w:type="dxa"/>
            <w:vAlign w:val="bottom"/>
          </w:tcPr>
          <w:p>
            <w:pPr>
              <w:spacing w:after="0"/>
              <w:rPr>
                <w:sz w:val="17"/>
                <w:szCs w:val="17"/>
                <w:color w:val="auto"/>
              </w:rPr>
            </w:pPr>
          </w:p>
        </w:tc>
        <w:tc>
          <w:tcPr>
            <w:tcW w:w="12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9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(0.3)</w:t>
            </w:r>
          </w:p>
        </w:tc>
        <w:tc>
          <w:tcPr>
            <w:tcW w:w="3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2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4.2</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2320" w:type="dxa"/>
            <w:vAlign w:val="bottom"/>
          </w:tcPr>
          <w:p>
            <w:pPr>
              <w:spacing w:after="0"/>
              <w:rPr>
                <w:sz w:val="17"/>
                <w:szCs w:val="17"/>
                <w:color w:val="auto"/>
              </w:rPr>
            </w:pPr>
          </w:p>
        </w:tc>
        <w:tc>
          <w:tcPr>
            <w:tcW w:w="9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4.4</w:t>
            </w:r>
          </w:p>
        </w:tc>
        <w:tc>
          <w:tcPr>
            <w:tcW w:w="420" w:type="dxa"/>
            <w:vAlign w:val="bottom"/>
          </w:tcPr>
          <w:p>
            <w:pPr>
              <w:spacing w:after="0"/>
              <w:rPr>
                <w:sz w:val="17"/>
                <w:szCs w:val="17"/>
                <w:color w:val="auto"/>
              </w:rPr>
            </w:pPr>
          </w:p>
        </w:tc>
        <w:tc>
          <w:tcPr>
            <w:tcW w:w="12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w:t>
            </w:r>
          </w:p>
        </w:tc>
        <w:tc>
          <w:tcPr>
            <w:tcW w:w="300" w:type="dxa"/>
            <w:vAlign w:val="bottom"/>
          </w:tcPr>
          <w:p>
            <w:pPr>
              <w:spacing w:after="0"/>
              <w:rPr>
                <w:sz w:val="17"/>
                <w:szCs w:val="17"/>
                <w:color w:val="auto"/>
              </w:rPr>
            </w:pPr>
          </w:p>
        </w:tc>
        <w:tc>
          <w:tcPr>
            <w:tcW w:w="9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(0.4)</w:t>
            </w:r>
          </w:p>
        </w:tc>
        <w:tc>
          <w:tcPr>
            <w:tcW w:w="3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2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2012-2016</w:t>
            </w:r>
          </w:p>
        </w:tc>
        <w:tc>
          <w:tcPr>
            <w:tcW w:w="232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26.8</w:t>
            </w:r>
          </w:p>
        </w:tc>
        <w:tc>
          <w:tcPr>
            <w:tcW w:w="4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80" w:right="640" w:firstLine="411"/>
        <w:spacing w:after="0" w:line="239"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$0.3 million per occurrence per individual. The cost of such benefits is recognized as expense in the period the claim is incurred. This cost was $21.8 million, $17.9 million, and $17.0 million in fiscal 2006, 2005 and 2004,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gridSpan w:val="2"/>
          </w:tcPr>
          <w:p>
            <w:pPr>
              <w:ind w:left="580"/>
              <w:spacing w:after="0"/>
              <w:rPr>
                <w:sz w:val="20"/>
                <w:szCs w:val="20"/>
                <w:color w:val="auto"/>
              </w:rPr>
            </w:pPr>
            <w:r>
              <w:rPr>
                <w:rFonts w:ascii="Arial" w:cs="Arial" w:eastAsia="Arial" w:hAnsi="Arial"/>
                <w:sz w:val="18"/>
                <w:szCs w:val="18"/>
                <w:b w:val="1"/>
                <w:bCs w:val="1"/>
                <w:color w:val="auto"/>
              </w:rPr>
              <w:t>NOTE 9. DEBT</w:t>
            </w:r>
          </w:p>
        </w:tc>
        <w:tc>
          <w:tcPr>
            <w:tcW w:w="3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40" w:type="dxa"/>
            <w:vAlign w:val="bottom"/>
            <w:gridSpan w:val="4"/>
          </w:tcPr>
          <w:p>
            <w:pPr>
              <w:ind w:left="220"/>
              <w:spacing w:after="0"/>
              <w:rPr>
                <w:sz w:val="20"/>
                <w:szCs w:val="20"/>
                <w:color w:val="auto"/>
              </w:rPr>
            </w:pPr>
            <w:r>
              <w:rPr>
                <w:rFonts w:ascii="Arial" w:cs="Arial" w:eastAsia="Arial" w:hAnsi="Arial"/>
                <w:sz w:val="18"/>
                <w:szCs w:val="18"/>
                <w:color w:val="auto"/>
              </w:rPr>
              <w:t>September 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2006</w:t>
            </w:r>
          </w:p>
        </w:tc>
        <w:tc>
          <w:tcPr>
            <w:tcW w:w="10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4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40" w:type="dxa"/>
            <w:vAlign w:val="bottom"/>
            <w:gridSpan w:val="3"/>
          </w:tcPr>
          <w:p>
            <w:pPr>
              <w:jc w:val="right"/>
              <w:ind w:right="290"/>
              <w:spacing w:after="0"/>
              <w:rPr>
                <w:sz w:val="20"/>
                <w:szCs w:val="20"/>
                <w:color w:val="auto"/>
              </w:rPr>
            </w:pPr>
            <w:r>
              <w:rPr>
                <w:rFonts w:ascii="Arial" w:cs="Arial" w:eastAsia="Arial" w:hAnsi="Arial"/>
                <w:sz w:val="18"/>
                <w:szCs w:val="18"/>
                <w:color w:val="auto"/>
              </w:rPr>
              <w:t>(in millions)</w:t>
            </w:r>
          </w:p>
        </w:tc>
        <w:tc>
          <w:tcPr>
            <w:tcW w:w="1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8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Revolver</w:t>
            </w:r>
          </w:p>
        </w:tc>
        <w:tc>
          <w:tcPr>
            <w:tcW w:w="4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$ 253.8</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$ 166.2</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7"/>
                <w:szCs w:val="17"/>
                <w:color w:val="auto"/>
              </w:rPr>
              <w:t>Senior Subordinated 6</w:t>
            </w:r>
            <w:r>
              <w:rPr>
                <w:rFonts w:ascii="Arial" w:cs="Arial" w:eastAsia="Arial" w:hAnsi="Arial"/>
                <w:sz w:val="23"/>
                <w:szCs w:val="23"/>
                <w:color w:val="auto"/>
                <w:vertAlign w:val="superscript"/>
              </w:rPr>
              <w:t>5</w:t>
            </w:r>
            <w:r>
              <w:rPr>
                <w:rFonts w:ascii="Arial" w:cs="Arial" w:eastAsia="Arial" w:hAnsi="Arial"/>
                <w:sz w:val="17"/>
                <w:szCs w:val="17"/>
                <w:color w:val="auto"/>
              </w:rPr>
              <w:t>/</w:t>
            </w:r>
            <w:r>
              <w:rPr>
                <w:rFonts w:ascii="Arial" w:cs="Arial" w:eastAsia="Arial" w:hAnsi="Arial"/>
                <w:sz w:val="11"/>
                <w:szCs w:val="11"/>
                <w:color w:val="auto"/>
              </w:rPr>
              <w:t>8</w:t>
            </w:r>
            <w:r>
              <w:rPr>
                <w:rFonts w:ascii="Arial" w:cs="Arial" w:eastAsia="Arial" w:hAnsi="Arial"/>
                <w:sz w:val="17"/>
                <w:szCs w:val="17"/>
                <w:color w:val="auto"/>
              </w:rPr>
              <w:t>% Notes, due 2013</w:t>
            </w:r>
          </w:p>
        </w:tc>
        <w:tc>
          <w:tcPr>
            <w:tcW w:w="4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 due to sellers</w:t>
            </w:r>
          </w:p>
        </w:tc>
        <w:tc>
          <w:tcPr>
            <w:tcW w:w="4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Foreign bank borrowings and term loans</w:t>
            </w:r>
          </w:p>
        </w:tc>
        <w:tc>
          <w:tcPr>
            <w:tcW w:w="4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560" w:type="dxa"/>
            <w:vAlign w:val="bottom"/>
            <w:gridSpan w:val="2"/>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4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180" w:type="dxa"/>
            <w:vAlign w:val="bottom"/>
            <w:gridSpan w:val="3"/>
          </w:tcPr>
          <w:p>
            <w:pPr>
              <w:jc w:val="right"/>
              <w:spacing w:after="0"/>
              <w:rPr>
                <w:sz w:val="20"/>
                <w:szCs w:val="20"/>
                <w:color w:val="auto"/>
              </w:rPr>
            </w:pPr>
            <w:r>
              <w:rPr>
                <w:rFonts w:ascii="Arial" w:cs="Arial" w:eastAsia="Arial" w:hAnsi="Arial"/>
                <w:sz w:val="18"/>
                <w:szCs w:val="18"/>
                <w:color w:val="auto"/>
              </w:rPr>
              <w:t>481.2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portions</w:t>
            </w:r>
          </w:p>
        </w:tc>
        <w:tc>
          <w:tcPr>
            <w:tcW w:w="3560" w:type="dxa"/>
            <w:vAlign w:val="bottom"/>
            <w:gridSpan w:val="2"/>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180" w:type="dxa"/>
            <w:vAlign w:val="bottom"/>
            <w:gridSpan w:val="3"/>
          </w:tcPr>
          <w:p>
            <w:pPr>
              <w:jc w:val="right"/>
              <w:spacing w:after="0"/>
              <w:rPr>
                <w:sz w:val="20"/>
                <w:szCs w:val="20"/>
                <w:color w:val="auto"/>
              </w:rPr>
            </w:pPr>
            <w:r>
              <w:rPr>
                <w:rFonts w:ascii="Arial" w:cs="Arial" w:eastAsia="Arial" w:hAnsi="Arial"/>
                <w:sz w:val="18"/>
                <w:szCs w:val="18"/>
                <w:color w:val="auto"/>
              </w:rPr>
              <w:t>$ 475.2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$ 382.4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300" w:type="dxa"/>
            <w:vAlign w:val="bottom"/>
          </w:tcPr>
          <w:p>
            <w:pPr>
              <w:jc w:val="right"/>
              <w:ind w:right="15"/>
              <w:spacing w:after="0" w:line="122" w:lineRule="exact"/>
              <w:rPr>
                <w:sz w:val="20"/>
                <w:szCs w:val="20"/>
                <w:color w:val="auto"/>
              </w:rPr>
            </w:pPr>
            <w:r>
              <w:rPr>
                <w:rFonts w:ascii="Arial" w:cs="Arial" w:eastAsia="Arial" w:hAnsi="Arial"/>
                <w:sz w:val="11"/>
                <w:szCs w:val="11"/>
                <w:b w:val="1"/>
                <w:bCs w:val="1"/>
                <w:color w:val="auto"/>
              </w:rPr>
              <w:t>78</w:t>
            </w:r>
          </w:p>
        </w:tc>
        <w:tc>
          <w:tcPr>
            <w:tcW w:w="3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808080"/>
            </w:tcBorders>
          </w:tcPr>
          <w:p>
            <w:pPr>
              <w:spacing w:after="0"/>
              <w:rPr>
                <w:sz w:val="18"/>
                <w:szCs w:val="18"/>
                <w:color w:val="auto"/>
              </w:rPr>
            </w:pPr>
          </w:p>
        </w:tc>
        <w:tc>
          <w:tcPr>
            <w:tcW w:w="49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26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9840" w:type="dxa"/>
            <w:vAlign w:val="bottom"/>
            <w:gridSpan w:val="3"/>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480" w:type="dxa"/>
            <w:vAlign w:val="bottom"/>
          </w:tcPr>
          <w:p>
            <w:pPr>
              <w:ind w:left="1960"/>
              <w:spacing w:after="0"/>
              <w:rPr>
                <w:sz w:val="20"/>
                <w:szCs w:val="20"/>
                <w:color w:val="auto"/>
              </w:rPr>
            </w:pPr>
            <w:r>
              <w:rPr>
                <w:rFonts w:ascii="Arial" w:cs="Arial" w:eastAsia="Arial" w:hAnsi="Arial"/>
                <w:sz w:val="18"/>
                <w:szCs w:val="18"/>
                <w:b w:val="1"/>
                <w:bCs w:val="1"/>
                <w:color w:val="auto"/>
              </w:rPr>
              <w:t>NOTES TO CONSOLIDATED FINANCIAL STATEMENTS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00" w:type="dxa"/>
            <w:vAlign w:val="bottom"/>
          </w:tcPr>
          <w:p>
            <w:pPr>
              <w:spacing w:after="0"/>
              <w:rPr>
                <w:sz w:val="24"/>
                <w:szCs w:val="24"/>
                <w:color w:val="auto"/>
              </w:rPr>
            </w:pPr>
          </w:p>
        </w:tc>
        <w:tc>
          <w:tcPr>
            <w:tcW w:w="9140" w:type="dxa"/>
            <w:vAlign w:val="bottom"/>
            <w:gridSpan w:val="2"/>
          </w:tcPr>
          <w:p>
            <w:pPr>
              <w:ind w:left="380"/>
              <w:spacing w:after="0"/>
              <w:rPr>
                <w:sz w:val="20"/>
                <w:szCs w:val="20"/>
                <w:color w:val="auto"/>
              </w:rPr>
            </w:pPr>
            <w:r>
              <w:rPr>
                <w:rFonts w:ascii="Arial" w:cs="Arial" w:eastAsia="Arial" w:hAnsi="Arial"/>
                <w:sz w:val="18"/>
                <w:szCs w:val="18"/>
                <w:color w:val="auto"/>
              </w:rPr>
              <w:t>Maturities of short- and long-term debt for the next five fiscal years and thereafter are as follows (in millions):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00" w:type="dxa"/>
            <w:vAlign w:val="bottom"/>
            <w:vMerge w:val="restart"/>
          </w:tcPr>
          <w:p>
            <w:pPr>
              <w:spacing w:after="0"/>
              <w:rPr>
                <w:sz w:val="10"/>
                <w:szCs w:val="10"/>
                <w:color w:val="auto"/>
              </w:rPr>
            </w:pPr>
          </w:p>
        </w:tc>
        <w:tc>
          <w:tcPr>
            <w:tcW w:w="660" w:type="dxa"/>
            <w:vAlign w:val="bottom"/>
          </w:tcPr>
          <w:p>
            <w:pPr>
              <w:spacing w:after="0"/>
              <w:rPr>
                <w:sz w:val="10"/>
                <w:szCs w:val="10"/>
                <w:color w:val="auto"/>
              </w:rPr>
            </w:pPr>
          </w:p>
        </w:tc>
        <w:tc>
          <w:tcPr>
            <w:tcW w:w="8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2007</w:t>
            </w:r>
          </w:p>
        </w:tc>
        <w:tc>
          <w:tcPr>
            <w:tcW w:w="84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line="202" w:lineRule="exact"/>
              <w:rPr>
                <w:sz w:val="20"/>
                <w:szCs w:val="20"/>
                <w:color w:val="auto"/>
              </w:rPr>
            </w:pPr>
            <w:r>
              <w:rPr>
                <w:rFonts w:ascii="Arial" w:cs="Arial" w:eastAsia="Arial" w:hAnsi="Arial"/>
                <w:sz w:val="18"/>
                <w:szCs w:val="18"/>
                <w:color w:val="auto"/>
              </w:rPr>
              <w:t>2008</w:t>
            </w:r>
          </w:p>
        </w:tc>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8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254.6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8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914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481.2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380" w:firstLine="397"/>
        <w:spacing w:after="0" w:line="253" w:lineRule="auto"/>
        <w:rPr>
          <w:sz w:val="20"/>
          <w:szCs w:val="20"/>
          <w:color w:val="auto"/>
        </w:rPr>
      </w:pPr>
      <w:r>
        <w:rPr>
          <w:rFonts w:ascii="Arial" w:cs="Arial" w:eastAsia="Arial" w:hAnsi="Arial"/>
          <w:sz w:val="17"/>
          <w:szCs w:val="17"/>
          <w:color w:val="auto"/>
        </w:rPr>
        <w:t>As of July 21, 2005, the Company entered into a Revolving Credit Agreement for the purpose of providing funds for working capital and other general corporate purposes of the Company. The Revolving Credit Agreement consists of an aggregate $1.05 billion multi -currency revolving credit commitment, expiring July 21, 2010. Borrowings may be made in various currencies including United States dollars, Euro dollars, British pounds sterling, Australian dollars and Canadian dollars. The Company may, at any time prior to July 21, 2010, request additional revolving credit commitments from the lenders up to an aggregate amount, when combined with the existing commitments, not to exceed $1.15 billion.</w:t>
      </w:r>
    </w:p>
    <w:p>
      <w:pPr>
        <w:spacing w:after="0" w:line="101" w:lineRule="exact"/>
        <w:rPr>
          <w:sz w:val="20"/>
          <w:szCs w:val="20"/>
          <w:color w:val="auto"/>
        </w:rPr>
      </w:pPr>
    </w:p>
    <w:p>
      <w:pPr>
        <w:ind w:left="700" w:right="80" w:firstLine="397"/>
        <w:spacing w:after="0" w:line="237" w:lineRule="auto"/>
        <w:rPr>
          <w:sz w:val="20"/>
          <w:szCs w:val="20"/>
          <w:color w:val="auto"/>
        </w:rPr>
      </w:pPr>
      <w:r>
        <w:rPr>
          <w:rFonts w:ascii="Arial" w:cs="Arial" w:eastAsia="Arial" w:hAnsi="Arial"/>
          <w:sz w:val="18"/>
          <w:szCs w:val="18"/>
          <w:color w:val="auto"/>
        </w:rPr>
        <w:t>The Revolving Credit Agreement has several borrowing options, including interest rates that are based on (i) a LIBOR rate plus a margin based on a Leverage Ratio (as defined) or (ii) the greater of the prime rate or the Federal Funds Effective Rate (as defined) plus 1/2 of 1% plus a margin based on a Leverage Ratio. Facility fees are also based on the Leverage Ratio of the Company and, as of September 30, 2006, will accrue at 0.20% of the committed amounts per annum. The weighted average interest rate on amounts outstanding under the Revolving Credit Agreement was 4.4% at September 30, 2006.</w:t>
      </w:r>
    </w:p>
    <w:p>
      <w:pPr>
        <w:spacing w:after="0" w:line="111" w:lineRule="exact"/>
        <w:rPr>
          <w:sz w:val="20"/>
          <w:szCs w:val="20"/>
          <w:color w:val="auto"/>
        </w:rPr>
      </w:pPr>
    </w:p>
    <w:p>
      <w:pPr>
        <w:ind w:left="700" w:right="400" w:firstLine="397"/>
        <w:spacing w:after="0"/>
        <w:rPr>
          <w:sz w:val="20"/>
          <w:szCs w:val="20"/>
          <w:color w:val="auto"/>
        </w:rPr>
      </w:pPr>
      <w:r>
        <w:rPr>
          <w:rFonts w:ascii="Arial" w:cs="Arial" w:eastAsia="Arial" w:hAnsi="Arial"/>
          <w:sz w:val="18"/>
          <w:szCs w:val="18"/>
          <w:color w:val="auto"/>
        </w:rPr>
        <w:t>Swingline loans are also available under the Revolving Credit Agreement provided that (i) the aggregate principal amount of swingline loans outstanding at any time may not exceed $100 million and (ii) the sum of outstanding letters of credit, swingline loans and other loans made under the Revolving Credit Agreement may not exceed $1.05 billion.</w:t>
      </w:r>
    </w:p>
    <w:p>
      <w:pPr>
        <w:spacing w:after="0" w:line="108" w:lineRule="exact"/>
        <w:rPr>
          <w:sz w:val="20"/>
          <w:szCs w:val="20"/>
          <w:color w:val="auto"/>
        </w:rPr>
      </w:pPr>
    </w:p>
    <w:p>
      <w:pPr>
        <w:ind w:left="700" w:right="40" w:firstLine="397"/>
        <w:spacing w:after="0" w:line="234" w:lineRule="auto"/>
        <w:rPr>
          <w:sz w:val="20"/>
          <w:szCs w:val="20"/>
          <w:color w:val="auto"/>
        </w:rPr>
      </w:pPr>
      <w:r>
        <w:rPr>
          <w:rFonts w:ascii="Arial" w:cs="Arial" w:eastAsia="Arial" w:hAnsi="Arial"/>
          <w:sz w:val="18"/>
          <w:szCs w:val="18"/>
          <w:color w:val="auto"/>
        </w:rPr>
        <w:t>The terms of the Revolving Credit Agreement provide for customary representations and warranties and affirmative covenants. The Revolving Credit Agreement also contains customary negative covenants providing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the Company’s fiscal year end, modification of specified debt instruments, negative pledge clauses, entering into new lines of business, restricted payments (including dividend payments restricted to</w:t>
      </w:r>
    </w:p>
    <w:p>
      <w:pPr>
        <w:spacing w:after="0" w:line="5" w:lineRule="exact"/>
        <w:rPr>
          <w:sz w:val="20"/>
          <w:szCs w:val="20"/>
          <w:color w:val="auto"/>
        </w:rPr>
      </w:pPr>
    </w:p>
    <w:p>
      <w:pPr>
        <w:jc w:val="both"/>
        <w:ind w:left="700" w:right="200"/>
        <w:spacing w:after="0"/>
        <w:rPr>
          <w:sz w:val="20"/>
          <w:szCs w:val="20"/>
          <w:color w:val="auto"/>
        </w:rPr>
      </w:pPr>
      <w:r>
        <w:rPr>
          <w:rFonts w:ascii="Arial" w:cs="Arial" w:eastAsia="Arial" w:hAnsi="Arial"/>
          <w:sz w:val="18"/>
          <w:szCs w:val="18"/>
          <w:color w:val="auto"/>
        </w:rPr>
        <w:t>$75 million annually based on the current Leverage Ratio of the Company) and redemption of specified indebtedness. The Revolving Credit Agreement also requires the maintenance of a specified Leverage Ratio and Minimum Interest Coverage (both as defined).</w:t>
      </w:r>
    </w:p>
    <w:p>
      <w:pPr>
        <w:spacing w:after="0" w:line="10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7"/>
          <w:szCs w:val="17"/>
          <w:color w:val="auto"/>
        </w:rPr>
        <w:t>The terms of the Revolving Credit Agreement include customary events of default such as payment defaults, cross-defaults to other material indebtedness, bankruptcy and insolvency, the occurrence of a defined change in control or the failure to observe the negative covenants and other covenants related to the operation and conduct of the business of the Company and its subsidiaries. Upon an event of default, the lenders may, among other things, terminate their commitments under the Revolving Credit Agreement and declare any of the then outstanding loans due and payable immediately.</w:t>
      </w:r>
    </w:p>
    <w:p>
      <w:pPr>
        <w:spacing w:after="0" w:line="96" w:lineRule="exact"/>
        <w:rPr>
          <w:sz w:val="20"/>
          <w:szCs w:val="20"/>
          <w:color w:val="auto"/>
        </w:rPr>
      </w:pPr>
    </w:p>
    <w:p>
      <w:pPr>
        <w:ind w:left="700" w:right="40" w:firstLine="397"/>
        <w:spacing w:after="0" w:line="239" w:lineRule="auto"/>
        <w:rPr>
          <w:sz w:val="20"/>
          <w:szCs w:val="20"/>
          <w:color w:val="auto"/>
        </w:rPr>
      </w:pPr>
      <w:r>
        <w:rPr>
          <w:rFonts w:ascii="Arial" w:cs="Arial" w:eastAsia="Arial" w:hAnsi="Arial"/>
          <w:sz w:val="18"/>
          <w:szCs w:val="18"/>
          <w:color w:val="auto"/>
        </w:rPr>
        <w:t>Borrowings under the Revolving Credit Agreement are guaranteed by Scotts Miracle-Gro and substantially all of its domestic subsidiaries. Borrowings under the Revolving Credit Agreement are also collateralized by a pledge by Scotts Miracle-Gro and its domestic subsidiaries of the capital stock of substantially all of such domestic subsidiaries and a majority of the capital stock of certain foreign subsidiaries that are first-tier subsidiaries of such domestic subsidiaries.</w:t>
      </w:r>
    </w:p>
    <w:p>
      <w:pPr>
        <w:spacing w:after="0" w:line="102" w:lineRule="exact"/>
        <w:rPr>
          <w:sz w:val="20"/>
          <w:szCs w:val="20"/>
          <w:color w:val="auto"/>
        </w:rPr>
      </w:pPr>
    </w:p>
    <w:p>
      <w:pPr>
        <w:ind w:left="700" w:right="580" w:firstLine="397"/>
        <w:spacing w:after="0" w:line="206" w:lineRule="auto"/>
        <w:rPr>
          <w:sz w:val="20"/>
          <w:szCs w:val="20"/>
          <w:color w:val="auto"/>
        </w:rPr>
      </w:pPr>
      <w:r>
        <w:rPr>
          <w:rFonts w:ascii="Arial" w:cs="Arial" w:eastAsia="Arial" w:hAnsi="Arial"/>
          <w:sz w:val="18"/>
          <w:szCs w:val="18"/>
          <w:color w:val="auto"/>
        </w:rPr>
        <w:t>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xml:space="preserve">% Notes”) were sold at par, pay interest semi-annually on May 15 and November 15, have a ten-year maturity, and are guaranteed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certain current and future</w:t>
      </w:r>
    </w:p>
    <w:p>
      <w:pPr>
        <w:ind w:left="5600"/>
        <w:spacing w:after="0"/>
        <w:rPr>
          <w:sz w:val="20"/>
          <w:szCs w:val="20"/>
          <w:color w:val="auto"/>
        </w:rPr>
      </w:pPr>
      <w:r>
        <w:rPr>
          <w:rFonts w:ascii="Arial" w:cs="Arial" w:eastAsia="Arial" w:hAnsi="Arial"/>
          <w:sz w:val="11"/>
          <w:szCs w:val="11"/>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80" w:right="100"/>
        <w:spacing w:after="0" w:line="206" w:lineRule="auto"/>
        <w:rPr>
          <w:sz w:val="20"/>
          <w:szCs w:val="20"/>
          <w:color w:val="auto"/>
        </w:rPr>
      </w:pPr>
      <w:r>
        <w:rPr>
          <w:rFonts w:ascii="Arial" w:cs="Arial" w:eastAsia="Arial" w:hAnsi="Arial"/>
          <w:sz w:val="18"/>
          <w:szCs w:val="18"/>
          <w:color w:val="auto"/>
        </w:rPr>
        <w:t>domestic restricted subsidiaries of the Company (see Note 24). Such guarantees are unsecured senior subordinated obligations of the Company.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Notes may be called after November 2008, at a premium to par value of 3.313%, with the call premium declining each year thereafter.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Notes contain covenants limiting or restricting the Company in certain types of transactions. Limitations or restrictions affect transactions involving liens, contingent obligations, capital expenditures, acquisitions, investments, loans and advances, indebtedness, subsidiary distributions, asset sales, sale and leasebacks, and dividends.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Notes also contain cross default provisions that may occur should the Company default in the observance or performance of other indebtedness or covenants, causing the obligations therein to become immediately due and payable prior to the stated maturity thereof upon passing of a cure period.</w:t>
      </w:r>
    </w:p>
    <w:p>
      <w:pPr>
        <w:spacing w:after="0" w:line="114" w:lineRule="exact"/>
        <w:rPr>
          <w:sz w:val="20"/>
          <w:szCs w:val="20"/>
          <w:color w:val="auto"/>
        </w:rPr>
      </w:pPr>
    </w:p>
    <w:p>
      <w:pPr>
        <w:ind w:left="580" w:right="140" w:firstLine="411"/>
        <w:spacing w:after="0"/>
        <w:rPr>
          <w:sz w:val="20"/>
          <w:szCs w:val="20"/>
          <w:color w:val="auto"/>
        </w:rPr>
      </w:pPr>
      <w:r>
        <w:rPr>
          <w:rFonts w:ascii="Arial" w:cs="Arial" w:eastAsia="Arial" w:hAnsi="Arial"/>
          <w:sz w:val="18"/>
          <w:szCs w:val="18"/>
          <w:color w:val="auto"/>
        </w:rPr>
        <w:t>The Company was in compliance with the terms of all borrowing agreements at September 30, 2006. See Note 22 for disclosure as to a recapitalization plan announced on December 12, 2006 to return $750 million to shareholders that will require a restructuring of the Company’s principal long-term financing arrangements.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NOTE 10. SHAREHOLDERS’ EQUITY</w:t>
            </w:r>
          </w:p>
        </w:tc>
        <w:tc>
          <w:tcPr>
            <w:tcW w:w="2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2006</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080" w:type="dxa"/>
            <w:vAlign w:val="bottom"/>
            <w:gridSpan w:val="2"/>
          </w:tcPr>
          <w:p>
            <w:pPr>
              <w:jc w:val="right"/>
              <w:ind w:right="89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60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shares, no par value:</w:t>
            </w:r>
          </w:p>
        </w:tc>
        <w:tc>
          <w:tcPr>
            <w:tcW w:w="2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160"/>
              <w:spacing w:after="0" w:line="202" w:lineRule="exact"/>
              <w:rPr>
                <w:sz w:val="20"/>
                <w:szCs w:val="20"/>
                <w:color w:val="auto"/>
              </w:rPr>
            </w:pPr>
            <w:r>
              <w:rPr>
                <w:rFonts w:ascii="Arial" w:cs="Arial" w:eastAsia="Arial" w:hAnsi="Arial"/>
                <w:sz w:val="18"/>
                <w:szCs w:val="18"/>
                <w:color w:val="auto"/>
              </w:rPr>
              <w:t>Authorized</w:t>
            </w:r>
          </w:p>
        </w:tc>
        <w:tc>
          <w:tcPr>
            <w:tcW w:w="2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0.2 shares</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 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w:t>
            </w:r>
          </w:p>
        </w:tc>
        <w:tc>
          <w:tcPr>
            <w:tcW w:w="27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0.0 shares</w:t>
            </w: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 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Common shares, no par value, $.01 stated value per share</w:t>
            </w:r>
          </w:p>
        </w:tc>
        <w:tc>
          <w:tcPr>
            <w:tcW w:w="2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Authorized</w:t>
            </w:r>
          </w:p>
        </w:tc>
        <w:tc>
          <w:tcPr>
            <w:tcW w:w="27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100.0 shares</w:t>
            </w: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100.0 shares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Issued</w:t>
            </w:r>
          </w:p>
        </w:tc>
        <w:tc>
          <w:tcPr>
            <w:tcW w:w="2740" w:type="dxa"/>
            <w:vAlign w:val="bottom"/>
          </w:tcPr>
          <w:p>
            <w:pPr>
              <w:jc w:val="right"/>
              <w:ind w:right="190"/>
              <w:spacing w:after="0"/>
              <w:rPr>
                <w:sz w:val="20"/>
                <w:szCs w:val="20"/>
                <w:color w:val="auto"/>
              </w:rPr>
            </w:pPr>
            <w:r>
              <w:rPr>
                <w:rFonts w:ascii="Arial" w:cs="Arial" w:eastAsia="Arial" w:hAnsi="Arial"/>
                <w:sz w:val="18"/>
                <w:szCs w:val="18"/>
                <w:color w:val="auto"/>
              </w:rPr>
              <w:t>68.1 shares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67.8 shares</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80" w:right="140" w:firstLine="411"/>
        <w:spacing w:after="0" w:line="239" w:lineRule="auto"/>
        <w:rPr>
          <w:sz w:val="20"/>
          <w:szCs w:val="20"/>
          <w:color w:val="auto"/>
        </w:rPr>
      </w:pPr>
      <w:r>
        <w:rPr>
          <w:rFonts w:ascii="Arial" w:cs="Arial" w:eastAsia="Arial" w:hAnsi="Arial"/>
          <w:sz w:val="18"/>
          <w:szCs w:val="18"/>
          <w:color w:val="auto"/>
        </w:rPr>
        <w:t>In fiscal 1995, The Scotts Company merged with Stern’s Miracle-Gro Products, Inc. (Miracle-Gro). At September 30, 2006, the former shareholders of Miracle-Gro, including Hagedorn Partnership L.P., owned approximately 31% of Scotts Miracle-Gro’s outstanding common shares and, thus, have the ability to significantly influence the election of directors and approval of other actions requiring the approval of Scotts Miracle-Gro’s shareholders.</w:t>
      </w:r>
    </w:p>
    <w:p>
      <w:pPr>
        <w:spacing w:after="0" w:line="107" w:lineRule="exact"/>
        <w:rPr>
          <w:sz w:val="20"/>
          <w:szCs w:val="20"/>
          <w:color w:val="auto"/>
        </w:rPr>
      </w:pPr>
    </w:p>
    <w:p>
      <w:pPr>
        <w:ind w:left="580" w:right="40" w:firstLine="411"/>
        <w:spacing w:after="0" w:line="237" w:lineRule="auto"/>
        <w:rPr>
          <w:sz w:val="20"/>
          <w:szCs w:val="20"/>
          <w:color w:val="auto"/>
        </w:rPr>
      </w:pPr>
      <w:r>
        <w:rPr>
          <w:rFonts w:ascii="Arial" w:cs="Arial" w:eastAsia="Arial" w:hAnsi="Arial"/>
          <w:sz w:val="18"/>
          <w:szCs w:val="18"/>
          <w:color w:val="auto"/>
        </w:rPr>
        <w:t>Under the terms of the Miracle-Gro merger agreement,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109" w:lineRule="exact"/>
        <w:rPr>
          <w:sz w:val="20"/>
          <w:szCs w:val="20"/>
          <w:color w:val="auto"/>
        </w:rPr>
      </w:pPr>
    </w:p>
    <w:p>
      <w:pPr>
        <w:ind w:left="580" w:right="60" w:firstLine="411"/>
        <w:spacing w:after="0" w:line="236" w:lineRule="auto"/>
        <w:rPr>
          <w:sz w:val="20"/>
          <w:szCs w:val="20"/>
          <w:color w:val="auto"/>
        </w:rPr>
      </w:pPr>
      <w:r>
        <w:rPr>
          <w:rFonts w:ascii="Arial" w:cs="Arial" w:eastAsia="Arial" w:hAnsi="Arial"/>
          <w:sz w:val="18"/>
          <w:szCs w:val="18"/>
          <w:color w:val="auto"/>
        </w:rPr>
        <w:t>Scotts Miracle-Gro grants share-based awards annually to officers and other key employees of the Company and non-employee directors. Historically, these awards primarily included options with exercise prices equal to the market price of the underlying common shares on the date of grant with a term of 10 years. Scotts Miracle-Gro also has awarded stock appreciation rights (“SARs”) with a stated price determined by the closing price of Scotts Miracle-Gro’s common shares on the date of grant. SARs result in less dilution than option awards as the SAR holder receives a net share settlement upon exercise. In recent years, the Company also has begun to grant awards of restricted stock and performance shares. These share-based awards have been made under plans approved by the shareholders. Generally, in respect of grants to employees, a three-year cliff vesting schedule is used for all share-based awards unless decided otherwise by the Compensation and Organization Committee of the Board of Directors. The Company uses newly issued common shares or treasury shares, if available, in conjunction with its share-based compensation awards. Grants to non-employee directors typically vest in one year or less. A maximum of 18 million common shares may be delivered for issuance under these plans. At September 30, 2006, approximately 5.1 million common shares are not subject to outstanding awards and are available to underlie the grant of new share-based awards. Subsequent to September 30, 2006, Scotts</w:t>
      </w:r>
    </w:p>
    <w:p>
      <w:pPr>
        <w:spacing w:after="0" w:line="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80" w:right="460"/>
        <w:spacing w:after="0" w:line="246" w:lineRule="auto"/>
        <w:rPr>
          <w:sz w:val="20"/>
          <w:szCs w:val="20"/>
          <w:color w:val="auto"/>
        </w:rPr>
      </w:pPr>
      <w:r>
        <w:rPr>
          <w:rFonts w:ascii="Arial" w:cs="Arial" w:eastAsia="Arial" w:hAnsi="Arial"/>
          <w:sz w:val="18"/>
          <w:szCs w:val="18"/>
          <w:color w:val="auto"/>
        </w:rPr>
        <w:t>Miracle-Gro granted a total of 991,600 share-based awards to key employees. These awards had an estimated fair value of $19.9 million as of the date of grant.</w:t>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is a recap of the share-based awards granted over the periods indicated:</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gridSpan w:val="8"/>
          </w:tcPr>
          <w:p>
            <w:pPr>
              <w:ind w:left="580"/>
              <w:spacing w:after="0"/>
              <w:rPr>
                <w:sz w:val="20"/>
                <w:szCs w:val="20"/>
                <w:color w:val="auto"/>
              </w:rPr>
            </w:pPr>
            <w:r>
              <w:rPr>
                <w:rFonts w:ascii="Arial" w:cs="Arial" w:eastAsia="Arial" w:hAnsi="Arial"/>
                <w:sz w:val="18"/>
                <w:szCs w:val="18"/>
                <w:color w:val="auto"/>
              </w:rPr>
              <w:t>Year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2005</w:t>
            </w: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Key employees</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ind w:left="160"/>
              <w:spacing w:after="0" w:line="202" w:lineRule="exact"/>
              <w:rPr>
                <w:sz w:val="20"/>
                <w:szCs w:val="20"/>
                <w:color w:val="auto"/>
              </w:rPr>
            </w:pPr>
            <w:r>
              <w:rPr>
                <w:rFonts w:ascii="Arial" w:cs="Arial" w:eastAsia="Arial" w:hAnsi="Arial"/>
                <w:sz w:val="18"/>
                <w:szCs w:val="18"/>
                <w:color w:val="auto"/>
              </w:rPr>
              <w:t>Options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835,640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965,600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118,000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appreciation rights</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775,500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ind w:left="160"/>
              <w:spacing w:after="0" w:line="202" w:lineRule="exact"/>
              <w:rPr>
                <w:sz w:val="20"/>
                <w:szCs w:val="20"/>
                <w:color w:val="auto"/>
              </w:rPr>
            </w:pPr>
            <w:r>
              <w:rPr>
                <w:rFonts w:ascii="Arial" w:cs="Arial" w:eastAsia="Arial" w:hAnsi="Arial"/>
                <w:sz w:val="18"/>
                <w:szCs w:val="18"/>
                <w:color w:val="auto"/>
              </w:rPr>
              <w:t>Restricted stock</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184,595</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101,000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Performance shares</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Board of Directors — Options</w:t>
            </w:r>
          </w:p>
        </w:tc>
        <w:tc>
          <w:tcPr>
            <w:tcW w:w="1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126,000</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147,000</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share-based awards</w:t>
            </w:r>
          </w:p>
        </w:tc>
        <w:tc>
          <w:tcPr>
            <w:tcW w:w="18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1,176,235</w:t>
            </w:r>
          </w:p>
        </w:tc>
        <w:tc>
          <w:tcPr>
            <w:tcW w:w="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1,213,600</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1,046,000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tcPr>
          <w:p>
            <w:pPr>
              <w:spacing w:after="0"/>
              <w:rPr>
                <w:sz w:val="20"/>
                <w:szCs w:val="20"/>
                <w:color w:val="auto"/>
              </w:rPr>
            </w:pPr>
            <w:r>
              <w:rPr>
                <w:rFonts w:ascii="Arial" w:cs="Arial" w:eastAsia="Arial" w:hAnsi="Arial"/>
                <w:sz w:val="18"/>
                <w:szCs w:val="18"/>
                <w:color w:val="auto"/>
              </w:rPr>
              <w:t>Fair value at grant dates (in millions)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80" w:right="240" w:firstLine="411"/>
        <w:spacing w:after="0" w:line="246" w:lineRule="auto"/>
        <w:rPr>
          <w:sz w:val="20"/>
          <w:szCs w:val="20"/>
          <w:color w:val="auto"/>
        </w:rPr>
      </w:pPr>
      <w:r>
        <w:rPr>
          <w:rFonts w:ascii="Arial" w:cs="Arial" w:eastAsia="Arial" w:hAnsi="Arial"/>
          <w:sz w:val="18"/>
          <w:szCs w:val="18"/>
          <w:color w:val="auto"/>
        </w:rPr>
        <w:t>Total share-based compensation and the tax benefit recognized in compensation expense were as follows for the periods indicated (in millions):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Year Ended September 30,</w:t>
            </w:r>
          </w:p>
        </w:tc>
        <w:tc>
          <w:tcPr>
            <w:tcW w:w="600" w:type="dxa"/>
            <w:vAlign w:val="bottom"/>
            <w:tcBorders>
              <w:bottom w:val="single" w:sz="8" w:color="auto"/>
            </w:tcBorders>
          </w:tcPr>
          <w:p>
            <w:pPr>
              <w:spacing w:after="0"/>
              <w:rPr>
                <w:sz w:val="17"/>
                <w:szCs w:val="17"/>
                <w:color w:val="auto"/>
              </w:rPr>
            </w:pPr>
          </w:p>
        </w:tc>
      </w:tr>
      <w:tr>
        <w:trPr>
          <w:trHeight w:val="210"/>
        </w:trPr>
        <w:tc>
          <w:tcPr>
            <w:tcW w:w="6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2006</w:t>
            </w:r>
          </w:p>
        </w:tc>
        <w:tc>
          <w:tcPr>
            <w:tcW w:w="24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2005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r>
      <w:tr>
        <w:trPr>
          <w:trHeight w:val="249"/>
        </w:trPr>
        <w:tc>
          <w:tcPr>
            <w:tcW w:w="66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$15.7</w:t>
            </w:r>
          </w:p>
        </w:tc>
        <w:tc>
          <w:tcPr>
            <w:tcW w:w="2460" w:type="dxa"/>
            <w:vAlign w:val="bottom"/>
          </w:tcPr>
          <w:p>
            <w:pPr>
              <w:jc w:val="right"/>
              <w:ind w:right="910"/>
              <w:spacing w:after="0"/>
              <w:rPr>
                <w:sz w:val="20"/>
                <w:szCs w:val="20"/>
                <w:color w:val="auto"/>
              </w:rPr>
            </w:pPr>
            <w:r>
              <w:rPr>
                <w:rFonts w:ascii="Arial" w:cs="Arial" w:eastAsia="Arial" w:hAnsi="Arial"/>
                <w:sz w:val="18"/>
                <w:szCs w:val="18"/>
                <w:color w:val="auto"/>
              </w:rPr>
              <w:t>$10.7</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17"/>
        </w:trPr>
        <w:tc>
          <w:tcPr>
            <w:tcW w:w="6620" w:type="dxa"/>
            <w:vAlign w:val="bottom"/>
          </w:tcPr>
          <w:p>
            <w:pPr>
              <w:spacing w:after="0"/>
              <w:rPr>
                <w:sz w:val="20"/>
                <w:szCs w:val="20"/>
                <w:color w:val="auto"/>
              </w:rPr>
            </w:pPr>
            <w:r>
              <w:rPr>
                <w:rFonts w:ascii="Arial" w:cs="Arial" w:eastAsia="Arial" w:hAnsi="Arial"/>
                <w:sz w:val="18"/>
                <w:szCs w:val="18"/>
                <w:color w:val="auto"/>
              </w:rPr>
              <w:t>Tax benefit recognized</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2460" w:type="dxa"/>
            <w:vAlign w:val="bottom"/>
          </w:tcPr>
          <w:p>
            <w:pPr>
              <w:jc w:val="right"/>
              <w:ind w:right="910"/>
              <w:spacing w:after="0"/>
              <w:rPr>
                <w:sz w:val="20"/>
                <w:szCs w:val="20"/>
                <w:color w:val="auto"/>
              </w:rPr>
            </w:pPr>
            <w:r>
              <w:rPr>
                <w:rFonts w:ascii="Arial" w:cs="Arial" w:eastAsia="Arial" w:hAnsi="Arial"/>
                <w:sz w:val="18"/>
                <w:szCs w:val="18"/>
                <w:color w:val="auto"/>
              </w:rPr>
              <w:t>3.9</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2.9</w:t>
            </w:r>
          </w:p>
        </w:tc>
      </w:tr>
    </w:tbl>
    <w:p>
      <w:pPr>
        <w:spacing w:after="0" w:line="107" w:lineRule="exact"/>
        <w:rPr>
          <w:sz w:val="20"/>
          <w:szCs w:val="20"/>
          <w:color w:val="auto"/>
        </w:rPr>
      </w:pPr>
    </w:p>
    <w:p>
      <w:pPr>
        <w:ind w:left="580" w:right="360" w:firstLine="411"/>
        <w:spacing w:after="0"/>
        <w:rPr>
          <w:sz w:val="20"/>
          <w:szCs w:val="20"/>
          <w:color w:val="auto"/>
        </w:rPr>
      </w:pPr>
      <w:r>
        <w:rPr>
          <w:rFonts w:ascii="Arial" w:cs="Arial" w:eastAsia="Arial" w:hAnsi="Arial"/>
          <w:sz w:val="18"/>
          <w:szCs w:val="18"/>
          <w:color w:val="auto"/>
        </w:rPr>
        <w:t>Had compensation expense been recognized for unvested stock options granted prior to the Company’s adoption of the expense recognition provisions of SFAS 123 as of October 1, 2002, the Company would have recorded net income and net income per share as follows (in millions, except per share data):</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For the Fiscal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8"/>
              </w:rPr>
              <w:t>Year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 included in reported net income, net of tax</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stock-based employee compensation expense determined under fair value based method for all awards,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net of tax</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8840" w:type="dxa"/>
            <w:vAlign w:val="bottom"/>
            <w:gridSpan w:val="2"/>
          </w:tcPr>
          <w:p>
            <w:pPr>
              <w:spacing w:after="0"/>
              <w:rPr>
                <w:sz w:val="20"/>
                <w:szCs w:val="20"/>
                <w:color w:val="auto"/>
              </w:rPr>
            </w:pPr>
            <w:r>
              <w:rPr>
                <w:rFonts w:ascii="Arial" w:cs="Arial" w:eastAsia="Arial" w:hAnsi="Arial"/>
                <w:sz w:val="18"/>
                <w:szCs w:val="18"/>
                <w:color w:val="auto"/>
              </w:rPr>
              <w:t>Net income, as adjusted</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 as reported: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Net income per share, as adjusted: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The “as adjusted” amounts shown above are not necessa</w:t>
      </w:r>
      <w:r>
        <w:rPr>
          <w:rFonts w:ascii="Arial" w:cs="Arial" w:eastAsia="Arial" w:hAnsi="Arial"/>
          <w:sz w:val="18"/>
          <w:szCs w:val="18"/>
          <w:u w:val="single" w:color="auto"/>
          <w:color w:val="auto"/>
        </w:rPr>
        <w:t>rily</w:t>
      </w:r>
      <w:r>
        <w:rPr>
          <w:rFonts w:ascii="Arial" w:cs="Arial" w:eastAsia="Arial" w:hAnsi="Arial"/>
          <w:sz w:val="18"/>
          <w:szCs w:val="18"/>
          <w:color w:val="auto"/>
        </w:rPr>
        <w:t xml:space="preserve"> representative of the impact on net income in future periods.</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Stock Options/SARs</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Aggregate option and stock appreciation right award activity consists of the following (options/SARs in millions):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color w:val="auto"/>
              </w:rPr>
              <w:t>Fiscal Year Ended September 30,</w:t>
            </w: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2006</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2005</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2004</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WTD.</w:t>
            </w:r>
          </w:p>
        </w:tc>
        <w:tc>
          <w:tcPr>
            <w:tcW w:w="3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WTD.</w:t>
            </w:r>
          </w:p>
        </w:tc>
        <w:tc>
          <w:tcPr>
            <w:tcW w:w="3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Avg.</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center"/>
              <w:ind w:right="480"/>
              <w:spacing w:after="0" w:line="202" w:lineRule="exact"/>
              <w:rPr>
                <w:sz w:val="20"/>
                <w:szCs w:val="20"/>
                <w:color w:val="auto"/>
              </w:rPr>
            </w:pPr>
            <w:r>
              <w:rPr>
                <w:rFonts w:ascii="Arial" w:cs="Arial" w:eastAsia="Arial" w:hAnsi="Arial"/>
                <w:sz w:val="18"/>
                <w:szCs w:val="18"/>
                <w:color w:val="auto"/>
                <w:w w:val="99"/>
              </w:rPr>
              <w:t>Avg.</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Avg.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No. of</w:t>
            </w:r>
          </w:p>
        </w:tc>
        <w:tc>
          <w:tcPr>
            <w:tcW w:w="80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5"/>
              </w:rPr>
              <w:t>Exercise</w:t>
            </w:r>
          </w:p>
        </w:tc>
        <w:tc>
          <w:tcPr>
            <w:tcW w:w="380" w:type="dxa"/>
            <w:vAlign w:val="bottom"/>
          </w:tcPr>
          <w:p>
            <w:pPr>
              <w:spacing w:after="0"/>
              <w:rPr>
                <w:sz w:val="17"/>
                <w:szCs w:val="17"/>
                <w:color w:val="auto"/>
              </w:rPr>
            </w:pPr>
          </w:p>
        </w:tc>
        <w:tc>
          <w:tcPr>
            <w:tcW w:w="14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No. of</w:t>
            </w:r>
          </w:p>
        </w:tc>
        <w:tc>
          <w:tcPr>
            <w:tcW w:w="11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Exercise</w:t>
            </w:r>
          </w:p>
        </w:tc>
        <w:tc>
          <w:tcPr>
            <w:tcW w:w="14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No. of</w:t>
            </w:r>
          </w:p>
        </w:tc>
        <w:tc>
          <w:tcPr>
            <w:tcW w:w="9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Exercise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Options/SARs</w:t>
            </w:r>
          </w:p>
        </w:tc>
        <w:tc>
          <w:tcPr>
            <w:tcW w:w="220" w:type="dxa"/>
            <w:vAlign w:val="bottom"/>
          </w:tcPr>
          <w:p>
            <w:pPr>
              <w:spacing w:after="0"/>
              <w:rPr>
                <w:sz w:val="18"/>
                <w:szCs w:val="18"/>
                <w:color w:val="auto"/>
              </w:rPr>
            </w:pPr>
          </w:p>
        </w:tc>
        <w:tc>
          <w:tcPr>
            <w:tcW w:w="580" w:type="dxa"/>
            <w:vAlign w:val="bottom"/>
          </w:tcPr>
          <w:p>
            <w:pPr>
              <w:jc w:val="center"/>
              <w:ind w:right="10"/>
              <w:spacing w:after="0"/>
              <w:rPr>
                <w:sz w:val="20"/>
                <w:szCs w:val="20"/>
                <w:color w:val="auto"/>
              </w:rPr>
            </w:pPr>
            <w:r>
              <w:rPr>
                <w:rFonts w:ascii="Arial" w:cs="Arial" w:eastAsia="Arial" w:hAnsi="Arial"/>
                <w:sz w:val="18"/>
                <w:szCs w:val="18"/>
                <w:color w:val="auto"/>
                <w:w w:val="97"/>
              </w:rPr>
              <w:t>Price</w:t>
            </w:r>
          </w:p>
        </w:tc>
        <w:tc>
          <w:tcPr>
            <w:tcW w:w="3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Options/SARs</w:t>
            </w:r>
          </w:p>
        </w:tc>
        <w:tc>
          <w:tcPr>
            <w:tcW w:w="220" w:type="dxa"/>
            <w:vAlign w:val="bottom"/>
          </w:tcPr>
          <w:p>
            <w:pPr>
              <w:spacing w:after="0"/>
              <w:rPr>
                <w:sz w:val="18"/>
                <w:szCs w:val="18"/>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Price</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Options/SARs</w:t>
            </w:r>
          </w:p>
        </w:tc>
        <w:tc>
          <w:tcPr>
            <w:tcW w:w="220" w:type="dxa"/>
            <w:vAlign w:val="bottom"/>
          </w:tcPr>
          <w:p>
            <w:pPr>
              <w:spacing w:after="0"/>
              <w:rPr>
                <w:sz w:val="18"/>
                <w:szCs w:val="18"/>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Price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23.09</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19.87</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60" w:type="dxa"/>
            <w:vAlign w:val="bottom"/>
          </w:tcPr>
          <w:p>
            <w:pPr>
              <w:spacing w:after="0"/>
              <w:rPr>
                <w:sz w:val="17"/>
                <w:szCs w:val="17"/>
                <w:color w:val="auto"/>
              </w:rPr>
            </w:pPr>
          </w:p>
        </w:tc>
        <w:tc>
          <w:tcPr>
            <w:tcW w:w="220" w:type="dxa"/>
            <w:vAlign w:val="bottom"/>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43.58</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7"/>
                <w:szCs w:val="17"/>
                <w:color w:val="auto"/>
              </w:rPr>
            </w:pPr>
          </w:p>
        </w:tc>
        <w:tc>
          <w:tcPr>
            <w:tcW w:w="220" w:type="dxa"/>
            <w:vAlign w:val="bottom"/>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34.56</w:t>
            </w:r>
          </w:p>
        </w:tc>
        <w:tc>
          <w:tcPr>
            <w:tcW w:w="3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7"/>
                <w:szCs w:val="17"/>
                <w:color w:val="auto"/>
              </w:rPr>
            </w:pPr>
          </w:p>
        </w:tc>
        <w:tc>
          <w:tcPr>
            <w:tcW w:w="220" w:type="dxa"/>
            <w:vAlign w:val="bottom"/>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20.15</w:t>
            </w:r>
          </w:p>
        </w:tc>
        <w:tc>
          <w:tcPr>
            <w:tcW w:w="1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15.99</w:t>
            </w:r>
          </w:p>
        </w:tc>
        <w:tc>
          <w:tcPr>
            <w:tcW w:w="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(0.3)</w:t>
            </w:r>
          </w:p>
        </w:tc>
        <w:tc>
          <w:tcPr>
            <w:tcW w:w="220" w:type="dxa"/>
            <w:vAlign w:val="bottom"/>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37.44</w:t>
            </w:r>
          </w:p>
        </w:tc>
        <w:tc>
          <w:tcPr>
            <w:tcW w:w="18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(0.3)</w:t>
            </w:r>
          </w:p>
        </w:tc>
        <w:tc>
          <w:tcPr>
            <w:tcW w:w="220" w:type="dxa"/>
            <w:vAlign w:val="bottom"/>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28.06</w:t>
            </w:r>
          </w:p>
        </w:tc>
        <w:tc>
          <w:tcPr>
            <w:tcW w:w="380" w:type="dxa"/>
            <w:vAlign w:val="bottom"/>
          </w:tcPr>
          <w:p>
            <w:pPr>
              <w:spacing w:after="0"/>
              <w:rPr>
                <w:sz w:val="18"/>
                <w:szCs w:val="18"/>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(0.2)</w:t>
            </w:r>
          </w:p>
        </w:tc>
        <w:tc>
          <w:tcPr>
            <w:tcW w:w="220" w:type="dxa"/>
            <w:vAlign w:val="bottom"/>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26.09</w:t>
            </w:r>
          </w:p>
        </w:tc>
        <w:tc>
          <w:tcPr>
            <w:tcW w:w="380" w:type="dxa"/>
            <w:vAlign w:val="bottom"/>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23.09</w:t>
            </w:r>
          </w:p>
        </w:tc>
        <w:tc>
          <w:tcPr>
            <w:tcW w:w="380" w:type="dxa"/>
            <w:vAlign w:val="bottom"/>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gridSpan w:val="2"/>
          </w:tcPr>
          <w:p>
            <w:pPr>
              <w:spacing w:after="0"/>
              <w:rPr>
                <w:sz w:val="20"/>
                <w:szCs w:val="20"/>
                <w:color w:val="auto"/>
              </w:rPr>
            </w:pPr>
            <w:r>
              <w:rPr>
                <w:rFonts w:ascii="Arial" w:cs="Arial" w:eastAsia="Arial" w:hAnsi="Arial"/>
                <w:sz w:val="18"/>
                <w:szCs w:val="18"/>
                <w:color w:val="auto"/>
              </w:rPr>
              <w:t>Exercisable</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20.38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17.89</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120" w:firstLine="397"/>
        <w:spacing w:after="0" w:line="246" w:lineRule="auto"/>
        <w:rPr>
          <w:sz w:val="20"/>
          <w:szCs w:val="20"/>
          <w:color w:val="auto"/>
        </w:rPr>
      </w:pPr>
      <w:r>
        <w:rPr>
          <w:rFonts w:ascii="Arial" w:cs="Arial" w:eastAsia="Arial" w:hAnsi="Arial"/>
          <w:sz w:val="18"/>
          <w:szCs w:val="18"/>
          <w:color w:val="auto"/>
        </w:rPr>
        <w:t>The following summarizes certain information pertaining to option and stock appreciation right awards outstanding and exercisable at September 30, 2006 (options/SARs in millions):</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Awards Outstanding</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gridSpan w:val="5"/>
          </w:tcPr>
          <w:p>
            <w:pPr>
              <w:ind w:left="100"/>
              <w:spacing w:after="0"/>
              <w:rPr>
                <w:sz w:val="20"/>
                <w:szCs w:val="20"/>
                <w:color w:val="auto"/>
              </w:rPr>
            </w:pPr>
            <w:r>
              <w:rPr>
                <w:rFonts w:ascii="Arial" w:cs="Arial" w:eastAsia="Arial" w:hAnsi="Arial"/>
                <w:sz w:val="18"/>
                <w:szCs w:val="18"/>
                <w:color w:val="auto"/>
              </w:rPr>
              <w:t>Awards Exercisable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No. of</w:t>
            </w:r>
          </w:p>
        </w:tc>
        <w:tc>
          <w:tcPr>
            <w:tcW w:w="144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WTD. Avg.</w:t>
            </w:r>
          </w:p>
        </w:tc>
        <w:tc>
          <w:tcPr>
            <w:tcW w:w="106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rPr>
              <w:t>WTD. Avg.</w:t>
            </w:r>
          </w:p>
        </w:tc>
        <w:tc>
          <w:tcPr>
            <w:tcW w:w="400" w:type="dxa"/>
            <w:vAlign w:val="bottom"/>
          </w:tcPr>
          <w:p>
            <w:pPr>
              <w:spacing w:after="0"/>
              <w:rPr>
                <w:sz w:val="16"/>
                <w:szCs w:val="16"/>
                <w:color w:val="auto"/>
              </w:rPr>
            </w:pPr>
          </w:p>
        </w:tc>
        <w:tc>
          <w:tcPr>
            <w:tcW w:w="6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No. of</w:t>
            </w: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Range of</w:t>
            </w:r>
          </w:p>
        </w:tc>
        <w:tc>
          <w:tcPr>
            <w:tcW w:w="700" w:type="dxa"/>
            <w:vAlign w:val="bottom"/>
          </w:tcPr>
          <w:p>
            <w:pPr>
              <w:jc w:val="center"/>
              <w:spacing w:after="0" w:line="202" w:lineRule="exact"/>
              <w:rPr>
                <w:sz w:val="20"/>
                <w:szCs w:val="20"/>
                <w:color w:val="auto"/>
              </w:rPr>
            </w:pPr>
            <w:r>
              <w:rPr>
                <w:rFonts w:ascii="Arial" w:cs="Arial" w:eastAsia="Arial" w:hAnsi="Arial"/>
                <w:sz w:val="18"/>
                <w:szCs w:val="18"/>
                <w:color w:val="auto"/>
                <w:w w:val="98"/>
              </w:rPr>
              <w:t>Options/</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Remaining</w:t>
            </w:r>
          </w:p>
        </w:tc>
        <w:tc>
          <w:tcPr>
            <w:tcW w:w="2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Exercise</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Options/</w:t>
            </w:r>
          </w:p>
        </w:tc>
        <w:tc>
          <w:tcPr>
            <w:tcW w:w="118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Exercise</w:t>
            </w:r>
          </w:p>
        </w:tc>
        <w:tc>
          <w:tcPr>
            <w:tcW w:w="0" w:type="dxa"/>
            <w:vAlign w:val="bottom"/>
          </w:tcPr>
          <w:p>
            <w:pPr>
              <w:spacing w:after="0"/>
              <w:rPr>
                <w:sz w:val="1"/>
                <w:szCs w:val="1"/>
                <w:color w:val="auto"/>
              </w:rPr>
            </w:pPr>
          </w:p>
        </w:tc>
      </w:tr>
      <w:tr>
        <w:trPr>
          <w:trHeight w:val="217"/>
        </w:trPr>
        <w:tc>
          <w:tcPr>
            <w:tcW w:w="446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SARs</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Life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Price</w:t>
            </w:r>
          </w:p>
        </w:tc>
        <w:tc>
          <w:tcPr>
            <w:tcW w:w="4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SARS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Price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$ 8.50 – $14.72</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4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0.73</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10.81</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$15.00 – $17.38</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3.19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15.72</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$17.50 – $19.98</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4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18.85</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$20.07 – $25.62</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6.37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24.49</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24.49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$29.08 – $31.56</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4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29.41</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$32.58 – $40.53</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34.63</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34.15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$42.51 – $49.55</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4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43.74</w:t>
            </w:r>
          </w:p>
        </w:tc>
        <w:tc>
          <w:tcPr>
            <w:tcW w:w="4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4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340" w:firstLine="397"/>
        <w:spacing w:after="0" w:line="242" w:lineRule="auto"/>
        <w:rPr>
          <w:sz w:val="20"/>
          <w:szCs w:val="20"/>
          <w:color w:val="auto"/>
        </w:rPr>
      </w:pPr>
      <w:r>
        <w:rPr>
          <w:rFonts w:ascii="Arial" w:cs="Arial" w:eastAsia="Arial" w:hAnsi="Arial"/>
          <w:sz w:val="18"/>
          <w:szCs w:val="18"/>
          <w:color w:val="auto"/>
        </w:rPr>
        <w:t>The intrinsic value of the options and stock appreciation right awards outstanding and exercisable at September 30, were as follows (in millions):</w:t>
      </w:r>
    </w:p>
    <w:tbl>
      <w:tblPr>
        <w:tblLayout w:type="fixed"/>
        <w:tblInd w:w="7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820" w:type="dxa"/>
            <w:vAlign w:val="bottom"/>
            <w:gridSpan w:val="2"/>
          </w:tcPr>
          <w:p>
            <w:pPr>
              <w:jc w:val="right"/>
              <w:ind w:right="80"/>
              <w:spacing w:after="0" w:line="205" w:lineRule="exact"/>
              <w:rPr>
                <w:sz w:val="20"/>
                <w:szCs w:val="20"/>
                <w:color w:val="auto"/>
              </w:rPr>
            </w:pPr>
            <w:r>
              <w:rPr>
                <w:rFonts w:ascii="Arial" w:cs="Arial" w:eastAsia="Arial" w:hAnsi="Arial"/>
                <w:sz w:val="18"/>
                <w:szCs w:val="18"/>
                <w:color w:val="auto"/>
              </w:rPr>
              <w:t>2006</w:t>
            </w:r>
          </w:p>
        </w:tc>
        <w:tc>
          <w:tcPr>
            <w:tcW w:w="960" w:type="dxa"/>
            <w:vAlign w:val="bottom"/>
            <w:gridSpan w:val="2"/>
          </w:tcPr>
          <w:p>
            <w:pPr>
              <w:jc w:val="right"/>
              <w:ind w:right="80"/>
              <w:spacing w:after="0" w:line="205" w:lineRule="exact"/>
              <w:rPr>
                <w:sz w:val="20"/>
                <w:szCs w:val="20"/>
                <w:color w:val="auto"/>
              </w:rPr>
            </w:pPr>
            <w:r>
              <w:rPr>
                <w:rFonts w:ascii="Arial" w:cs="Arial" w:eastAsia="Arial" w:hAnsi="Arial"/>
                <w:sz w:val="18"/>
                <w:szCs w:val="18"/>
                <w:color w:val="auto"/>
              </w:rPr>
              <w:t>2005</w:t>
            </w:r>
          </w:p>
        </w:tc>
        <w:tc>
          <w:tcPr>
            <w:tcW w:w="84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2004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1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w:t>
            </w:r>
          </w:p>
        </w:tc>
        <w:tc>
          <w:tcPr>
            <w:tcW w:w="3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$114.1</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$133.6</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Exercisable</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00" w:right="280" w:firstLine="397"/>
        <w:spacing w:after="0" w:line="237" w:lineRule="auto"/>
        <w:rPr>
          <w:sz w:val="20"/>
          <w:szCs w:val="20"/>
          <w:color w:val="auto"/>
        </w:rPr>
      </w:pPr>
      <w:r>
        <w:rPr>
          <w:rFonts w:ascii="Arial" w:cs="Arial" w:eastAsia="Arial" w:hAnsi="Arial"/>
          <w:sz w:val="18"/>
          <w:szCs w:val="18"/>
          <w:color w:val="auto"/>
        </w:rPr>
        <w:t>The fair value of each award granted has been estimated on the grant date using the Binomial model for fiscal 2006 and fiscal 2005 and the Black-Scholes option-pricing model for fiscal 2004 using the assumptions noted in the following table. Expected market price volatility is based on implied volatilities from traded options on Scotts Miracle-Gro’s common shares and historical volatility on the Scotts Miracle-Gro’s common shares. Historical data, including demographic factors impacting historical exercise behavior, is used to estimate option exercise and employee termination within the valuation model. The risk-free rate for periods within the contractual life of the option is based on the U.S. Treasury yield curve in effect at the</w:t>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1"/>
          <w:szCs w:val="11"/>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80" w:right="420"/>
        <w:spacing w:after="0" w:line="246" w:lineRule="auto"/>
        <w:rPr>
          <w:sz w:val="20"/>
          <w:szCs w:val="20"/>
          <w:color w:val="auto"/>
        </w:rPr>
      </w:pPr>
      <w:r>
        <w:rPr>
          <w:rFonts w:ascii="Arial" w:cs="Arial" w:eastAsia="Arial" w:hAnsi="Arial"/>
          <w:sz w:val="18"/>
          <w:szCs w:val="18"/>
          <w:color w:val="auto"/>
        </w:rPr>
        <w:t>time of grant. The weighted average assumptions for those awards granted in fiscal 2006, fiscal 2005 and fiscal 2004 are as follows: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Year Ended September 30,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c>
          <w:tcPr>
            <w:tcW w:w="230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8"/>
                <w:szCs w:val="18"/>
                <w:color w:val="auto"/>
              </w:rPr>
              <w:t>2005</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Market price volatility</w:t>
            </w:r>
          </w:p>
        </w:tc>
        <w:tc>
          <w:tcPr>
            <w:tcW w:w="14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23.0%</w:t>
            </w:r>
          </w:p>
        </w:tc>
        <w:tc>
          <w:tcPr>
            <w:tcW w:w="230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23.9%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Risk-free interest rates</w:t>
            </w:r>
          </w:p>
        </w:tc>
        <w:tc>
          <w:tcPr>
            <w:tcW w:w="1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4.4%</w:t>
            </w:r>
          </w:p>
        </w:tc>
        <w:tc>
          <w:tcPr>
            <w:tcW w:w="230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14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1.2%</w:t>
            </w:r>
          </w:p>
        </w:tc>
        <w:tc>
          <w:tcPr>
            <w:tcW w:w="230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Expected life of options/SARs</w:t>
            </w:r>
          </w:p>
        </w:tc>
        <w:tc>
          <w:tcPr>
            <w:tcW w:w="14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6.19</w:t>
            </w:r>
          </w:p>
        </w:tc>
        <w:tc>
          <w:tcPr>
            <w:tcW w:w="2300" w:type="dxa"/>
            <w:vAlign w:val="bottom"/>
            <w:gridSpan w:val="3"/>
          </w:tcPr>
          <w:p>
            <w:pPr>
              <w:jc w:val="right"/>
              <w:ind w:right="780"/>
              <w:spacing w:after="0" w:line="202" w:lineRule="exact"/>
              <w:rPr>
                <w:sz w:val="20"/>
                <w:szCs w:val="20"/>
                <w:color w:val="auto"/>
              </w:rPr>
            </w:pPr>
            <w:r>
              <w:rPr>
                <w:rFonts w:ascii="Arial" w:cs="Arial" w:eastAsia="Arial" w:hAnsi="Arial"/>
                <w:sz w:val="18"/>
                <w:szCs w:val="18"/>
                <w:color w:val="auto"/>
              </w:rPr>
              <w:t>6.15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Estimated weighted-average fair value per share of</w:t>
            </w: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options/SARs</w:t>
            </w:r>
          </w:p>
        </w:tc>
        <w:tc>
          <w:tcPr>
            <w:tcW w:w="1480" w:type="dxa"/>
            <w:vAlign w:val="bottom"/>
            <w:gridSpan w:val="2"/>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rPr>
              <w:t>$12.04</w:t>
            </w:r>
          </w:p>
        </w:tc>
        <w:tc>
          <w:tcPr>
            <w:tcW w:w="2300" w:type="dxa"/>
            <w:vAlign w:val="bottom"/>
            <w:gridSpan w:val="3"/>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$10.57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$ 8.86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9"/>
              </w:rPr>
              <w:t>Restricted Stock</w:t>
            </w:r>
          </w:p>
        </w:tc>
        <w:tc>
          <w:tcPr>
            <w:tcW w:w="4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320" w:type="dxa"/>
            <w:vAlign w:val="bottom"/>
            <w:gridSpan w:val="2"/>
          </w:tcPr>
          <w:p>
            <w:pPr>
              <w:ind w:left="380"/>
              <w:spacing w:after="0"/>
              <w:rPr>
                <w:sz w:val="20"/>
                <w:szCs w:val="20"/>
                <w:color w:val="auto"/>
              </w:rPr>
            </w:pPr>
            <w:r>
              <w:rPr>
                <w:rFonts w:ascii="Arial" w:cs="Arial" w:eastAsia="Arial" w:hAnsi="Arial"/>
                <w:sz w:val="18"/>
                <w:szCs w:val="18"/>
                <w:color w:val="auto"/>
              </w:rPr>
              <w:t>Aggregate restricted stock award activity is as follows: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WTD Avg.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3"/>
          </w:tcPr>
          <w:p>
            <w:pPr>
              <w:jc w:val="center"/>
              <w:ind w:right="120"/>
              <w:spacing w:after="0" w:line="202" w:lineRule="exact"/>
              <w:rPr>
                <w:sz w:val="20"/>
                <w:szCs w:val="20"/>
                <w:color w:val="auto"/>
              </w:rPr>
            </w:pPr>
            <w:r>
              <w:rPr>
                <w:rFonts w:ascii="Arial" w:cs="Arial" w:eastAsia="Arial" w:hAnsi="Arial"/>
                <w:sz w:val="18"/>
                <w:szCs w:val="18"/>
                <w:color w:val="auto"/>
                <w:w w:val="99"/>
              </w:rPr>
              <w:t>Grant Date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2"/>
          </w:tcPr>
          <w:p>
            <w:pPr>
              <w:jc w:val="right"/>
              <w:ind w:right="1540"/>
              <w:spacing w:after="0" w:line="202" w:lineRule="exact"/>
              <w:rPr>
                <w:sz w:val="20"/>
                <w:szCs w:val="20"/>
                <w:color w:val="auto"/>
              </w:rPr>
            </w:pPr>
            <w:r>
              <w:rPr>
                <w:rFonts w:ascii="Arial" w:cs="Arial" w:eastAsia="Arial" w:hAnsi="Arial"/>
                <w:sz w:val="18"/>
                <w:szCs w:val="18"/>
                <w:color w:val="auto"/>
              </w:rPr>
              <w:t>No. of</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7"/>
              </w:rPr>
              <w:t>Fair Value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right"/>
              <w:ind w:right="148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September 30, 2004</w:t>
            </w: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13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101,000</w:t>
            </w: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jc w:val="right"/>
              <w:ind w:right="1340"/>
              <w:spacing w:after="0" w:line="202" w:lineRule="exact"/>
              <w:rPr>
                <w:sz w:val="20"/>
                <w:szCs w:val="20"/>
                <w:color w:val="auto"/>
              </w:rPr>
            </w:pPr>
            <w:r>
              <w:rPr>
                <w:rFonts w:ascii="Arial" w:cs="Arial" w:eastAsia="Arial" w:hAnsi="Arial"/>
                <w:sz w:val="18"/>
                <w:szCs w:val="18"/>
                <w:color w:val="auto"/>
              </w:rPr>
              <w:t>(1,600)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2"/>
          </w:tcPr>
          <w:p>
            <w:pPr>
              <w:jc w:val="right"/>
              <w:ind w:right="1340"/>
              <w:spacing w:after="0" w:line="202" w:lineRule="exact"/>
              <w:rPr>
                <w:sz w:val="20"/>
                <w:szCs w:val="20"/>
                <w:color w:val="auto"/>
              </w:rPr>
            </w:pPr>
            <w:r>
              <w:rPr>
                <w:rFonts w:ascii="Arial" w:cs="Arial" w:eastAsia="Arial" w:hAnsi="Arial"/>
                <w:sz w:val="18"/>
                <w:szCs w:val="18"/>
                <w:color w:val="auto"/>
              </w:rPr>
              <w:t>(15,000)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September 30, 2005</w:t>
            </w: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114,400</w:t>
            </w:r>
          </w:p>
        </w:tc>
        <w:tc>
          <w:tcPr>
            <w:tcW w:w="13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Granted (including 30,000 performance shares)</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214,595</w:t>
            </w: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jc w:val="right"/>
              <w:ind w:right="1340"/>
              <w:spacing w:after="0" w:line="202" w:lineRule="exact"/>
              <w:rPr>
                <w:sz w:val="20"/>
                <w:szCs w:val="20"/>
                <w:color w:val="auto"/>
              </w:rPr>
            </w:pPr>
            <w:r>
              <w:rPr>
                <w:rFonts w:ascii="Arial" w:cs="Arial" w:eastAsia="Arial" w:hAnsi="Arial"/>
                <w:sz w:val="18"/>
                <w:szCs w:val="18"/>
                <w:color w:val="auto"/>
              </w:rPr>
              <w:t>(10,400)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2"/>
          </w:tcPr>
          <w:p>
            <w:pPr>
              <w:jc w:val="right"/>
              <w:ind w:right="1340"/>
              <w:spacing w:after="0" w:line="202" w:lineRule="exact"/>
              <w:rPr>
                <w:sz w:val="20"/>
                <w:szCs w:val="20"/>
                <w:color w:val="auto"/>
              </w:rPr>
            </w:pPr>
            <w:r>
              <w:rPr>
                <w:rFonts w:ascii="Arial" w:cs="Arial" w:eastAsia="Arial" w:hAnsi="Arial"/>
                <w:sz w:val="18"/>
                <w:szCs w:val="18"/>
                <w:color w:val="auto"/>
              </w:rPr>
              <w:t>(15,800)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September 30, 2006</w:t>
            </w: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302,795</w:t>
            </w:r>
          </w:p>
        </w:tc>
        <w:tc>
          <w:tcPr>
            <w:tcW w:w="13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80" w:right="160" w:firstLine="411"/>
        <w:spacing w:after="0" w:line="239" w:lineRule="auto"/>
        <w:rPr>
          <w:sz w:val="20"/>
          <w:szCs w:val="20"/>
          <w:color w:val="auto"/>
        </w:rPr>
      </w:pPr>
      <w:r>
        <w:rPr>
          <w:rFonts w:ascii="Arial" w:cs="Arial" w:eastAsia="Arial" w:hAnsi="Arial"/>
          <w:sz w:val="18"/>
          <w:szCs w:val="18"/>
          <w:color w:val="auto"/>
        </w:rPr>
        <w:t>As of September 30, 2006, there was $14.2 million of total unrecognized compensation cost related to non-vested share-based compensation arrangements. The unrecognized compensation cost is expected to be recognized over a weighted-average period of 2.3 years. Unearned compensation is amortized over the vesting period for the particular grant and is recognized as a component of “Selling, general and administrative” expense within the Consolidated Statements of Operations.</w:t>
      </w:r>
    </w:p>
    <w:p>
      <w:pPr>
        <w:spacing w:after="0" w:line="107" w:lineRule="exact"/>
        <w:rPr>
          <w:sz w:val="20"/>
          <w:szCs w:val="20"/>
          <w:color w:val="auto"/>
        </w:rPr>
      </w:pPr>
    </w:p>
    <w:p>
      <w:pPr>
        <w:jc w:val="both"/>
        <w:ind w:left="580" w:right="300" w:firstLine="411"/>
        <w:spacing w:after="0"/>
        <w:rPr>
          <w:sz w:val="20"/>
          <w:szCs w:val="20"/>
          <w:color w:val="auto"/>
        </w:rPr>
      </w:pPr>
      <w:r>
        <w:rPr>
          <w:rFonts w:ascii="Arial" w:cs="Arial" w:eastAsia="Arial" w:hAnsi="Arial"/>
          <w:sz w:val="18"/>
          <w:szCs w:val="18"/>
          <w:color w:val="auto"/>
        </w:rPr>
        <w:t>The total intrinsic value of options exercised was $23.2 million, $41.7 million and $26.7 million for fiscal 2006, fiscal 2005 and fiscal 2004, respectively. The total fair value of restricted stock vested was $0.4 million and $0.1 million during fiscal 2006 and fiscal 2005, respectively. No restricted stock vested in fiscal 2004.</w:t>
      </w:r>
    </w:p>
    <w:p>
      <w:pPr>
        <w:spacing w:after="0" w:line="108" w:lineRule="exact"/>
        <w:rPr>
          <w:sz w:val="20"/>
          <w:szCs w:val="20"/>
          <w:color w:val="auto"/>
        </w:rPr>
      </w:pPr>
    </w:p>
    <w:p>
      <w:pPr>
        <w:ind w:left="580" w:right="260" w:firstLine="411"/>
        <w:spacing w:after="0"/>
        <w:rPr>
          <w:sz w:val="20"/>
          <w:szCs w:val="20"/>
          <w:color w:val="auto"/>
        </w:rPr>
      </w:pPr>
      <w:r>
        <w:rPr>
          <w:rFonts w:ascii="Arial" w:cs="Arial" w:eastAsia="Arial" w:hAnsi="Arial"/>
          <w:sz w:val="18"/>
          <w:szCs w:val="18"/>
          <w:color w:val="auto"/>
        </w:rPr>
        <w:t>Cash received from option exercises under all share-based payment arrangements for fiscal 2006 was $17.6 million. The tax benefit realized from the tax deductions from option exercises under the share-based payment arrangements totaled $8.7 million for fiscal 2006.</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11. EARNINGS PER COMMON SHARE</w:t>
      </w:r>
    </w:p>
    <w:p>
      <w:pPr>
        <w:spacing w:after="0" w:line="247" w:lineRule="exact"/>
        <w:rPr>
          <w:sz w:val="20"/>
          <w:szCs w:val="20"/>
          <w:color w:val="auto"/>
        </w:rPr>
      </w:pPr>
    </w:p>
    <w:p>
      <w:pPr>
        <w:ind w:left="580" w:right="80" w:firstLine="411"/>
        <w:spacing w:after="0" w:line="236" w:lineRule="auto"/>
        <w:rPr>
          <w:sz w:val="20"/>
          <w:szCs w:val="20"/>
          <w:color w:val="auto"/>
        </w:rPr>
      </w:pPr>
      <w:r>
        <w:rPr>
          <w:rFonts w:ascii="Arial" w:cs="Arial" w:eastAsia="Arial" w:hAnsi="Arial"/>
          <w:sz w:val="18"/>
          <w:szCs w:val="18"/>
          <w:color w:val="auto"/>
        </w:rPr>
        <w:t>The following table (in millions, except per share data) presents information necessary to calculate basic and diluted earnings per common share. Basic earnings per common share are computed by dividing net income by the weighted average number of common shares outstanding. Diluted earnings per common share are computed by dividing net income by the weighted average number of common shares outstanding plus all potentially dilutive securities. Options to purchase 0.15 million, 0.04 million and 0.2 million common shares for the years ended September 30, 2006, 2005 and 2004, respectively, were not included in the computation of diluted earnings per common share. These options were excluded from the calculation because the exercise price of these options was greater than the average market price of the common shares in the respective periods, and therefore, they were anti-dilutive.</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color w:val="auto"/>
              </w:rPr>
              <w:t>Year Ended September 30,</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2005</w:t>
            </w:r>
          </w:p>
        </w:tc>
        <w:tc>
          <w:tcPr>
            <w:tcW w:w="980" w:type="dxa"/>
            <w:vAlign w:val="bottom"/>
          </w:tcPr>
          <w:p>
            <w:pPr>
              <w:spacing w:after="0"/>
              <w:rPr>
                <w:sz w:val="18"/>
                <w:szCs w:val="18"/>
                <w:color w:val="auto"/>
              </w:rPr>
            </w:pPr>
          </w:p>
        </w:tc>
        <w:tc>
          <w:tcPr>
            <w:tcW w:w="780" w:type="dxa"/>
            <w:vAlign w:val="bottom"/>
            <w:gridSpan w:val="3"/>
          </w:tcPr>
          <w:p>
            <w:pPr>
              <w:jc w:val="right"/>
              <w:ind w:right="1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132.7</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100.4</w:t>
            </w:r>
          </w:p>
        </w:tc>
        <w:tc>
          <w:tcPr>
            <w:tcW w:w="9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160"/>
              <w:spacing w:after="0" w:line="202" w:lineRule="exact"/>
              <w:rPr>
                <w:sz w:val="20"/>
                <w:szCs w:val="20"/>
                <w:color w:val="auto"/>
              </w:rPr>
            </w:pPr>
            <w:r>
              <w:rPr>
                <w:rFonts w:ascii="Arial" w:cs="Arial" w:eastAsia="Arial" w:hAnsi="Arial"/>
                <w:sz w:val="18"/>
                <w:szCs w:val="18"/>
                <w:color w:val="auto"/>
              </w:rPr>
              <w:t>Income from discontinued operations</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132.7</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100.6</w:t>
            </w:r>
          </w:p>
        </w:tc>
        <w:tc>
          <w:tcPr>
            <w:tcW w:w="9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Weighted-average common shares outstanding during the</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period</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w:t>
            </w:r>
          </w:p>
        </w:tc>
        <w:tc>
          <w:tcPr>
            <w:tcW w:w="1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66.8</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tcPr>
          <w:p>
            <w:pPr>
              <w:ind w:left="160"/>
              <w:spacing w:after="0" w:line="196" w:lineRule="exact"/>
              <w:rPr>
                <w:sz w:val="20"/>
                <w:szCs w:val="20"/>
                <w:color w:val="auto"/>
              </w:rPr>
            </w:pPr>
            <w:r>
              <w:rPr>
                <w:rFonts w:ascii="Arial" w:cs="Arial" w:eastAsia="Arial" w:hAnsi="Arial"/>
                <w:sz w:val="18"/>
                <w:szCs w:val="18"/>
                <w:color w:val="auto"/>
              </w:rPr>
              <w:t>Income from continuing operations</w:t>
            </w: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1.97</w:t>
            </w:r>
          </w:p>
        </w:tc>
        <w:tc>
          <w:tcPr>
            <w:tcW w:w="1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9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Income from discontinued operations</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9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ind w:left="160"/>
              <w:spacing w:after="0" w:line="201" w:lineRule="exact"/>
              <w:rPr>
                <w:sz w:val="20"/>
                <w:szCs w:val="20"/>
                <w:color w:val="auto"/>
              </w:rPr>
            </w:pPr>
            <w:r>
              <w:rPr>
                <w:rFonts w:ascii="Arial" w:cs="Arial" w:eastAsia="Arial" w:hAnsi="Arial"/>
                <w:sz w:val="18"/>
                <w:szCs w:val="18"/>
                <w:color w:val="auto"/>
              </w:rPr>
              <w:t>Weighted-average common shares outstanding during the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3" w:lineRule="exact"/>
              <w:rPr>
                <w:sz w:val="20"/>
                <w:szCs w:val="20"/>
                <w:color w:val="auto"/>
              </w:rPr>
            </w:pPr>
            <w:r>
              <w:rPr>
                <w:rFonts w:ascii="Arial" w:cs="Arial" w:eastAsia="Arial" w:hAnsi="Arial"/>
                <w:sz w:val="18"/>
                <w:szCs w:val="18"/>
                <w:color w:val="auto"/>
              </w:rPr>
              <w:t>period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67.5</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66.8</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Potential common shares</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Weighted-average number of common shares outstanding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3" w:lineRule="exact"/>
              <w:rPr>
                <w:sz w:val="20"/>
                <w:szCs w:val="20"/>
                <w:color w:val="auto"/>
              </w:rPr>
            </w:pPr>
            <w:r>
              <w:rPr>
                <w:rFonts w:ascii="Arial" w:cs="Arial" w:eastAsia="Arial" w:hAnsi="Arial"/>
                <w:sz w:val="18"/>
                <w:szCs w:val="18"/>
                <w:color w:val="auto"/>
              </w:rPr>
              <w:t>and dilutive potential common shares</w:t>
            </w:r>
          </w:p>
        </w:tc>
        <w:tc>
          <w:tcPr>
            <w:tcW w:w="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69.4</w:t>
            </w:r>
          </w:p>
        </w:tc>
        <w:tc>
          <w:tcPr>
            <w:tcW w:w="1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68.6</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Income from continuing operations</w:t>
            </w: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1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w:t>
            </w:r>
          </w:p>
        </w:tc>
        <w:tc>
          <w:tcPr>
            <w:tcW w:w="9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160"/>
              <w:spacing w:after="0" w:line="202" w:lineRule="exact"/>
              <w:rPr>
                <w:sz w:val="20"/>
                <w:szCs w:val="20"/>
                <w:color w:val="auto"/>
              </w:rPr>
            </w:pPr>
            <w:r>
              <w:rPr>
                <w:rFonts w:ascii="Arial" w:cs="Arial" w:eastAsia="Arial" w:hAnsi="Arial"/>
                <w:sz w:val="18"/>
                <w:szCs w:val="18"/>
                <w:color w:val="auto"/>
              </w:rPr>
              <w:t>Income from discontinued operations</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9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80" w:right="300" w:firstLine="411"/>
        <w:spacing w:after="0" w:line="237" w:lineRule="auto"/>
        <w:rPr>
          <w:sz w:val="20"/>
          <w:szCs w:val="20"/>
          <w:color w:val="auto"/>
        </w:rPr>
      </w:pPr>
      <w:r>
        <w:rPr>
          <w:rFonts w:ascii="Arial" w:cs="Arial" w:eastAsia="Arial" w:hAnsi="Arial"/>
          <w:sz w:val="18"/>
          <w:szCs w:val="18"/>
          <w:color w:val="auto"/>
        </w:rPr>
        <w:t>Through September 30, 2006, Scotts Miracle-Gro had reacquired 2.0 million common shares to be held in treasury at an aggregate cost of $87.9 million under its share repurchase program. Common shares held in treasury totaling 0.5 million common shares have been reissued in support of share-based compensation awards and employee purchases of common shares under the employee stock purchase plan. See Note 22 for disclosure as to a recapitalization plan announced on December 12, 2006 to return $750 million to shareholders via a tender offer to repurchase up to $250 million of our common shares and a special dividend.</w:t>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12. INCOME TAXES</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provision for income taxes consists of the following (in millions):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Year Ended September 30,</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Currently payable:</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Federal</w:t>
            </w:r>
          </w:p>
        </w:tc>
        <w:tc>
          <w:tcPr>
            <w:tcW w:w="2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$ 68.3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$ 55.9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State</w:t>
            </w:r>
          </w:p>
        </w:tc>
        <w:tc>
          <w:tcPr>
            <w:tcW w:w="2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Foreign</w:t>
            </w:r>
          </w:p>
        </w:tc>
        <w:tc>
          <w:tcPr>
            <w:tcW w:w="2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Federal</w:t>
            </w:r>
          </w:p>
        </w:tc>
        <w:tc>
          <w:tcPr>
            <w:tcW w:w="282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(0.5)</w:t>
            </w:r>
          </w:p>
        </w:tc>
        <w:tc>
          <w:tcPr>
            <w:tcW w:w="200" w:type="dxa"/>
            <w:vAlign w:val="bottom"/>
          </w:tcPr>
          <w:p>
            <w:pPr>
              <w:spacing w:after="0"/>
              <w:rPr>
                <w:sz w:val="17"/>
                <w:szCs w:val="17"/>
                <w:color w:val="auto"/>
              </w:rPr>
            </w:pPr>
          </w:p>
        </w:tc>
        <w:tc>
          <w:tcPr>
            <w:tcW w:w="16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(11.8)</w:t>
            </w:r>
          </w:p>
        </w:tc>
        <w:tc>
          <w:tcPr>
            <w:tcW w:w="96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State</w:t>
            </w:r>
          </w:p>
        </w:tc>
        <w:tc>
          <w:tcPr>
            <w:tcW w:w="2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9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Foreign</w:t>
            </w:r>
          </w:p>
        </w:tc>
        <w:tc>
          <w:tcPr>
            <w:tcW w:w="2100" w:type="dxa"/>
            <w:vAlign w:val="bottom"/>
          </w:tcPr>
          <w:p>
            <w:pPr>
              <w:spacing w:after="0"/>
              <w:rPr>
                <w:sz w:val="17"/>
                <w:szCs w:val="17"/>
                <w:color w:val="auto"/>
              </w:rPr>
            </w:pP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8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$ 80.2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$ 57.7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9340" w:type="dxa"/>
            <w:vAlign w:val="bottom"/>
            <w:gridSpan w:val="10"/>
          </w:tcPr>
          <w:p>
            <w:pPr>
              <w:ind w:left="380"/>
              <w:spacing w:after="0"/>
              <w:rPr>
                <w:sz w:val="20"/>
                <w:szCs w:val="20"/>
                <w:color w:val="auto"/>
              </w:rPr>
            </w:pPr>
            <w:r>
              <w:rPr>
                <w:rFonts w:ascii="Arial" w:cs="Arial" w:eastAsia="Arial" w:hAnsi="Arial"/>
                <w:sz w:val="18"/>
                <w:szCs w:val="18"/>
                <w:color w:val="auto"/>
              </w:rPr>
              <w:t>The domestic and foreign components of income before taxes are as follows (in millions):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Year Ended September 30,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spacing w:after="0"/>
              <w:rPr>
                <w:sz w:val="16"/>
                <w:szCs w:val="16"/>
                <w:color w:val="auto"/>
              </w:rPr>
            </w:pPr>
          </w:p>
        </w:tc>
        <w:tc>
          <w:tcPr>
            <w:tcW w:w="620" w:type="dxa"/>
            <w:vAlign w:val="bottom"/>
            <w:tcBorders>
              <w:bottom w:val="single" w:sz="8" w:color="auto"/>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28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$ 253.6</w:t>
            </w:r>
          </w:p>
        </w:tc>
        <w:tc>
          <w:tcPr>
            <w:tcW w:w="20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$ 170.0</w:t>
            </w:r>
          </w:p>
        </w:tc>
        <w:tc>
          <w:tcPr>
            <w:tcW w:w="9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200" w:type="dxa"/>
            <w:vAlign w:val="bottom"/>
            <w:gridSpan w:val="2"/>
          </w:tcPr>
          <w:p>
            <w:pPr>
              <w:spacing w:after="0"/>
              <w:rPr>
                <w:sz w:val="17"/>
                <w:szCs w:val="17"/>
                <w:color w:val="auto"/>
              </w:rPr>
            </w:pPr>
          </w:p>
        </w:tc>
        <w:tc>
          <w:tcPr>
            <w:tcW w:w="8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(40.7)</w:t>
            </w:r>
          </w:p>
        </w:tc>
        <w:tc>
          <w:tcPr>
            <w:tcW w:w="2600" w:type="dxa"/>
            <w:vAlign w:val="bottom"/>
            <w:gridSpan w:val="4"/>
          </w:tcPr>
          <w:p>
            <w:pPr>
              <w:jc w:val="right"/>
              <w:ind w:right="920"/>
              <w:spacing w:after="0" w:line="202" w:lineRule="exact"/>
              <w:rPr>
                <w:sz w:val="20"/>
                <w:szCs w:val="20"/>
                <w:color w:val="auto"/>
              </w:rPr>
            </w:pPr>
            <w:r>
              <w:rPr>
                <w:rFonts w:ascii="Arial" w:cs="Arial" w:eastAsia="Arial" w:hAnsi="Arial"/>
                <w:sz w:val="18"/>
                <w:szCs w:val="18"/>
                <w:color w:val="auto"/>
              </w:rPr>
              <w:t>(11.9)</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w:t>
            </w:r>
          </w:p>
        </w:tc>
        <w:tc>
          <w:tcPr>
            <w:tcW w:w="28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$ 212.9</w:t>
            </w:r>
          </w:p>
        </w:tc>
        <w:tc>
          <w:tcPr>
            <w:tcW w:w="20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$ 158.1</w:t>
            </w:r>
          </w:p>
        </w:tc>
        <w:tc>
          <w:tcPr>
            <w:tcW w:w="9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80" w:right="1040" w:firstLine="411"/>
        <w:spacing w:after="0" w:line="246" w:lineRule="auto"/>
        <w:rPr>
          <w:sz w:val="20"/>
          <w:szCs w:val="20"/>
          <w:color w:val="auto"/>
        </w:rPr>
      </w:pPr>
      <w:r>
        <w:rPr>
          <w:rFonts w:ascii="Arial" w:cs="Arial" w:eastAsia="Arial" w:hAnsi="Arial"/>
          <w:sz w:val="18"/>
          <w:szCs w:val="18"/>
          <w:color w:val="auto"/>
        </w:rPr>
        <w:t>A reconciliation of the federal corporate income tax rate and the effective tax rate on income before income taxes from continuing operations is summarized below (in millions):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Year Ended September 30,</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2006</w:t>
            </w:r>
          </w:p>
        </w:tc>
        <w:tc>
          <w:tcPr>
            <w:tcW w:w="2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2004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income tax rate</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35.0%</w:t>
            </w:r>
          </w:p>
        </w:tc>
        <w:tc>
          <w:tcPr>
            <w:tcW w:w="2680" w:type="dxa"/>
            <w:vAlign w:val="bottom"/>
            <w:gridSpan w:val="3"/>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35.0%</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Effect of foreign operations</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(0.5)</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w:t>
            </w:r>
          </w:p>
        </w:tc>
        <w:tc>
          <w:tcPr>
            <w:tcW w:w="126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Change in state NOL &amp; credit carryforwards</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80" w:type="dxa"/>
            <w:vAlign w:val="bottom"/>
          </w:tcPr>
          <w:p>
            <w:pPr>
              <w:spacing w:after="0"/>
              <w:rPr>
                <w:sz w:val="17"/>
                <w:szCs w:val="17"/>
                <w:color w:val="auto"/>
              </w:rPr>
            </w:pP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w:t>
            </w:r>
          </w:p>
        </w:tc>
        <w:tc>
          <w:tcPr>
            <w:tcW w:w="126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7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00" w:type="dxa"/>
            <w:vAlign w:val="bottom"/>
            <w:gridSpan w:val="2"/>
          </w:tcPr>
          <w:p>
            <w:pPr>
              <w:jc w:val="right"/>
              <w:ind w:right="1200"/>
              <w:spacing w:after="0" w:line="202" w:lineRule="exact"/>
              <w:rPr>
                <w:sz w:val="20"/>
                <w:szCs w:val="20"/>
                <w:color w:val="auto"/>
              </w:rPr>
            </w:pPr>
            <w:r>
              <w:rPr>
                <w:rFonts w:ascii="Arial" w:cs="Arial" w:eastAsia="Arial" w:hAnsi="Arial"/>
                <w:sz w:val="18"/>
                <w:szCs w:val="18"/>
                <w:color w:val="auto"/>
              </w:rPr>
              <w:t>(2.4)</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37.7%</w:t>
            </w:r>
          </w:p>
        </w:tc>
        <w:tc>
          <w:tcPr>
            <w:tcW w:w="2680" w:type="dxa"/>
            <w:vAlign w:val="bottom"/>
            <w:gridSpan w:val="3"/>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36.5%</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80" w:right="680" w:firstLine="411"/>
        <w:spacing w:after="0" w:line="246" w:lineRule="auto"/>
        <w:rPr>
          <w:sz w:val="20"/>
          <w:szCs w:val="20"/>
          <w:color w:val="auto"/>
        </w:rPr>
      </w:pPr>
      <w:r>
        <w:rPr>
          <w:rFonts w:ascii="Arial" w:cs="Arial" w:eastAsia="Arial" w:hAnsi="Arial"/>
          <w:sz w:val="18"/>
          <w:szCs w:val="18"/>
          <w:color w:val="auto"/>
        </w:rPr>
        <w:t>The net current and non-current components of deferred income taxes recognized in the Consolidated Balance Sheets are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September 30,</w:t>
            </w: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1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4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8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tcPr>
          <w:p>
            <w:pPr>
              <w:spacing w:after="0"/>
              <w:rPr>
                <w:sz w:val="17"/>
                <w:szCs w:val="17"/>
                <w:color w:val="auto"/>
              </w:rPr>
            </w:pPr>
          </w:p>
        </w:tc>
        <w:tc>
          <w:tcPr>
            <w:tcW w:w="68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current deferred tax asset (classified with prepaid and other assets)</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w:t>
            </w:r>
          </w:p>
        </w:tc>
        <w:tc>
          <w:tcPr>
            <w:tcW w:w="1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840" w:type="dxa"/>
            <w:vAlign w:val="bottom"/>
            <w:gridSpan w:val="3"/>
          </w:tcPr>
          <w:p>
            <w:pPr>
              <w:spacing w:after="0" w:line="202" w:lineRule="exact"/>
              <w:rPr>
                <w:sz w:val="20"/>
                <w:szCs w:val="20"/>
                <w:color w:val="auto"/>
              </w:rPr>
            </w:pPr>
            <w:r>
              <w:rPr>
                <w:rFonts w:ascii="Arial" w:cs="Arial" w:eastAsia="Arial" w:hAnsi="Arial"/>
                <w:sz w:val="18"/>
                <w:szCs w:val="18"/>
                <w:color w:val="auto"/>
              </w:rPr>
              <w:t>Net non-current deferred tax liability (classified with other liabilities)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1120"/>
              <w:spacing w:after="0" w:line="202" w:lineRule="exact"/>
              <w:rPr>
                <w:sz w:val="20"/>
                <w:szCs w:val="20"/>
                <w:color w:val="auto"/>
              </w:rPr>
            </w:pPr>
            <w:r>
              <w:rPr>
                <w:rFonts w:ascii="Arial" w:cs="Arial" w:eastAsia="Arial" w:hAnsi="Arial"/>
                <w:sz w:val="18"/>
                <w:szCs w:val="18"/>
                <w:color w:val="auto"/>
                <w:w w:val="97"/>
              </w:rPr>
              <w:t>(49.2)</w:t>
            </w:r>
          </w:p>
        </w:tc>
        <w:tc>
          <w:tcPr>
            <w:tcW w:w="6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tcPr>
          <w:p>
            <w:pPr>
              <w:spacing w:after="0"/>
              <w:rPr>
                <w:sz w:val="17"/>
                <w:szCs w:val="17"/>
                <w:color w:val="auto"/>
              </w:rPr>
            </w:pPr>
          </w:p>
        </w:tc>
        <w:tc>
          <w:tcPr>
            <w:tcW w:w="68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60" w:type="dxa"/>
            <w:vAlign w:val="bottom"/>
            <w:gridSpan w:val="2"/>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560" w:type="dxa"/>
            <w:vAlign w:val="bottom"/>
            <w:gridSpan w:val="2"/>
            <w:vMerge w:val="continue"/>
          </w:tcPr>
          <w:p>
            <w:pPr>
              <w:spacing w:after="0"/>
              <w:rPr>
                <w:sz w:val="10"/>
                <w:szCs w:val="10"/>
                <w:color w:val="auto"/>
              </w:rPr>
            </w:pPr>
          </w:p>
        </w:tc>
        <w:tc>
          <w:tcPr>
            <w:tcW w:w="3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85</w:t>
            </w:r>
          </w:p>
        </w:tc>
        <w:tc>
          <w:tcPr>
            <w:tcW w:w="1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80" w:type="dxa"/>
            <w:vAlign w:val="bottom"/>
            <w:tcBorders>
              <w:bottom w:val="single" w:sz="8" w:color="808080"/>
            </w:tcBorders>
          </w:tcPr>
          <w:p>
            <w:pPr>
              <w:spacing w:after="0"/>
              <w:rPr>
                <w:sz w:val="18"/>
                <w:szCs w:val="18"/>
                <w:color w:val="auto"/>
              </w:rPr>
            </w:pPr>
          </w:p>
        </w:tc>
        <w:tc>
          <w:tcPr>
            <w:tcW w:w="49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8160" w:type="dxa"/>
            <w:vAlign w:val="bottom"/>
            <w:gridSpan w:val="3"/>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5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800" w:type="dxa"/>
            <w:vAlign w:val="bottom"/>
          </w:tcPr>
          <w:p>
            <w:pPr>
              <w:ind w:left="2020"/>
              <w:spacing w:after="0"/>
              <w:rPr>
                <w:sz w:val="20"/>
                <w:szCs w:val="20"/>
                <w:color w:val="auto"/>
              </w:rPr>
            </w:pPr>
            <w:r>
              <w:rPr>
                <w:rFonts w:ascii="Arial" w:cs="Arial" w:eastAsia="Arial" w:hAnsi="Arial"/>
                <w:sz w:val="18"/>
                <w:szCs w:val="18"/>
                <w:b w:val="1"/>
                <w:bCs w:val="1"/>
                <w:color w:val="auto"/>
              </w:rPr>
              <w:t>NOTES TO CONSOLIDATED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80" w:type="dxa"/>
            <w:vAlign w:val="bottom"/>
          </w:tcPr>
          <w:p>
            <w:pPr>
              <w:spacing w:after="0"/>
              <w:rPr>
                <w:sz w:val="24"/>
                <w:szCs w:val="24"/>
                <w:color w:val="auto"/>
              </w:rPr>
            </w:pPr>
          </w:p>
        </w:tc>
        <w:tc>
          <w:tcPr>
            <w:tcW w:w="7580" w:type="dxa"/>
            <w:vAlign w:val="bottom"/>
            <w:gridSpan w:val="2"/>
          </w:tcPr>
          <w:p>
            <w:pPr>
              <w:ind w:left="400"/>
              <w:spacing w:after="0"/>
              <w:rPr>
                <w:sz w:val="20"/>
                <w:szCs w:val="20"/>
                <w:color w:val="auto"/>
              </w:rPr>
            </w:pPr>
            <w:r>
              <w:rPr>
                <w:rFonts w:ascii="Arial" w:cs="Arial" w:eastAsia="Arial" w:hAnsi="Arial"/>
                <w:sz w:val="18"/>
                <w:szCs w:val="18"/>
                <w:color w:val="auto"/>
              </w:rPr>
              <w:t>The components of the net deferred tax asset are as follows (in millions):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September 30,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2006</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94"/>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8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tcPr>
          <w:p>
            <w:pPr>
              <w:spacing w:after="0"/>
              <w:rPr>
                <w:sz w:val="17"/>
                <w:szCs w:val="17"/>
                <w:color w:val="auto"/>
              </w:rPr>
            </w:pPr>
          </w:p>
        </w:tc>
        <w:tc>
          <w:tcPr>
            <w:tcW w:w="7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120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Postretirement benefits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Gross deferred tax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110.2</w:t>
            </w: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108.0</w:t>
            </w: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50"/>
              <w:spacing w:after="0" w:line="202" w:lineRule="exact"/>
              <w:rPr>
                <w:sz w:val="20"/>
                <w:szCs w:val="20"/>
                <w:color w:val="auto"/>
              </w:rPr>
            </w:pPr>
            <w:r>
              <w:rPr>
                <w:rFonts w:ascii="Arial" w:cs="Arial" w:eastAsia="Arial" w:hAnsi="Arial"/>
                <w:sz w:val="18"/>
                <w:szCs w:val="18"/>
                <w:color w:val="auto"/>
              </w:rPr>
              <w:t>(44.5)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(52.1)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50"/>
              <w:spacing w:after="0" w:line="202" w:lineRule="exact"/>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gridSpan w:val="2"/>
          </w:tcPr>
          <w:p>
            <w:pPr>
              <w:ind w:left="180"/>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050"/>
              <w:spacing w:after="0"/>
              <w:rPr>
                <w:sz w:val="20"/>
                <w:szCs w:val="20"/>
                <w:color w:val="auto"/>
              </w:rPr>
            </w:pPr>
            <w:r>
              <w:rPr>
                <w:rFonts w:ascii="Arial" w:cs="Arial" w:eastAsia="Arial" w:hAnsi="Arial"/>
                <w:sz w:val="18"/>
                <w:szCs w:val="18"/>
                <w:color w:val="auto"/>
                <w:w w:val="98"/>
              </w:rPr>
              <w:t>(104.6)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(115.8)</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75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deferred tax asset</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2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80" w:right="40" w:firstLine="411"/>
        <w:spacing w:after="0" w:line="237" w:lineRule="auto"/>
        <w:rPr>
          <w:sz w:val="20"/>
          <w:szCs w:val="20"/>
          <w:color w:val="auto"/>
        </w:rPr>
      </w:pPr>
      <w:r>
        <w:rPr>
          <w:rFonts w:ascii="Arial" w:cs="Arial" w:eastAsia="Arial" w:hAnsi="Arial"/>
          <w:sz w:val="18"/>
          <w:szCs w:val="18"/>
          <w:color w:val="auto"/>
        </w:rPr>
        <w:t>Tax benefits relating to state net operating loss carryforwards were $4.5 million and $5.4 million at September 30, 2006 and 2005, respectively. State net operating loss carryforward periods range from 5 to 20 years. Any losses not previously utilized within a specific state’s carryforward period will expire. The tax benefits relating to state net operating loss carryforwards for 2006 include $2.2 million relating to the acquisition of Smith &amp; Hawken</w:t>
      </w:r>
      <w:r>
        <w:rPr>
          <w:rFonts w:ascii="Arial" w:cs="Arial" w:eastAsia="Arial" w:hAnsi="Arial"/>
          <w:sz w:val="15"/>
          <w:szCs w:val="15"/>
          <w:color w:val="auto"/>
        </w:rPr>
        <w:t>®</w:t>
      </w:r>
      <w:r>
        <w:rPr>
          <w:rFonts w:ascii="Arial" w:cs="Arial" w:eastAsia="Arial" w:hAnsi="Arial"/>
          <w:sz w:val="18"/>
          <w:szCs w:val="18"/>
          <w:color w:val="auto"/>
        </w:rPr>
        <w:t>. As these losses may only be used against income of Smith &amp; Hawken</w:t>
      </w:r>
      <w:r>
        <w:rPr>
          <w:rFonts w:ascii="Arial" w:cs="Arial" w:eastAsia="Arial" w:hAnsi="Arial"/>
          <w:sz w:val="15"/>
          <w:szCs w:val="15"/>
          <w:color w:val="auto"/>
        </w:rPr>
        <w:t>®</w:t>
      </w:r>
      <w:r>
        <w:rPr>
          <w:rFonts w:ascii="Arial" w:cs="Arial" w:eastAsia="Arial" w:hAnsi="Arial"/>
          <w:sz w:val="18"/>
          <w:szCs w:val="18"/>
          <w:color w:val="auto"/>
        </w:rPr>
        <w:t>, and cannot be used to offset income of the consolidated group, a full valuation allowance has been placed on this portion. Tax benefit associated with state tax credits was $0.3 million and $0.4 million at September 30, 2006 and 2005, respectively. Any credits not previously utilized will begin to expire starting in fiscal year 2007.</w:t>
      </w:r>
    </w:p>
    <w:p>
      <w:pPr>
        <w:spacing w:after="0" w:line="109" w:lineRule="exact"/>
        <w:rPr>
          <w:sz w:val="20"/>
          <w:szCs w:val="20"/>
          <w:color w:val="auto"/>
        </w:rPr>
      </w:pPr>
    </w:p>
    <w:p>
      <w:pPr>
        <w:jc w:val="both"/>
        <w:ind w:left="580" w:right="220" w:firstLine="411"/>
        <w:spacing w:after="0"/>
        <w:rPr>
          <w:sz w:val="20"/>
          <w:szCs w:val="20"/>
          <w:color w:val="auto"/>
        </w:rPr>
      </w:pPr>
      <w:r>
        <w:rPr>
          <w:rFonts w:ascii="Arial" w:cs="Arial" w:eastAsia="Arial" w:hAnsi="Arial"/>
          <w:sz w:val="18"/>
          <w:szCs w:val="18"/>
          <w:color w:val="auto"/>
        </w:rPr>
        <w:t>In accordance with APB 23, deferred taxes have not been provided on unremitted earnings of certain foreign subsidiaries and foreign corporate joint ventures of approximately $72.5 million that arose in fiscal years ended on or before September 30, 2006, since such earnings have been permanently reinvested.</w:t>
      </w:r>
    </w:p>
    <w:p>
      <w:pPr>
        <w:spacing w:after="0" w:line="108" w:lineRule="exact"/>
        <w:rPr>
          <w:sz w:val="20"/>
          <w:szCs w:val="20"/>
          <w:color w:val="auto"/>
        </w:rPr>
      </w:pPr>
    </w:p>
    <w:p>
      <w:pPr>
        <w:ind w:left="580" w:right="140" w:firstLine="411"/>
        <w:spacing w:after="0" w:line="237" w:lineRule="auto"/>
        <w:rPr>
          <w:sz w:val="20"/>
          <w:szCs w:val="20"/>
          <w:color w:val="auto"/>
        </w:rPr>
      </w:pPr>
      <w:r>
        <w:rPr>
          <w:rFonts w:ascii="Arial" w:cs="Arial" w:eastAsia="Arial" w:hAnsi="Arial"/>
          <w:sz w:val="18"/>
          <w:szCs w:val="18"/>
          <w:color w:val="auto"/>
        </w:rPr>
        <w:t>The American Jobs Creation Act (the “AJCA”) provides a deduction of 85% on certain foreign earnings repatriated. The Company was not able to take advantage of this deduction based upon its current foreign income and tax rates. The AJCA also provided a deduction calculated as a percentage of qualified income from manufacturing in the United States. This deduction was codified as Internal Revenue Code §199. The percentage deduction increases from 3% to 9% over a 6-year period beginning with the Company’s 2006 fiscal year. In December 2004, the FASB issued a new staff position providing for this deduction to be treated as a special deduction, as opposed to a tax rate reduction, in accordance with SFAS 109. The benefit of this deduction did not have a material impact on the Company’s effective tax rate in fiscal 2006.</w:t>
      </w:r>
    </w:p>
    <w:p>
      <w:pPr>
        <w:spacing w:after="0" w:line="109" w:lineRule="exact"/>
        <w:rPr>
          <w:sz w:val="20"/>
          <w:szCs w:val="20"/>
          <w:color w:val="auto"/>
        </w:rPr>
      </w:pPr>
    </w:p>
    <w:p>
      <w:pPr>
        <w:ind w:left="580" w:right="60" w:firstLine="411"/>
        <w:spacing w:after="0" w:line="237" w:lineRule="auto"/>
        <w:rPr>
          <w:sz w:val="20"/>
          <w:szCs w:val="20"/>
          <w:color w:val="auto"/>
        </w:rPr>
      </w:pPr>
      <w:r>
        <w:rPr>
          <w:rFonts w:ascii="Arial" w:cs="Arial" w:eastAsia="Arial" w:hAnsi="Arial"/>
          <w:sz w:val="18"/>
          <w:szCs w:val="18"/>
          <w:color w:val="auto"/>
        </w:rPr>
        <w:t>Management judgment is required in determining tax provisions and evaluating tax positions. Management believes its tax positions and related provisions reflected in the consolidated financial statements are fully supportable and appropriate. We establish reserves for additional income taxes that may become due if our tax positions are challenged and not sustained. Our tax provision includes the impact of recording reserves and changes thereto. The reserves for additional income taxes are based on management’s best estimate of the ultimate resolution of the tax matter. Based on currently available information, we believe that the ultimate outcomes of any challenges to our tax positions will not have a material adverse effect on our financial position, results of operations or cash flows. Our tax provision includes t</w:t>
      </w:r>
      <w:r>
        <w:rPr>
          <w:rFonts w:ascii="Arial" w:cs="Arial" w:eastAsia="Arial" w:hAnsi="Arial"/>
          <w:sz w:val="18"/>
          <w:szCs w:val="18"/>
          <w:u w:val="single" w:color="auto"/>
          <w:color w:val="auto"/>
        </w:rPr>
        <w:t>he i</w:t>
      </w:r>
      <w:r>
        <w:rPr>
          <w:rFonts w:ascii="Arial" w:cs="Arial" w:eastAsia="Arial" w:hAnsi="Arial"/>
          <w:sz w:val="18"/>
          <w:szCs w:val="18"/>
          <w:color w:val="auto"/>
        </w:rPr>
        <w:t>mpact of recording reserves and changes thereto.</w:t>
      </w:r>
    </w:p>
    <w:p>
      <w:pPr>
        <w:spacing w:after="0" w:line="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05" w:right="7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13. FINANCIAL INSTRUMENTS</w:t>
      </w:r>
    </w:p>
    <w:p>
      <w:pPr>
        <w:spacing w:after="0" w:line="247" w:lineRule="exact"/>
        <w:rPr>
          <w:sz w:val="20"/>
          <w:szCs w:val="20"/>
          <w:color w:val="auto"/>
        </w:rPr>
      </w:pPr>
    </w:p>
    <w:p>
      <w:pPr>
        <w:ind w:left="580" w:firstLine="411"/>
        <w:spacing w:after="0" w:line="246" w:lineRule="auto"/>
        <w:rPr>
          <w:sz w:val="20"/>
          <w:szCs w:val="20"/>
          <w:color w:val="auto"/>
        </w:rPr>
      </w:pPr>
      <w:r>
        <w:rPr>
          <w:rFonts w:ascii="Arial" w:cs="Arial" w:eastAsia="Arial" w:hAnsi="Arial"/>
          <w:sz w:val="18"/>
          <w:szCs w:val="18"/>
          <w:color w:val="auto"/>
        </w:rPr>
        <w:t>A description of the Company’s financial instruments and the methods and assumptions used to estimate their fair values is as follows: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Long-Term Debt</w:t>
      </w:r>
    </w:p>
    <w:p>
      <w:pPr>
        <w:spacing w:after="0" w:line="139" w:lineRule="exact"/>
        <w:rPr>
          <w:sz w:val="20"/>
          <w:szCs w:val="20"/>
          <w:color w:val="auto"/>
        </w:rPr>
      </w:pPr>
    </w:p>
    <w:p>
      <w:pPr>
        <w:ind w:left="580" w:right="60" w:firstLine="411"/>
        <w:spacing w:after="0" w:line="206" w:lineRule="auto"/>
        <w:rPr>
          <w:sz w:val="20"/>
          <w:szCs w:val="20"/>
          <w:color w:val="auto"/>
        </w:rPr>
      </w:pPr>
      <w:r>
        <w:rPr>
          <w:rFonts w:ascii="Arial" w:cs="Arial" w:eastAsia="Arial" w:hAnsi="Arial"/>
          <w:sz w:val="18"/>
          <w:szCs w:val="18"/>
          <w:color w:val="auto"/>
        </w:rPr>
        <w:t>The fair value of the Company’s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was estimated based on recent trading information. The carrying amounts of borrowings under the Revolving Credit Agreement, are considered to approximate their fair values.</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Foreign Currency Swap Agreements</w:t>
      </w:r>
    </w:p>
    <w:p>
      <w:pPr>
        <w:spacing w:after="0" w:line="144" w:lineRule="exact"/>
        <w:rPr>
          <w:sz w:val="20"/>
          <w:szCs w:val="20"/>
          <w:color w:val="auto"/>
        </w:rPr>
      </w:pPr>
    </w:p>
    <w:p>
      <w:pPr>
        <w:ind w:left="580" w:right="40" w:firstLine="411"/>
        <w:spacing w:after="0" w:line="239" w:lineRule="auto"/>
        <w:rPr>
          <w:sz w:val="20"/>
          <w:szCs w:val="20"/>
          <w:color w:val="auto"/>
        </w:rPr>
      </w:pPr>
      <w:r>
        <w:rPr>
          <w:rFonts w:ascii="Arial" w:cs="Arial" w:eastAsia="Arial" w:hAnsi="Arial"/>
          <w:sz w:val="18"/>
          <w:szCs w:val="18"/>
          <w:color w:val="auto"/>
        </w:rPr>
        <w:t>The Company uses foreign currency swap contracts to manage the exchange rate risk associated with intercompany loans with foreign subsidiaries that are denominated in dollars. At September 30, 2006, the notional amount of outstanding contracts was $66.7 million with a fair value of $0.4 million. The unrealized gain on the contracts approximates the unrealized loss on the intercompany loans recognized by our foreign subsidiaries.</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Interest Rate Swap Agreements</w:t>
      </w:r>
    </w:p>
    <w:p>
      <w:pPr>
        <w:spacing w:after="0" w:line="144" w:lineRule="exact"/>
        <w:rPr>
          <w:sz w:val="20"/>
          <w:szCs w:val="20"/>
          <w:color w:val="auto"/>
        </w:rPr>
      </w:pPr>
    </w:p>
    <w:p>
      <w:pPr>
        <w:ind w:left="580" w:right="40" w:firstLine="411"/>
        <w:spacing w:after="0" w:line="238" w:lineRule="auto"/>
        <w:rPr>
          <w:sz w:val="20"/>
          <w:szCs w:val="20"/>
          <w:color w:val="auto"/>
        </w:rPr>
      </w:pPr>
      <w:r>
        <w:rPr>
          <w:rFonts w:ascii="Arial" w:cs="Arial" w:eastAsia="Arial" w:hAnsi="Arial"/>
          <w:sz w:val="18"/>
          <w:szCs w:val="18"/>
          <w:color w:val="auto"/>
        </w:rPr>
        <w:t>At September 30, 2006, the Company had outstanding interest rate swaps with major financial institutions that effectively converted a portion of our variable-rate debt denominated in the Euro dollar and British pound to a fixed rate. The swaps agreements have a total U.S. dollar equivalent notional amount of $108.2 million with three-year terms expiring November 2008. Under the terms of these swaps, the Company pays fixed rates of 2.98% on Euro denominated swaps and 4.76% on British pound denominated swaps. At September 30, 2005, there were no outstanding interest rate swaps.</w:t>
      </w:r>
    </w:p>
    <w:p>
      <w:pPr>
        <w:spacing w:after="0" w:line="108" w:lineRule="exact"/>
        <w:rPr>
          <w:sz w:val="20"/>
          <w:szCs w:val="20"/>
          <w:color w:val="auto"/>
        </w:rPr>
      </w:pPr>
    </w:p>
    <w:p>
      <w:pPr>
        <w:ind w:left="580" w:right="240" w:firstLine="411"/>
        <w:spacing w:after="0" w:line="237"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exposure on debt instruments. Since the interest rate swaps have been designated as hedging instruments, their fair values are reflected in the Company’s Consolidated Balance Sheets. Net amounts to be received or paid under the swap agreements are reflected as adjustments to interest expense. Unrealized gains or losses resulting from valuing these swaps at fair value are recorded as elements of accumulated other comprehensive loss within the Consolidated Balance Sheets. The fair value of the swap agreements was determined based on the present value of the estimated future net cash flows using implied rates in the applicable yield curve as of the valuation date.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Commodity Hedges</w:t>
      </w:r>
    </w:p>
    <w:p>
      <w:pPr>
        <w:spacing w:after="0" w:line="144" w:lineRule="exact"/>
        <w:rPr>
          <w:sz w:val="20"/>
          <w:szCs w:val="20"/>
          <w:color w:val="auto"/>
        </w:rPr>
      </w:pPr>
    </w:p>
    <w:p>
      <w:pPr>
        <w:ind w:left="580" w:right="40" w:firstLine="411"/>
        <w:spacing w:after="0" w:line="239" w:lineRule="auto"/>
        <w:rPr>
          <w:sz w:val="20"/>
          <w:szCs w:val="20"/>
          <w:color w:val="auto"/>
        </w:rPr>
      </w:pPr>
      <w:r>
        <w:rPr>
          <w:rFonts w:ascii="Arial" w:cs="Arial" w:eastAsia="Arial" w:hAnsi="Arial"/>
          <w:sz w:val="18"/>
          <w:szCs w:val="18"/>
          <w:color w:val="auto"/>
        </w:rPr>
        <w:t>Company has entered into a strip of collars to partially mitigate the effect of fluctuating fuel costs on the operating results of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through December 31, 2007. The collar is being marked-to-market with an unrealized loss of approximately $0.2 million on the contracts recorded as an element of other income or expense at September 30, 2006. The contracts are for approximately 3.2 million gallons of fuel.</w:t>
      </w:r>
    </w:p>
    <w:p>
      <w:pPr>
        <w:spacing w:after="0" w:line="107" w:lineRule="exact"/>
        <w:rPr>
          <w:sz w:val="20"/>
          <w:szCs w:val="20"/>
          <w:color w:val="auto"/>
        </w:rPr>
      </w:pPr>
    </w:p>
    <w:p>
      <w:pPr>
        <w:ind w:left="580" w:right="40" w:firstLine="411"/>
        <w:spacing w:after="0" w:line="237" w:lineRule="auto"/>
        <w:rPr>
          <w:sz w:val="20"/>
          <w:szCs w:val="20"/>
          <w:color w:val="auto"/>
        </w:rPr>
      </w:pPr>
      <w:r>
        <w:rPr>
          <w:rFonts w:ascii="Arial" w:cs="Arial" w:eastAsia="Arial" w:hAnsi="Arial"/>
          <w:sz w:val="18"/>
          <w:szCs w:val="18"/>
          <w:color w:val="auto"/>
        </w:rPr>
        <w:t>The Company has also entered into hedging arrangements to fix the price of a portion of its urea needs through March 31, 2007. The contracts are designated as hedges of the Company’s exposure to future cash flows associated with the cost of urea. Unrealized gains or losses in the fair value of these contracts are recorded to the accumulated other comprehensive loss component of shareholders’ equity. Gains or losses upon realization will remain as a component of accumulated other comprehensive loss until the related inventory is sold. Upon sale of the underlying inventory, the gain or loss will be reclassified to cost of sales. The fair value of the 69,000 aggregate tons he</w:t>
      </w:r>
      <w:r>
        <w:rPr>
          <w:rFonts w:ascii="Arial" w:cs="Arial" w:eastAsia="Arial" w:hAnsi="Arial"/>
          <w:sz w:val="18"/>
          <w:szCs w:val="18"/>
          <w:u w:val="single" w:color="auto"/>
          <w:color w:val="auto"/>
        </w:rPr>
        <w:t>dge</w:t>
      </w:r>
      <w:r>
        <w:rPr>
          <w:rFonts w:ascii="Arial" w:cs="Arial" w:eastAsia="Arial" w:hAnsi="Arial"/>
          <w:sz w:val="18"/>
          <w:szCs w:val="18"/>
          <w:color w:val="auto"/>
        </w:rPr>
        <w:t>d at September 30, 2006 was nil.</w:t>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Estimated Fair Values</w:t>
      </w:r>
    </w:p>
    <w:p>
      <w:pPr>
        <w:spacing w:after="0" w:line="144" w:lineRule="exact"/>
        <w:rPr>
          <w:sz w:val="20"/>
          <w:szCs w:val="20"/>
          <w:color w:val="auto"/>
        </w:rPr>
      </w:pPr>
    </w:p>
    <w:p>
      <w:pPr>
        <w:ind w:left="580" w:right="80" w:firstLine="411"/>
        <w:spacing w:after="0" w:line="246" w:lineRule="auto"/>
        <w:rPr>
          <w:sz w:val="20"/>
          <w:szCs w:val="20"/>
          <w:color w:val="auto"/>
        </w:rPr>
      </w:pPr>
      <w:r>
        <w:rPr>
          <w:rFonts w:ascii="Arial" w:cs="Arial" w:eastAsia="Arial" w:hAnsi="Arial"/>
          <w:sz w:val="18"/>
          <w:szCs w:val="18"/>
          <w:color w:val="auto"/>
        </w:rPr>
        <w:t>The estimated fair values of the Company’s financial instruments are as follows for the fiscal years ended September 30 (in millions):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w w:val="96"/>
              </w:rPr>
              <w:t>Carrying</w:t>
            </w:r>
          </w:p>
        </w:tc>
        <w:tc>
          <w:tcPr>
            <w:tcW w:w="6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Fair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w w:val="96"/>
              </w:rPr>
              <w:t>Carrying</w:t>
            </w:r>
          </w:p>
        </w:tc>
        <w:tc>
          <w:tcPr>
            <w:tcW w:w="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w w:val="99"/>
              </w:rPr>
              <w:t>Amount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w w:val="99"/>
              </w:rPr>
              <w:t>Amount</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loans under Revolving Credit Agreement</w:t>
            </w:r>
          </w:p>
        </w:tc>
        <w:tc>
          <w:tcPr>
            <w:tcW w:w="226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  253.8</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$253.8</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  166.2</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Senior Subordinated Notes</w:t>
            </w:r>
          </w:p>
        </w:tc>
        <w:tc>
          <w:tcPr>
            <w:tcW w:w="22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200.0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194.0</w:t>
            </w:r>
          </w:p>
        </w:tc>
        <w:tc>
          <w:tcPr>
            <w:tcW w:w="220" w:type="dxa"/>
            <w:vAlign w:val="bottom"/>
          </w:tcPr>
          <w:p>
            <w:pPr>
              <w:spacing w:after="0"/>
              <w:rPr>
                <w:sz w:val="17"/>
                <w:szCs w:val="17"/>
                <w:color w:val="auto"/>
              </w:rPr>
            </w:pPr>
          </w:p>
        </w:tc>
        <w:tc>
          <w:tcPr>
            <w:tcW w:w="120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200.0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bank borrowings and term loans</w:t>
            </w:r>
          </w:p>
        </w:tc>
        <w:tc>
          <w:tcPr>
            <w:tcW w:w="226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6.8</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Foreign currency swap agreements</w:t>
            </w:r>
          </w:p>
        </w:tc>
        <w:tc>
          <w:tcPr>
            <w:tcW w:w="22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0.4</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20" w:type="dxa"/>
            <w:vAlign w:val="bottom"/>
          </w:tcPr>
          <w:p>
            <w:pPr>
              <w:spacing w:after="0"/>
              <w:rPr>
                <w:sz w:val="17"/>
                <w:szCs w:val="17"/>
                <w:color w:val="auto"/>
              </w:rPr>
            </w:pPr>
          </w:p>
        </w:tc>
        <w:tc>
          <w:tcPr>
            <w:tcW w:w="120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2.4</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agreements</w:t>
            </w:r>
          </w:p>
        </w:tc>
        <w:tc>
          <w:tcPr>
            <w:tcW w:w="226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Commodity hedging instruments</w:t>
            </w:r>
          </w:p>
        </w:tc>
        <w:tc>
          <w:tcPr>
            <w:tcW w:w="2260" w:type="dxa"/>
            <w:vAlign w:val="bottom"/>
            <w:gridSpan w:val="2"/>
          </w:tcPr>
          <w:p>
            <w:pPr>
              <w:jc w:val="right"/>
              <w:ind w:right="230"/>
              <w:spacing w:after="0"/>
              <w:rPr>
                <w:sz w:val="20"/>
                <w:szCs w:val="20"/>
                <w:color w:val="auto"/>
              </w:rPr>
            </w:pPr>
            <w:r>
              <w:rPr>
                <w:rFonts w:ascii="Arial" w:cs="Arial" w:eastAsia="Arial" w:hAnsi="Arial"/>
                <w:sz w:val="18"/>
                <w:szCs w:val="18"/>
                <w:color w:val="auto"/>
              </w:rPr>
              <w:t>(0.2)</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80" w:right="180" w:firstLine="411"/>
        <w:spacing w:after="0"/>
        <w:rPr>
          <w:sz w:val="20"/>
          <w:szCs w:val="20"/>
          <w:color w:val="auto"/>
        </w:rPr>
      </w:pPr>
      <w:r>
        <w:rPr>
          <w:rFonts w:ascii="Arial" w:cs="Arial" w:eastAsia="Arial" w:hAnsi="Arial"/>
          <w:sz w:val="18"/>
          <w:szCs w:val="18"/>
          <w:color w:val="auto"/>
        </w:rPr>
        <w:t>Certain miscellaneous instruments included in the Company’s total debt balances for which fair value determinations are not ascertainable have been excluded from the fair value table above. The excluded items at September 30, 2006 and 2005 (in millions) are as follows: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4300" w:type="dxa"/>
            <w:vAlign w:val="bottom"/>
          </w:tcPr>
          <w:p>
            <w:pPr>
              <w:jc w:val="right"/>
              <w:ind w:right="490"/>
              <w:spacing w:after="0"/>
              <w:rPr>
                <w:sz w:val="20"/>
                <w:szCs w:val="20"/>
                <w:color w:val="auto"/>
              </w:rPr>
            </w:pPr>
            <w:r>
              <w:rPr>
                <w:rFonts w:ascii="Arial" w:cs="Arial" w:eastAsia="Arial" w:hAnsi="Arial"/>
                <w:sz w:val="18"/>
                <w:szCs w:val="18"/>
                <w:color w:val="auto"/>
              </w:rPr>
              <w:t>2006</w:t>
            </w:r>
          </w:p>
        </w:tc>
        <w:tc>
          <w:tcPr>
            <w:tcW w:w="102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189"/>
        </w:trPr>
        <w:tc>
          <w:tcPr>
            <w:tcW w:w="486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36"/>
        </w:trPr>
        <w:tc>
          <w:tcPr>
            <w:tcW w:w="4860" w:type="dxa"/>
            <w:vAlign w:val="bottom"/>
          </w:tcPr>
          <w:p>
            <w:pPr>
              <w:spacing w:after="0"/>
              <w:rPr>
                <w:sz w:val="20"/>
                <w:szCs w:val="20"/>
                <w:color w:val="auto"/>
              </w:rPr>
            </w:pPr>
            <w:r>
              <w:rPr>
                <w:rFonts w:ascii="Arial" w:cs="Arial" w:eastAsia="Arial" w:hAnsi="Arial"/>
                <w:sz w:val="18"/>
                <w:szCs w:val="18"/>
                <w:color w:val="auto"/>
              </w:rPr>
              <w:t>Notes due to sellers</w:t>
            </w:r>
          </w:p>
        </w:tc>
        <w:tc>
          <w:tcPr>
            <w:tcW w:w="4300" w:type="dxa"/>
            <w:vAlign w:val="bottom"/>
          </w:tcPr>
          <w:p>
            <w:pPr>
              <w:jc w:val="right"/>
              <w:ind w:right="470"/>
              <w:spacing w:after="0"/>
              <w:rPr>
                <w:sz w:val="20"/>
                <w:szCs w:val="20"/>
                <w:color w:val="auto"/>
              </w:rPr>
            </w:pPr>
            <w:r>
              <w:rPr>
                <w:rFonts w:ascii="Arial" w:cs="Arial" w:eastAsia="Arial" w:hAnsi="Arial"/>
                <w:sz w:val="18"/>
                <w:szCs w:val="18"/>
                <w:color w:val="auto"/>
              </w:rPr>
              <w:t>$15.4</w:t>
            </w:r>
          </w:p>
        </w:tc>
        <w:tc>
          <w:tcPr>
            <w:tcW w:w="1020" w:type="dxa"/>
            <w:vAlign w:val="bottom"/>
          </w:tcPr>
          <w:p>
            <w:pPr>
              <w:jc w:val="right"/>
              <w:spacing w:after="0"/>
              <w:rPr>
                <w:sz w:val="20"/>
                <w:szCs w:val="20"/>
                <w:color w:val="auto"/>
              </w:rPr>
            </w:pPr>
            <w:r>
              <w:rPr>
                <w:rFonts w:ascii="Arial" w:cs="Arial" w:eastAsia="Arial" w:hAnsi="Arial"/>
                <w:sz w:val="18"/>
                <w:szCs w:val="18"/>
                <w:color w:val="auto"/>
              </w:rPr>
              <w:t>$ 8.1</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4300" w:type="dxa"/>
            <w:vAlign w:val="bottom"/>
          </w:tcPr>
          <w:p>
            <w:pPr>
              <w:jc w:val="right"/>
              <w:ind w:right="470"/>
              <w:spacing w:after="0"/>
              <w:rPr>
                <w:sz w:val="20"/>
                <w:szCs w:val="20"/>
                <w:color w:val="auto"/>
              </w:rPr>
            </w:pPr>
            <w:r>
              <w:rPr>
                <w:rFonts w:ascii="Arial" w:cs="Arial" w:eastAsia="Arial" w:hAnsi="Arial"/>
                <w:sz w:val="18"/>
                <w:szCs w:val="18"/>
                <w:color w:val="auto"/>
              </w:rPr>
              <w:t>9.2</w:t>
            </w: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14. OPERATING LEASES</w:t>
      </w:r>
    </w:p>
    <w:p>
      <w:pPr>
        <w:spacing w:after="0" w:line="139" w:lineRule="exact"/>
        <w:rPr>
          <w:sz w:val="20"/>
          <w:szCs w:val="20"/>
          <w:color w:val="auto"/>
        </w:rPr>
      </w:pPr>
    </w:p>
    <w:p>
      <w:pPr>
        <w:ind w:left="580" w:right="120" w:firstLine="411"/>
        <w:spacing w:after="0" w:line="239" w:lineRule="auto"/>
        <w:rPr>
          <w:sz w:val="20"/>
          <w:szCs w:val="20"/>
          <w:color w:val="auto"/>
        </w:rPr>
      </w:pPr>
      <w:r>
        <w:rPr>
          <w:rFonts w:ascii="Arial" w:cs="Arial" w:eastAsia="Arial" w:hAnsi="Arial"/>
          <w:sz w:val="18"/>
          <w:szCs w:val="18"/>
          <w:color w:val="auto"/>
        </w:rPr>
        <w:t>The Company leases certain property and equipment from third parties under various non-cancelable operating lease agreements. Certain lease agreements contain renewal and purchase options. The lease agreements generally provide that the Company pay taxes, insurance and maintenance expenses related to the leased assets. Future minimum lease payments for non-cancelable operating leases at September 30, 2006, are as follows (in millions):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2008</w:t>
            </w: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31.7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future minimum lease payments</w:t>
            </w:r>
          </w:p>
        </w:tc>
        <w:tc>
          <w:tcPr>
            <w:tcW w:w="3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190.3</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580" w:right="20" w:firstLine="411"/>
        <w:spacing w:after="0" w:line="237"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2006, the Company’s residual value guarantee would have approximated $7.8 million. Other residual value guarantees apply only at the conclusion of the non-cancelable lease term, as follows:</w:t>
      </w:r>
    </w:p>
    <w:p>
      <w:pPr>
        <w:spacing w:after="0" w:line="11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3760" w:type="dxa"/>
            <w:vAlign w:val="bottom"/>
          </w:tcPr>
          <w:p>
            <w:pPr>
              <w:jc w:val="center"/>
              <w:ind w:left="1090"/>
              <w:spacing w:after="0"/>
              <w:rPr>
                <w:sz w:val="20"/>
                <w:szCs w:val="20"/>
                <w:color w:val="auto"/>
              </w:rPr>
            </w:pPr>
            <w:r>
              <w:rPr>
                <w:rFonts w:ascii="Arial" w:cs="Arial" w:eastAsia="Arial" w:hAnsi="Arial"/>
                <w:sz w:val="18"/>
                <w:szCs w:val="18"/>
                <w:color w:val="auto"/>
                <w:w w:val="99"/>
              </w:rPr>
              <w:t>Amount of</w:t>
            </w:r>
          </w:p>
        </w:tc>
        <w:tc>
          <w:tcPr>
            <w:tcW w:w="2180" w:type="dxa"/>
            <w:vAlign w:val="bottom"/>
          </w:tcPr>
          <w:p>
            <w:pPr>
              <w:jc w:val="right"/>
              <w:ind w:right="490"/>
              <w:spacing w:after="0"/>
              <w:rPr>
                <w:sz w:val="20"/>
                <w:szCs w:val="20"/>
                <w:color w:val="auto"/>
              </w:rPr>
            </w:pPr>
            <w:r>
              <w:rPr>
                <w:rFonts w:ascii="Arial" w:cs="Arial" w:eastAsia="Arial" w:hAnsi="Arial"/>
                <w:sz w:val="18"/>
                <w:szCs w:val="18"/>
                <w:color w:val="auto"/>
              </w:rPr>
              <w:t>Lease</w:t>
            </w:r>
          </w:p>
        </w:tc>
      </w:tr>
      <w:tr>
        <w:trPr>
          <w:trHeight w:val="217"/>
        </w:trPr>
        <w:tc>
          <w:tcPr>
            <w:tcW w:w="4240" w:type="dxa"/>
            <w:vAlign w:val="bottom"/>
          </w:tcPr>
          <w:p>
            <w:pPr>
              <w:spacing w:after="0"/>
              <w:rPr>
                <w:sz w:val="18"/>
                <w:szCs w:val="18"/>
                <w:color w:val="auto"/>
              </w:rPr>
            </w:pP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8"/>
              </w:rPr>
              <w:t>Guarantee</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Termination Date</w:t>
            </w:r>
          </w:p>
        </w:tc>
      </w:tr>
      <w:tr>
        <w:trPr>
          <w:trHeight w:val="189"/>
        </w:trPr>
        <w:tc>
          <w:tcPr>
            <w:tcW w:w="424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r>
      <w:tr>
        <w:trPr>
          <w:trHeight w:val="236"/>
        </w:trPr>
        <w:tc>
          <w:tcPr>
            <w:tcW w:w="424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vehicles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rPr>
              <w:t>$   11.8 million</w:t>
            </w:r>
          </w:p>
        </w:tc>
        <w:tc>
          <w:tcPr>
            <w:tcW w:w="218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Corporate aircraft</w:t>
            </w:r>
          </w:p>
        </w:tc>
        <w:tc>
          <w:tcPr>
            <w:tcW w:w="3760" w:type="dxa"/>
            <w:vAlign w:val="bottom"/>
          </w:tcPr>
          <w:p>
            <w:pPr>
              <w:ind w:left="2180"/>
              <w:spacing w:after="0"/>
              <w:rPr>
                <w:sz w:val="20"/>
                <w:szCs w:val="20"/>
                <w:color w:val="auto"/>
              </w:rPr>
            </w:pPr>
            <w:r>
              <w:rPr>
                <w:rFonts w:ascii="Arial" w:cs="Arial" w:eastAsia="Arial" w:hAnsi="Arial"/>
                <w:sz w:val="18"/>
                <w:szCs w:val="18"/>
                <w:color w:val="auto"/>
              </w:rPr>
              <w:t>12.2 million</w:t>
            </w:r>
          </w:p>
        </w:tc>
        <w:tc>
          <w:tcPr>
            <w:tcW w:w="2180" w:type="dxa"/>
            <w:vAlign w:val="bottom"/>
          </w:tcPr>
          <w:p>
            <w:pPr>
              <w:jc w:val="right"/>
              <w:spacing w:after="0"/>
              <w:rPr>
                <w:sz w:val="20"/>
                <w:szCs w:val="20"/>
                <w:color w:val="auto"/>
              </w:rPr>
            </w:pPr>
            <w:r>
              <w:rPr>
                <w:rFonts w:ascii="Arial" w:cs="Arial" w:eastAsia="Arial" w:hAnsi="Arial"/>
                <w:sz w:val="18"/>
                <w:szCs w:val="18"/>
                <w:color w:val="auto"/>
              </w:rPr>
              <w:t>2008 and 2010</w:t>
            </w:r>
          </w:p>
        </w:tc>
      </w:tr>
    </w:tbl>
    <w:p>
      <w:pPr>
        <w:spacing w:after="0" w:line="10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 xml:space="preserve">Rent expense for fiscal 2006, fiscal 2005 and fiscal 2004 </w:t>
      </w:r>
      <w:r>
        <w:rPr>
          <w:rFonts w:ascii="Arial" w:cs="Arial" w:eastAsia="Arial" w:hAnsi="Arial"/>
          <w:sz w:val="18"/>
          <w:szCs w:val="18"/>
          <w:u w:val="single" w:color="auto"/>
          <w:color w:val="auto"/>
        </w:rPr>
        <w:t>total</w:t>
      </w:r>
      <w:r>
        <w:rPr>
          <w:rFonts w:ascii="Arial" w:cs="Arial" w:eastAsia="Arial" w:hAnsi="Arial"/>
          <w:sz w:val="18"/>
          <w:szCs w:val="18"/>
          <w:color w:val="auto"/>
        </w:rPr>
        <w:t>ed $63.3 million, $57.9 million, and $44.8 million, respectively.</w:t>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15. COMMITMENTS</w:t>
      </w:r>
    </w:p>
    <w:p>
      <w:pPr>
        <w:spacing w:after="0" w:line="247" w:lineRule="exact"/>
        <w:rPr>
          <w:sz w:val="20"/>
          <w:szCs w:val="20"/>
          <w:color w:val="auto"/>
        </w:rPr>
      </w:pPr>
    </w:p>
    <w:p>
      <w:pPr>
        <w:ind w:left="580" w:right="240" w:firstLine="411"/>
        <w:spacing w:after="0" w:line="246" w:lineRule="auto"/>
        <w:rPr>
          <w:sz w:val="20"/>
          <w:szCs w:val="20"/>
          <w:color w:val="auto"/>
        </w:rPr>
      </w:pPr>
      <w:r>
        <w:rPr>
          <w:rFonts w:ascii="Arial" w:cs="Arial" w:eastAsia="Arial" w:hAnsi="Arial"/>
          <w:sz w:val="18"/>
          <w:szCs w:val="18"/>
          <w:color w:val="auto"/>
        </w:rPr>
        <w:t>The Company has the following unconditional purchase obligations due during each of the next five fiscal years that have not been recognized on the Consolidated Balance Sheet at September 30, 2006 (in millions):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9600" w:type="dxa"/>
            <w:vAlign w:val="bottom"/>
            <w:shd w:val="clear" w:color="auto" w:fill="CCEEFF"/>
          </w:tcPr>
          <w:p>
            <w:pPr>
              <w:jc w:val="right"/>
              <w:ind w:right="9110"/>
              <w:spacing w:after="0"/>
              <w:rPr>
                <w:sz w:val="20"/>
                <w:szCs w:val="20"/>
                <w:color w:val="auto"/>
              </w:rPr>
            </w:pPr>
            <w:r>
              <w:rPr>
                <w:rFonts w:ascii="Arial" w:cs="Arial" w:eastAsia="Arial" w:hAnsi="Arial"/>
                <w:sz w:val="18"/>
                <w:szCs w:val="18"/>
                <w:color w:val="auto"/>
                <w:w w:val="94"/>
              </w:rPr>
              <w:t>2007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7"/>
                <w:szCs w:val="17"/>
                <w:color w:val="auto"/>
              </w:rPr>
            </w:pPr>
          </w:p>
        </w:tc>
      </w:tr>
      <w:tr>
        <w:trPr>
          <w:trHeight w:val="203"/>
        </w:trPr>
        <w:tc>
          <w:tcPr>
            <w:tcW w:w="9600" w:type="dxa"/>
            <w:vAlign w:val="bottom"/>
          </w:tcPr>
          <w:p>
            <w:pPr>
              <w:jc w:val="right"/>
              <w:ind w:right="9110"/>
              <w:spacing w:after="0" w:line="202" w:lineRule="exact"/>
              <w:rPr>
                <w:sz w:val="20"/>
                <w:szCs w:val="20"/>
                <w:color w:val="auto"/>
              </w:rPr>
            </w:pPr>
            <w:r>
              <w:rPr>
                <w:rFonts w:ascii="Arial" w:cs="Arial" w:eastAsia="Arial" w:hAnsi="Arial"/>
                <w:sz w:val="18"/>
                <w:szCs w:val="18"/>
                <w:color w:val="auto"/>
                <w:w w:val="94"/>
              </w:rPr>
              <w:t>2008</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77.8</w:t>
            </w:r>
          </w:p>
        </w:tc>
        <w:tc>
          <w:tcPr>
            <w:tcW w:w="100" w:type="dxa"/>
            <w:vAlign w:val="bottom"/>
          </w:tcPr>
          <w:p>
            <w:pPr>
              <w:spacing w:after="0"/>
              <w:rPr>
                <w:sz w:val="17"/>
                <w:szCs w:val="17"/>
                <w:color w:val="auto"/>
              </w:rPr>
            </w:pPr>
          </w:p>
        </w:tc>
      </w:tr>
      <w:tr>
        <w:trPr>
          <w:trHeight w:val="203"/>
        </w:trPr>
        <w:tc>
          <w:tcPr>
            <w:tcW w:w="9600" w:type="dxa"/>
            <w:vAlign w:val="bottom"/>
            <w:shd w:val="clear" w:color="auto" w:fill="CCEEFF"/>
          </w:tcPr>
          <w:p>
            <w:pPr>
              <w:jc w:val="right"/>
              <w:ind w:right="9110"/>
              <w:spacing w:after="0" w:line="202" w:lineRule="exact"/>
              <w:rPr>
                <w:sz w:val="20"/>
                <w:szCs w:val="20"/>
                <w:color w:val="auto"/>
              </w:rPr>
            </w:pPr>
            <w:r>
              <w:rPr>
                <w:rFonts w:ascii="Arial" w:cs="Arial" w:eastAsia="Arial" w:hAnsi="Arial"/>
                <w:sz w:val="18"/>
                <w:szCs w:val="18"/>
                <w:color w:val="auto"/>
                <w:w w:val="94"/>
              </w:rPr>
              <w:t>2009</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7"/>
                <w:szCs w:val="17"/>
                <w:color w:val="auto"/>
              </w:rPr>
            </w:pPr>
          </w:p>
        </w:tc>
      </w:tr>
      <w:tr>
        <w:trPr>
          <w:trHeight w:val="203"/>
        </w:trPr>
        <w:tc>
          <w:tcPr>
            <w:tcW w:w="9600" w:type="dxa"/>
            <w:vAlign w:val="bottom"/>
          </w:tcPr>
          <w:p>
            <w:pPr>
              <w:jc w:val="right"/>
              <w:ind w:right="9110"/>
              <w:spacing w:after="0" w:line="202" w:lineRule="exact"/>
              <w:rPr>
                <w:sz w:val="20"/>
                <w:szCs w:val="20"/>
                <w:color w:val="auto"/>
              </w:rPr>
            </w:pPr>
            <w:r>
              <w:rPr>
                <w:rFonts w:ascii="Arial" w:cs="Arial" w:eastAsia="Arial" w:hAnsi="Arial"/>
                <w:sz w:val="18"/>
                <w:szCs w:val="18"/>
                <w:color w:val="auto"/>
                <w:w w:val="94"/>
              </w:rPr>
              <w:t>2010</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37.3</w:t>
            </w:r>
          </w:p>
        </w:tc>
        <w:tc>
          <w:tcPr>
            <w:tcW w:w="100" w:type="dxa"/>
            <w:vAlign w:val="bottom"/>
          </w:tcPr>
          <w:p>
            <w:pPr>
              <w:spacing w:after="0"/>
              <w:rPr>
                <w:sz w:val="17"/>
                <w:szCs w:val="17"/>
                <w:color w:val="auto"/>
              </w:rPr>
            </w:pPr>
          </w:p>
        </w:tc>
      </w:tr>
      <w:tr>
        <w:trPr>
          <w:trHeight w:val="203"/>
        </w:trPr>
        <w:tc>
          <w:tcPr>
            <w:tcW w:w="9600" w:type="dxa"/>
            <w:vAlign w:val="bottom"/>
            <w:shd w:val="clear" w:color="auto" w:fill="CCEEFF"/>
          </w:tcPr>
          <w:p>
            <w:pPr>
              <w:jc w:val="right"/>
              <w:ind w:right="9110"/>
              <w:spacing w:after="0" w:line="202" w:lineRule="exact"/>
              <w:rPr>
                <w:sz w:val="20"/>
                <w:szCs w:val="20"/>
                <w:color w:val="auto"/>
              </w:rPr>
            </w:pPr>
            <w:r>
              <w:rPr>
                <w:rFonts w:ascii="Arial" w:cs="Arial" w:eastAsia="Arial" w:hAnsi="Arial"/>
                <w:sz w:val="18"/>
                <w:szCs w:val="18"/>
                <w:color w:val="auto"/>
                <w:w w:val="94"/>
              </w:rPr>
              <w:t>2011</w:t>
            </w:r>
          </w:p>
        </w:tc>
        <w:tc>
          <w:tcPr>
            <w:tcW w:w="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7"/>
                <w:szCs w:val="17"/>
                <w:color w:val="auto"/>
              </w:rPr>
            </w:pPr>
          </w:p>
        </w:tc>
      </w:tr>
      <w:tr>
        <w:trPr>
          <w:trHeight w:val="210"/>
        </w:trPr>
        <w:tc>
          <w:tcPr>
            <w:tcW w:w="9600" w:type="dxa"/>
            <w:vAlign w:val="bottom"/>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409.7</w:t>
            </w:r>
          </w:p>
        </w:tc>
        <w:tc>
          <w:tcPr>
            <w:tcW w:w="100" w:type="dxa"/>
            <w:vAlign w:val="bottom"/>
          </w:tcPr>
          <w:p>
            <w:pPr>
              <w:spacing w:after="0"/>
              <w:rPr>
                <w:sz w:val="18"/>
                <w:szCs w:val="18"/>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580" w:right="80" w:firstLine="411"/>
        <w:spacing w:after="0" w:line="275" w:lineRule="auto"/>
        <w:rPr>
          <w:sz w:val="20"/>
          <w:szCs w:val="20"/>
          <w:color w:val="auto"/>
        </w:rPr>
      </w:pPr>
      <w:r>
        <w:rPr>
          <w:rFonts w:ascii="Arial" w:cs="Arial" w:eastAsia="Arial" w:hAnsi="Arial"/>
          <w:sz w:val="17"/>
          <w:szCs w:val="17"/>
          <w:color w:val="auto"/>
        </w:rPr>
        <w:t>Purchase obligations primarily represent outstanding purchase orders for materials used in the Company’s manufacturing processes. Purchase obligations also include commitments for warehouse services, seed, and out-sourced information services.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16. CONTINGENCIES</w:t>
      </w:r>
    </w:p>
    <w:p>
      <w:pPr>
        <w:spacing w:after="0" w:line="139" w:lineRule="exact"/>
        <w:rPr>
          <w:sz w:val="20"/>
          <w:szCs w:val="20"/>
          <w:color w:val="auto"/>
        </w:rPr>
      </w:pPr>
    </w:p>
    <w:p>
      <w:pPr>
        <w:ind w:left="580" w:right="80" w:firstLine="411"/>
        <w:spacing w:after="0" w:line="236" w:lineRule="auto"/>
        <w:rPr>
          <w:sz w:val="20"/>
          <w:szCs w:val="20"/>
          <w:color w:val="auto"/>
        </w:rPr>
      </w:pPr>
      <w:r>
        <w:rPr>
          <w:rFonts w:ascii="Arial" w:cs="Arial" w:eastAsia="Arial" w:hAnsi="Arial"/>
          <w:sz w:val="18"/>
          <w:szCs w:val="18"/>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estimates.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Environmental Matters</w:t>
      </w:r>
    </w:p>
    <w:p>
      <w:pPr>
        <w:spacing w:after="0" w:line="144" w:lineRule="exact"/>
        <w:rPr>
          <w:sz w:val="20"/>
          <w:szCs w:val="20"/>
          <w:color w:val="auto"/>
        </w:rPr>
      </w:pPr>
    </w:p>
    <w:p>
      <w:pPr>
        <w:ind w:left="580" w:right="120" w:firstLine="411"/>
        <w:spacing w:after="0" w:line="239" w:lineRule="auto"/>
        <w:rPr>
          <w:sz w:val="20"/>
          <w:szCs w:val="20"/>
          <w:color w:val="auto"/>
        </w:rPr>
      </w:pPr>
      <w:r>
        <w:rPr>
          <w:rFonts w:ascii="Arial" w:cs="Arial" w:eastAsia="Arial" w:hAnsi="Arial"/>
          <w:sz w:val="18"/>
          <w:szCs w:val="18"/>
          <w:color w:val="auto"/>
        </w:rPr>
        <w:t>In 1997, the Ohio Environmental Protection Agency (the “Ohio EPA”) initiated an enforcement action against the Company with respect to alleged surface water violations and inadequate treatment capabilities at the Marysville, Ohio facility and seeking corrective action under the federal Resource Conservation and Recovery Act. The action related to discharges from on-site waste water treatment and several discontinued on-site disposal areas.</w:t>
      </w:r>
    </w:p>
    <w:p>
      <w:pPr>
        <w:spacing w:after="0" w:line="107" w:lineRule="exact"/>
        <w:rPr>
          <w:sz w:val="20"/>
          <w:szCs w:val="20"/>
          <w:color w:val="auto"/>
        </w:rPr>
      </w:pPr>
    </w:p>
    <w:p>
      <w:pPr>
        <w:ind w:left="580" w:right="60" w:firstLine="411"/>
        <w:spacing w:after="0" w:line="246" w:lineRule="auto"/>
        <w:rPr>
          <w:sz w:val="20"/>
          <w:szCs w:val="20"/>
          <w:color w:val="auto"/>
        </w:rPr>
      </w:pPr>
      <w:r>
        <w:rPr>
          <w:rFonts w:ascii="Arial" w:cs="Arial" w:eastAsia="Arial" w:hAnsi="Arial"/>
          <w:sz w:val="18"/>
          <w:szCs w:val="18"/>
          <w:color w:val="auto"/>
        </w:rPr>
        <w:t>Pursuant to a Consent Order entered by the Union County Common Pleas Court in 2002, the Company is actively engaged in restoring the site to eliminate exposure to waste materials from the discontinued on-site disposal areas.</w:t>
      </w:r>
    </w:p>
    <w:p>
      <w:pPr>
        <w:spacing w:after="0" w:line="102" w:lineRule="exact"/>
        <w:rPr>
          <w:sz w:val="20"/>
          <w:szCs w:val="20"/>
          <w:color w:val="auto"/>
        </w:rPr>
      </w:pPr>
    </w:p>
    <w:p>
      <w:pPr>
        <w:ind w:left="580" w:right="300" w:firstLine="411"/>
        <w:spacing w:after="0" w:line="239" w:lineRule="auto"/>
        <w:rPr>
          <w:sz w:val="20"/>
          <w:szCs w:val="20"/>
          <w:color w:val="auto"/>
        </w:rPr>
      </w:pPr>
      <w:r>
        <w:rPr>
          <w:rFonts w:ascii="Arial" w:cs="Arial" w:eastAsia="Arial" w:hAnsi="Arial"/>
          <w:sz w:val="18"/>
          <w:szCs w:val="18"/>
          <w:color w:val="auto"/>
        </w:rPr>
        <w:t>At September 30, 2006, $4.2 million was accrued for environmental and regulatory matters, primarily related to the Marysville facility. Most of the accrued costs are expected to be paid in fiscal 2007; however, payments could be made for a period thereafter. While the amounts accrued are believed to be adequate to cover known environmental exposures based on current facts and estimates of likely outcome, the adequacy of these accruals is based on several significant assumptions:</w:t>
      </w:r>
    </w:p>
    <w:p>
      <w:pPr>
        <w:spacing w:after="0" w:line="107" w:lineRule="exact"/>
        <w:rPr>
          <w:sz w:val="20"/>
          <w:szCs w:val="20"/>
          <w:color w:val="auto"/>
        </w:rPr>
      </w:pPr>
    </w:p>
    <w:p>
      <w:pPr>
        <w:ind w:left="1200" w:hanging="203"/>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all significant sites that must be remediated have been identified;</w:t>
      </w:r>
    </w:p>
    <w:p>
      <w:pPr>
        <w:spacing w:after="0" w:line="103" w:lineRule="exact"/>
        <w:rPr>
          <w:rFonts w:ascii="Arial" w:cs="Arial" w:eastAsia="Arial" w:hAnsi="Arial"/>
          <w:sz w:val="18"/>
          <w:szCs w:val="18"/>
          <w:color w:val="auto"/>
        </w:rPr>
      </w:pPr>
    </w:p>
    <w:p>
      <w:pPr>
        <w:ind w:left="1200" w:hanging="203"/>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there are no significant conditions of contamination that are unknown to us; and</w:t>
      </w:r>
    </w:p>
    <w:p>
      <w:pPr>
        <w:spacing w:after="0" w:line="103" w:lineRule="exact"/>
        <w:rPr>
          <w:rFonts w:ascii="Arial" w:cs="Arial" w:eastAsia="Arial" w:hAnsi="Arial"/>
          <w:sz w:val="18"/>
          <w:szCs w:val="18"/>
          <w:color w:val="auto"/>
        </w:rPr>
      </w:pPr>
    </w:p>
    <w:p>
      <w:pPr>
        <w:jc w:val="both"/>
        <w:ind w:left="1200" w:right="340" w:hanging="203"/>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108" w:lineRule="exact"/>
        <w:rPr>
          <w:sz w:val="20"/>
          <w:szCs w:val="20"/>
          <w:color w:val="auto"/>
        </w:rPr>
      </w:pPr>
    </w:p>
    <w:p>
      <w:pPr>
        <w:ind w:left="580" w:right="520" w:firstLine="411"/>
        <w:spacing w:after="0" w:line="246"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02" w:lineRule="exact"/>
        <w:rPr>
          <w:sz w:val="20"/>
          <w:szCs w:val="20"/>
          <w:color w:val="auto"/>
        </w:rPr>
      </w:pPr>
    </w:p>
    <w:p>
      <w:pPr>
        <w:ind w:left="580" w:right="1020" w:firstLine="411"/>
        <w:spacing w:after="0" w:line="243" w:lineRule="auto"/>
        <w:rPr>
          <w:sz w:val="20"/>
          <w:szCs w:val="20"/>
          <w:color w:val="auto"/>
        </w:rPr>
      </w:pPr>
      <w:r>
        <w:rPr>
          <w:rFonts w:ascii="Arial" w:cs="Arial" w:eastAsia="Arial" w:hAnsi="Arial"/>
          <w:sz w:val="18"/>
          <w:szCs w:val="18"/>
          <w:color w:val="auto"/>
        </w:rPr>
        <w:t>During fiscal 2006, fiscal 2005, and fiscal 2004, we have expensed approximately $2.4 million, $3.7 million, and $3.3 million, respectively, for environmental matters.</w:t>
      </w:r>
    </w:p>
    <w:p>
      <w:pPr>
        <w:ind w:left="5660"/>
        <w:spacing w:after="0"/>
        <w:rPr>
          <w:sz w:val="20"/>
          <w:szCs w:val="20"/>
          <w:color w:val="auto"/>
        </w:rPr>
      </w:pPr>
      <w:r>
        <w:rPr>
          <w:rFonts w:ascii="Arial" w:cs="Arial" w:eastAsia="Arial" w:hAnsi="Arial"/>
          <w:sz w:val="11"/>
          <w:szCs w:val="11"/>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AgrEvo Environmental Health, Inc. v. The Scotts Company (Southern District of New York)</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6"/>
          <w:szCs w:val="16"/>
          <w:b w:val="1"/>
          <w:bCs w:val="1"/>
          <w:u w:val="single" w:color="auto"/>
          <w:color w:val="auto"/>
        </w:rPr>
        <w:t>The Scotts Company v. Aventis S.A. and Starlink Logistics, Inc. (Southern District of Ohio)</w:t>
      </w:r>
    </w:p>
    <w:p>
      <w:pPr>
        <w:spacing w:after="0" w:line="144" w:lineRule="exact"/>
        <w:rPr>
          <w:sz w:val="20"/>
          <w:szCs w:val="20"/>
          <w:color w:val="auto"/>
        </w:rPr>
      </w:pPr>
    </w:p>
    <w:p>
      <w:pPr>
        <w:ind w:left="580" w:right="420" w:firstLine="411"/>
        <w:spacing w:after="0"/>
        <w:rPr>
          <w:sz w:val="20"/>
          <w:szCs w:val="20"/>
          <w:color w:val="auto"/>
        </w:rPr>
      </w:pPr>
      <w:r>
        <w:rPr>
          <w:rFonts w:ascii="Arial" w:cs="Arial" w:eastAsia="Arial" w:hAnsi="Arial"/>
          <w:sz w:val="18"/>
          <w:szCs w:val="18"/>
          <w:color w:val="auto"/>
        </w:rPr>
        <w:t>On September 30, 2005, all litigation among the aforementioned companies had been concluded with the Company receiving a payment of approximately $10 million, of which amount $8.9 million is recorded in “Impairment, restructuring and other charges” within the Consolidated Statements of Operations (see Note 4).</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Central Garden &amp; Pet Company</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6"/>
          <w:szCs w:val="16"/>
          <w:b w:val="1"/>
          <w:bCs w:val="1"/>
          <w:u w:val="single" w:color="auto"/>
          <w:color w:val="auto"/>
        </w:rPr>
        <w:t>The Scotts Company v. Central Garden, Southern District of Ohio</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6"/>
          <w:szCs w:val="16"/>
          <w:b w:val="1"/>
          <w:bCs w:val="1"/>
          <w:u w:val="single" w:color="auto"/>
          <w:color w:val="auto"/>
        </w:rPr>
        <w:t>Central Garden v. Scotts &amp; Pharmacia, Northern District of California</w:t>
      </w:r>
    </w:p>
    <w:p>
      <w:pPr>
        <w:spacing w:after="0" w:line="144" w:lineRule="exact"/>
        <w:rPr>
          <w:sz w:val="20"/>
          <w:szCs w:val="20"/>
          <w:color w:val="auto"/>
        </w:rPr>
      </w:pPr>
    </w:p>
    <w:p>
      <w:pPr>
        <w:ind w:left="580" w:right="180" w:firstLine="411"/>
        <w:spacing w:after="0"/>
        <w:rPr>
          <w:sz w:val="20"/>
          <w:szCs w:val="20"/>
          <w:color w:val="auto"/>
        </w:rPr>
      </w:pPr>
      <w:r>
        <w:rPr>
          <w:rFonts w:ascii="Arial" w:cs="Arial" w:eastAsia="Arial" w:hAnsi="Arial"/>
          <w:sz w:val="18"/>
          <w:szCs w:val="18"/>
          <w:color w:val="auto"/>
        </w:rPr>
        <w:t>All litigation with Central Garden &amp; Pet Company (“Central Garden”) has been concluded. On July 15, 2005, the Company received approximately $15 million in satisfaction of the judgment against Central Garden. The Company has recognized the satisfaction of this judgment in its financial results for fiscal 2005 as follows (in millions):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Reversal of reserve against outstanding receivables due from Central Garden. The reserve was initially established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through a charge to restructuring and other charges within selling, general and administrative expenses; therefore,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the reversal of the reserve has been classified in a like manner. (See Note 4)</w:t>
            </w:r>
          </w:p>
        </w:tc>
        <w:tc>
          <w:tcPr>
            <w:tcW w:w="3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460" w:type="dxa"/>
            <w:vAlign w:val="bottom"/>
          </w:tcPr>
          <w:p>
            <w:pPr>
              <w:spacing w:after="0" w:line="202" w:lineRule="exact"/>
              <w:rPr>
                <w:sz w:val="20"/>
                <w:szCs w:val="20"/>
                <w:color w:val="auto"/>
              </w:rPr>
            </w:pPr>
            <w:r>
              <w:rPr>
                <w:rFonts w:ascii="Arial" w:cs="Arial" w:eastAsia="Arial" w:hAnsi="Arial"/>
                <w:sz w:val="18"/>
                <w:szCs w:val="18"/>
                <w:color w:val="auto"/>
              </w:rPr>
              <w:t>Portion of judgment classified with other income, net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amount included in income from operations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12.0</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460" w:type="dxa"/>
            <w:vAlign w:val="bottom"/>
          </w:tcPr>
          <w:p>
            <w:pPr>
              <w:spacing w:after="0" w:line="202" w:lineRule="exact"/>
              <w:rPr>
                <w:sz w:val="20"/>
                <w:szCs w:val="20"/>
                <w:color w:val="auto"/>
              </w:rPr>
            </w:pPr>
            <w:r>
              <w:rPr>
                <w:rFonts w:ascii="Arial" w:cs="Arial" w:eastAsia="Arial" w:hAnsi="Arial"/>
                <w:sz w:val="18"/>
                <w:szCs w:val="18"/>
                <w:color w:val="auto"/>
              </w:rPr>
              <w:t>Portion of judgment applied to unreserved accounts receivable due from Central Garden</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judgment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15.0</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580" w:right="60" w:firstLine="411"/>
        <w:spacing w:after="0" w:line="246" w:lineRule="auto"/>
        <w:rPr>
          <w:sz w:val="20"/>
          <w:szCs w:val="20"/>
          <w:color w:val="auto"/>
        </w:rPr>
      </w:pPr>
      <w:r>
        <w:rPr>
          <w:rFonts w:ascii="Arial" w:cs="Arial" w:eastAsia="Arial" w:hAnsi="Arial"/>
          <w:sz w:val="18"/>
          <w:szCs w:val="18"/>
          <w:color w:val="auto"/>
        </w:rPr>
        <w:t>All pending litigation brought by Central Garden against the Company has been concluded including the previously pending antitrust case in the Northern District of California in which the Company prevailed.</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U.S. Horticultural Supply, Inc. (F/K/A E.C. Geiger, Inc.)</w:t>
      </w:r>
    </w:p>
    <w:p>
      <w:pPr>
        <w:spacing w:after="0" w:line="144" w:lineRule="exact"/>
        <w:rPr>
          <w:sz w:val="20"/>
          <w:szCs w:val="20"/>
          <w:color w:val="auto"/>
        </w:rPr>
      </w:pPr>
    </w:p>
    <w:p>
      <w:pPr>
        <w:ind w:left="580" w:right="40" w:firstLine="411"/>
        <w:spacing w:after="0" w:line="237"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The complaint alleges that the Company conspired with another distributor, Griffin Greenhouse Supplies, Inc., to restrain trade in the horticultural products market, in violation of Section 1 of the Sherman Antitrust Act. Geiger has not specified the amount of monetary damages it is seeking. On June 2, 2006, the Court denied the Company’s motion to dismiss the complaint. The Company is currently engaged in discovery relating to Geiger’s claim. The deadline for fact discovery is March 8, 2007.</w:t>
      </w:r>
    </w:p>
    <w:p>
      <w:pPr>
        <w:spacing w:after="0" w:line="111" w:lineRule="exact"/>
        <w:rPr>
          <w:sz w:val="20"/>
          <w:szCs w:val="20"/>
          <w:color w:val="auto"/>
        </w:rPr>
      </w:pPr>
    </w:p>
    <w:p>
      <w:pPr>
        <w:ind w:left="580" w:right="20" w:firstLine="411"/>
        <w:spacing w:after="0" w:line="237" w:lineRule="auto"/>
        <w:rPr>
          <w:sz w:val="20"/>
          <w:szCs w:val="20"/>
          <w:color w:val="auto"/>
        </w:rPr>
      </w:pPr>
      <w:r>
        <w:rPr>
          <w:rFonts w:ascii="Arial" w:cs="Arial" w:eastAsia="Arial" w:hAnsi="Arial"/>
          <w:sz w:val="18"/>
          <w:szCs w:val="18"/>
          <w:color w:val="auto"/>
        </w:rPr>
        <w:t>The Company intends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Because Geiger has not specified an amount of monetary damages in the case (which may be trebled under the antitrust statutes) and discovery has not yet concluded, any potential exposure that the Company may face cannot be reasonably estimated at this time.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b w:val="1"/>
          <w:bCs w:val="1"/>
          <w:u w:val="single" w:color="auto"/>
          <w:color w:val="auto"/>
        </w:rPr>
        <w:t>Other</w:t>
      </w:r>
    </w:p>
    <w:p>
      <w:pPr>
        <w:spacing w:after="0" w:line="144" w:lineRule="exact"/>
        <w:rPr>
          <w:sz w:val="20"/>
          <w:szCs w:val="20"/>
          <w:color w:val="auto"/>
        </w:rPr>
      </w:pPr>
    </w:p>
    <w:p>
      <w:pPr>
        <w:ind w:left="580" w:right="320" w:firstLine="411"/>
        <w:spacing w:after="0" w:line="238" w:lineRule="auto"/>
        <w:rPr>
          <w:sz w:val="20"/>
          <w:szCs w:val="20"/>
          <w:color w:val="auto"/>
        </w:rPr>
      </w:pPr>
      <w:r>
        <w:rPr>
          <w:rFonts w:ascii="Arial" w:cs="Arial" w:eastAsia="Arial" w:hAnsi="Arial"/>
          <w:sz w:val="18"/>
          <w:szCs w:val="18"/>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w:t>
      </w:r>
      <w:r>
        <w:rPr>
          <w:rFonts w:ascii="Arial" w:cs="Arial" w:eastAsia="Arial" w:hAnsi="Arial"/>
          <w:sz w:val="18"/>
          <w:szCs w:val="18"/>
          <w:u w:val="single" w:color="auto"/>
          <w:color w:val="auto"/>
        </w:rPr>
        <w:t>nd i</w:t>
      </w:r>
      <w:r>
        <w:rPr>
          <w:rFonts w:ascii="Arial" w:cs="Arial" w:eastAsia="Arial" w:hAnsi="Arial"/>
          <w:sz w:val="18"/>
          <w:szCs w:val="18"/>
          <w:color w:val="auto"/>
        </w:rPr>
        <w:t>s vigorously defending them. It is not currently possible to</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80" w:right="60"/>
        <w:spacing w:after="0" w:line="239" w:lineRule="auto"/>
        <w:rPr>
          <w:sz w:val="20"/>
          <w:szCs w:val="20"/>
          <w:color w:val="auto"/>
        </w:rPr>
      </w:pPr>
      <w:r>
        <w:rPr>
          <w:rFonts w:ascii="Arial" w:cs="Arial" w:eastAsia="Arial" w:hAnsi="Arial"/>
          <w:sz w:val="18"/>
          <w:szCs w:val="18"/>
          <w:color w:val="auto"/>
        </w:rPr>
        <w:t>reasonably estimate a probable loss, if any, associated with the cases and, accordingly, no accrual or reserves have been recorded in the consolidated financial statements. There can be no assurance that these cases, whether as a result of adverse outcomes or as a result of significant defense costs, will not have a material adverse effect on the Company’s financial condition, results of operations and cash flows.</w:t>
      </w:r>
    </w:p>
    <w:p>
      <w:pPr>
        <w:spacing w:after="0" w:line="107" w:lineRule="exact"/>
        <w:rPr>
          <w:sz w:val="20"/>
          <w:szCs w:val="20"/>
          <w:color w:val="auto"/>
        </w:rPr>
      </w:pPr>
    </w:p>
    <w:p>
      <w:pPr>
        <w:jc w:val="both"/>
        <w:ind w:left="580" w:right="220" w:firstLine="411"/>
        <w:spacing w:after="0" w:line="246" w:lineRule="auto"/>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although there can be no assurance of the results of these efforts.</w:t>
      </w:r>
    </w:p>
    <w:p>
      <w:pPr>
        <w:spacing w:after="0" w:line="102" w:lineRule="exact"/>
        <w:rPr>
          <w:sz w:val="20"/>
          <w:szCs w:val="20"/>
          <w:color w:val="auto"/>
        </w:rPr>
      </w:pPr>
    </w:p>
    <w:p>
      <w:pPr>
        <w:ind w:left="580" w:right="200" w:firstLine="411"/>
        <w:spacing w:after="0"/>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results of operations, financial position or cash flows.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17. CONCENTRATIONS OF CREDIT RISK</w:t>
      </w:r>
    </w:p>
    <w:p>
      <w:pPr>
        <w:spacing w:after="0" w:line="139" w:lineRule="exact"/>
        <w:rPr>
          <w:sz w:val="20"/>
          <w:szCs w:val="20"/>
          <w:color w:val="auto"/>
        </w:rPr>
      </w:pPr>
    </w:p>
    <w:p>
      <w:pPr>
        <w:ind w:left="580" w:right="200" w:firstLine="411"/>
        <w:spacing w:after="0" w:line="238"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agriculture crops.</w:t>
      </w:r>
    </w:p>
    <w:p>
      <w:pPr>
        <w:spacing w:after="0" w:line="108" w:lineRule="exact"/>
        <w:rPr>
          <w:sz w:val="20"/>
          <w:szCs w:val="20"/>
          <w:color w:val="auto"/>
        </w:rPr>
      </w:pPr>
    </w:p>
    <w:p>
      <w:pPr>
        <w:ind w:left="580" w:right="240" w:firstLine="411"/>
        <w:spacing w:after="0" w:line="257" w:lineRule="auto"/>
        <w:rPr>
          <w:sz w:val="20"/>
          <w:szCs w:val="20"/>
          <w:color w:val="auto"/>
        </w:rPr>
      </w:pPr>
      <w:r>
        <w:rPr>
          <w:rFonts w:ascii="Arial" w:cs="Arial" w:eastAsia="Arial" w:hAnsi="Arial"/>
          <w:sz w:val="17"/>
          <w:szCs w:val="17"/>
          <w:color w:val="auto"/>
        </w:rPr>
        <w:t>At September 30, 2006, 76% of the Company’s accounts receivable were due from customers geographically located in North America. Approximately 79% of these receivables were generated from the consumer business with the remaining 21% due from customers of Scotts LawnService</w:t>
      </w:r>
      <w:r>
        <w:rPr>
          <w:rFonts w:ascii="Arial" w:cs="Arial" w:eastAsia="Arial" w:hAnsi="Arial"/>
          <w:sz w:val="14"/>
          <w:szCs w:val="14"/>
          <w:color w:val="auto"/>
        </w:rPr>
        <w:t>®</w:t>
      </w:r>
      <w:r>
        <w:rPr>
          <w:rFonts w:ascii="Arial" w:cs="Arial" w:eastAsia="Arial" w:hAnsi="Arial"/>
          <w:sz w:val="17"/>
          <w:szCs w:val="17"/>
          <w:color w:val="auto"/>
        </w:rPr>
        <w:t>, the professional businesses (primarily distributors), Smith &amp; Hawken</w:t>
      </w:r>
      <w:r>
        <w:rPr>
          <w:rFonts w:ascii="Arial" w:cs="Arial" w:eastAsia="Arial" w:hAnsi="Arial"/>
          <w:sz w:val="14"/>
          <w:szCs w:val="14"/>
          <w:color w:val="auto"/>
        </w:rPr>
        <w:t>®</w:t>
      </w:r>
      <w:r>
        <w:rPr>
          <w:rFonts w:ascii="Arial" w:cs="Arial" w:eastAsia="Arial" w:hAnsi="Arial"/>
          <w:sz w:val="17"/>
          <w:szCs w:val="17"/>
          <w:color w:val="auto"/>
        </w:rPr>
        <w:t>, and Morning Song</w:t>
      </w:r>
      <w:r>
        <w:rPr>
          <w:rFonts w:ascii="Arial" w:cs="Arial" w:eastAsia="Arial" w:hAnsi="Arial"/>
          <w:sz w:val="14"/>
          <w:szCs w:val="14"/>
          <w:color w:val="auto"/>
        </w:rPr>
        <w:t>®</w:t>
      </w:r>
      <w:r>
        <w:rPr>
          <w:rFonts w:ascii="Arial" w:cs="Arial" w:eastAsia="Arial" w:hAnsi="Arial"/>
          <w:sz w:val="17"/>
          <w:szCs w:val="17"/>
          <w:color w:val="auto"/>
        </w:rPr>
        <w:t>. Our top 3 customers within the consumer business accounted for 53% of total consumer accounts receivable.</w:t>
      </w:r>
    </w:p>
    <w:p>
      <w:pPr>
        <w:spacing w:after="0" w:line="95" w:lineRule="exact"/>
        <w:rPr>
          <w:sz w:val="20"/>
          <w:szCs w:val="20"/>
          <w:color w:val="auto"/>
        </w:rPr>
      </w:pPr>
    </w:p>
    <w:p>
      <w:pPr>
        <w:ind w:left="580" w:right="180" w:firstLine="411"/>
        <w:spacing w:after="0" w:line="239" w:lineRule="auto"/>
        <w:rPr>
          <w:sz w:val="20"/>
          <w:szCs w:val="20"/>
          <w:color w:val="auto"/>
        </w:rPr>
      </w:pPr>
      <w:r>
        <w:rPr>
          <w:rFonts w:ascii="Arial" w:cs="Arial" w:eastAsia="Arial" w:hAnsi="Arial"/>
          <w:sz w:val="18"/>
          <w:szCs w:val="18"/>
          <w:color w:val="auto"/>
        </w:rPr>
        <w:t>At September 30, 2005, 76% of the Company’s accounts receivable were due from customers geographically located in North America. Approximately 83% of these receivable were generated from the Company’s consumer business with the remaining 17% generated from customers of Scotts LawnService</w:t>
      </w:r>
      <w:r>
        <w:rPr>
          <w:rFonts w:ascii="Arial" w:cs="Arial" w:eastAsia="Arial" w:hAnsi="Arial"/>
          <w:sz w:val="15"/>
          <w:szCs w:val="15"/>
          <w:color w:val="auto"/>
        </w:rPr>
        <w:t>®</w:t>
      </w:r>
      <w:r>
        <w:rPr>
          <w:rFonts w:ascii="Arial" w:cs="Arial" w:eastAsia="Arial" w:hAnsi="Arial"/>
          <w:sz w:val="18"/>
          <w:szCs w:val="18"/>
          <w:color w:val="auto"/>
        </w:rPr>
        <w:t xml:space="preserve"> and the professional businesses (primarily distributors). Our top 3 customers within the consumer business accounted for 80% of total consumer accounts receivable.</w:t>
      </w:r>
    </w:p>
    <w:p>
      <w:pPr>
        <w:spacing w:after="0" w:line="107" w:lineRule="exact"/>
        <w:rPr>
          <w:sz w:val="20"/>
          <w:szCs w:val="20"/>
          <w:color w:val="auto"/>
        </w:rPr>
      </w:pPr>
    </w:p>
    <w:p>
      <w:pPr>
        <w:ind w:left="580" w:right="200" w:firstLine="411"/>
        <w:spacing w:after="0" w:line="239" w:lineRule="auto"/>
        <w:rPr>
          <w:sz w:val="20"/>
          <w:szCs w:val="20"/>
          <w:color w:val="auto"/>
        </w:rPr>
      </w:pPr>
      <w:r>
        <w:rPr>
          <w:rFonts w:ascii="Arial" w:cs="Arial" w:eastAsia="Arial" w:hAnsi="Arial"/>
          <w:sz w:val="18"/>
          <w:szCs w:val="18"/>
          <w:color w:val="auto"/>
        </w:rPr>
        <w:t>The remainder of the Company’s accounts receivable at September 30, 2006 and 2005, were generated from customers located outside of North America, primarily retailers, distributors, nurseries and growers in Europe. No concentrations of customers or individual customers within this group account for more than 10% of the Company’s accounts receivable at either balance sheet date.</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Company’s three largest customers accounted for the following percentage of net sales in each respective period:</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60" w:type="dxa"/>
            <w:vAlign w:val="bottom"/>
          </w:tcPr>
          <w:p>
            <w:pPr>
              <w:jc w:val="right"/>
              <w:ind w:right="770"/>
              <w:spacing w:after="0"/>
              <w:rPr>
                <w:sz w:val="20"/>
                <w:szCs w:val="20"/>
                <w:color w:val="auto"/>
              </w:rPr>
            </w:pPr>
            <w:r>
              <w:rPr>
                <w:rFonts w:ascii="Arial" w:cs="Arial" w:eastAsia="Arial" w:hAnsi="Arial"/>
                <w:sz w:val="18"/>
                <w:szCs w:val="18"/>
                <w:color w:val="auto"/>
              </w:rPr>
              <w:t>Largest</w:t>
            </w:r>
          </w:p>
        </w:tc>
        <w:tc>
          <w:tcPr>
            <w:tcW w:w="2380" w:type="dxa"/>
            <w:vAlign w:val="bottom"/>
          </w:tcPr>
          <w:p>
            <w:pPr>
              <w:jc w:val="right"/>
              <w:ind w:right="730"/>
              <w:spacing w:after="0"/>
              <w:rPr>
                <w:sz w:val="20"/>
                <w:szCs w:val="20"/>
                <w:color w:val="auto"/>
              </w:rPr>
            </w:pPr>
            <w:r>
              <w:rPr>
                <w:rFonts w:ascii="Arial" w:cs="Arial" w:eastAsia="Arial" w:hAnsi="Arial"/>
                <w:sz w:val="18"/>
                <w:szCs w:val="18"/>
                <w:color w:val="auto"/>
              </w:rPr>
              <w:t>2nd Largest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3rd Largest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60" w:type="dxa"/>
            <w:vAlign w:val="bottom"/>
          </w:tcPr>
          <w:p>
            <w:pPr>
              <w:jc w:val="right"/>
              <w:ind w:right="670"/>
              <w:spacing w:after="0"/>
              <w:rPr>
                <w:sz w:val="20"/>
                <w:szCs w:val="20"/>
                <w:color w:val="auto"/>
              </w:rPr>
            </w:pPr>
            <w:r>
              <w:rPr>
                <w:rFonts w:ascii="Arial" w:cs="Arial" w:eastAsia="Arial" w:hAnsi="Arial"/>
                <w:sz w:val="18"/>
                <w:szCs w:val="18"/>
                <w:color w:val="auto"/>
              </w:rPr>
              <w:t>Customer</w:t>
            </w:r>
          </w:p>
        </w:tc>
        <w:tc>
          <w:tcPr>
            <w:tcW w:w="2380" w:type="dxa"/>
            <w:vAlign w:val="bottom"/>
          </w:tcPr>
          <w:p>
            <w:pPr>
              <w:jc w:val="right"/>
              <w:ind w:right="810"/>
              <w:spacing w:after="0"/>
              <w:rPr>
                <w:sz w:val="20"/>
                <w:szCs w:val="20"/>
                <w:color w:val="auto"/>
              </w:rPr>
            </w:pPr>
            <w:r>
              <w:rPr>
                <w:rFonts w:ascii="Arial" w:cs="Arial" w:eastAsia="Arial" w:hAnsi="Arial"/>
                <w:sz w:val="18"/>
                <w:szCs w:val="18"/>
                <w:color w:val="auto"/>
              </w:rPr>
              <w:t>Customer</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Customer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5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00" w:type="dxa"/>
            <w:vAlign w:val="bottom"/>
            <w:shd w:val="clear" w:color="auto" w:fill="CCEEFF"/>
          </w:tcPr>
          <w:p>
            <w:pPr>
              <w:jc w:val="right"/>
              <w:ind w:right="2030"/>
              <w:spacing w:after="0" w:line="202" w:lineRule="exact"/>
              <w:rPr>
                <w:sz w:val="20"/>
                <w:szCs w:val="20"/>
                <w:color w:val="auto"/>
              </w:rPr>
            </w:pPr>
            <w:r>
              <w:rPr>
                <w:rFonts w:ascii="Arial" w:cs="Arial" w:eastAsia="Arial" w:hAnsi="Arial"/>
                <w:sz w:val="18"/>
                <w:szCs w:val="18"/>
                <w:color w:val="auto"/>
                <w:w w:val="89"/>
              </w:rPr>
              <w:t>2006</w:t>
            </w:r>
          </w:p>
        </w:tc>
        <w:tc>
          <w:tcPr>
            <w:tcW w:w="366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21.5%</w:t>
            </w:r>
          </w:p>
        </w:tc>
        <w:tc>
          <w:tcPr>
            <w:tcW w:w="23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11.2%</w:t>
            </w:r>
          </w:p>
        </w:tc>
        <w:tc>
          <w:tcPr>
            <w:tcW w:w="1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jc w:val="right"/>
              <w:ind w:right="2030"/>
              <w:spacing w:after="0" w:line="202" w:lineRule="exact"/>
              <w:rPr>
                <w:sz w:val="20"/>
                <w:szCs w:val="20"/>
                <w:color w:val="auto"/>
              </w:rPr>
            </w:pPr>
            <w:r>
              <w:rPr>
                <w:rFonts w:ascii="Arial" w:cs="Arial" w:eastAsia="Arial" w:hAnsi="Arial"/>
                <w:sz w:val="18"/>
                <w:szCs w:val="18"/>
                <w:color w:val="auto"/>
                <w:w w:val="89"/>
              </w:rPr>
              <w:t>2005</w:t>
            </w:r>
          </w:p>
        </w:tc>
        <w:tc>
          <w:tcPr>
            <w:tcW w:w="36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23.5%</w:t>
            </w:r>
          </w:p>
        </w:tc>
        <w:tc>
          <w:tcPr>
            <w:tcW w:w="23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11.9%</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jc w:val="right"/>
              <w:ind w:right="2030"/>
              <w:spacing w:after="0" w:line="202" w:lineRule="exact"/>
              <w:rPr>
                <w:sz w:val="20"/>
                <w:szCs w:val="20"/>
                <w:color w:val="auto"/>
              </w:rPr>
            </w:pPr>
            <w:r>
              <w:rPr>
                <w:rFonts w:ascii="Arial" w:cs="Arial" w:eastAsia="Arial" w:hAnsi="Arial"/>
                <w:sz w:val="18"/>
                <w:szCs w:val="18"/>
                <w:color w:val="auto"/>
                <w:w w:val="89"/>
              </w:rPr>
              <w:t>2004</w:t>
            </w:r>
          </w:p>
        </w:tc>
        <w:tc>
          <w:tcPr>
            <w:tcW w:w="366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25.0%</w:t>
            </w:r>
          </w:p>
        </w:tc>
        <w:tc>
          <w:tcPr>
            <w:tcW w:w="23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12.9%</w:t>
            </w:r>
          </w:p>
        </w:tc>
        <w:tc>
          <w:tcPr>
            <w:tcW w:w="1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80" w:right="520" w:firstLine="411"/>
        <w:spacing w:after="0" w:line="243" w:lineRule="auto"/>
        <w:rPr>
          <w:sz w:val="20"/>
          <w:szCs w:val="20"/>
          <w:color w:val="auto"/>
        </w:rPr>
      </w:pPr>
      <w:r>
        <w:rPr>
          <w:rFonts w:ascii="Arial" w:cs="Arial" w:eastAsia="Arial" w:hAnsi="Arial"/>
          <w:sz w:val="18"/>
          <w:szCs w:val="18"/>
          <w:color w:val="auto"/>
        </w:rPr>
        <w:t>Sales to the Company’s three largest customers are reported within the Company’s North America segment. No other customers accounted for more than 10% of fiscal 2006, fiscal 2</w:t>
      </w:r>
      <w:r>
        <w:rPr>
          <w:rFonts w:ascii="Arial" w:cs="Arial" w:eastAsia="Arial" w:hAnsi="Arial"/>
          <w:sz w:val="18"/>
          <w:szCs w:val="18"/>
          <w:u w:val="single" w:color="auto"/>
          <w:color w:val="auto"/>
        </w:rPr>
        <w:t>005</w:t>
      </w:r>
      <w:r>
        <w:rPr>
          <w:rFonts w:ascii="Arial" w:cs="Arial" w:eastAsia="Arial" w:hAnsi="Arial"/>
          <w:sz w:val="18"/>
          <w:szCs w:val="18"/>
          <w:color w:val="auto"/>
        </w:rPr>
        <w:t xml:space="preserve"> or fiscal 2004 net sales.</w:t>
      </w:r>
    </w:p>
    <w:p>
      <w:pPr>
        <w:ind w:left="5660"/>
        <w:spacing w:after="0"/>
        <w:rPr>
          <w:sz w:val="20"/>
          <w:szCs w:val="20"/>
          <w:color w:val="auto"/>
        </w:rPr>
      </w:pPr>
      <w:r>
        <w:rPr>
          <w:rFonts w:ascii="Arial" w:cs="Arial" w:eastAsia="Arial" w:hAnsi="Arial"/>
          <w:sz w:val="11"/>
          <w:szCs w:val="11"/>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18. OTHER (INCOME) EXPENSE</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Other (income) expense consisted of the following for the fiscal years ended September 30 (in millions):</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6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2005</w:t>
            </w:r>
          </w:p>
        </w:tc>
        <w:tc>
          <w:tcPr>
            <w:tcW w:w="6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Royalty income</w:t>
            </w:r>
          </w:p>
        </w:tc>
        <w:tc>
          <w:tcPr>
            <w:tcW w:w="300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$(6.8)</w:t>
            </w:r>
          </w:p>
        </w:tc>
        <w:tc>
          <w:tcPr>
            <w:tcW w:w="162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Gain from peat transaction</w:t>
            </w:r>
          </w:p>
        </w:tc>
        <w:tc>
          <w:tcPr>
            <w:tcW w:w="30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(0.9)</w:t>
            </w:r>
          </w:p>
        </w:tc>
        <w:tc>
          <w:tcPr>
            <w:tcW w:w="162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(0.8)</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Franchise fees</w:t>
            </w:r>
          </w:p>
        </w:tc>
        <w:tc>
          <w:tcPr>
            <w:tcW w:w="300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(0.2)</w:t>
            </w:r>
          </w:p>
        </w:tc>
        <w:tc>
          <w:tcPr>
            <w:tcW w:w="162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Foreign currency (gains) losses</w:t>
            </w:r>
          </w:p>
        </w:tc>
        <w:tc>
          <w:tcPr>
            <w:tcW w:w="30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(0.7)</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settlement</w:t>
            </w:r>
          </w:p>
        </w:tc>
        <w:tc>
          <w:tcPr>
            <w:tcW w:w="19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1940" w:type="dxa"/>
            <w:vAlign w:val="bottom"/>
          </w:tcPr>
          <w:p>
            <w:pPr>
              <w:spacing w:after="0"/>
              <w:rPr>
                <w:sz w:val="17"/>
                <w:szCs w:val="17"/>
                <w:color w:val="auto"/>
              </w:rPr>
            </w:pPr>
          </w:p>
        </w:tc>
        <w:tc>
          <w:tcPr>
            <w:tcW w:w="10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(0.6)</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00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w:t>
            </w:r>
          </w:p>
        </w:tc>
        <w:tc>
          <w:tcPr>
            <w:tcW w:w="162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7"/>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19. DISCONTINUED OPERATIONS</w:t>
      </w:r>
    </w:p>
    <w:p>
      <w:pPr>
        <w:spacing w:after="0" w:line="139" w:lineRule="exact"/>
        <w:rPr>
          <w:sz w:val="20"/>
          <w:szCs w:val="20"/>
          <w:color w:val="auto"/>
        </w:rPr>
      </w:pPr>
    </w:p>
    <w:p>
      <w:pPr>
        <w:ind w:left="580" w:right="40" w:firstLine="411"/>
        <w:spacing w:after="0" w:line="236" w:lineRule="auto"/>
        <w:rPr>
          <w:sz w:val="20"/>
          <w:szCs w:val="20"/>
          <w:color w:val="auto"/>
        </w:rPr>
      </w:pPr>
      <w:r>
        <w:rPr>
          <w:rFonts w:ascii="Arial" w:cs="Arial" w:eastAsia="Arial" w:hAnsi="Arial"/>
          <w:sz w:val="18"/>
          <w:szCs w:val="18"/>
          <w:color w:val="auto"/>
        </w:rPr>
        <w:t>On September 30, 2004, the Company consummated the sale of the intangibles comprising its U.S. professional growing media business for $6.0 million. A gain of $4.1 million was recognized after associated goodwill in the amount of $1.9 million was written off. As a result of the sale, the Company shut down a manufacturing facility and severed the associates employed in the business. In accordance with Statement of Financial Accounting Standards No. 144, “Accounting for the Impairment or Disposal Of Long-Lived Assets,” these transactions have been accounted for as disposals of a component of the Company. The gain on the sale of the intangibles and the results of operations of the component are reported as discontinued operations in the accompanying Consolidated Statements of Operations. The detail comprising the discontinued operations is as follows (in millions):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4"/>
              </w:rPr>
              <w:t>2006</w:t>
            </w:r>
          </w:p>
        </w:tc>
        <w:tc>
          <w:tcPr>
            <w:tcW w:w="1640" w:type="dxa"/>
            <w:vAlign w:val="bottom"/>
            <w:gridSpan w:val="3"/>
          </w:tcPr>
          <w:p>
            <w:pPr>
              <w:ind w:left="1220"/>
              <w:spacing w:after="0"/>
              <w:rPr>
                <w:sz w:val="20"/>
                <w:szCs w:val="20"/>
                <w:color w:val="auto"/>
              </w:rPr>
            </w:pPr>
            <w:r>
              <w:rPr>
                <w:rFonts w:ascii="Arial" w:cs="Arial" w:eastAsia="Arial" w:hAnsi="Arial"/>
                <w:sz w:val="18"/>
                <w:szCs w:val="18"/>
                <w:color w:val="auto"/>
                <w:w w:val="99"/>
              </w:rPr>
              <w:t>2005</w:t>
            </w:r>
          </w:p>
        </w:tc>
        <w:tc>
          <w:tcPr>
            <w:tcW w:w="6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22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7"/>
              </w:rPr>
              <w:t>(18.9)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sale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Income from discontinued operations before income taxes</w:t>
            </w: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1"/>
              </w:rPr>
              <w:t>(0.1)</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 from discontinued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6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20. VARIABLE INTEREST ENTITIES</w:t>
      </w:r>
    </w:p>
    <w:p>
      <w:pPr>
        <w:spacing w:after="0" w:line="139" w:lineRule="exact"/>
        <w:rPr>
          <w:sz w:val="20"/>
          <w:szCs w:val="20"/>
          <w:color w:val="auto"/>
        </w:rPr>
      </w:pPr>
    </w:p>
    <w:p>
      <w:pPr>
        <w:ind w:left="580" w:right="160" w:firstLine="411"/>
        <w:spacing w:after="0" w:line="238" w:lineRule="auto"/>
        <w:rPr>
          <w:sz w:val="20"/>
          <w:szCs w:val="20"/>
          <w:color w:val="auto"/>
        </w:rPr>
      </w:pPr>
      <w:r>
        <w:rPr>
          <w:rFonts w:ascii="Arial" w:cs="Arial" w:eastAsia="Arial" w:hAnsi="Arial"/>
          <w:sz w:val="18"/>
          <w:szCs w:val="18"/>
          <w:color w:val="auto"/>
        </w:rPr>
        <w:t>In January 2003, the Financial Accounting Standards Board (FASB) issued FASB Interpretation 46, “Consolidation of Variable Interest Entities, an Interpretation of ARB No. 51” (FIN 46). In December 2003, the FASB modified FIN 46 to make certain technical corrections and address certain implementation issues that had arisen. FIN 46 provides a new framework for identifying variable interest entities (VIEs) and determining when a company should include the assets, liabilities, noncontrolling interests, and results of operations of a VIE in its consolidated financial statements.</w:t>
      </w:r>
    </w:p>
    <w:p>
      <w:pPr>
        <w:spacing w:after="0" w:line="108" w:lineRule="exact"/>
        <w:rPr>
          <w:sz w:val="20"/>
          <w:szCs w:val="20"/>
          <w:color w:val="auto"/>
        </w:rPr>
      </w:pPr>
    </w:p>
    <w:p>
      <w:pPr>
        <w:ind w:left="580" w:right="80" w:firstLine="411"/>
        <w:spacing w:after="0" w:line="238" w:lineRule="auto"/>
        <w:rPr>
          <w:sz w:val="20"/>
          <w:szCs w:val="20"/>
          <w:color w:val="auto"/>
        </w:rPr>
      </w:pPr>
      <w:r>
        <w:rPr>
          <w:rFonts w:ascii="Arial" w:cs="Arial" w:eastAsia="Arial" w:hAnsi="Arial"/>
          <w:sz w:val="18"/>
          <w:szCs w:val="18"/>
          <w:color w:val="auto"/>
        </w:rPr>
        <w:t>In general, a VIE is a corporation, partnership, limited liability company, trust, or any other legal structure used to conduct activities or hold assets that either (1) has an insufficient amount of equity to carry out its principal activities without additional subordinated financial support, (2) has a group of equity owners that are unable to make significant decisions about its activities, or (3) has a group of equity owners that do not have the obligation to absorb losses or the right to receive returns generated by its operations.</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80" w:firstLine="411"/>
        <w:spacing w:after="0" w:line="237" w:lineRule="auto"/>
        <w:rPr>
          <w:sz w:val="20"/>
          <w:szCs w:val="20"/>
          <w:color w:val="auto"/>
        </w:rPr>
      </w:pPr>
      <w:r>
        <w:rPr>
          <w:rFonts w:ascii="Arial" w:cs="Arial" w:eastAsia="Arial" w:hAnsi="Arial"/>
          <w:sz w:val="18"/>
          <w:szCs w:val="18"/>
          <w:color w:val="auto"/>
        </w:rPr>
        <w:t>FIN 46 requires a VIE to be consolidated if a party with an ownership, contractual or other financial interest in the VIE (a variable interest holder) is obligated to absorb a majority of the risk of loss from the VIE’s activities, is entitled to receive a majority of the VIE’s residual returns (if no party absorbs a majority of the VIE’s losses), or both.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 based on majority voting interest. FIN 46 also requires disclosures about VIEs that the variable interest holder is not required to consolidate but in which it has a significant variable interest.</w:t>
      </w:r>
    </w:p>
    <w:p>
      <w:pPr>
        <w:spacing w:after="0" w:line="106" w:lineRule="exact"/>
        <w:rPr>
          <w:sz w:val="20"/>
          <w:szCs w:val="20"/>
          <w:color w:val="auto"/>
        </w:rPr>
      </w:pPr>
    </w:p>
    <w:p>
      <w:pPr>
        <w:ind w:left="580" w:right="40" w:firstLine="411"/>
        <w:spacing w:after="0" w:line="237" w:lineRule="auto"/>
        <w:rPr>
          <w:sz w:val="20"/>
          <w:szCs w:val="20"/>
          <w:color w:val="auto"/>
        </w:rPr>
      </w:pPr>
      <w:r>
        <w:rPr>
          <w:rFonts w:ascii="Arial" w:cs="Arial" w:eastAsia="Arial" w:hAnsi="Arial"/>
          <w:sz w:val="18"/>
          <w:szCs w:val="18"/>
          <w:color w:val="auto"/>
        </w:rPr>
        <w:t>The Company’s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sells new franchise territories, primarily in small to mid-size markets, under arrangements where a portion of the franchise fee is paid in cash with the balance due under a promissory note. The Company believes that it may be the primary beneficiary for certain of its franchisees initially, but ceases to be the primary beneficiary as the franchisees develop their businesses and the promissory notes are repaid. At September 30, 2006, the Company had approximately $1.5 million in notes receivable from such franchisees. The effect of consolidating the entities where the Company may be the primary beneficiary for a limited period of time is not material to either the Consolidated Statements of Operations or the Consolidated Balance Sheets.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 21. SEGMENT INFORMATION</w:t>
      </w:r>
    </w:p>
    <w:p>
      <w:pPr>
        <w:spacing w:after="0" w:line="137" w:lineRule="exact"/>
        <w:rPr>
          <w:sz w:val="20"/>
          <w:szCs w:val="20"/>
          <w:color w:val="auto"/>
        </w:rPr>
      </w:pPr>
    </w:p>
    <w:p>
      <w:pPr>
        <w:ind w:left="580" w:right="480" w:firstLine="411"/>
        <w:spacing w:after="0" w:line="242" w:lineRule="auto"/>
        <w:rPr>
          <w:sz w:val="20"/>
          <w:szCs w:val="20"/>
          <w:color w:val="auto"/>
        </w:rPr>
      </w:pPr>
      <w:r>
        <w:rPr>
          <w:rFonts w:ascii="Arial" w:cs="Arial" w:eastAsia="Arial" w:hAnsi="Arial"/>
          <w:sz w:val="18"/>
          <w:szCs w:val="18"/>
          <w:color w:val="auto"/>
        </w:rPr>
        <w:t>The Company is divided into the following segments — North America, Scotts LawnService</w:t>
      </w:r>
      <w:r>
        <w:rPr>
          <w:rFonts w:ascii="Arial" w:cs="Arial" w:eastAsia="Arial" w:hAnsi="Arial"/>
          <w:sz w:val="15"/>
          <w:szCs w:val="15"/>
          <w:color w:val="auto"/>
        </w:rPr>
        <w:t>®</w:t>
      </w:r>
      <w:r>
        <w:rPr>
          <w:rFonts w:ascii="Arial" w:cs="Arial" w:eastAsia="Arial" w:hAnsi="Arial"/>
          <w:sz w:val="18"/>
          <w:szCs w:val="18"/>
          <w:color w:val="auto"/>
        </w:rPr>
        <w:t>, International, and Corporate &amp; Other. This division of reportable segments is consistent with how the segments report to and are managed by senior management of the Company.</w:t>
      </w:r>
    </w:p>
    <w:p>
      <w:pPr>
        <w:spacing w:after="0" w:line="9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North America segment primarily consists of the Lawns, Gardens, Growing Media, Ortho</w:t>
      </w:r>
      <w:r>
        <w:rPr>
          <w:rFonts w:ascii="Arial" w:cs="Arial" w:eastAsia="Arial" w:hAnsi="Arial"/>
          <w:sz w:val="15"/>
          <w:szCs w:val="15"/>
          <w:color w:val="auto"/>
        </w:rPr>
        <w:t>®</w:t>
      </w:r>
      <w:r>
        <w:rPr>
          <w:rFonts w:ascii="Arial" w:cs="Arial" w:eastAsia="Arial" w:hAnsi="Arial"/>
          <w:sz w:val="18"/>
          <w:szCs w:val="18"/>
          <w:color w:val="auto"/>
        </w:rPr>
        <w:t xml:space="preserve"> (Controls), Canada and</w:t>
      </w:r>
    </w:p>
    <w:p>
      <w:pPr>
        <w:ind w:left="580"/>
        <w:spacing w:after="0" w:line="237" w:lineRule="auto"/>
        <w:rPr>
          <w:sz w:val="20"/>
          <w:szCs w:val="20"/>
          <w:color w:val="auto"/>
        </w:rPr>
      </w:pPr>
      <w:r>
        <w:rPr>
          <w:rFonts w:ascii="Arial" w:cs="Arial" w:eastAsia="Arial" w:hAnsi="Arial"/>
          <w:sz w:val="18"/>
          <w:szCs w:val="18"/>
          <w:color w:val="auto"/>
        </w:rPr>
        <w:t>North American Professional business groups as well as the North American portion of the Roundup</w:t>
      </w:r>
      <w:r>
        <w:rPr>
          <w:rFonts w:ascii="Arial" w:cs="Arial" w:eastAsia="Arial" w:hAnsi="Arial"/>
          <w:sz w:val="15"/>
          <w:szCs w:val="15"/>
          <w:color w:val="auto"/>
        </w:rPr>
        <w:t>®</w:t>
      </w:r>
      <w:r>
        <w:rPr>
          <w:rFonts w:ascii="Arial" w:cs="Arial" w:eastAsia="Arial" w:hAnsi="Arial"/>
          <w:sz w:val="18"/>
          <w:szCs w:val="18"/>
          <w:color w:val="auto"/>
        </w:rPr>
        <w:t xml:space="preserve"> commission. This segment manufactures, markets and sells dry, granular slow-release lawn fertilizers, combination lawn fertilizer and control products, grass seed, spreaders, water-soluble, liquid and continuous-release garden and indoor plant foods, plant care products, potting, garden and lawn soils, pottery, mulches and other growing media products, pesticide products and a full line of horticulture products. Products are marketed to mass merchandisers, home improvement centers, large hardware chains, warehouse clubs, distributors, nurseries, garden centers and specialty crop growers in the United States, Canada, Latin America, South America, Australia, and Asia/Pacific.</w:t>
      </w:r>
    </w:p>
    <w:p>
      <w:pPr>
        <w:spacing w:after="0" w:line="109" w:lineRule="exact"/>
        <w:rPr>
          <w:sz w:val="20"/>
          <w:szCs w:val="20"/>
          <w:color w:val="auto"/>
        </w:rPr>
      </w:pPr>
    </w:p>
    <w:p>
      <w:pPr>
        <w:ind w:left="580" w:right="20" w:firstLine="411"/>
        <w:spacing w:after="0" w:line="242"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lawn fertilization, disease and insect control and other related services such as core aeration and tree and shrub fertilization primarily to residential consumers through company-owned branches and franchises. In our larger branches, an exterior barrier pest control service also is offered.</w:t>
      </w:r>
    </w:p>
    <w:p>
      <w:pPr>
        <w:spacing w:after="0" w:line="106" w:lineRule="exact"/>
        <w:rPr>
          <w:sz w:val="20"/>
          <w:szCs w:val="20"/>
          <w:color w:val="auto"/>
        </w:rPr>
      </w:pPr>
    </w:p>
    <w:p>
      <w:pPr>
        <w:ind w:left="580" w:right="20" w:firstLine="411"/>
        <w:spacing w:after="0"/>
        <w:rPr>
          <w:sz w:val="20"/>
          <w:szCs w:val="20"/>
          <w:color w:val="auto"/>
        </w:rPr>
      </w:pPr>
      <w:r>
        <w:rPr>
          <w:rFonts w:ascii="Arial" w:cs="Arial" w:eastAsia="Arial" w:hAnsi="Arial"/>
          <w:sz w:val="18"/>
          <w:szCs w:val="18"/>
          <w:color w:val="auto"/>
        </w:rPr>
        <w:t>The International segment provides products similar to those described above for the North America segment to consumers primarily in Europe. The Other/Corporate segment consists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and corporate general and administrative expenses.</w:t>
      </w:r>
    </w:p>
    <w:p>
      <w:pPr>
        <w:spacing w:after="0" w:line="108" w:lineRule="exact"/>
        <w:rPr>
          <w:sz w:val="20"/>
          <w:szCs w:val="20"/>
          <w:color w:val="auto"/>
        </w:rPr>
      </w:pPr>
    </w:p>
    <w:p>
      <w:pPr>
        <w:ind w:left="580" w:right="460" w:firstLine="411"/>
        <w:spacing w:after="0"/>
        <w:rPr>
          <w:sz w:val="20"/>
          <w:szCs w:val="20"/>
          <w:color w:val="auto"/>
        </w:rPr>
      </w:pPr>
      <w:r>
        <w:rPr>
          <w:rFonts w:ascii="Arial" w:cs="Arial" w:eastAsia="Arial" w:hAnsi="Arial"/>
          <w:sz w:val="18"/>
          <w:szCs w:val="18"/>
          <w:color w:val="auto"/>
        </w:rPr>
        <w:t>The following table (dollars in millions) presents segment financial information in accordance with SFAS No. 131, “Disclosures about Segments of an Enterprise and Related Information”. Pursuant to SFAS No. 131, the presentation of the segment financial information is consistent with the basis used by</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-79375</wp:posOffset>
            </wp:positionV>
            <wp:extent cx="1974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700" w:right="1200"/>
        <w:spacing w:after="0" w:line="246" w:lineRule="auto"/>
        <w:rPr>
          <w:sz w:val="20"/>
          <w:szCs w:val="20"/>
          <w:color w:val="auto"/>
        </w:rPr>
      </w:pPr>
      <w:r>
        <w:rPr>
          <w:rFonts w:ascii="Arial" w:cs="Arial" w:eastAsia="Arial" w:hAnsi="Arial"/>
          <w:sz w:val="18"/>
          <w:szCs w:val="18"/>
          <w:color w:val="auto"/>
        </w:rPr>
        <w:t>management (i.e., certain costs not allocated to business segments for internal management reporting purposes are not allocated for purposes of this presentation).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2006</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2005</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North America</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9"/>
              </w:rPr>
              <w:t>1,914.5</w:t>
            </w:r>
          </w:p>
        </w:tc>
        <w:tc>
          <w:tcPr>
            <w:tcW w:w="56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6"/>
              </w:rPr>
              <w:t>1,668.1</w:t>
            </w:r>
          </w:p>
        </w:tc>
        <w:tc>
          <w:tcPr>
            <w:tcW w:w="5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6"/>
              </w:rPr>
              <w:t>1,569.0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205.7</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159.8</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408.5</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430.3</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405.6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Corporate &amp; Other</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167.6</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159.6</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700"/>
              <w:spacing w:after="0"/>
              <w:rPr>
                <w:sz w:val="20"/>
                <w:szCs w:val="20"/>
                <w:color w:val="auto"/>
              </w:rPr>
            </w:pPr>
            <w:r>
              <w:rPr>
                <w:rFonts w:ascii="Arial" w:cs="Arial" w:eastAsia="Arial" w:hAnsi="Arial"/>
                <w:sz w:val="18"/>
                <w:szCs w:val="18"/>
                <w:color w:val="auto"/>
              </w:rPr>
              <w:t>Segment total</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2,696.3</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2,417.8</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2,109.8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charge</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(45.7)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(2.8)</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2,697.1</w:t>
            </w:r>
          </w:p>
        </w:tc>
        <w:tc>
          <w:tcPr>
            <w:tcW w:w="5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2,369.3</w:t>
            </w:r>
          </w:p>
        </w:tc>
        <w:tc>
          <w:tcPr>
            <w:tcW w:w="5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2,106.5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70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North America</w:t>
            </w: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382.0</w:t>
            </w:r>
          </w:p>
        </w:tc>
        <w:tc>
          <w:tcPr>
            <w:tcW w:w="5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343.9</w:t>
            </w:r>
          </w:p>
        </w:tc>
        <w:tc>
          <w:tcPr>
            <w:tcW w:w="5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Corporate &amp; Other</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(94.2)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total</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344.3</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297.1</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charge</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(45.7)</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(16.8)</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(14.8)</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Impairment of intangibles</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(66.4)</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(23.4)</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(9.5)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252.5</w:t>
            </w:r>
          </w:p>
        </w:tc>
        <w:tc>
          <w:tcPr>
            <w:tcW w:w="5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200.9</w:t>
            </w:r>
          </w:p>
        </w:tc>
        <w:tc>
          <w:tcPr>
            <w:tcW w:w="5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700"/>
              <w:spacing w:after="0"/>
              <w:rPr>
                <w:sz w:val="20"/>
                <w:szCs w:val="20"/>
                <w:color w:val="auto"/>
              </w:rPr>
            </w:pPr>
            <w:r>
              <w:rPr>
                <w:rFonts w:ascii="Arial" w:cs="Arial" w:eastAsia="Arial" w:hAnsi="Arial"/>
                <w:sz w:val="18"/>
                <w:szCs w:val="18"/>
                <w:color w:val="auto"/>
              </w:rPr>
              <w:t>Depreciation &amp; amortization</w:t>
            </w: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North America</w:t>
            </w: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5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5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Corporate &amp; Other</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w:t>
            </w:r>
          </w:p>
        </w:tc>
        <w:tc>
          <w:tcPr>
            <w:tcW w:w="5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w:t>
            </w:r>
          </w:p>
        </w:tc>
        <w:tc>
          <w:tcPr>
            <w:tcW w:w="5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94</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2940" w:type="dxa"/>
            <w:vAlign w:val="bottom"/>
            <w:gridSpan w:val="3"/>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Table of Contents</w:t>
              </w:r>
            </w:hyperlink>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5060" w:type="dxa"/>
            <w:vAlign w:val="bottom"/>
            <w:gridSpan w:val="4"/>
          </w:tcPr>
          <w:p>
            <w:pPr>
              <w:ind w:left="38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2006</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2005</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2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North America</w:t>
            </w:r>
          </w:p>
        </w:tc>
        <w:tc>
          <w:tcPr>
            <w:tcW w:w="3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1060" w:type="dxa"/>
            <w:vAlign w:val="bottom"/>
          </w:tcPr>
          <w:p>
            <w:pPr>
              <w:spacing w:after="0"/>
              <w:rPr>
                <w:sz w:val="17"/>
                <w:szCs w:val="17"/>
                <w:color w:val="auto"/>
              </w:rPr>
            </w:pP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2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International</w:t>
            </w: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2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Corporate &amp; Other</w:t>
            </w:r>
          </w:p>
        </w:tc>
        <w:tc>
          <w:tcPr>
            <w:tcW w:w="3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10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57.0</w:t>
            </w:r>
          </w:p>
        </w:tc>
        <w:tc>
          <w:tcPr>
            <w:tcW w:w="106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40.4</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2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Long-lived assets:</w:t>
            </w: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North America</w:t>
            </w:r>
          </w:p>
        </w:tc>
        <w:tc>
          <w:tcPr>
            <w:tcW w:w="3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771.2</w:t>
            </w:r>
          </w:p>
        </w:tc>
        <w:tc>
          <w:tcPr>
            <w:tcW w:w="1060" w:type="dxa"/>
            <w:vAlign w:val="bottom"/>
          </w:tcPr>
          <w:p>
            <w:pPr>
              <w:spacing w:after="0"/>
              <w:rPr>
                <w:sz w:val="17"/>
                <w:szCs w:val="17"/>
                <w:color w:val="auto"/>
              </w:rPr>
            </w:pP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704.7</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2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120.3</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116.8</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International</w:t>
            </w: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235.0</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262.4</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2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Corporate &amp; Other</w:t>
            </w:r>
          </w:p>
        </w:tc>
        <w:tc>
          <w:tcPr>
            <w:tcW w:w="3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123.9</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125.5</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1,250.4</w:t>
            </w:r>
          </w:p>
        </w:tc>
        <w:tc>
          <w:tcPr>
            <w:tcW w:w="106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1,209.4</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2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North America</w:t>
            </w:r>
          </w:p>
        </w:tc>
        <w:tc>
          <w:tcPr>
            <w:tcW w:w="3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6"/>
              </w:rPr>
              <w:t>1,355.2</w:t>
            </w:r>
          </w:p>
        </w:tc>
        <w:tc>
          <w:tcPr>
            <w:tcW w:w="1060" w:type="dxa"/>
            <w:vAlign w:val="bottom"/>
          </w:tcPr>
          <w:p>
            <w:pPr>
              <w:spacing w:after="0"/>
              <w:rPr>
                <w:sz w:val="17"/>
                <w:szCs w:val="17"/>
                <w:color w:val="auto"/>
              </w:rPr>
            </w:pPr>
          </w:p>
        </w:tc>
        <w:tc>
          <w:tcPr>
            <w:tcW w:w="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6"/>
              </w:rPr>
              <w:t>1,219.3</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2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161.6</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146.7</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International</w:t>
            </w: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450.9</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463.1</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2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Corporate &amp; Other</w:t>
            </w:r>
          </w:p>
        </w:tc>
        <w:tc>
          <w:tcPr>
            <w:tcW w:w="3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249.9</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189.8</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2,217.6</w:t>
            </w:r>
          </w:p>
        </w:tc>
        <w:tc>
          <w:tcPr>
            <w:tcW w:w="106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2,018.9</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00" w:right="20" w:firstLine="397"/>
        <w:spacing w:after="0" w:line="239" w:lineRule="auto"/>
        <w:rPr>
          <w:sz w:val="20"/>
          <w:szCs w:val="20"/>
          <w:color w:val="auto"/>
        </w:rPr>
      </w:pPr>
      <w:r>
        <w:rPr>
          <w:rFonts w:ascii="Arial" w:cs="Arial" w:eastAsia="Arial" w:hAnsi="Arial"/>
          <w:sz w:val="18"/>
          <w:szCs w:val="18"/>
          <w:color w:val="auto"/>
        </w:rPr>
        <w:t>Segment operating income (loss) represents earnings before amortization of intangible assets, interest and taxes, since this is the measure of profitability used by management. Accordingly, the Corporate &amp; Other operating loss includes unallocated corporate general and administrative expenses and certain other income/expense not allocated to the business segments.</w:t>
      </w:r>
    </w:p>
    <w:p>
      <w:pPr>
        <w:spacing w:after="0" w:line="107"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7"/>
          <w:szCs w:val="17"/>
          <w:color w:val="auto"/>
        </w:rPr>
        <w:t>Long-lived assets reported for the Company’s operating segments include goodwill and intangible assets as well as property, plant and equipment within each segment. Total assets reported for the Company’s operating segments include the intangible assets for the acquired businesses within those segments. Corporate &amp; Other assets primarily include deferred financing and debt issuance costs, corporate intangible assets as well as deferred tax assets and Smith &amp; Hawken</w:t>
      </w:r>
      <w:r>
        <w:rPr>
          <w:rFonts w:ascii="Arial" w:cs="Arial" w:eastAsia="Arial" w:hAnsi="Arial"/>
          <w:sz w:val="14"/>
          <w:szCs w:val="14"/>
          <w:color w:val="auto"/>
        </w:rPr>
        <w:t>®</w:t>
      </w:r>
      <w:r>
        <w:rPr>
          <w:rFonts w:ascii="Arial" w:cs="Arial" w:eastAsia="Arial" w:hAnsi="Arial"/>
          <w:sz w:val="17"/>
          <w:szCs w:val="17"/>
          <w:color w:val="auto"/>
        </w:rPr>
        <w:t xml:space="preserve"> assets.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22. SUBSEQUENT EVENT — RECAPITALIZATION</w:t>
      </w:r>
    </w:p>
    <w:p>
      <w:pPr>
        <w:spacing w:after="0" w:line="139" w:lineRule="exact"/>
        <w:rPr>
          <w:sz w:val="20"/>
          <w:szCs w:val="20"/>
          <w:color w:val="auto"/>
        </w:rPr>
      </w:pPr>
    </w:p>
    <w:p>
      <w:pPr>
        <w:ind w:left="700" w:right="60" w:firstLine="397"/>
        <w:spacing w:after="0" w:line="236" w:lineRule="auto"/>
        <w:rPr>
          <w:sz w:val="20"/>
          <w:szCs w:val="20"/>
          <w:color w:val="auto"/>
        </w:rPr>
      </w:pPr>
      <w:r>
        <w:rPr>
          <w:rFonts w:ascii="Arial" w:cs="Arial" w:eastAsia="Arial" w:hAnsi="Arial"/>
          <w:sz w:val="18"/>
          <w:szCs w:val="18"/>
          <w:color w:val="auto"/>
        </w:rPr>
        <w:t>On December 12, 2006, it was announced that the Company intends to implement a recapitalization plan that would expand upon and accelerate returns to shareholders beyond the current $ 500 million share repurchase program (which has been canceled) by returning $750 million to the Company’s shareholders. Pursuant to this plan, which has been approved in concept by the Board of Directors, the Company intends to launch a “Dutch auction” tender offer in January 2007 to repurchase up to $250 million of the Company’s common shares. Following the consummation of the tender offer and subject to final Board approval, the Company intends to declare a special one-time cash dividend during the second quarter of fiscal 2007, currently anticipated to be $500 million in the aggregate but subject to revision based on spending for tendered common shares.</w:t>
      </w:r>
    </w:p>
    <w:p>
      <w:pPr>
        <w:spacing w:after="0" w:line="114" w:lineRule="exact"/>
        <w:rPr>
          <w:sz w:val="20"/>
          <w:szCs w:val="20"/>
          <w:color w:val="auto"/>
        </w:rPr>
      </w:pPr>
    </w:p>
    <w:p>
      <w:pPr>
        <w:ind w:left="700" w:right="80" w:firstLine="397"/>
        <w:spacing w:after="0" w:line="234" w:lineRule="auto"/>
        <w:rPr>
          <w:sz w:val="20"/>
          <w:szCs w:val="20"/>
          <w:color w:val="auto"/>
        </w:rPr>
      </w:pPr>
      <w:r>
        <w:rPr>
          <w:rFonts w:ascii="Arial" w:cs="Arial" w:eastAsia="Arial" w:hAnsi="Arial"/>
          <w:sz w:val="18"/>
          <w:szCs w:val="18"/>
          <w:color w:val="auto"/>
        </w:rPr>
        <w:t>In connection with this recapitalization plan, a commitment letter has been received from JPMorgan Chase, Bank of America and Citigroup, subject to the terms and conditions set forth therein, to provide Scotts Miracle-Gro and certain of its subsidiaries the following loan facilities totaling in the aggregate up to $2.1 billion: (a) a senior secured five-year term loan in the principal amount of $550.0 million and (b) a senior secured five-year revolving loan facility in the aggregate principal amount of up to $1.55 billion. The Company will have the ability to increase the aggregate amount of the revolving and term loan facilities by $200 million allocated on a pro rata basis, subject to demand in the syndication process. The new</w:t>
      </w:r>
    </w:p>
    <w:p>
      <w:pPr>
        <w:spacing w:after="0" w:line="5" w:lineRule="exact"/>
        <w:rPr>
          <w:sz w:val="20"/>
          <w:szCs w:val="20"/>
          <w:color w:val="auto"/>
        </w:rPr>
      </w:pPr>
    </w:p>
    <w:p>
      <w:pPr>
        <w:ind w:left="700" w:right="160"/>
        <w:spacing w:after="0" w:line="243" w:lineRule="auto"/>
        <w:rPr>
          <w:sz w:val="20"/>
          <w:szCs w:val="20"/>
          <w:color w:val="auto"/>
        </w:rPr>
      </w:pPr>
      <w:r>
        <w:rPr>
          <w:rFonts w:ascii="Arial" w:cs="Arial" w:eastAsia="Arial" w:hAnsi="Arial"/>
          <w:sz w:val="18"/>
          <w:szCs w:val="18"/>
          <w:color w:val="auto"/>
        </w:rPr>
        <w:t>$2.1 billion senior secured credit facilities would replace the Company’s existing $1.05 billion senior credit facility described in Note 9. In connection with the recapitalization plan,</w:t>
      </w:r>
    </w:p>
    <w:p>
      <w:pPr>
        <w:ind w:left="5600"/>
        <w:spacing w:after="0"/>
        <w:rPr>
          <w:sz w:val="20"/>
          <w:szCs w:val="20"/>
          <w:color w:val="auto"/>
        </w:rPr>
      </w:pPr>
      <w:r>
        <w:rPr>
          <w:rFonts w:ascii="Arial" w:cs="Arial" w:eastAsia="Arial" w:hAnsi="Arial"/>
          <w:sz w:val="11"/>
          <w:szCs w:val="11"/>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700" w:right="980"/>
        <w:spacing w:after="0" w:line="206" w:lineRule="auto"/>
        <w:rPr>
          <w:sz w:val="20"/>
          <w:szCs w:val="20"/>
          <w:color w:val="auto"/>
        </w:rPr>
      </w:pPr>
      <w:r>
        <w:rPr>
          <w:rFonts w:ascii="Arial" w:cs="Arial" w:eastAsia="Arial" w:hAnsi="Arial"/>
          <w:sz w:val="18"/>
          <w:szCs w:val="18"/>
          <w:color w:val="auto"/>
        </w:rPr>
        <w:t>proceeds from the new credit facilities are also intended to be used to repurchase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due 2013 in an aggregate principal amount of $200 million.</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23. QUARTERLY CONSOLIDATED FINANCIAL INFORMATION (UNAUDITED)</w:t>
      </w:r>
    </w:p>
    <w:p>
      <w:pPr>
        <w:spacing w:after="0" w:line="139" w:lineRule="exact"/>
        <w:rPr>
          <w:sz w:val="20"/>
          <w:szCs w:val="20"/>
          <w:color w:val="auto"/>
        </w:rPr>
      </w:pPr>
    </w:p>
    <w:p>
      <w:pPr>
        <w:ind w:left="700" w:right="1000" w:firstLine="397"/>
        <w:spacing w:after="0" w:line="246" w:lineRule="auto"/>
        <w:rPr>
          <w:sz w:val="20"/>
          <w:szCs w:val="20"/>
          <w:color w:val="auto"/>
        </w:rPr>
      </w:pPr>
      <w:r>
        <w:rPr>
          <w:rFonts w:ascii="Arial" w:cs="Arial" w:eastAsia="Arial" w:hAnsi="Arial"/>
          <w:sz w:val="18"/>
          <w:szCs w:val="18"/>
          <w:color w:val="auto"/>
        </w:rPr>
        <w:t>The following is a summary of the unaudited quarterly results of operations for fiscal 2006 and fiscal 2005 (in millions, except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5"/>
          </w:tcPr>
          <w:p>
            <w:pPr>
              <w:jc w:val="right"/>
              <w:ind w:right="500"/>
              <w:spacing w:after="0"/>
              <w:rPr>
                <w:sz w:val="20"/>
                <w:szCs w:val="20"/>
                <w:color w:val="auto"/>
              </w:rPr>
            </w:pPr>
            <w:r>
              <w:rPr>
                <w:rFonts w:ascii="Arial" w:cs="Arial" w:eastAsia="Arial" w:hAnsi="Arial"/>
                <w:sz w:val="16"/>
                <w:szCs w:val="16"/>
                <w:color w:val="auto"/>
              </w:rPr>
              <w:t>First</w:t>
            </w:r>
          </w:p>
        </w:tc>
        <w:tc>
          <w:tcPr>
            <w:tcW w:w="180" w:type="dxa"/>
            <w:vAlign w:val="bottom"/>
          </w:tcPr>
          <w:p>
            <w:pPr>
              <w:spacing w:after="0"/>
              <w:rPr>
                <w:sz w:val="16"/>
                <w:szCs w:val="16"/>
                <w:color w:val="auto"/>
              </w:rPr>
            </w:pPr>
          </w:p>
        </w:tc>
        <w:tc>
          <w:tcPr>
            <w:tcW w:w="960" w:type="dxa"/>
            <w:vAlign w:val="bottom"/>
            <w:gridSpan w:val="6"/>
          </w:tcPr>
          <w:p>
            <w:pPr>
              <w:spacing w:after="0"/>
              <w:rPr>
                <w:sz w:val="20"/>
                <w:szCs w:val="20"/>
                <w:color w:val="auto"/>
              </w:rPr>
            </w:pPr>
            <w:r>
              <w:rPr>
                <w:rFonts w:ascii="Arial" w:cs="Arial" w:eastAsia="Arial" w:hAnsi="Arial"/>
                <w:sz w:val="16"/>
                <w:szCs w:val="16"/>
                <w:color w:val="auto"/>
              </w:rPr>
              <w:t>Second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Arial" w:cs="Arial" w:eastAsia="Arial" w:hAnsi="Arial"/>
                <w:sz w:val="16"/>
                <w:szCs w:val="16"/>
                <w:color w:val="auto"/>
              </w:rPr>
              <w:t>Third</w:t>
            </w:r>
          </w:p>
        </w:tc>
        <w:tc>
          <w:tcPr>
            <w:tcW w:w="56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6"/>
                <w:szCs w:val="16"/>
                <w:color w:val="auto"/>
              </w:rPr>
              <w:t>Fourth</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5"/>
          </w:tcPr>
          <w:p>
            <w:pPr>
              <w:jc w:val="right"/>
              <w:ind w:right="380"/>
              <w:spacing w:after="0"/>
              <w:rPr>
                <w:sz w:val="20"/>
                <w:szCs w:val="20"/>
                <w:color w:val="auto"/>
              </w:rPr>
            </w:pPr>
            <w:r>
              <w:rPr>
                <w:rFonts w:ascii="Arial" w:cs="Arial" w:eastAsia="Arial" w:hAnsi="Arial"/>
                <w:sz w:val="16"/>
                <w:szCs w:val="16"/>
                <w:color w:val="auto"/>
                <w:w w:val="99"/>
              </w:rPr>
              <w:t>Quarter</w:t>
            </w:r>
          </w:p>
        </w:tc>
        <w:tc>
          <w:tcPr>
            <w:tcW w:w="180" w:type="dxa"/>
            <w:vAlign w:val="bottom"/>
          </w:tcPr>
          <w:p>
            <w:pPr>
              <w:spacing w:after="0"/>
              <w:rPr>
                <w:sz w:val="16"/>
                <w:szCs w:val="16"/>
                <w:color w:val="auto"/>
              </w:rPr>
            </w:pPr>
          </w:p>
        </w:tc>
        <w:tc>
          <w:tcPr>
            <w:tcW w:w="960" w:type="dxa"/>
            <w:vAlign w:val="bottom"/>
            <w:gridSpan w:val="6"/>
          </w:tcPr>
          <w:p>
            <w:pPr>
              <w:spacing w:after="0"/>
              <w:rPr>
                <w:sz w:val="20"/>
                <w:szCs w:val="20"/>
                <w:color w:val="auto"/>
              </w:rPr>
            </w:pPr>
            <w:r>
              <w:rPr>
                <w:rFonts w:ascii="Arial" w:cs="Arial" w:eastAsia="Arial" w:hAnsi="Arial"/>
                <w:sz w:val="16"/>
                <w:szCs w:val="16"/>
                <w:color w:val="auto"/>
              </w:rPr>
              <w:t>Quarter</w:t>
            </w:r>
          </w:p>
        </w:tc>
        <w:tc>
          <w:tcPr>
            <w:tcW w:w="180" w:type="dxa"/>
            <w:vAlign w:val="bottom"/>
          </w:tcPr>
          <w:p>
            <w:pPr>
              <w:spacing w:after="0"/>
              <w:rPr>
                <w:sz w:val="16"/>
                <w:szCs w:val="16"/>
                <w:color w:val="auto"/>
              </w:rPr>
            </w:pPr>
          </w:p>
        </w:tc>
        <w:tc>
          <w:tcPr>
            <w:tcW w:w="720" w:type="dxa"/>
            <w:vAlign w:val="bottom"/>
            <w:gridSpan w:val="3"/>
          </w:tcPr>
          <w:p>
            <w:pPr>
              <w:jc w:val="right"/>
              <w:ind w:right="10"/>
              <w:spacing w:after="0"/>
              <w:rPr>
                <w:sz w:val="20"/>
                <w:szCs w:val="20"/>
                <w:color w:val="auto"/>
              </w:rPr>
            </w:pPr>
            <w:r>
              <w:rPr>
                <w:rFonts w:ascii="Arial" w:cs="Arial" w:eastAsia="Arial" w:hAnsi="Arial"/>
                <w:sz w:val="16"/>
                <w:szCs w:val="16"/>
                <w:color w:val="auto"/>
              </w:rPr>
              <w:t>Quarter</w:t>
            </w:r>
          </w:p>
        </w:tc>
        <w:tc>
          <w:tcPr>
            <w:tcW w:w="56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6"/>
                <w:szCs w:val="16"/>
                <w:color w:val="auto"/>
              </w:rPr>
              <w:t>Quarter</w:t>
            </w:r>
          </w:p>
        </w:tc>
        <w:tc>
          <w:tcPr>
            <w:tcW w:w="26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w w:val="99"/>
              </w:rPr>
              <w:t>Full Year</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2006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6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$249.5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$907.5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$1,048.0</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$492.1</w:t>
            </w:r>
          </w:p>
        </w:tc>
        <w:tc>
          <w:tcPr>
            <w:tcW w:w="320" w:type="dxa"/>
            <w:vAlign w:val="bottom"/>
          </w:tcPr>
          <w:p>
            <w:pPr>
              <w:spacing w:after="0"/>
              <w:rPr>
                <w:sz w:val="17"/>
                <w:szCs w:val="17"/>
                <w:color w:val="auto"/>
              </w:rPr>
            </w:pP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$2,697.1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6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346.4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406.0</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Income (loss) from continuing operations</w:t>
            </w:r>
          </w:p>
        </w:tc>
        <w:tc>
          <w:tcPr>
            <w:tcW w:w="76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(52.7)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94.8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133.3</w:t>
            </w:r>
          </w:p>
        </w:tc>
        <w:tc>
          <w:tcPr>
            <w:tcW w:w="14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(42.7)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132.7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discontinued operations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76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(52.7)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94.8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133.3</w:t>
            </w:r>
          </w:p>
        </w:tc>
        <w:tc>
          <w:tcPr>
            <w:tcW w:w="14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(42.7)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132.7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(loss) per common share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Income (loss) from continuing operations</w:t>
            </w:r>
          </w:p>
        </w:tc>
        <w:tc>
          <w:tcPr>
            <w:tcW w:w="76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 (0.78)</w:t>
            </w:r>
          </w:p>
        </w:tc>
        <w:tc>
          <w:tcPr>
            <w:tcW w:w="240" w:type="dxa"/>
            <w:vAlign w:val="bottom"/>
          </w:tcPr>
          <w:p>
            <w:pPr>
              <w:spacing w:after="0"/>
              <w:rPr>
                <w:sz w:val="17"/>
                <w:szCs w:val="17"/>
                <w:color w:val="auto"/>
              </w:rPr>
            </w:pP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c>
          <w:tcPr>
            <w:tcW w:w="14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 (0.64)</w:t>
            </w:r>
          </w:p>
        </w:tc>
        <w:tc>
          <w:tcPr>
            <w:tcW w:w="44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from discontinued operations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Net income (loss) per common share</w:t>
            </w:r>
          </w:p>
        </w:tc>
        <w:tc>
          <w:tcPr>
            <w:tcW w:w="760" w:type="dxa"/>
            <w:vAlign w:val="bottom"/>
            <w:gridSpan w:val="5"/>
          </w:tcPr>
          <w:p>
            <w:pPr>
              <w:jc w:val="right"/>
              <w:ind w:right="80"/>
              <w:spacing w:after="0"/>
              <w:rPr>
                <w:sz w:val="20"/>
                <w:szCs w:val="20"/>
                <w:color w:val="auto"/>
              </w:rPr>
            </w:pPr>
            <w:r>
              <w:rPr>
                <w:rFonts w:ascii="Arial" w:cs="Arial" w:eastAsia="Arial" w:hAnsi="Arial"/>
                <w:sz w:val="18"/>
                <w:szCs w:val="18"/>
                <w:color w:val="auto"/>
              </w:rPr>
              <w:t>$ (0.78)</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1.97</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 (0.64)</w:t>
            </w:r>
          </w:p>
        </w:tc>
        <w:tc>
          <w:tcPr>
            <w:tcW w:w="4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Common shares used in basic EPS calculation</w:t>
            </w:r>
          </w:p>
        </w:tc>
        <w:tc>
          <w:tcPr>
            <w:tcW w:w="62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68.0</w:t>
            </w: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67.5</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66.8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Diluted earnings (loss) per common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(loss) from continuing operations</w:t>
            </w:r>
          </w:p>
        </w:tc>
        <w:tc>
          <w:tcPr>
            <w:tcW w:w="760" w:type="dxa"/>
            <w:vAlign w:val="bottom"/>
            <w:tcBorders>
              <w:right w:val="single" w:sz="8" w:color="CCEEFF"/>
            </w:tcBorders>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(0.78)</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c>
          <w:tcPr>
            <w:tcW w:w="14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 (0.64)</w:t>
            </w:r>
          </w:p>
        </w:tc>
        <w:tc>
          <w:tcPr>
            <w:tcW w:w="44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Income from discontinued operations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 (loss) per common share</w:t>
            </w:r>
          </w:p>
        </w:tc>
        <w:tc>
          <w:tcPr>
            <w:tcW w:w="760" w:type="dxa"/>
            <w:vAlign w:val="bottom"/>
            <w:tcBorders>
              <w:right w:val="single" w:sz="8" w:color="CCEEFF"/>
            </w:tcBorders>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(0.78)</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c>
          <w:tcPr>
            <w:tcW w:w="14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 (0.64)</w:t>
            </w:r>
          </w:p>
        </w:tc>
        <w:tc>
          <w:tcPr>
            <w:tcW w:w="44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700"/>
              <w:spacing w:after="0"/>
              <w:rPr>
                <w:sz w:val="20"/>
                <w:szCs w:val="20"/>
                <w:color w:val="auto"/>
              </w:rPr>
            </w:pPr>
            <w:r>
              <w:rPr>
                <w:rFonts w:ascii="Arial" w:cs="Arial" w:eastAsia="Arial" w:hAnsi="Arial"/>
                <w:sz w:val="18"/>
                <w:szCs w:val="18"/>
                <w:color w:val="auto"/>
              </w:rPr>
              <w:t>Common shares and dilutive potential common</w:t>
            </w: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shares used in diluted EPS calculation</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7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4"/>
          </w:tcPr>
          <w:p>
            <w:pPr>
              <w:jc w:val="right"/>
              <w:ind w:right="360"/>
              <w:spacing w:after="0"/>
              <w:rPr>
                <w:sz w:val="20"/>
                <w:szCs w:val="20"/>
                <w:color w:val="auto"/>
              </w:rPr>
            </w:pPr>
            <w:r>
              <w:rPr>
                <w:rFonts w:ascii="Arial" w:cs="Arial" w:eastAsia="Arial" w:hAnsi="Arial"/>
                <w:sz w:val="16"/>
                <w:szCs w:val="16"/>
                <w:color w:val="auto"/>
              </w:rPr>
              <w:t>First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4"/>
          </w:tcPr>
          <w:p>
            <w:pPr>
              <w:ind w:left="20"/>
              <w:spacing w:after="0"/>
              <w:rPr>
                <w:sz w:val="20"/>
                <w:szCs w:val="20"/>
                <w:color w:val="auto"/>
              </w:rPr>
            </w:pPr>
            <w:r>
              <w:rPr>
                <w:rFonts w:ascii="Arial" w:cs="Arial" w:eastAsia="Arial" w:hAnsi="Arial"/>
                <w:sz w:val="16"/>
                <w:szCs w:val="16"/>
                <w:color w:val="auto"/>
              </w:rPr>
              <w:t>Second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30"/>
              <w:spacing w:after="0"/>
              <w:rPr>
                <w:sz w:val="20"/>
                <w:szCs w:val="20"/>
                <w:color w:val="auto"/>
              </w:rPr>
            </w:pPr>
            <w:r>
              <w:rPr>
                <w:rFonts w:ascii="Arial" w:cs="Arial" w:eastAsia="Arial" w:hAnsi="Arial"/>
                <w:sz w:val="16"/>
                <w:szCs w:val="16"/>
                <w:color w:val="auto"/>
                <w:w w:val="93"/>
              </w:rPr>
              <w:t>Third</w:t>
            </w:r>
          </w:p>
        </w:tc>
        <w:tc>
          <w:tcPr>
            <w:tcW w:w="560" w:type="dxa"/>
            <w:vAlign w:val="bottom"/>
          </w:tcPr>
          <w:p>
            <w:pPr>
              <w:spacing w:after="0"/>
              <w:rPr>
                <w:sz w:val="24"/>
                <w:szCs w:val="2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6"/>
                <w:szCs w:val="16"/>
                <w:color w:val="auto"/>
              </w:rPr>
              <w:t>Fourth</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6"/>
                <w:szCs w:val="16"/>
                <w:color w:val="auto"/>
                <w:w w:val="99"/>
              </w:rPr>
              <w:t>Quarter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4"/>
          </w:tcPr>
          <w:p>
            <w:pPr>
              <w:ind w:left="20"/>
              <w:spacing w:after="0"/>
              <w:rPr>
                <w:sz w:val="20"/>
                <w:szCs w:val="20"/>
                <w:color w:val="auto"/>
              </w:rPr>
            </w:pPr>
            <w:r>
              <w:rPr>
                <w:rFonts w:ascii="Arial" w:cs="Arial" w:eastAsia="Arial" w:hAnsi="Arial"/>
                <w:sz w:val="16"/>
                <w:szCs w:val="16"/>
                <w:color w:val="auto"/>
              </w:rPr>
              <w:t>Quarter</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rPr>
              <w:t>Quarter</w:t>
            </w:r>
          </w:p>
        </w:tc>
        <w:tc>
          <w:tcPr>
            <w:tcW w:w="56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6"/>
                <w:szCs w:val="16"/>
                <w:color w:val="auto"/>
              </w:rPr>
              <w:t>Quarter</w:t>
            </w:r>
          </w:p>
        </w:tc>
        <w:tc>
          <w:tcPr>
            <w:tcW w:w="26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w w:val="99"/>
              </w:rPr>
              <w:t>Full Year</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2005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$246.5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7"/>
              </w:rPr>
              <w:t>813.4</w:t>
            </w:r>
          </w:p>
        </w:tc>
        <w:tc>
          <w:tcPr>
            <w:tcW w:w="240" w:type="dxa"/>
            <w:vAlign w:val="bottom"/>
          </w:tcPr>
          <w:p>
            <w:pPr>
              <w:spacing w:after="0"/>
              <w:rPr>
                <w:sz w:val="17"/>
                <w:szCs w:val="17"/>
                <w:color w:val="auto"/>
              </w:rPr>
            </w:pP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$901.2</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$408.2</w:t>
            </w:r>
          </w:p>
        </w:tc>
        <w:tc>
          <w:tcPr>
            <w:tcW w:w="320" w:type="dxa"/>
            <w:vAlign w:val="bottom"/>
          </w:tcPr>
          <w:p>
            <w:pPr>
              <w:spacing w:after="0"/>
              <w:rPr>
                <w:sz w:val="17"/>
                <w:szCs w:val="17"/>
                <w:color w:val="auto"/>
              </w:rPr>
            </w:pP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$2,369.3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760" w:type="dxa"/>
            <w:vAlign w:val="bottom"/>
            <w:tcBorders>
              <w:right w:val="single" w:sz="8" w:color="CCEEFF"/>
            </w:tcBorders>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327.6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333.8</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137.9</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860.4</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Income (loss) from continuing operations</w:t>
            </w:r>
          </w:p>
        </w:tc>
        <w:tc>
          <w:tcPr>
            <w:tcW w:w="1000" w:type="dxa"/>
            <w:vAlign w:val="bottom"/>
            <w:gridSpan w:val="6"/>
          </w:tcPr>
          <w:p>
            <w:pPr>
              <w:jc w:val="right"/>
              <w:ind w:right="180"/>
              <w:spacing w:after="0" w:line="202" w:lineRule="exact"/>
              <w:rPr>
                <w:sz w:val="20"/>
                <w:szCs w:val="20"/>
                <w:color w:val="auto"/>
              </w:rPr>
            </w:pPr>
            <w:r>
              <w:rPr>
                <w:rFonts w:ascii="Arial" w:cs="Arial" w:eastAsia="Arial" w:hAnsi="Arial"/>
                <w:sz w:val="18"/>
                <w:szCs w:val="18"/>
                <w:color w:val="auto"/>
              </w:rPr>
              <w:t>(62.5)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88.1</w:t>
            </w:r>
          </w:p>
        </w:tc>
        <w:tc>
          <w:tcPr>
            <w:tcW w:w="14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(8.5)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100.4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discontinued operations</w:t>
            </w:r>
          </w:p>
        </w:tc>
        <w:tc>
          <w:tcPr>
            <w:tcW w:w="200" w:type="dxa"/>
            <w:vAlign w:val="bottom"/>
            <w:gridSpan w:val="2"/>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tcPr>
          <w:p>
            <w:pPr>
              <w:ind w:left="700"/>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88.5</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(loss) per common share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Income (loss) from continuing operations</w:t>
            </w:r>
          </w:p>
        </w:tc>
        <w:tc>
          <w:tcPr>
            <w:tcW w:w="1000" w:type="dxa"/>
            <w:vAlign w:val="bottom"/>
            <w:gridSpan w:val="6"/>
          </w:tcPr>
          <w:p>
            <w:pPr>
              <w:jc w:val="right"/>
              <w:ind w:right="180"/>
              <w:spacing w:after="0" w:line="202" w:lineRule="exact"/>
              <w:rPr>
                <w:sz w:val="20"/>
                <w:szCs w:val="20"/>
                <w:color w:val="auto"/>
              </w:rPr>
            </w:pPr>
            <w:r>
              <w:rPr>
                <w:rFonts w:ascii="Arial" w:cs="Arial" w:eastAsia="Arial" w:hAnsi="Arial"/>
                <w:sz w:val="18"/>
                <w:szCs w:val="18"/>
                <w:color w:val="auto"/>
              </w:rPr>
              <w:t>$ (0.95)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w:t>
            </w:r>
          </w:p>
        </w:tc>
        <w:tc>
          <w:tcPr>
            <w:tcW w:w="240" w:type="dxa"/>
            <w:vAlign w:val="bottom"/>
          </w:tcPr>
          <w:p>
            <w:pPr>
              <w:spacing w:after="0"/>
              <w:rPr>
                <w:sz w:val="17"/>
                <w:szCs w:val="17"/>
                <w:color w:val="auto"/>
              </w:rPr>
            </w:pPr>
          </w:p>
        </w:tc>
        <w:tc>
          <w:tcPr>
            <w:tcW w:w="420" w:type="dxa"/>
            <w:vAlign w:val="bottom"/>
            <w:gridSpan w:val="3"/>
          </w:tcPr>
          <w:p>
            <w:pPr>
              <w:ind w:left="32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14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 (0.13)</w:t>
            </w:r>
          </w:p>
        </w:tc>
        <w:tc>
          <w:tcPr>
            <w:tcW w:w="44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from discontinued operations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Net income (loss) per common share</w:t>
            </w:r>
          </w:p>
        </w:tc>
        <w:tc>
          <w:tcPr>
            <w:tcW w:w="1000" w:type="dxa"/>
            <w:vAlign w:val="bottom"/>
            <w:gridSpan w:val="6"/>
          </w:tcPr>
          <w:p>
            <w:pPr>
              <w:jc w:val="right"/>
              <w:ind w:right="180"/>
              <w:spacing w:after="0"/>
              <w:rPr>
                <w:sz w:val="20"/>
                <w:szCs w:val="20"/>
                <w:color w:val="auto"/>
              </w:rPr>
            </w:pPr>
            <w:r>
              <w:rPr>
                <w:rFonts w:ascii="Arial" w:cs="Arial" w:eastAsia="Arial" w:hAnsi="Arial"/>
                <w:sz w:val="18"/>
                <w:szCs w:val="18"/>
                <w:color w:val="auto"/>
              </w:rPr>
              <w:t>$ (0.95)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420" w:type="dxa"/>
            <w:vAlign w:val="bottom"/>
            <w:gridSpan w:val="3"/>
          </w:tcPr>
          <w:p>
            <w:pPr>
              <w:ind w:left="3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1.33</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 (0.13)</w:t>
            </w:r>
          </w:p>
        </w:tc>
        <w:tc>
          <w:tcPr>
            <w:tcW w:w="4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Common shares used in basic EPS calculation</w:t>
            </w:r>
          </w:p>
        </w:tc>
        <w:tc>
          <w:tcPr>
            <w:tcW w:w="760" w:type="dxa"/>
            <w:vAlign w:val="bottom"/>
            <w:tcBorders>
              <w:right w:val="single" w:sz="8" w:color="CCEEFF"/>
            </w:tcBorders>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66.0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66.6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67.0</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67.4</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Diluted earnings (loss) per common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(loss) from continuing operations</w:t>
            </w:r>
          </w:p>
        </w:tc>
        <w:tc>
          <w:tcPr>
            <w:tcW w:w="1000" w:type="dxa"/>
            <w:vAlign w:val="bottom"/>
            <w:gridSpan w:val="6"/>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(0.95)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14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 (0.13)</w:t>
            </w:r>
          </w:p>
        </w:tc>
        <w:tc>
          <w:tcPr>
            <w:tcW w:w="44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Income from discontinued operations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tcPr>
          <w:p>
            <w:pPr>
              <w:spacing w:after="0"/>
              <w:rPr>
                <w:sz w:val="17"/>
                <w:szCs w:val="17"/>
                <w:color w:val="auto"/>
              </w:rPr>
            </w:pPr>
          </w:p>
        </w:tc>
        <w:tc>
          <w:tcPr>
            <w:tcW w:w="4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 (loss) per common share</w:t>
            </w:r>
          </w:p>
        </w:tc>
        <w:tc>
          <w:tcPr>
            <w:tcW w:w="1000" w:type="dxa"/>
            <w:vAlign w:val="bottom"/>
            <w:gridSpan w:val="6"/>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(0.95)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14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 (0.13)</w:t>
            </w:r>
          </w:p>
        </w:tc>
        <w:tc>
          <w:tcPr>
            <w:tcW w:w="44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700"/>
              <w:spacing w:after="0"/>
              <w:rPr>
                <w:sz w:val="20"/>
                <w:szCs w:val="20"/>
                <w:color w:val="auto"/>
              </w:rPr>
            </w:pPr>
            <w:r>
              <w:rPr>
                <w:rFonts w:ascii="Arial" w:cs="Arial" w:eastAsia="Arial" w:hAnsi="Arial"/>
                <w:sz w:val="18"/>
                <w:szCs w:val="18"/>
                <w:color w:val="auto"/>
              </w:rPr>
              <w:t>Common shares and dilutive potential common shares</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used in diluted EPS calculation</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67.4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420" w:type="dxa"/>
            <w:vAlign w:val="bottom"/>
            <w:gridSpan w:val="3"/>
          </w:tcPr>
          <w:p>
            <w:pPr>
              <w:spacing w:after="0"/>
              <w:rPr>
                <w:sz w:val="11"/>
                <w:szCs w:val="11"/>
                <w:color w:val="auto"/>
              </w:rPr>
            </w:pPr>
          </w:p>
        </w:tc>
        <w:tc>
          <w:tcPr>
            <w:tcW w:w="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96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3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700" w:right="180" w:firstLine="397"/>
        <w:spacing w:after="0" w:line="246" w:lineRule="auto"/>
        <w:rPr>
          <w:sz w:val="20"/>
          <w:szCs w:val="20"/>
          <w:color w:val="auto"/>
        </w:rPr>
      </w:pPr>
      <w:r>
        <w:rPr>
          <w:rFonts w:ascii="Arial" w:cs="Arial" w:eastAsia="Arial" w:hAnsi="Arial"/>
          <w:sz w:val="18"/>
          <w:szCs w:val="18"/>
          <w:color w:val="auto"/>
        </w:rPr>
        <w:t>Common stock equivalents, such as stock awards, are excluded from the diluted loss per share calculation in periods where there is a net loss because their effect is anti-dilutive.</w:t>
      </w:r>
    </w:p>
    <w:p>
      <w:pPr>
        <w:spacing w:after="0" w:line="102" w:lineRule="exact"/>
        <w:rPr>
          <w:sz w:val="20"/>
          <w:szCs w:val="20"/>
          <w:color w:val="auto"/>
        </w:rPr>
      </w:pPr>
    </w:p>
    <w:p>
      <w:pPr>
        <w:ind w:left="700" w:right="520" w:firstLine="397"/>
        <w:spacing w:after="0" w:line="246" w:lineRule="auto"/>
        <w:rPr>
          <w:sz w:val="20"/>
          <w:szCs w:val="20"/>
          <w:color w:val="auto"/>
        </w:rPr>
      </w:pPr>
      <w:r>
        <w:rPr>
          <w:rFonts w:ascii="Arial" w:cs="Arial" w:eastAsia="Arial" w:hAnsi="Arial"/>
          <w:sz w:val="18"/>
          <w:szCs w:val="18"/>
          <w:color w:val="auto"/>
        </w:rPr>
        <w:t>The Company’s business is highly seasonal with 70% to 75% of net sales occurring in the second and third fiscal quarters combined.</w:t>
      </w:r>
    </w:p>
    <w:p>
      <w:pPr>
        <w:spacing w:after="0" w:line="102"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color w:val="auto"/>
        </w:rPr>
        <w:t>Unusual items during fiscal 2006 consisted of impairment charges, restructuring and other costs, and an insurance recovery. These items are reflected in the quarterly financial information as follows: first quarter restructuring and other charges of $ 4.7 million and impairment of intangible assets of $1.0 million; second quarter restructuring and other charges of $1.1 million; third quarter restructuring and other charges of $1.1 million; and fourth quarter restructuring and other charges of $2.5 million and impairment of intangible assets of $ 65.4 million. Also included in the first and second quarters are a $1.0 million and $9.1 million benefit from an insurance recovery, respectively.</w:t>
      </w:r>
    </w:p>
    <w:p>
      <w:pPr>
        <w:spacing w:after="0" w:line="111" w:lineRule="exact"/>
        <w:rPr>
          <w:sz w:val="20"/>
          <w:szCs w:val="20"/>
          <w:color w:val="auto"/>
        </w:rPr>
      </w:pPr>
    </w:p>
    <w:p>
      <w:pPr>
        <w:ind w:left="700" w:right="100" w:firstLine="397"/>
        <w:spacing w:after="0" w:line="237" w:lineRule="auto"/>
        <w:rPr>
          <w:sz w:val="20"/>
          <w:szCs w:val="20"/>
          <w:color w:val="auto"/>
        </w:rPr>
      </w:pPr>
      <w:r>
        <w:rPr>
          <w:rFonts w:ascii="Arial" w:cs="Arial" w:eastAsia="Arial" w:hAnsi="Arial"/>
          <w:sz w:val="18"/>
          <w:szCs w:val="18"/>
          <w:color w:val="auto"/>
        </w:rPr>
        <w:t>Unusual charges during fiscal 2005 consisted of the charge to record the deferred contribution amounts under the Roundup</w:t>
      </w:r>
      <w:r>
        <w:rPr>
          <w:rFonts w:ascii="Arial" w:cs="Arial" w:eastAsia="Arial" w:hAnsi="Arial"/>
          <w:sz w:val="15"/>
          <w:szCs w:val="15"/>
          <w:color w:val="auto"/>
        </w:rPr>
        <w:t>®</w:t>
      </w:r>
      <w:r>
        <w:rPr>
          <w:rFonts w:ascii="Arial" w:cs="Arial" w:eastAsia="Arial" w:hAnsi="Arial"/>
          <w:sz w:val="18"/>
          <w:szCs w:val="18"/>
          <w:color w:val="auto"/>
        </w:rPr>
        <w:t xml:space="preserve"> marketing agreement, impairment charges and restructuring and other costs. These charges are reflected in the quarterly financial information as follows: first quarter restructuring and other charges of $ 0.2 million and impairment of intangible assets of $22.0 million; second quarter restructuring and other charges of $0.1 million; third quarter deferred contribution charge under the Roundup</w:t>
      </w:r>
      <w:r>
        <w:rPr>
          <w:rFonts w:ascii="Arial" w:cs="Arial" w:eastAsia="Arial" w:hAnsi="Arial"/>
          <w:sz w:val="15"/>
          <w:szCs w:val="15"/>
          <w:color w:val="auto"/>
        </w:rPr>
        <w:t>®</w:t>
      </w:r>
      <w:r>
        <w:rPr>
          <w:rFonts w:ascii="Arial" w:cs="Arial" w:eastAsia="Arial" w:hAnsi="Arial"/>
          <w:sz w:val="18"/>
          <w:szCs w:val="18"/>
          <w:color w:val="auto"/>
        </w:rPr>
        <w:t xml:space="preserve"> marketing agreement of $45.7 million; and fourth quarter restructuring and other charges of $8.3 million and impairment of intangible assets of $1.4 million. Also included in the fourth quarter is $3.6 million relating to an immaterial correction of prior periods’ amortization expense.</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24. FINANCIAL INFORMATION FOR SUBSIDIARY GUARANTORS AND NON-GUARANTORS</w:t>
      </w:r>
    </w:p>
    <w:p>
      <w:pPr>
        <w:spacing w:after="0" w:line="134" w:lineRule="exact"/>
        <w:rPr>
          <w:sz w:val="20"/>
          <w:szCs w:val="20"/>
          <w:color w:val="auto"/>
        </w:rPr>
      </w:pPr>
    </w:p>
    <w:p>
      <w:pPr>
        <w:ind w:left="700" w:right="100" w:firstLine="397"/>
        <w:spacing w:after="0" w:line="225" w:lineRule="auto"/>
        <w:rPr>
          <w:sz w:val="20"/>
          <w:szCs w:val="20"/>
          <w:color w:val="auto"/>
        </w:rPr>
      </w:pPr>
      <w:r>
        <w:rPr>
          <w:rFonts w:ascii="Arial" w:cs="Arial" w:eastAsia="Arial" w:hAnsi="Arial"/>
          <w:sz w:val="18"/>
          <w:szCs w:val="18"/>
          <w:color w:val="auto"/>
        </w:rPr>
        <w:t>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are general obligations of The Scotts Miracle-Gro Company and are guaranteed by all of the existing wholly-owned, domestic subsidiaries and all future wholly-owned, significant (as defined in Regulation S-X of the Securities and Exchange Commission) domestic subsidiaries of The Scotts Miracle-Gro Company. These subsidiary guarantors jointly and severally guarantee the obligations of the Company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11" w:lineRule="exact"/>
        <w:rPr>
          <w:sz w:val="20"/>
          <w:szCs w:val="20"/>
          <w:color w:val="auto"/>
        </w:rPr>
      </w:pPr>
    </w:p>
    <w:p>
      <w:pPr>
        <w:ind w:left="700" w:right="160" w:firstLine="397"/>
        <w:spacing w:after="0" w:line="243" w:lineRule="auto"/>
        <w:rPr>
          <w:sz w:val="20"/>
          <w:szCs w:val="20"/>
          <w:color w:val="auto"/>
        </w:rPr>
      </w:pPr>
      <w:r>
        <w:rPr>
          <w:rFonts w:ascii="Arial" w:cs="Arial" w:eastAsia="Arial" w:hAnsi="Arial"/>
          <w:sz w:val="18"/>
          <w:szCs w:val="18"/>
          <w:color w:val="auto"/>
        </w:rPr>
        <w:t>The following information presents consolidating Statements of Operations and Statements of Cash Flows for each of the three years in the period ended September 30, 2006, an</w:t>
      </w:r>
      <w:r>
        <w:rPr>
          <w:rFonts w:ascii="Arial" w:cs="Arial" w:eastAsia="Arial" w:hAnsi="Arial"/>
          <w:sz w:val="18"/>
          <w:szCs w:val="18"/>
          <w:u w:val="single" w:color="auto"/>
          <w:color w:val="auto"/>
        </w:rPr>
        <w:t>d Ba</w:t>
      </w:r>
      <w:r>
        <w:rPr>
          <w:rFonts w:ascii="Arial" w:cs="Arial" w:eastAsia="Arial" w:hAnsi="Arial"/>
          <w:sz w:val="18"/>
          <w:szCs w:val="18"/>
          <w:color w:val="auto"/>
        </w:rPr>
        <w:t>lance Sheets as of September 30, 2006 and 2005.</w:t>
      </w:r>
    </w:p>
    <w:p>
      <w:pPr>
        <w:ind w:left="5600"/>
        <w:spacing w:after="0"/>
        <w:rPr>
          <w:sz w:val="20"/>
          <w:szCs w:val="20"/>
          <w:color w:val="auto"/>
        </w:rPr>
      </w:pPr>
      <w:r>
        <w:rPr>
          <w:rFonts w:ascii="Arial" w:cs="Arial" w:eastAsia="Arial" w:hAnsi="Arial"/>
          <w:sz w:val="11"/>
          <w:szCs w:val="11"/>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Statement of Operations</w:t>
      </w:r>
    </w:p>
    <w:p>
      <w:pPr>
        <w:jc w:val="center"/>
        <w:ind w:right="100"/>
        <w:spacing w:after="0" w:line="234" w:lineRule="auto"/>
        <w:rPr>
          <w:sz w:val="20"/>
          <w:szCs w:val="20"/>
          <w:color w:val="auto"/>
        </w:rPr>
      </w:pPr>
      <w:r>
        <w:rPr>
          <w:rFonts w:ascii="Arial" w:cs="Arial" w:eastAsia="Arial" w:hAnsi="Arial"/>
          <w:sz w:val="18"/>
          <w:szCs w:val="18"/>
          <w:b w:val="1"/>
          <w:bCs w:val="1"/>
          <w:color w:val="auto"/>
        </w:rPr>
        <w:t>for the fiscal year ended September 30, 2006</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8"/>
                <w:szCs w:val="18"/>
                <w:color w:val="auto"/>
                <w:w w:val="95"/>
              </w:rPr>
              <w:t>Subsidiary</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Non-</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Parent</w:t>
            </w:r>
          </w:p>
        </w:tc>
        <w:tc>
          <w:tcPr>
            <w:tcW w:w="1300" w:type="dxa"/>
            <w:vAlign w:val="bottom"/>
            <w:gridSpan w:val="5"/>
          </w:tcPr>
          <w:p>
            <w:pPr>
              <w:ind w:left="160"/>
              <w:spacing w:after="0"/>
              <w:rPr>
                <w:sz w:val="20"/>
                <w:szCs w:val="20"/>
                <w:color w:val="auto"/>
              </w:rPr>
            </w:pPr>
            <w:r>
              <w:rPr>
                <w:rFonts w:ascii="Arial" w:cs="Arial" w:eastAsia="Arial" w:hAnsi="Arial"/>
                <w:sz w:val="18"/>
                <w:szCs w:val="18"/>
                <w:color w:val="auto"/>
              </w:rPr>
              <w:t>Guarantors</w:t>
            </w:r>
          </w:p>
        </w:tc>
        <w:tc>
          <w:tcPr>
            <w:tcW w:w="1300" w:type="dxa"/>
            <w:vAlign w:val="bottom"/>
            <w:gridSpan w:val="4"/>
          </w:tcPr>
          <w:p>
            <w:pPr>
              <w:ind w:left="160"/>
              <w:spacing w:after="0"/>
              <w:rPr>
                <w:sz w:val="20"/>
                <w:szCs w:val="20"/>
                <w:color w:val="auto"/>
              </w:rPr>
            </w:pPr>
            <w:r>
              <w:rPr>
                <w:rFonts w:ascii="Arial" w:cs="Arial" w:eastAsia="Arial" w:hAnsi="Arial"/>
                <w:sz w:val="18"/>
                <w:szCs w:val="18"/>
                <w:color w:val="auto"/>
              </w:rPr>
              <w:t>Guarantors</w:t>
            </w: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8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Consolidated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5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2,184.7</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512.4</w:t>
            </w: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2,697.1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1,400.6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1,741.1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ind w:left="70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955.9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504.2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636.9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Impairment, restructuring, and other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charges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Equity income in subsidiaries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(146.0)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146.0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Intercompany allocations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(7.6)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146.0</w:t>
            </w: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280.3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(146.0)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132.7</w:t>
            </w: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268.5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(42.3)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(146.0)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132.7</w:t>
            </w: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(146.0)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tcPr>
          <w:p>
            <w:pPr>
              <w:ind w:left="180"/>
              <w:spacing w:after="0" w:line="202" w:lineRule="exact"/>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tcPr>
          <w:p>
            <w:pPr>
              <w:spacing w:after="0"/>
              <w:rPr>
                <w:sz w:val="17"/>
                <w:szCs w:val="17"/>
                <w:color w:val="auto"/>
              </w:rPr>
            </w:pPr>
          </w:p>
        </w:tc>
        <w:tc>
          <w:tcPr>
            <w:tcW w:w="3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132.7</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(55.1)</w:t>
            </w:r>
          </w:p>
        </w:tc>
        <w:tc>
          <w:tcPr>
            <w:tcW w:w="4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(146.0)</w:t>
            </w:r>
          </w:p>
        </w:tc>
        <w:tc>
          <w:tcPr>
            <w:tcW w:w="4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7"/>
              </w:rPr>
              <w:t>98</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35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Statement of Cash Flows</w:t>
      </w:r>
    </w:p>
    <w:p>
      <w:pPr>
        <w:jc w:val="center"/>
        <w:ind w:right="100"/>
        <w:spacing w:after="0" w:line="234" w:lineRule="auto"/>
        <w:rPr>
          <w:sz w:val="20"/>
          <w:szCs w:val="20"/>
          <w:color w:val="auto"/>
        </w:rPr>
      </w:pPr>
      <w:r>
        <w:rPr>
          <w:rFonts w:ascii="Arial" w:cs="Arial" w:eastAsia="Arial" w:hAnsi="Arial"/>
          <w:sz w:val="18"/>
          <w:szCs w:val="18"/>
          <w:b w:val="1"/>
          <w:bCs w:val="1"/>
          <w:color w:val="auto"/>
        </w:rPr>
        <w:t>for the fiscal year ended September 30, 2006</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Subsidiary</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6"/>
                <w:szCs w:val="16"/>
                <w:color w:val="auto"/>
              </w:rPr>
              <w:t>Non-</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8"/>
        </w:trPr>
        <w:tc>
          <w:tcPr>
            <w:tcW w:w="7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Parent</w:t>
            </w:r>
          </w:p>
        </w:tc>
        <w:tc>
          <w:tcPr>
            <w:tcW w:w="220" w:type="dxa"/>
            <w:vAlign w:val="bottom"/>
          </w:tcPr>
          <w:p>
            <w:pPr>
              <w:spacing w:after="0"/>
              <w:rPr>
                <w:sz w:val="17"/>
                <w:szCs w:val="17"/>
                <w:color w:val="auto"/>
              </w:rPr>
            </w:pPr>
          </w:p>
        </w:tc>
        <w:tc>
          <w:tcPr>
            <w:tcW w:w="1140" w:type="dxa"/>
            <w:vAlign w:val="bottom"/>
            <w:gridSpan w:val="4"/>
          </w:tcPr>
          <w:p>
            <w:pPr>
              <w:ind w:left="100"/>
              <w:spacing w:after="0"/>
              <w:rPr>
                <w:sz w:val="20"/>
                <w:szCs w:val="20"/>
                <w:color w:val="auto"/>
              </w:rPr>
            </w:pPr>
            <w:r>
              <w:rPr>
                <w:rFonts w:ascii="Arial" w:cs="Arial" w:eastAsia="Arial" w:hAnsi="Arial"/>
                <w:sz w:val="16"/>
                <w:szCs w:val="16"/>
                <w:color w:val="auto"/>
              </w:rPr>
              <w:t>Guarantors</w:t>
            </w:r>
          </w:p>
        </w:tc>
        <w:tc>
          <w:tcPr>
            <w:tcW w:w="1200" w:type="dxa"/>
            <w:vAlign w:val="bottom"/>
            <w:gridSpan w:val="4"/>
          </w:tcPr>
          <w:p>
            <w:pPr>
              <w:ind w:left="160"/>
              <w:spacing w:after="0"/>
              <w:rPr>
                <w:sz w:val="20"/>
                <w:szCs w:val="20"/>
                <w:color w:val="auto"/>
              </w:rPr>
            </w:pPr>
            <w:r>
              <w:rPr>
                <w:rFonts w:ascii="Arial" w:cs="Arial" w:eastAsia="Arial" w:hAnsi="Arial"/>
                <w:sz w:val="16"/>
                <w:szCs w:val="16"/>
                <w:color w:val="auto"/>
              </w:rPr>
              <w:t>Guarantors</w:t>
            </w:r>
          </w:p>
        </w:tc>
        <w:tc>
          <w:tcPr>
            <w:tcW w:w="1280" w:type="dxa"/>
            <w:vAlign w:val="bottom"/>
            <w:gridSpan w:val="4"/>
          </w:tcPr>
          <w:p>
            <w:pPr>
              <w:ind w:left="180"/>
              <w:spacing w:after="0"/>
              <w:rPr>
                <w:sz w:val="20"/>
                <w:szCs w:val="20"/>
                <w:color w:val="auto"/>
              </w:rPr>
            </w:pPr>
            <w:r>
              <w:rPr>
                <w:rFonts w:ascii="Arial" w:cs="Arial" w:eastAsia="Arial" w:hAnsi="Arial"/>
                <w:sz w:val="16"/>
                <w:szCs w:val="16"/>
                <w:color w:val="auto"/>
              </w:rPr>
              <w:t>Eliminations</w:t>
            </w:r>
          </w:p>
        </w:tc>
        <w:tc>
          <w:tcPr>
            <w:tcW w:w="1200" w:type="dxa"/>
            <w:vAlign w:val="bottom"/>
            <w:gridSpan w:val="4"/>
          </w:tcPr>
          <w:p>
            <w:pPr>
              <w:ind w:left="160"/>
              <w:spacing w:after="0"/>
              <w:rPr>
                <w:sz w:val="20"/>
                <w:szCs w:val="20"/>
                <w:color w:val="auto"/>
              </w:rPr>
            </w:pPr>
            <w:r>
              <w:rPr>
                <w:rFonts w:ascii="Arial" w:cs="Arial" w:eastAsia="Arial" w:hAnsi="Arial"/>
                <w:sz w:val="16"/>
                <w:szCs w:val="16"/>
                <w:color w:val="auto"/>
              </w:rPr>
              <w:t>Consolidated</w:t>
            </w:r>
          </w:p>
        </w:tc>
        <w:tc>
          <w:tcPr>
            <w:tcW w:w="800" w:type="dxa"/>
            <w:vAlign w:val="bottom"/>
          </w:tcPr>
          <w:p>
            <w:pPr>
              <w:spacing w:after="0"/>
              <w:rPr>
                <w:sz w:val="17"/>
                <w:szCs w:val="17"/>
                <w:color w:val="auto"/>
              </w:rPr>
            </w:pPr>
          </w:p>
        </w:tc>
      </w:tr>
      <w:tr>
        <w:trPr>
          <w:trHeight w:val="51"/>
        </w:trPr>
        <w:tc>
          <w:tcPr>
            <w:tcW w:w="700" w:type="dxa"/>
            <w:vAlign w:val="bottom"/>
          </w:tcPr>
          <w:p>
            <w:pPr>
              <w:spacing w:after="0"/>
              <w:rPr>
                <w:sz w:val="4"/>
                <w:szCs w:val="4"/>
                <w:color w:val="auto"/>
              </w:rPr>
            </w:pPr>
          </w:p>
        </w:tc>
        <w:tc>
          <w:tcPr>
            <w:tcW w:w="41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132.7</w:t>
            </w:r>
          </w:p>
        </w:tc>
        <w:tc>
          <w:tcPr>
            <w:tcW w:w="60" w:type="dxa"/>
            <w:vAlign w:val="bottom"/>
          </w:tcPr>
          <w:p>
            <w:pPr>
              <w:spacing w:after="0"/>
              <w:rPr>
                <w:sz w:val="16"/>
                <w:szCs w:val="16"/>
                <w:color w:val="auto"/>
              </w:rPr>
            </w:pPr>
          </w:p>
        </w:tc>
        <w:tc>
          <w:tcPr>
            <w:tcW w:w="5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201.1</w:t>
            </w:r>
          </w:p>
        </w:tc>
        <w:tc>
          <w:tcPr>
            <w:tcW w:w="220" w:type="dxa"/>
            <w:vAlign w:val="bottom"/>
          </w:tcPr>
          <w:p>
            <w:pPr>
              <w:spacing w:after="0"/>
              <w:rPr>
                <w:sz w:val="16"/>
                <w:szCs w:val="16"/>
                <w:color w:val="auto"/>
              </w:rPr>
            </w:pP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(55.1)</w:t>
            </w:r>
          </w:p>
        </w:tc>
        <w:tc>
          <w:tcPr>
            <w:tcW w:w="4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(146.0)</w:t>
            </w:r>
          </w:p>
        </w:tc>
        <w:tc>
          <w:tcPr>
            <w:tcW w:w="4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 to reconcile net income (loss) to net cash</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(used in) provided by operating activities: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Impairment of intangible assets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Deferred taxes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(0.4)</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income in subsidiaries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(146.0)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Gain on sale of property, plant and equipment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(0.5)</w:t>
            </w:r>
          </w:p>
        </w:tc>
        <w:tc>
          <w:tcPr>
            <w:tcW w:w="8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 net of acquired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businesses: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(36.7)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(37.6)</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(60.6)</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Prepaid and other current assets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(3.6)</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Accrued taxes and liabilities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(33.4)</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Restructuring reserves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(9.2)</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Other non-current items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Net cash (used in) provided by operating activities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182.4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Proceeds from the sale of property, plant and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equipment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 in property, plant and equipment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(12.4)</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(57.0)</w:t>
            </w:r>
          </w:p>
        </w:tc>
        <w:tc>
          <w:tcPr>
            <w:tcW w:w="8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Investments in acquired businesses, net of cash</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(97.8)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(20.6)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(118.4)</w:t>
            </w:r>
          </w:p>
        </w:tc>
        <w:tc>
          <w:tcPr>
            <w:tcW w:w="800" w:type="dxa"/>
            <w:vAlign w:val="bottom"/>
          </w:tcPr>
          <w:p>
            <w:pPr>
              <w:spacing w:after="0"/>
              <w:rPr>
                <w:sz w:val="16"/>
                <w:szCs w:val="16"/>
                <w:color w:val="auto"/>
              </w:rPr>
            </w:pPr>
          </w:p>
        </w:tc>
      </w:tr>
      <w:tr>
        <w:trPr>
          <w:trHeight w:val="27"/>
        </w:trPr>
        <w:tc>
          <w:tcPr>
            <w:tcW w:w="7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(12.4)</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(174.1)</w:t>
            </w:r>
          </w:p>
        </w:tc>
        <w:tc>
          <w:tcPr>
            <w:tcW w:w="800" w:type="dxa"/>
            <w:vAlign w:val="bottom"/>
          </w:tcPr>
          <w:p>
            <w:pPr>
              <w:spacing w:after="0"/>
              <w:rPr>
                <w:sz w:val="16"/>
                <w:szCs w:val="16"/>
                <w:color w:val="auto"/>
              </w:rPr>
            </w:pPr>
          </w:p>
        </w:tc>
      </w:tr>
      <w:tr>
        <w:trPr>
          <w:trHeight w:val="196"/>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FINANCING ACTIVITIES</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Borrowings under revolving and bank lines of credit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746.9</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Repayments under revolving and bank lines of credit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(421.7)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(270.0)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(691.7)</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Dividends paid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(33.5)</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Payments on seller notes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(4.5)</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 of common shares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(87.9)</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(87.9)</w:t>
            </w:r>
          </w:p>
        </w:tc>
        <w:tc>
          <w:tcPr>
            <w:tcW w:w="8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Excess tax benefits from share-based payment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arrangements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received from exercise of stock options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Intercompany financing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214.5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(157.6)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(56.9)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r>
      <w:tr>
        <w:trPr>
          <w:trHeight w:val="27"/>
        </w:trPr>
        <w:tc>
          <w:tcPr>
            <w:tcW w:w="7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financing activities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(159.8)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(46.9)</w:t>
            </w:r>
          </w:p>
        </w:tc>
        <w:tc>
          <w:tcPr>
            <w:tcW w:w="800" w:type="dxa"/>
            <w:vAlign w:val="bottom"/>
          </w:tcPr>
          <w:p>
            <w:pPr>
              <w:spacing w:after="0"/>
              <w:rPr>
                <w:sz w:val="16"/>
                <w:szCs w:val="16"/>
                <w:color w:val="auto"/>
              </w:rPr>
            </w:pPr>
          </w:p>
        </w:tc>
      </w:tr>
      <w:tr>
        <w:trPr>
          <w:trHeight w:val="20"/>
        </w:trPr>
        <w:tc>
          <w:tcPr>
            <w:tcW w:w="4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Effect of exchange rate changes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
        </w:trPr>
        <w:tc>
          <w:tcPr>
            <w:tcW w:w="7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(32.1)</w:t>
            </w:r>
          </w:p>
        </w:tc>
        <w:tc>
          <w:tcPr>
            <w:tcW w:w="800" w:type="dxa"/>
            <w:vAlign w:val="bottom"/>
          </w:tcPr>
          <w:p>
            <w:pPr>
              <w:spacing w:after="0"/>
              <w:rPr>
                <w:sz w:val="16"/>
                <w:szCs w:val="16"/>
                <w:color w:val="auto"/>
              </w:rPr>
            </w:pPr>
          </w:p>
        </w:tc>
      </w:tr>
      <w:tr>
        <w:trPr>
          <w:trHeight w:val="196"/>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Cash and cash equivalents, beginning of year</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year</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2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right"/>
              <w:ind w:right="8"/>
              <w:spacing w:after="0" w:line="122" w:lineRule="exact"/>
              <w:rPr>
                <w:sz w:val="20"/>
                <w:szCs w:val="20"/>
                <w:color w:val="auto"/>
              </w:rPr>
            </w:pPr>
            <w:r>
              <w:rPr>
                <w:rFonts w:ascii="Arial" w:cs="Arial" w:eastAsia="Arial" w:hAnsi="Arial"/>
                <w:sz w:val="11"/>
                <w:szCs w:val="11"/>
                <w:b w:val="1"/>
                <w:bCs w:val="1"/>
                <w:color w:val="auto"/>
                <w:w w:val="97"/>
              </w:rPr>
              <w:t>99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Balance Sheet</w:t>
      </w:r>
    </w:p>
    <w:p>
      <w:pPr>
        <w:jc w:val="center"/>
        <w:ind w:right="100"/>
        <w:spacing w:after="0" w:line="234" w:lineRule="auto"/>
        <w:rPr>
          <w:sz w:val="20"/>
          <w:szCs w:val="20"/>
          <w:color w:val="auto"/>
        </w:rPr>
      </w:pPr>
      <w:r>
        <w:rPr>
          <w:rFonts w:ascii="Arial" w:cs="Arial" w:eastAsia="Arial" w:hAnsi="Arial"/>
          <w:sz w:val="18"/>
          <w:szCs w:val="18"/>
          <w:b w:val="1"/>
          <w:bCs w:val="1"/>
          <w:color w:val="auto"/>
        </w:rPr>
        <w:t>As of September 30, 2006</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8"/>
              </w:rPr>
              <w:t>Subsidiary</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Non-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Parent</w:t>
            </w:r>
          </w:p>
        </w:tc>
        <w:tc>
          <w:tcPr>
            <w:tcW w:w="1300" w:type="dxa"/>
            <w:vAlign w:val="bottom"/>
            <w:gridSpan w:val="3"/>
          </w:tcPr>
          <w:p>
            <w:pPr>
              <w:ind w:left="380"/>
              <w:spacing w:after="0"/>
              <w:rPr>
                <w:sz w:val="20"/>
                <w:szCs w:val="20"/>
                <w:color w:val="auto"/>
              </w:rPr>
            </w:pPr>
            <w:r>
              <w:rPr>
                <w:rFonts w:ascii="Arial" w:cs="Arial" w:eastAsia="Arial" w:hAnsi="Arial"/>
                <w:sz w:val="18"/>
                <w:szCs w:val="18"/>
                <w:color w:val="auto"/>
                <w:w w:val="99"/>
              </w:rPr>
              <w:t>Guarantors</w:t>
            </w:r>
          </w:p>
        </w:tc>
        <w:tc>
          <w:tcPr>
            <w:tcW w:w="1520" w:type="dxa"/>
            <w:vAlign w:val="bottom"/>
            <w:gridSpan w:val="4"/>
          </w:tcPr>
          <w:p>
            <w:pPr>
              <w:ind w:left="380"/>
              <w:spacing w:after="0"/>
              <w:rPr>
                <w:sz w:val="20"/>
                <w:szCs w:val="20"/>
                <w:color w:val="auto"/>
              </w:rPr>
            </w:pPr>
            <w:r>
              <w:rPr>
                <w:rFonts w:ascii="Arial" w:cs="Arial" w:eastAsia="Arial" w:hAnsi="Arial"/>
                <w:sz w:val="18"/>
                <w:szCs w:val="18"/>
                <w:color w:val="auto"/>
              </w:rPr>
              <w:t>Guarantors</w:t>
            </w: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8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Consolidated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33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rPr>
              <w:t>ASSETS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ind w:left="38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5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292.9</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87.5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380.4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310.1</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380" w:type="dxa"/>
            <w:vAlign w:val="bottom"/>
          </w:tcPr>
          <w:p>
            <w:pPr>
              <w:ind w:left="180"/>
              <w:spacing w:after="0" w:line="202" w:lineRule="exact"/>
              <w:rPr>
                <w:sz w:val="20"/>
                <w:szCs w:val="20"/>
                <w:color w:val="auto"/>
              </w:rPr>
            </w:pPr>
            <w:r>
              <w:rPr>
                <w:rFonts w:ascii="Arial" w:cs="Arial" w:eastAsia="Arial" w:hAnsi="Arial"/>
                <w:sz w:val="18"/>
                <w:szCs w:val="18"/>
                <w:color w:val="auto"/>
              </w:rPr>
              <w:t>Prepaid and other assets</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84.1</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697.3</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942.0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317.8</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367.6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333.4</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343.6</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81.1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424.7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Investment in affiliates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973.8</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(973.8)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Intracompany 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299.2</w:t>
            </w:r>
          </w:p>
        </w:tc>
        <w:tc>
          <w:tcPr>
            <w:tcW w:w="5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(299.2)</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1,281.8</w:t>
            </w:r>
          </w:p>
        </w:tc>
        <w:tc>
          <w:tcPr>
            <w:tcW w:w="50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1,706.9</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501.9</w:t>
            </w:r>
          </w:p>
        </w:tc>
        <w:tc>
          <w:tcPr>
            <w:tcW w:w="22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(1,273.0)</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2,217.6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180" w:type="dxa"/>
            <w:vAlign w:val="bottom"/>
            <w:gridSpan w:val="11"/>
            <w:shd w:val="clear" w:color="auto" w:fill="CCEEFF"/>
          </w:tcPr>
          <w:p>
            <w:pPr>
              <w:jc w:val="center"/>
              <w:ind w:left="2650"/>
              <w:spacing w:after="0" w:line="202" w:lineRule="exact"/>
              <w:rPr>
                <w:sz w:val="20"/>
                <w:szCs w:val="20"/>
                <w:color w:val="auto"/>
              </w:rPr>
            </w:pPr>
            <w:r>
              <w:rPr>
                <w:rFonts w:ascii="Arial" w:cs="Arial" w:eastAsia="Arial" w:hAnsi="Arial"/>
                <w:sz w:val="18"/>
                <w:szCs w:val="18"/>
                <w:color w:val="auto"/>
                <w:w w:val="99"/>
              </w:rPr>
              <w:t>LIABILITIES AND SHAREHOLDERS’ EQUITY</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portion of debt</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ind w:left="38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5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155.2</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172.8</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380" w:type="dxa"/>
            <w:vAlign w:val="bottom"/>
          </w:tcPr>
          <w:p>
            <w:pPr>
              <w:ind w:left="180"/>
              <w:spacing w:after="0" w:line="202" w:lineRule="exact"/>
              <w:rPr>
                <w:sz w:val="20"/>
                <w:szCs w:val="20"/>
                <w:color w:val="auto"/>
              </w:rPr>
            </w:pPr>
            <w:r>
              <w:rPr>
                <w:rFonts w:ascii="Arial" w:cs="Arial" w:eastAsia="Arial" w:hAnsi="Arial"/>
                <w:sz w:val="18"/>
                <w:szCs w:val="18"/>
                <w:color w:val="auto"/>
              </w:rPr>
              <w:t>Accrued taxes</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18.5</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349.6</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20.9</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475.2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133.7</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Intracompany liabilities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59.4</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239.8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(299.2)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200.1</w:t>
            </w: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563.6</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(299.2)</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1,135.9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9"/>
              </w:rPr>
              <w:t>1,081.7</w:t>
            </w: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1,143.3</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(169.5)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(973.8)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1,081.7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1,281.8</w:t>
            </w:r>
          </w:p>
        </w:tc>
        <w:tc>
          <w:tcPr>
            <w:tcW w:w="500" w:type="dxa"/>
            <w:vAlign w:val="bottom"/>
            <w:tcBorders>
              <w:right w:val="single" w:sz="8" w:color="CCEEFF"/>
            </w:tcBorders>
            <w:shd w:val="clear" w:color="auto" w:fill="CCEEFF"/>
          </w:tcPr>
          <w:p>
            <w:pPr>
              <w:ind w:left="38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1,706.9</w:t>
            </w:r>
          </w:p>
        </w:tc>
        <w:tc>
          <w:tcPr>
            <w:tcW w:w="5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501.9</w:t>
            </w: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(1,273.0)</w:t>
            </w:r>
          </w:p>
        </w:tc>
        <w:tc>
          <w:tcPr>
            <w:tcW w:w="4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2,217.6</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100</w:t>
            </w: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33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Statement of Operations</w:t>
      </w:r>
    </w:p>
    <w:p>
      <w:pPr>
        <w:jc w:val="center"/>
        <w:ind w:right="100"/>
        <w:spacing w:after="0" w:line="234" w:lineRule="auto"/>
        <w:rPr>
          <w:sz w:val="20"/>
          <w:szCs w:val="20"/>
          <w:color w:val="auto"/>
        </w:rPr>
      </w:pPr>
      <w:r>
        <w:rPr>
          <w:rFonts w:ascii="Arial" w:cs="Arial" w:eastAsia="Arial" w:hAnsi="Arial"/>
          <w:sz w:val="18"/>
          <w:szCs w:val="18"/>
          <w:b w:val="1"/>
          <w:bCs w:val="1"/>
          <w:color w:val="auto"/>
        </w:rPr>
        <w:t>for the fiscal year ended September 30, 2005</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Subsidiary</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Non-</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Parent</w:t>
            </w:r>
          </w:p>
        </w:tc>
        <w:tc>
          <w:tcPr>
            <w:tcW w:w="1300" w:type="dxa"/>
            <w:vAlign w:val="bottom"/>
            <w:gridSpan w:val="4"/>
          </w:tcPr>
          <w:p>
            <w:pPr>
              <w:ind w:left="160"/>
              <w:spacing w:after="0"/>
              <w:rPr>
                <w:sz w:val="20"/>
                <w:szCs w:val="20"/>
                <w:color w:val="auto"/>
              </w:rPr>
            </w:pPr>
            <w:r>
              <w:rPr>
                <w:rFonts w:ascii="Arial" w:cs="Arial" w:eastAsia="Arial" w:hAnsi="Arial"/>
                <w:sz w:val="18"/>
                <w:szCs w:val="18"/>
                <w:color w:val="auto"/>
              </w:rPr>
              <w:t>Guarantors</w:t>
            </w:r>
          </w:p>
        </w:tc>
        <w:tc>
          <w:tcPr>
            <w:tcW w:w="1300" w:type="dxa"/>
            <w:vAlign w:val="bottom"/>
            <w:gridSpan w:val="4"/>
          </w:tcPr>
          <w:p>
            <w:pPr>
              <w:ind w:left="160"/>
              <w:spacing w:after="0"/>
              <w:rPr>
                <w:sz w:val="20"/>
                <w:szCs w:val="20"/>
                <w:color w:val="auto"/>
              </w:rPr>
            </w:pPr>
            <w:r>
              <w:rPr>
                <w:rFonts w:ascii="Arial" w:cs="Arial" w:eastAsia="Arial" w:hAnsi="Arial"/>
                <w:sz w:val="18"/>
                <w:szCs w:val="18"/>
                <w:color w:val="auto"/>
              </w:rPr>
              <w:t>Guarantors</w:t>
            </w: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8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Consolidated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1,850.8</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518.5</w:t>
            </w: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2,369.3</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1,172.9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336.3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1,509.2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gridSpan w:val="2"/>
          </w:tcPr>
          <w:p>
            <w:pPr>
              <w:ind w:left="70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678.3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8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494.1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139.7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633.8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4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Impairment, restructuring and other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8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charges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Equity income in subsidiaries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(117.8)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Intercompany allocations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(9.6)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117.8</w:t>
            </w: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209.3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(117.8)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Costs related to refinancings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gridSpan w:val="2"/>
          </w:tcPr>
          <w:p>
            <w:pPr>
              <w:ind w:left="70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(benefit)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tcPr>
          <w:p>
            <w:pPr>
              <w:ind w:left="70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discontinued operations</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gridSpan w:val="2"/>
          </w:tcPr>
          <w:p>
            <w:pPr>
              <w:ind w:left="700"/>
              <w:spacing w:after="0"/>
              <w:rPr>
                <w:sz w:val="20"/>
                <w:szCs w:val="20"/>
                <w:color w:val="auto"/>
              </w:rPr>
            </w:pPr>
            <w:r>
              <w:rPr>
                <w:rFonts w:ascii="Arial" w:cs="Arial" w:eastAsia="Arial" w:hAnsi="Arial"/>
                <w:sz w:val="18"/>
                <w:szCs w:val="18"/>
                <w:color w:val="auto"/>
              </w:rPr>
              <w:t>Net income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128.9</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6"/>
              </w:rPr>
              <w:t>101</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34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Statement of Cash Flows</w:t>
      </w:r>
    </w:p>
    <w:p>
      <w:pPr>
        <w:jc w:val="center"/>
        <w:ind w:right="100"/>
        <w:spacing w:after="0" w:line="234" w:lineRule="auto"/>
        <w:rPr>
          <w:sz w:val="20"/>
          <w:szCs w:val="20"/>
          <w:color w:val="auto"/>
        </w:rPr>
      </w:pPr>
      <w:r>
        <w:rPr>
          <w:rFonts w:ascii="Arial" w:cs="Arial" w:eastAsia="Arial" w:hAnsi="Arial"/>
          <w:sz w:val="18"/>
          <w:szCs w:val="18"/>
          <w:b w:val="1"/>
          <w:bCs w:val="1"/>
          <w:color w:val="auto"/>
        </w:rPr>
        <w:t>for the fiscal year ended September 30, 2005</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Subsidiary</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6"/>
                <w:szCs w:val="16"/>
                <w:color w:val="auto"/>
              </w:rPr>
              <w:t>Non-</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8"/>
        </w:trPr>
        <w:tc>
          <w:tcPr>
            <w:tcW w:w="7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Parent</w:t>
            </w:r>
          </w:p>
        </w:tc>
        <w:tc>
          <w:tcPr>
            <w:tcW w:w="220" w:type="dxa"/>
            <w:vAlign w:val="bottom"/>
          </w:tcPr>
          <w:p>
            <w:pPr>
              <w:spacing w:after="0"/>
              <w:rPr>
                <w:sz w:val="17"/>
                <w:szCs w:val="17"/>
                <w:color w:val="auto"/>
              </w:rPr>
            </w:pPr>
          </w:p>
        </w:tc>
        <w:tc>
          <w:tcPr>
            <w:tcW w:w="1140" w:type="dxa"/>
            <w:vAlign w:val="bottom"/>
            <w:gridSpan w:val="4"/>
          </w:tcPr>
          <w:p>
            <w:pPr>
              <w:ind w:left="100"/>
              <w:spacing w:after="0"/>
              <w:rPr>
                <w:sz w:val="20"/>
                <w:szCs w:val="20"/>
                <w:color w:val="auto"/>
              </w:rPr>
            </w:pPr>
            <w:r>
              <w:rPr>
                <w:rFonts w:ascii="Arial" w:cs="Arial" w:eastAsia="Arial" w:hAnsi="Arial"/>
                <w:sz w:val="16"/>
                <w:szCs w:val="16"/>
                <w:color w:val="auto"/>
              </w:rPr>
              <w:t>Guarantors</w:t>
            </w:r>
          </w:p>
        </w:tc>
        <w:tc>
          <w:tcPr>
            <w:tcW w:w="1200" w:type="dxa"/>
            <w:vAlign w:val="bottom"/>
            <w:gridSpan w:val="4"/>
          </w:tcPr>
          <w:p>
            <w:pPr>
              <w:ind w:left="160"/>
              <w:spacing w:after="0"/>
              <w:rPr>
                <w:sz w:val="20"/>
                <w:szCs w:val="20"/>
                <w:color w:val="auto"/>
              </w:rPr>
            </w:pPr>
            <w:r>
              <w:rPr>
                <w:rFonts w:ascii="Arial" w:cs="Arial" w:eastAsia="Arial" w:hAnsi="Arial"/>
                <w:sz w:val="16"/>
                <w:szCs w:val="16"/>
                <w:color w:val="auto"/>
              </w:rPr>
              <w:t>Guarantors</w:t>
            </w:r>
          </w:p>
        </w:tc>
        <w:tc>
          <w:tcPr>
            <w:tcW w:w="1280" w:type="dxa"/>
            <w:vAlign w:val="bottom"/>
            <w:gridSpan w:val="4"/>
          </w:tcPr>
          <w:p>
            <w:pPr>
              <w:ind w:left="180"/>
              <w:spacing w:after="0"/>
              <w:rPr>
                <w:sz w:val="20"/>
                <w:szCs w:val="20"/>
                <w:color w:val="auto"/>
              </w:rPr>
            </w:pPr>
            <w:r>
              <w:rPr>
                <w:rFonts w:ascii="Arial" w:cs="Arial" w:eastAsia="Arial" w:hAnsi="Arial"/>
                <w:sz w:val="16"/>
                <w:szCs w:val="16"/>
                <w:color w:val="auto"/>
              </w:rPr>
              <w:t>Eliminations</w:t>
            </w:r>
          </w:p>
        </w:tc>
        <w:tc>
          <w:tcPr>
            <w:tcW w:w="1200" w:type="dxa"/>
            <w:vAlign w:val="bottom"/>
            <w:gridSpan w:val="4"/>
          </w:tcPr>
          <w:p>
            <w:pPr>
              <w:ind w:left="160"/>
              <w:spacing w:after="0"/>
              <w:rPr>
                <w:sz w:val="20"/>
                <w:szCs w:val="20"/>
                <w:color w:val="auto"/>
              </w:rPr>
            </w:pPr>
            <w:r>
              <w:rPr>
                <w:rFonts w:ascii="Arial" w:cs="Arial" w:eastAsia="Arial" w:hAnsi="Arial"/>
                <w:sz w:val="16"/>
                <w:szCs w:val="16"/>
                <w:color w:val="auto"/>
              </w:rPr>
              <w:t>Consolidated</w:t>
            </w:r>
          </w:p>
        </w:tc>
        <w:tc>
          <w:tcPr>
            <w:tcW w:w="800" w:type="dxa"/>
            <w:vAlign w:val="bottom"/>
          </w:tcPr>
          <w:p>
            <w:pPr>
              <w:spacing w:after="0"/>
              <w:rPr>
                <w:sz w:val="17"/>
                <w:szCs w:val="17"/>
                <w:color w:val="auto"/>
              </w:rPr>
            </w:pPr>
          </w:p>
        </w:tc>
      </w:tr>
      <w:tr>
        <w:trPr>
          <w:trHeight w:val="51"/>
        </w:trPr>
        <w:tc>
          <w:tcPr>
            <w:tcW w:w="700" w:type="dxa"/>
            <w:vAlign w:val="bottom"/>
          </w:tcPr>
          <w:p>
            <w:pPr>
              <w:spacing w:after="0"/>
              <w:rPr>
                <w:sz w:val="4"/>
                <w:szCs w:val="4"/>
                <w:color w:val="auto"/>
              </w:rPr>
            </w:pPr>
          </w:p>
        </w:tc>
        <w:tc>
          <w:tcPr>
            <w:tcW w:w="41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100.6</w:t>
            </w:r>
          </w:p>
        </w:tc>
        <w:tc>
          <w:tcPr>
            <w:tcW w:w="60" w:type="dxa"/>
            <w:vAlign w:val="bottom"/>
          </w:tcPr>
          <w:p>
            <w:pPr>
              <w:spacing w:after="0"/>
              <w:rPr>
                <w:sz w:val="16"/>
                <w:szCs w:val="16"/>
                <w:color w:val="auto"/>
              </w:rPr>
            </w:pPr>
          </w:p>
        </w:tc>
        <w:tc>
          <w:tcPr>
            <w:tcW w:w="5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128.9</w:t>
            </w:r>
          </w:p>
        </w:tc>
        <w:tc>
          <w:tcPr>
            <w:tcW w:w="220" w:type="dxa"/>
            <w:vAlign w:val="bottom"/>
          </w:tcPr>
          <w:p>
            <w:pPr>
              <w:spacing w:after="0"/>
              <w:rPr>
                <w:sz w:val="16"/>
                <w:szCs w:val="16"/>
                <w:color w:val="auto"/>
              </w:rPr>
            </w:pP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(11.1)</w:t>
            </w:r>
          </w:p>
        </w:tc>
        <w:tc>
          <w:tcPr>
            <w:tcW w:w="4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(117.8)</w:t>
            </w:r>
          </w:p>
        </w:tc>
        <w:tc>
          <w:tcPr>
            <w:tcW w:w="4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 to reconcile net income (loss) to net cash</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provided by (used in) operating activities: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Impairment of intangible assets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Costs related to refinancings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Amortization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taxes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(13.6)</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Equity income in subsidiaries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(117.8)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117.8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 net of acquired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businesses: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(29.4)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(8.5)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(37.9)</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(15.8)</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Prepaid and other current assets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Accrued taxes and liabilities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Restructuring reserves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Other non-current items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4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3"/>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Net cash provided by (used in) operating activities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(15.9)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224.9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226.7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Redemption of available for sale securities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 in property, plant and equipment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(40.4)</w:t>
            </w:r>
          </w:p>
        </w:tc>
        <w:tc>
          <w:tcPr>
            <w:tcW w:w="8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Investments in acquired businesses, net of cash</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(77.7)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(77.7)</w:t>
            </w:r>
          </w:p>
        </w:tc>
        <w:tc>
          <w:tcPr>
            <w:tcW w:w="800" w:type="dxa"/>
            <w:vAlign w:val="bottom"/>
          </w:tcPr>
          <w:p>
            <w:pPr>
              <w:spacing w:after="0"/>
              <w:rPr>
                <w:sz w:val="16"/>
                <w:szCs w:val="16"/>
                <w:color w:val="auto"/>
              </w:rPr>
            </w:pPr>
          </w:p>
        </w:tc>
      </w:tr>
      <w:tr>
        <w:trPr>
          <w:trHeight w:val="27"/>
        </w:trPr>
        <w:tc>
          <w:tcPr>
            <w:tcW w:w="7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(60.9)</w:t>
            </w:r>
          </w:p>
        </w:tc>
        <w:tc>
          <w:tcPr>
            <w:tcW w:w="800" w:type="dxa"/>
            <w:vAlign w:val="bottom"/>
          </w:tcPr>
          <w:p>
            <w:pPr>
              <w:spacing w:after="0"/>
              <w:rPr>
                <w:sz w:val="16"/>
                <w:szCs w:val="16"/>
                <w:color w:val="auto"/>
              </w:rPr>
            </w:pPr>
          </w:p>
        </w:tc>
      </w:tr>
      <w:tr>
        <w:trPr>
          <w:trHeight w:val="196"/>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FINANCING ACTIVITIES</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Borrowings under revolving and bank lines of credit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924.2</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Repayments under revolving and bank lines of credit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(169.4)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(567.0)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(736.4)</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 of term loans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(399.0)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(399.0)</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Financing and issuance fees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(3.6)</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Dividends paid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Payments on seller notes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(6.9)</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termination of interest rate swaps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Cash received from exercise of stock options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Intercompany financing</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424.2</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(238.9)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(185.3)</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r>
      <w:tr>
        <w:trPr>
          <w:trHeight w:val="20"/>
        </w:trPr>
        <w:tc>
          <w:tcPr>
            <w:tcW w:w="4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Net cash (used in) provided by financing activities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(208.7)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(195.2)</w:t>
            </w:r>
          </w:p>
        </w:tc>
        <w:tc>
          <w:tcPr>
            <w:tcW w:w="800" w:type="dxa"/>
            <w:vAlign w:val="bottom"/>
          </w:tcPr>
          <w:p>
            <w:pPr>
              <w:spacing w:after="0"/>
              <w:rPr>
                <w:sz w:val="17"/>
                <w:szCs w:val="17"/>
                <w:color w:val="auto"/>
              </w:rPr>
            </w:pPr>
          </w:p>
        </w:tc>
      </w:tr>
      <w:tr>
        <w:trPr>
          <w:trHeight w:val="27"/>
        </w:trPr>
        <w:tc>
          <w:tcPr>
            <w:tcW w:w="7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800" w:type="dxa"/>
            <w:vAlign w:val="bottom"/>
          </w:tcPr>
          <w:p>
            <w:pPr>
              <w:spacing w:after="0"/>
              <w:rPr>
                <w:sz w:val="16"/>
                <w:szCs w:val="16"/>
                <w:color w:val="auto"/>
              </w:rPr>
            </w:pPr>
          </w:p>
        </w:tc>
      </w:tr>
      <w:tr>
        <w:trPr>
          <w:trHeight w:val="20"/>
        </w:trPr>
        <w:tc>
          <w:tcPr>
            <w:tcW w:w="4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Net increase (decrease) in cash</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(41.2)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(35.4)</w:t>
            </w:r>
          </w:p>
        </w:tc>
        <w:tc>
          <w:tcPr>
            <w:tcW w:w="800" w:type="dxa"/>
            <w:vAlign w:val="bottom"/>
          </w:tcPr>
          <w:p>
            <w:pPr>
              <w:spacing w:after="0"/>
              <w:rPr>
                <w:sz w:val="17"/>
                <w:szCs w:val="17"/>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year</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Cash and cash equivalents, end of year</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42.5</w:t>
            </w:r>
          </w:p>
        </w:tc>
        <w:tc>
          <w:tcPr>
            <w:tcW w:w="220" w:type="dxa"/>
            <w:vAlign w:val="bottom"/>
          </w:tcPr>
          <w:p>
            <w:pPr>
              <w:spacing w:after="0"/>
              <w:rPr>
                <w:sz w:val="17"/>
                <w:szCs w:val="17"/>
                <w:color w:val="auto"/>
              </w:rPr>
            </w:pP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37.7</w:t>
            </w:r>
          </w:p>
        </w:tc>
        <w:tc>
          <w:tcPr>
            <w:tcW w:w="220" w:type="dxa"/>
            <w:vAlign w:val="bottom"/>
          </w:tcPr>
          <w:p>
            <w:pPr>
              <w:spacing w:after="0"/>
              <w:rPr>
                <w:sz w:val="17"/>
                <w:szCs w:val="17"/>
                <w:color w:val="auto"/>
              </w:rPr>
            </w:pPr>
          </w:p>
        </w:tc>
        <w:tc>
          <w:tcPr>
            <w:tcW w:w="4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76"/>
              </w:rPr>
              <w:t>102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Balance Sheet</w:t>
      </w:r>
    </w:p>
    <w:p>
      <w:pPr>
        <w:jc w:val="center"/>
        <w:ind w:right="100"/>
        <w:spacing w:after="0" w:line="234" w:lineRule="auto"/>
        <w:rPr>
          <w:sz w:val="20"/>
          <w:szCs w:val="20"/>
          <w:color w:val="auto"/>
        </w:rPr>
      </w:pPr>
      <w:r>
        <w:rPr>
          <w:rFonts w:ascii="Arial" w:cs="Arial" w:eastAsia="Arial" w:hAnsi="Arial"/>
          <w:sz w:val="18"/>
          <w:szCs w:val="18"/>
          <w:b w:val="1"/>
          <w:bCs w:val="1"/>
          <w:color w:val="auto"/>
        </w:rPr>
        <w:t>As of September 30, 2005</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8"/>
              </w:rPr>
              <w:t>Subsidiary</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Non-</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Parent</w:t>
            </w:r>
          </w:p>
        </w:tc>
        <w:tc>
          <w:tcPr>
            <w:tcW w:w="1300" w:type="dxa"/>
            <w:vAlign w:val="bottom"/>
            <w:gridSpan w:val="3"/>
          </w:tcPr>
          <w:p>
            <w:pPr>
              <w:ind w:left="380"/>
              <w:spacing w:after="0"/>
              <w:rPr>
                <w:sz w:val="20"/>
                <w:szCs w:val="20"/>
                <w:color w:val="auto"/>
              </w:rPr>
            </w:pPr>
            <w:r>
              <w:rPr>
                <w:rFonts w:ascii="Arial" w:cs="Arial" w:eastAsia="Arial" w:hAnsi="Arial"/>
                <w:sz w:val="18"/>
                <w:szCs w:val="18"/>
                <w:color w:val="auto"/>
                <w:w w:val="99"/>
              </w:rPr>
              <w:t>Guarantors</w:t>
            </w:r>
          </w:p>
        </w:tc>
        <w:tc>
          <w:tcPr>
            <w:tcW w:w="1300" w:type="dxa"/>
            <w:vAlign w:val="bottom"/>
            <w:gridSpan w:val="3"/>
          </w:tcPr>
          <w:p>
            <w:pPr>
              <w:ind w:left="380"/>
              <w:spacing w:after="0"/>
              <w:rPr>
                <w:sz w:val="20"/>
                <w:szCs w:val="20"/>
                <w:color w:val="auto"/>
              </w:rPr>
            </w:pPr>
            <w:r>
              <w:rPr>
                <w:rFonts w:ascii="Arial" w:cs="Arial" w:eastAsia="Arial" w:hAnsi="Arial"/>
                <w:sz w:val="18"/>
                <w:szCs w:val="18"/>
                <w:color w:val="auto"/>
                <w:w w:val="99"/>
              </w:rPr>
              <w:t>Guarantors</w:t>
            </w:r>
          </w:p>
        </w:tc>
        <w:tc>
          <w:tcPr>
            <w:tcW w:w="3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8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Consolidated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33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rPr>
              <w:t>ASSETS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980" w:type="dxa"/>
            <w:vAlign w:val="bottom"/>
            <w:gridSpan w:val="2"/>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ind w:left="38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42.5</w:t>
            </w:r>
          </w:p>
        </w:tc>
        <w:tc>
          <w:tcPr>
            <w:tcW w:w="5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c>
          <w:tcPr>
            <w:tcW w:w="5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240.3</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323.3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232.5</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92.4</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380" w:type="dxa"/>
            <w:vAlign w:val="bottom"/>
          </w:tcPr>
          <w:p>
            <w:pPr>
              <w:ind w:left="180"/>
              <w:spacing w:after="0" w:line="202" w:lineRule="exact"/>
              <w:rPr>
                <w:sz w:val="20"/>
                <w:szCs w:val="20"/>
                <w:color w:val="auto"/>
              </w:rPr>
            </w:pPr>
            <w:r>
              <w:rPr>
                <w:rFonts w:ascii="Arial" w:cs="Arial" w:eastAsia="Arial" w:hAnsi="Arial"/>
                <w:sz w:val="18"/>
                <w:szCs w:val="18"/>
                <w:color w:val="auto"/>
              </w:rPr>
              <w:t>Prepaid and other assets</w:t>
            </w:r>
          </w:p>
        </w:tc>
        <w:tc>
          <w:tcPr>
            <w:tcW w:w="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40.1</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555.4</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232.4</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787.8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294.7</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42.3</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337.0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314.9</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315.4</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124.1</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439.5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Investment in affiliates</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1,660.5</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(1,660.5)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Intracompany assets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606.9</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(606.9)</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1,671.1</w:t>
            </w:r>
          </w:p>
        </w:tc>
        <w:tc>
          <w:tcPr>
            <w:tcW w:w="50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2,098.1</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517.1</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(2,267.4)</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2,018.9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60" w:type="dxa"/>
            <w:vAlign w:val="bottom"/>
            <w:gridSpan w:val="9"/>
            <w:shd w:val="clear" w:color="auto" w:fill="CCEEFF"/>
          </w:tcPr>
          <w:p>
            <w:pPr>
              <w:jc w:val="center"/>
              <w:ind w:left="2870"/>
              <w:spacing w:after="0" w:line="202" w:lineRule="exact"/>
              <w:rPr>
                <w:sz w:val="20"/>
                <w:szCs w:val="20"/>
                <w:color w:val="auto"/>
              </w:rPr>
            </w:pPr>
            <w:r>
              <w:rPr>
                <w:rFonts w:ascii="Arial" w:cs="Arial" w:eastAsia="Arial" w:hAnsi="Arial"/>
                <w:sz w:val="18"/>
                <w:szCs w:val="18"/>
                <w:color w:val="auto"/>
                <w:w w:val="99"/>
              </w:rPr>
              <w:t>LIABILITIES AND SHAREHOLDERS’ EQUITY</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portion of debt</w:t>
            </w:r>
          </w:p>
        </w:tc>
        <w:tc>
          <w:tcPr>
            <w:tcW w:w="980" w:type="dxa"/>
            <w:vAlign w:val="bottom"/>
            <w:gridSpan w:val="2"/>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ind w:left="38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5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5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110.2</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151.7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222.5</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380" w:type="dxa"/>
            <w:vAlign w:val="bottom"/>
          </w:tcPr>
          <w:p>
            <w:pPr>
              <w:ind w:left="180"/>
              <w:spacing w:after="0" w:line="202" w:lineRule="exact"/>
              <w:rPr>
                <w:sz w:val="20"/>
                <w:szCs w:val="20"/>
                <w:color w:val="auto"/>
              </w:rPr>
            </w:pPr>
            <w:r>
              <w:rPr>
                <w:rFonts w:ascii="Arial" w:cs="Arial" w:eastAsia="Arial" w:hAnsi="Arial"/>
                <w:sz w:val="18"/>
                <w:szCs w:val="18"/>
                <w:color w:val="auto"/>
              </w:rPr>
              <w:t>Accrued taxes</w:t>
            </w:r>
          </w:p>
        </w:tc>
        <w:tc>
          <w:tcPr>
            <w:tcW w:w="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342.0</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200.0</w:t>
            </w: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16.1</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166.3</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382.4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102.2</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Intracompany liabilities</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444.9</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162.0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(606.9)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644.9</w:t>
            </w:r>
          </w:p>
        </w:tc>
        <w:tc>
          <w:tcPr>
            <w:tcW w:w="50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460.3</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494.4</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(606.9)</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1,026.2</w:t>
            </w:r>
          </w:p>
        </w:tc>
        <w:tc>
          <w:tcPr>
            <w:tcW w:w="5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1,637.8</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(1,660.5)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1,026.2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1,671.1</w:t>
            </w:r>
          </w:p>
        </w:tc>
        <w:tc>
          <w:tcPr>
            <w:tcW w:w="500" w:type="dxa"/>
            <w:vAlign w:val="bottom"/>
            <w:tcBorders>
              <w:right w:val="single" w:sz="8" w:color="CCEEFF"/>
            </w:tcBorders>
            <w:shd w:val="clear" w:color="auto" w:fill="CCEEFF"/>
          </w:tcPr>
          <w:p>
            <w:pPr>
              <w:ind w:left="38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2,098.1</w:t>
            </w:r>
          </w:p>
        </w:tc>
        <w:tc>
          <w:tcPr>
            <w:tcW w:w="5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517.1</w:t>
            </w:r>
          </w:p>
        </w:tc>
        <w:tc>
          <w:tcPr>
            <w:tcW w:w="5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(2,267.49)</w:t>
            </w:r>
          </w:p>
        </w:tc>
        <w:tc>
          <w:tcPr>
            <w:tcW w:w="4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2,018.9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103</w:t>
            </w: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33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Statement of Operations</w:t>
      </w:r>
    </w:p>
    <w:p>
      <w:pPr>
        <w:jc w:val="center"/>
        <w:ind w:right="100"/>
        <w:spacing w:after="0" w:line="234" w:lineRule="auto"/>
        <w:rPr>
          <w:sz w:val="20"/>
          <w:szCs w:val="20"/>
          <w:color w:val="auto"/>
        </w:rPr>
      </w:pPr>
      <w:r>
        <w:rPr>
          <w:rFonts w:ascii="Arial" w:cs="Arial" w:eastAsia="Arial" w:hAnsi="Arial"/>
          <w:sz w:val="18"/>
          <w:szCs w:val="18"/>
          <w:b w:val="1"/>
          <w:bCs w:val="1"/>
          <w:color w:val="auto"/>
        </w:rPr>
        <w:t>for the fiscal year ended September 30, 2004</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Subsidiary</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Non-</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Parent</w:t>
            </w:r>
          </w:p>
        </w:tc>
        <w:tc>
          <w:tcPr>
            <w:tcW w:w="1300" w:type="dxa"/>
            <w:vAlign w:val="bottom"/>
            <w:gridSpan w:val="4"/>
          </w:tcPr>
          <w:p>
            <w:pPr>
              <w:ind w:left="160"/>
              <w:spacing w:after="0"/>
              <w:rPr>
                <w:sz w:val="20"/>
                <w:szCs w:val="20"/>
                <w:color w:val="auto"/>
              </w:rPr>
            </w:pPr>
            <w:r>
              <w:rPr>
                <w:rFonts w:ascii="Arial" w:cs="Arial" w:eastAsia="Arial" w:hAnsi="Arial"/>
                <w:sz w:val="18"/>
                <w:szCs w:val="18"/>
                <w:color w:val="auto"/>
              </w:rPr>
              <w:t>Guarantors</w:t>
            </w:r>
          </w:p>
        </w:tc>
        <w:tc>
          <w:tcPr>
            <w:tcW w:w="1300" w:type="dxa"/>
            <w:vAlign w:val="bottom"/>
            <w:gridSpan w:val="4"/>
          </w:tcPr>
          <w:p>
            <w:pPr>
              <w:ind w:left="160"/>
              <w:spacing w:after="0"/>
              <w:rPr>
                <w:sz w:val="20"/>
                <w:szCs w:val="20"/>
                <w:color w:val="auto"/>
              </w:rPr>
            </w:pPr>
            <w:r>
              <w:rPr>
                <w:rFonts w:ascii="Arial" w:cs="Arial" w:eastAsia="Arial" w:hAnsi="Arial"/>
                <w:sz w:val="18"/>
                <w:szCs w:val="18"/>
                <w:color w:val="auto"/>
              </w:rPr>
              <w:t>Guarantors</w:t>
            </w: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8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Consolidated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4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1,087.4</w:t>
            </w: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544.2</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474.9</w:t>
            </w: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2,106.5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684.0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300.9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1,313.5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70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345.6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540.7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Impairment, restructuring and other</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charges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Equity income in subsidiaries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Intercompany allocations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(27.7)</w:t>
            </w:r>
          </w:p>
        </w:tc>
        <w:tc>
          <w:tcPr>
            <w:tcW w:w="28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w:t>
            </w:r>
          </w:p>
        </w:tc>
        <w:tc>
          <w:tcPr>
            <w:tcW w:w="280" w:type="dxa"/>
            <w:vAlign w:val="bottom"/>
          </w:tcPr>
          <w:p>
            <w:pPr>
              <w:spacing w:after="0"/>
              <w:rPr>
                <w:sz w:val="17"/>
                <w:szCs w:val="17"/>
                <w:color w:val="auto"/>
              </w:rPr>
            </w:pP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190.3</w:t>
            </w: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(107.2)</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Costs related to refinancings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45.5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(income)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w:t>
            </w: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2"/>
          </w:tcPr>
          <w:p>
            <w:pPr>
              <w:ind w:left="70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(107.2)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(benefit)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(8.2)</w:t>
            </w:r>
          </w:p>
        </w:tc>
        <w:tc>
          <w:tcPr>
            <w:tcW w:w="28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2"/>
          </w:tcPr>
          <w:p>
            <w:pPr>
              <w:ind w:left="70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(107.2)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discontinued operations, net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4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of tax</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700"/>
              <w:spacing w:after="0"/>
              <w:rPr>
                <w:sz w:val="20"/>
                <w:szCs w:val="20"/>
                <w:color w:val="auto"/>
              </w:rPr>
            </w:pPr>
            <w:r>
              <w:rPr>
                <w:rFonts w:ascii="Arial" w:cs="Arial" w:eastAsia="Arial" w:hAnsi="Arial"/>
                <w:sz w:val="18"/>
                <w:szCs w:val="18"/>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(107.2)</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6"/>
              </w:rPr>
              <w:t>104</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34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Statement of Cash Flows</w:t>
      </w:r>
    </w:p>
    <w:p>
      <w:pPr>
        <w:jc w:val="center"/>
        <w:ind w:right="100"/>
        <w:spacing w:after="0" w:line="234" w:lineRule="auto"/>
        <w:rPr>
          <w:sz w:val="20"/>
          <w:szCs w:val="20"/>
          <w:color w:val="auto"/>
        </w:rPr>
      </w:pPr>
      <w:r>
        <w:rPr>
          <w:rFonts w:ascii="Arial" w:cs="Arial" w:eastAsia="Arial" w:hAnsi="Arial"/>
          <w:sz w:val="18"/>
          <w:szCs w:val="18"/>
          <w:b w:val="1"/>
          <w:bCs w:val="1"/>
          <w:color w:val="auto"/>
        </w:rPr>
        <w:t>for the fiscal year ended September 30, 2004</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Subsidiary</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6"/>
                <w:szCs w:val="16"/>
                <w:color w:val="auto"/>
              </w:rPr>
              <w:t>Non-</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8"/>
        </w:trPr>
        <w:tc>
          <w:tcPr>
            <w:tcW w:w="7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Parent</w:t>
            </w:r>
          </w:p>
        </w:tc>
        <w:tc>
          <w:tcPr>
            <w:tcW w:w="220" w:type="dxa"/>
            <w:vAlign w:val="bottom"/>
          </w:tcPr>
          <w:p>
            <w:pPr>
              <w:spacing w:after="0"/>
              <w:rPr>
                <w:sz w:val="17"/>
                <w:szCs w:val="17"/>
                <w:color w:val="auto"/>
              </w:rPr>
            </w:pPr>
          </w:p>
        </w:tc>
        <w:tc>
          <w:tcPr>
            <w:tcW w:w="1140" w:type="dxa"/>
            <w:vAlign w:val="bottom"/>
            <w:gridSpan w:val="4"/>
          </w:tcPr>
          <w:p>
            <w:pPr>
              <w:ind w:left="100"/>
              <w:spacing w:after="0"/>
              <w:rPr>
                <w:sz w:val="20"/>
                <w:szCs w:val="20"/>
                <w:color w:val="auto"/>
              </w:rPr>
            </w:pPr>
            <w:r>
              <w:rPr>
                <w:rFonts w:ascii="Arial" w:cs="Arial" w:eastAsia="Arial" w:hAnsi="Arial"/>
                <w:sz w:val="16"/>
                <w:szCs w:val="16"/>
                <w:color w:val="auto"/>
              </w:rPr>
              <w:t>Guarantors</w:t>
            </w:r>
          </w:p>
        </w:tc>
        <w:tc>
          <w:tcPr>
            <w:tcW w:w="1200" w:type="dxa"/>
            <w:vAlign w:val="bottom"/>
            <w:gridSpan w:val="4"/>
          </w:tcPr>
          <w:p>
            <w:pPr>
              <w:ind w:left="160"/>
              <w:spacing w:after="0"/>
              <w:rPr>
                <w:sz w:val="20"/>
                <w:szCs w:val="20"/>
                <w:color w:val="auto"/>
              </w:rPr>
            </w:pPr>
            <w:r>
              <w:rPr>
                <w:rFonts w:ascii="Arial" w:cs="Arial" w:eastAsia="Arial" w:hAnsi="Arial"/>
                <w:sz w:val="16"/>
                <w:szCs w:val="16"/>
                <w:color w:val="auto"/>
              </w:rPr>
              <w:t>Guarantors</w:t>
            </w:r>
          </w:p>
        </w:tc>
        <w:tc>
          <w:tcPr>
            <w:tcW w:w="1280" w:type="dxa"/>
            <w:vAlign w:val="bottom"/>
            <w:gridSpan w:val="4"/>
          </w:tcPr>
          <w:p>
            <w:pPr>
              <w:ind w:left="180"/>
              <w:spacing w:after="0"/>
              <w:rPr>
                <w:sz w:val="20"/>
                <w:szCs w:val="20"/>
                <w:color w:val="auto"/>
              </w:rPr>
            </w:pPr>
            <w:r>
              <w:rPr>
                <w:rFonts w:ascii="Arial" w:cs="Arial" w:eastAsia="Arial" w:hAnsi="Arial"/>
                <w:sz w:val="16"/>
                <w:szCs w:val="16"/>
                <w:color w:val="auto"/>
              </w:rPr>
              <w:t>Eliminations</w:t>
            </w:r>
          </w:p>
        </w:tc>
        <w:tc>
          <w:tcPr>
            <w:tcW w:w="1200" w:type="dxa"/>
            <w:vAlign w:val="bottom"/>
            <w:gridSpan w:val="4"/>
          </w:tcPr>
          <w:p>
            <w:pPr>
              <w:ind w:left="160"/>
              <w:spacing w:after="0"/>
              <w:rPr>
                <w:sz w:val="20"/>
                <w:szCs w:val="20"/>
                <w:color w:val="auto"/>
              </w:rPr>
            </w:pPr>
            <w:r>
              <w:rPr>
                <w:rFonts w:ascii="Arial" w:cs="Arial" w:eastAsia="Arial" w:hAnsi="Arial"/>
                <w:sz w:val="16"/>
                <w:szCs w:val="16"/>
                <w:color w:val="auto"/>
              </w:rPr>
              <w:t>Consolidated</w:t>
            </w:r>
          </w:p>
        </w:tc>
        <w:tc>
          <w:tcPr>
            <w:tcW w:w="800" w:type="dxa"/>
            <w:vAlign w:val="bottom"/>
          </w:tcPr>
          <w:p>
            <w:pPr>
              <w:spacing w:after="0"/>
              <w:rPr>
                <w:sz w:val="17"/>
                <w:szCs w:val="17"/>
                <w:color w:val="auto"/>
              </w:rPr>
            </w:pPr>
          </w:p>
        </w:tc>
      </w:tr>
      <w:tr>
        <w:trPr>
          <w:trHeight w:val="51"/>
        </w:trPr>
        <w:tc>
          <w:tcPr>
            <w:tcW w:w="700" w:type="dxa"/>
            <w:vAlign w:val="bottom"/>
          </w:tcPr>
          <w:p>
            <w:pPr>
              <w:spacing w:after="0"/>
              <w:rPr>
                <w:sz w:val="4"/>
                <w:szCs w:val="4"/>
                <w:color w:val="auto"/>
              </w:rPr>
            </w:pPr>
          </w:p>
        </w:tc>
        <w:tc>
          <w:tcPr>
            <w:tcW w:w="41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100.9</w:t>
            </w:r>
          </w:p>
        </w:tc>
        <w:tc>
          <w:tcPr>
            <w:tcW w:w="60" w:type="dxa"/>
            <w:vAlign w:val="bottom"/>
          </w:tcPr>
          <w:p>
            <w:pPr>
              <w:spacing w:after="0"/>
              <w:rPr>
                <w:sz w:val="16"/>
                <w:szCs w:val="16"/>
                <w:color w:val="auto"/>
              </w:rPr>
            </w:pPr>
          </w:p>
        </w:tc>
        <w:tc>
          <w:tcPr>
            <w:tcW w:w="58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107.0</w:t>
            </w:r>
          </w:p>
        </w:tc>
        <w:tc>
          <w:tcPr>
            <w:tcW w:w="220" w:type="dxa"/>
            <w:vAlign w:val="bottom"/>
          </w:tcPr>
          <w:p>
            <w:pPr>
              <w:spacing w:after="0"/>
              <w:rPr>
                <w:sz w:val="16"/>
                <w:szCs w:val="16"/>
                <w:color w:val="auto"/>
              </w:rPr>
            </w:pP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6"/>
                <w:szCs w:val="16"/>
                <w:color w:val="auto"/>
              </w:rPr>
            </w:pPr>
          </w:p>
        </w:tc>
        <w:tc>
          <w:tcPr>
            <w:tcW w:w="4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(107.2)</w:t>
            </w:r>
          </w:p>
        </w:tc>
        <w:tc>
          <w:tcPr>
            <w:tcW w:w="4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 to reconcile net income to net cash</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provided by (used in) operating activities: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Costs related to refinancings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45.5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Deferred taxes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income in subsidiaries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(107.2)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4140" w:type="dxa"/>
            <w:vAlign w:val="bottom"/>
          </w:tcPr>
          <w:p>
            <w:pPr>
              <w:ind w:left="320"/>
              <w:spacing w:after="0"/>
              <w:rPr>
                <w:sz w:val="20"/>
                <w:szCs w:val="20"/>
                <w:color w:val="auto"/>
              </w:rPr>
            </w:pPr>
            <w:r>
              <w:rPr>
                <w:rFonts w:ascii="Arial" w:cs="Arial" w:eastAsia="Arial" w:hAnsi="Arial"/>
                <w:sz w:val="16"/>
                <w:szCs w:val="16"/>
                <w:color w:val="auto"/>
              </w:rPr>
              <w:t>Changes in assets and liabilities, net of acquired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businesses: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(17.7)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(14.0)</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and other current assets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(11.4)</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(16.9)</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(18.7)</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taxes and liabilities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Restructuring reserves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(0.5)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non-current items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4140" w:type="dxa"/>
            <w:vAlign w:val="bottom"/>
          </w:tcPr>
          <w:p>
            <w:pPr>
              <w:ind w:left="48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INVESTING ACTIVITIES</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 in available for sale securities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(121.4)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(121.4)</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Redemption of available for sale securities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Payment on seller notes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Investment in property, plant and equipment, net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(15.2)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(9.2)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(35.1)</w:t>
            </w:r>
          </w:p>
        </w:tc>
        <w:tc>
          <w:tcPr>
            <w:tcW w:w="8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Investments in acquired businesses, net of cash</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800" w:type="dxa"/>
            <w:vAlign w:val="bottom"/>
          </w:tcPr>
          <w:p>
            <w:pPr>
              <w:spacing w:after="0"/>
              <w:rPr>
                <w:sz w:val="16"/>
                <w:szCs w:val="16"/>
                <w:color w:val="auto"/>
              </w:rPr>
            </w:pPr>
          </w:p>
        </w:tc>
      </w:tr>
      <w:tr>
        <w:trPr>
          <w:trHeight w:val="20"/>
        </w:trPr>
        <w:tc>
          <w:tcPr>
            <w:tcW w:w="4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3"/>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(70.2)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(30.2)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(12.4)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(112.8)</w:t>
            </w:r>
          </w:p>
        </w:tc>
        <w:tc>
          <w:tcPr>
            <w:tcW w:w="800" w:type="dxa"/>
            <w:vAlign w:val="bottom"/>
          </w:tcPr>
          <w:p>
            <w:pPr>
              <w:spacing w:after="0"/>
              <w:rPr>
                <w:sz w:val="17"/>
                <w:szCs w:val="17"/>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Borrowings under revolving and bank lines of credit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648.6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648.6</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Repayments under revolving and bank lines of credit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(646.6)</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(646.6)</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Repayment of term loans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(827.5)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(827.5)</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issuance of term loans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line="189" w:lineRule="exact"/>
              <w:rPr>
                <w:sz w:val="20"/>
                <w:szCs w:val="20"/>
                <w:color w:val="auto"/>
              </w:rPr>
            </w:pPr>
            <w:r>
              <w:rPr>
                <w:rFonts w:ascii="Arial" w:cs="Arial" w:eastAsia="Arial" w:hAnsi="Arial"/>
                <w:sz w:val="16"/>
                <w:szCs w:val="16"/>
                <w:color w:val="auto"/>
              </w:rPr>
              <w:t>Redemption of 8</w:t>
            </w:r>
            <w:r>
              <w:rPr>
                <w:rFonts w:ascii="Arial" w:cs="Arial" w:eastAsia="Arial" w:hAnsi="Arial"/>
                <w:sz w:val="21"/>
                <w:szCs w:val="21"/>
                <w:color w:val="auto"/>
                <w:vertAlign w:val="superscript"/>
              </w:rPr>
              <w:t>5</w:t>
            </w:r>
            <w:r>
              <w:rPr>
                <w:rFonts w:ascii="Arial" w:cs="Arial" w:eastAsia="Arial" w:hAnsi="Arial"/>
                <w:sz w:val="16"/>
                <w:szCs w:val="16"/>
                <w:color w:val="auto"/>
              </w:rPr>
              <w:t>/</w:t>
            </w:r>
            <w:r>
              <w:rPr>
                <w:rFonts w:ascii="Arial" w:cs="Arial" w:eastAsia="Arial" w:hAnsi="Arial"/>
                <w:sz w:val="11"/>
                <w:szCs w:val="11"/>
                <w:color w:val="auto"/>
              </w:rPr>
              <w:t>8</w:t>
            </w:r>
            <w:r>
              <w:rPr>
                <w:rFonts w:ascii="Arial" w:cs="Arial" w:eastAsia="Arial" w:hAnsi="Arial"/>
                <w:sz w:val="16"/>
                <w:szCs w:val="16"/>
                <w:color w:val="auto"/>
              </w:rPr>
              <w:t>% Senior Subordinated Notes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(418.0)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(418.0)</w:t>
            </w:r>
          </w:p>
        </w:tc>
        <w:tc>
          <w:tcPr>
            <w:tcW w:w="8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line="191" w:lineRule="exact"/>
              <w:rPr>
                <w:sz w:val="20"/>
                <w:szCs w:val="20"/>
                <w:color w:val="auto"/>
              </w:rPr>
            </w:pPr>
            <w:r>
              <w:rPr>
                <w:rFonts w:ascii="Arial" w:cs="Arial" w:eastAsia="Arial" w:hAnsi="Arial"/>
                <w:sz w:val="16"/>
                <w:szCs w:val="16"/>
                <w:color w:val="auto"/>
              </w:rPr>
              <w:t>Proceeds from issuance of 6</w:t>
            </w:r>
            <w:r>
              <w:rPr>
                <w:rFonts w:ascii="Arial" w:cs="Arial" w:eastAsia="Arial" w:hAnsi="Arial"/>
                <w:sz w:val="22"/>
                <w:szCs w:val="22"/>
                <w:color w:val="auto"/>
                <w:vertAlign w:val="superscript"/>
              </w:rPr>
              <w:t>5</w:t>
            </w:r>
            <w:r>
              <w:rPr>
                <w:rFonts w:ascii="Arial" w:cs="Arial" w:eastAsia="Arial" w:hAnsi="Arial"/>
                <w:sz w:val="16"/>
                <w:szCs w:val="16"/>
                <w:color w:val="auto"/>
              </w:rPr>
              <w:t>/</w:t>
            </w:r>
            <w:r>
              <w:rPr>
                <w:rFonts w:ascii="Arial" w:cs="Arial" w:eastAsia="Arial" w:hAnsi="Arial"/>
                <w:sz w:val="11"/>
                <w:szCs w:val="11"/>
                <w:color w:val="auto"/>
              </w:rPr>
              <w:t>8</w:t>
            </w:r>
            <w:r>
              <w:rPr>
                <w:rFonts w:ascii="Arial" w:cs="Arial" w:eastAsia="Arial" w:hAnsi="Arial"/>
                <w:sz w:val="16"/>
                <w:szCs w:val="16"/>
                <w:color w:val="auto"/>
              </w:rPr>
              <w:t>% Senior Subordinated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Notes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Financing and issuance fees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(13.0)</w:t>
            </w: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received from exercise of stock options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140" w:type="dxa"/>
            <w:vAlign w:val="bottom"/>
          </w:tcPr>
          <w:p>
            <w:pPr>
              <w:ind w:left="160"/>
              <w:spacing w:after="0"/>
              <w:rPr>
                <w:sz w:val="20"/>
                <w:szCs w:val="20"/>
                <w:color w:val="auto"/>
              </w:rPr>
            </w:pPr>
            <w:r>
              <w:rPr>
                <w:rFonts w:ascii="Arial" w:cs="Arial" w:eastAsia="Arial" w:hAnsi="Arial"/>
                <w:sz w:val="16"/>
                <w:szCs w:val="16"/>
                <w:color w:val="auto"/>
              </w:rPr>
              <w:t>Intercompany financing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(61.6)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r>
      <w:tr>
        <w:trPr>
          <w:trHeight w:val="27"/>
        </w:trPr>
        <w:tc>
          <w:tcPr>
            <w:tcW w:w="7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(108.0)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(61.6)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(133.0)</w:t>
            </w:r>
          </w:p>
        </w:tc>
        <w:tc>
          <w:tcPr>
            <w:tcW w:w="800" w:type="dxa"/>
            <w:vAlign w:val="bottom"/>
          </w:tcPr>
          <w:p>
            <w:pPr>
              <w:spacing w:after="0"/>
              <w:rPr>
                <w:sz w:val="16"/>
                <w:szCs w:val="16"/>
                <w:color w:val="auto"/>
              </w:rPr>
            </w:pPr>
          </w:p>
        </w:tc>
      </w:tr>
      <w:tr>
        <w:trPr>
          <w:trHeight w:val="20"/>
        </w:trPr>
        <w:tc>
          <w:tcPr>
            <w:tcW w:w="4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Effect of exchange rate changes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(8.7)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(8.7)</w:t>
            </w:r>
          </w:p>
        </w:tc>
        <w:tc>
          <w:tcPr>
            <w:tcW w:w="800" w:type="dxa"/>
            <w:vAlign w:val="bottom"/>
          </w:tcPr>
          <w:p>
            <w:pPr>
              <w:spacing w:after="0"/>
              <w:rPr>
                <w:sz w:val="17"/>
                <w:szCs w:val="17"/>
                <w:color w:val="auto"/>
              </w:rPr>
            </w:pPr>
          </w:p>
        </w:tc>
      </w:tr>
      <w:tr>
        <w:trPr>
          <w:trHeight w:val="27"/>
        </w:trPr>
        <w:tc>
          <w:tcPr>
            <w:tcW w:w="7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(40.3)</w:t>
            </w:r>
          </w:p>
        </w:tc>
        <w:tc>
          <w:tcPr>
            <w:tcW w:w="800" w:type="dxa"/>
            <w:vAlign w:val="bottom"/>
          </w:tcPr>
          <w:p>
            <w:pPr>
              <w:spacing w:after="0"/>
              <w:rPr>
                <w:sz w:val="16"/>
                <w:szCs w:val="16"/>
                <w:color w:val="auto"/>
              </w:rPr>
            </w:pPr>
          </w:p>
        </w:tc>
      </w:tr>
      <w:tr>
        <w:trPr>
          <w:trHeight w:val="196"/>
        </w:trPr>
        <w:tc>
          <w:tcPr>
            <w:tcW w:w="4840" w:type="dxa"/>
            <w:vAlign w:val="bottom"/>
            <w:gridSpan w:val="2"/>
          </w:tcPr>
          <w:p>
            <w:pPr>
              <w:ind w:left="700"/>
              <w:spacing w:after="0"/>
              <w:rPr>
                <w:sz w:val="20"/>
                <w:szCs w:val="20"/>
                <w:color w:val="auto"/>
              </w:rPr>
            </w:pPr>
            <w:r>
              <w:rPr>
                <w:rFonts w:ascii="Arial" w:cs="Arial" w:eastAsia="Arial" w:hAnsi="Arial"/>
                <w:sz w:val="16"/>
                <w:szCs w:val="16"/>
                <w:color w:val="auto"/>
              </w:rPr>
              <w:t>Cash and cash equivalents, beginning of year</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70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year</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76"/>
              </w:rPr>
              <w:t>105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2" w:lineRule="exact"/>
        <w:rPr>
          <w:sz w:val="20"/>
          <w:szCs w:val="20"/>
          <w:color w:val="auto"/>
        </w:rPr>
      </w:pPr>
    </w:p>
    <w:p>
      <w:pPr>
        <w:ind w:left="700" w:right="3520"/>
        <w:spacing w:after="0" w:line="246" w:lineRule="auto"/>
        <w:rPr>
          <w:sz w:val="20"/>
          <w:szCs w:val="20"/>
          <w:color w:val="auto"/>
        </w:rPr>
      </w:pPr>
      <w:r>
        <w:rPr>
          <w:rFonts w:ascii="Arial" w:cs="Arial" w:eastAsia="Arial" w:hAnsi="Arial"/>
          <w:sz w:val="18"/>
          <w:szCs w:val="18"/>
          <w:color w:val="auto"/>
        </w:rPr>
        <w:t>To the Board of Directors and Shareholders of The Scotts Miracle-Gro Company Marysville, OH</w:t>
      </w:r>
    </w:p>
    <w:p>
      <w:pPr>
        <w:spacing w:after="0" w:line="102" w:lineRule="exact"/>
        <w:rPr>
          <w:sz w:val="20"/>
          <w:szCs w:val="20"/>
          <w:color w:val="auto"/>
        </w:rPr>
      </w:pPr>
    </w:p>
    <w:p>
      <w:pPr>
        <w:ind w:left="700" w:firstLine="397"/>
        <w:spacing w:after="0" w:line="236" w:lineRule="auto"/>
        <w:rPr>
          <w:sz w:val="20"/>
          <w:szCs w:val="20"/>
          <w:color w:val="auto"/>
        </w:rPr>
      </w:pPr>
      <w:r>
        <w:rPr>
          <w:rFonts w:ascii="Arial" w:cs="Arial" w:eastAsia="Arial" w:hAnsi="Arial"/>
          <w:sz w:val="18"/>
          <w:szCs w:val="18"/>
          <w:color w:val="auto"/>
        </w:rPr>
        <w:t>We have audited the consolidated financial statements of The Scotts Miracle-Gro Company and Subsidiaries (the “Company”) as of September 30, 2006 and 2005, and for the years then ended, management’s assessment of the effectiveness of the Company’s internal control over financial reporting as of September 30, 2006, and the effectiveness of the Company’s internal control over financial reporting as of September 30, 2006; and have issued our reports thereon dated December 13, 2006; such consolidated financial statements and reports are included elsewhere in this Form 10-K. Our audits also included the consolidated financial statement schedules of the Company for the years ended September 30, 2006 and 2005 listed in the Index to Consolidated Financial Statements and Financial Statement Schedules. These consolidated financial statement schedules are the responsibility of the Company’s management. Our responsibility is to express an opinion based on our audits. In our opinion, such 2006 and 2005 consolidated financial statement schedules, when considered in relation to the basic 2006 and 2005 consolidated financial statements taken as a whole, present fairly, in all material respects, the information set forth therein.</w:t>
      </w:r>
    </w:p>
    <w:p>
      <w:pPr>
        <w:spacing w:after="0" w:line="200" w:lineRule="exact"/>
        <w:rPr>
          <w:sz w:val="20"/>
          <w:szCs w:val="20"/>
          <w:color w:val="auto"/>
        </w:rPr>
      </w:pP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ELOITTE</w:t>
      </w:r>
      <w:r>
        <w:rPr>
          <w:rFonts w:ascii="Arial" w:cs="Arial" w:eastAsia="Arial" w:hAnsi="Arial"/>
          <w:sz w:val="18"/>
          <w:szCs w:val="18"/>
          <w:color w:val="auto"/>
        </w:rPr>
        <w:t xml:space="preserve"> &amp; T</w:t>
      </w:r>
      <w:r>
        <w:rPr>
          <w:rFonts w:ascii="Arial" w:cs="Arial" w:eastAsia="Arial" w:hAnsi="Arial"/>
          <w:sz w:val="12"/>
          <w:szCs w:val="12"/>
          <w:color w:val="auto"/>
        </w:rPr>
        <w:t>OUCHE</w:t>
      </w:r>
      <w:r>
        <w:rPr>
          <w:rFonts w:ascii="Arial" w:cs="Arial" w:eastAsia="Arial" w:hAnsi="Arial"/>
          <w:sz w:val="18"/>
          <w:szCs w:val="18"/>
          <w:color w:val="auto"/>
        </w:rPr>
        <w:t xml:space="preserve"> LLP</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Columbus, Ohio</w:t>
      </w:r>
    </w:p>
    <w:p>
      <w:pPr>
        <w:ind w:left="700"/>
        <w:spacing w:after="0"/>
        <w:rPr>
          <w:sz w:val="20"/>
          <w:szCs w:val="20"/>
          <w:color w:val="auto"/>
        </w:rPr>
      </w:pPr>
      <w:r>
        <w:rPr>
          <w:rFonts w:ascii="Arial" w:cs="Arial" w:eastAsia="Arial" w:hAnsi="Arial"/>
          <w:sz w:val="18"/>
          <w:szCs w:val="18"/>
          <w:color w:val="auto"/>
        </w:rPr>
        <w:t>December 13, 2006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Shareholders of The Scotts Miracle-Gro Company</w:t>
      </w:r>
    </w:p>
    <w:p>
      <w:pPr>
        <w:spacing w:after="0" w:line="11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audit of the consolidated financial statements referred to in our report dated November 22, 2004 appearing in</w:t>
      </w:r>
    </w:p>
    <w:p>
      <w:pPr>
        <w:ind w:left="700"/>
        <w:spacing w:after="0" w:line="234" w:lineRule="auto"/>
        <w:rPr>
          <w:sz w:val="20"/>
          <w:szCs w:val="20"/>
          <w:color w:val="auto"/>
        </w:rPr>
      </w:pPr>
      <w:r>
        <w:rPr>
          <w:rFonts w:ascii="Arial" w:cs="Arial" w:eastAsia="Arial" w:hAnsi="Arial"/>
          <w:sz w:val="18"/>
          <w:szCs w:val="18"/>
          <w:color w:val="auto"/>
        </w:rPr>
        <w:t>Item 15(a)(1) of this Annual Report on Form 10-K, also included an audit of the financial statement schedule listed in</w:t>
      </w:r>
    </w:p>
    <w:p>
      <w:pPr>
        <w:ind w:left="700"/>
        <w:spacing w:after="0" w:line="235" w:lineRule="auto"/>
        <w:rPr>
          <w:sz w:val="20"/>
          <w:szCs w:val="20"/>
          <w:color w:val="auto"/>
        </w:rPr>
      </w:pPr>
      <w:r>
        <w:rPr>
          <w:rFonts w:ascii="Arial" w:cs="Arial" w:eastAsia="Arial" w:hAnsi="Arial"/>
          <w:sz w:val="18"/>
          <w:szCs w:val="18"/>
          <w:color w:val="auto"/>
        </w:rPr>
        <w:t>Item 15(a)(2) of this Form 10-K. In our opinion, this financial statement schedule presents fairly, in all material respects, the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set forth therein when read in conjunction with the related consolidated financial statements.</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RICEWATERHOUSE</w:t>
      </w:r>
      <w:r>
        <w:rPr>
          <w:rFonts w:ascii="Arial" w:cs="Arial" w:eastAsia="Arial" w:hAnsi="Arial"/>
          <w:sz w:val="18"/>
          <w:szCs w:val="18"/>
          <w:color w:val="auto"/>
        </w:rPr>
        <w:t>C</w:t>
      </w:r>
      <w:r>
        <w:rPr>
          <w:rFonts w:ascii="Arial" w:cs="Arial" w:eastAsia="Arial" w:hAnsi="Arial"/>
          <w:sz w:val="12"/>
          <w:szCs w:val="12"/>
          <w:color w:val="auto"/>
        </w:rPr>
        <w:t>OOPERS</w:t>
      </w:r>
      <w:r>
        <w:rPr>
          <w:rFonts w:ascii="Arial" w:cs="Arial" w:eastAsia="Arial" w:hAnsi="Arial"/>
          <w:sz w:val="18"/>
          <w:szCs w:val="18"/>
          <w:color w:val="auto"/>
        </w:rPr>
        <w:t xml:space="preserve"> LLP</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Columbus, Ohio</w:t>
      </w:r>
    </w:p>
    <w:p>
      <w:pPr>
        <w:ind w:left="700"/>
        <w:spacing w:after="0"/>
        <w:rPr>
          <w:sz w:val="20"/>
          <w:szCs w:val="20"/>
          <w:color w:val="auto"/>
        </w:rPr>
      </w:pPr>
      <w:r>
        <w:rPr>
          <w:rFonts w:ascii="Arial" w:cs="Arial" w:eastAsia="Arial" w:hAnsi="Arial"/>
          <w:sz w:val="18"/>
          <w:szCs w:val="18"/>
          <w:color w:val="auto"/>
        </w:rPr>
        <w:t>November 22, 2004</w:t>
      </w:r>
    </w:p>
    <w:p>
      <w:pPr>
        <w:spacing w:after="0" w:line="10" w:lineRule="exact"/>
        <w:rPr>
          <w:sz w:val="20"/>
          <w:szCs w:val="20"/>
          <w:color w:val="auto"/>
        </w:rPr>
      </w:pPr>
    </w:p>
    <w:p>
      <w:pPr>
        <w:ind w:left="5580"/>
        <w:spacing w:after="0"/>
        <w:rPr>
          <w:sz w:val="20"/>
          <w:szCs w:val="20"/>
          <w:color w:val="auto"/>
        </w:rPr>
      </w:pPr>
      <w:r>
        <w:rPr>
          <w:rFonts w:ascii="Arial" w:cs="Arial" w:eastAsia="Arial" w:hAnsi="Arial"/>
          <w:sz w:val="11"/>
          <w:szCs w:val="11"/>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Schedule II — Valuation and Qualifying Accounts</w:t>
      </w:r>
    </w:p>
    <w:p>
      <w:pPr>
        <w:jc w:val="center"/>
        <w:ind w:right="100"/>
        <w:spacing w:after="0" w:line="234" w:lineRule="auto"/>
        <w:rPr>
          <w:sz w:val="20"/>
          <w:szCs w:val="20"/>
          <w:color w:val="auto"/>
        </w:rPr>
      </w:pPr>
      <w:r>
        <w:rPr>
          <w:rFonts w:ascii="Arial" w:cs="Arial" w:eastAsia="Arial" w:hAnsi="Arial"/>
          <w:sz w:val="18"/>
          <w:szCs w:val="18"/>
          <w:b w:val="1"/>
          <w:bCs w:val="1"/>
          <w:color w:val="auto"/>
        </w:rPr>
        <w:t>for the fiscal year ended September 30, 2006</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gridSpan w:val="2"/>
          </w:tcPr>
          <w:p>
            <w:pPr>
              <w:ind w:left="700"/>
              <w:spacing w:after="0"/>
              <w:rPr>
                <w:sz w:val="20"/>
                <w:szCs w:val="20"/>
                <w:color w:val="auto"/>
              </w:rPr>
            </w:pPr>
            <w:r>
              <w:rPr>
                <w:rFonts w:ascii="Arial" w:cs="Arial" w:eastAsia="Arial" w:hAnsi="Arial"/>
                <w:sz w:val="18"/>
                <w:szCs w:val="18"/>
                <w:color w:val="auto"/>
              </w:rPr>
              <w:t>Column A</w:t>
            </w:r>
          </w:p>
        </w:tc>
        <w:tc>
          <w:tcPr>
            <w:tcW w:w="1880" w:type="dxa"/>
            <w:vAlign w:val="bottom"/>
          </w:tcPr>
          <w:p>
            <w:pPr>
              <w:spacing w:after="0"/>
              <w:rPr>
                <w:sz w:val="18"/>
                <w:szCs w:val="18"/>
                <w:color w:val="auto"/>
              </w:rPr>
            </w:pPr>
          </w:p>
        </w:tc>
        <w:tc>
          <w:tcPr>
            <w:tcW w:w="1000" w:type="dxa"/>
            <w:vAlign w:val="bottom"/>
            <w:gridSpan w:val="4"/>
          </w:tcPr>
          <w:p>
            <w:pPr>
              <w:ind w:left="20"/>
              <w:spacing w:after="0"/>
              <w:rPr>
                <w:sz w:val="20"/>
                <w:szCs w:val="20"/>
                <w:color w:val="auto"/>
              </w:rPr>
            </w:pPr>
            <w:r>
              <w:rPr>
                <w:rFonts w:ascii="Arial" w:cs="Arial" w:eastAsia="Arial" w:hAnsi="Arial"/>
                <w:sz w:val="18"/>
                <w:szCs w:val="18"/>
                <w:color w:val="auto"/>
              </w:rPr>
              <w:t>Column B</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Column C</w:t>
            </w:r>
          </w:p>
        </w:tc>
        <w:tc>
          <w:tcPr>
            <w:tcW w:w="2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7"/>
              </w:rPr>
              <w:t>Column D</w:t>
            </w:r>
          </w:p>
        </w:tc>
        <w:tc>
          <w:tcPr>
            <w:tcW w:w="3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rPr>
              <w:t>Column E</w:t>
            </w:r>
          </w:p>
        </w:tc>
        <w:tc>
          <w:tcPr>
            <w:tcW w:w="980" w:type="dxa"/>
            <w:vAlign w:val="bottom"/>
            <w:gridSpan w:val="4"/>
          </w:tcPr>
          <w:p>
            <w:pPr>
              <w:ind w:left="120"/>
              <w:spacing w:after="0"/>
              <w:rPr>
                <w:sz w:val="20"/>
                <w:szCs w:val="20"/>
                <w:color w:val="auto"/>
              </w:rPr>
            </w:pPr>
            <w:r>
              <w:rPr>
                <w:rFonts w:ascii="Arial" w:cs="Arial" w:eastAsia="Arial" w:hAnsi="Arial"/>
                <w:sz w:val="18"/>
                <w:szCs w:val="18"/>
                <w:color w:val="auto"/>
              </w:rPr>
              <w:t>Column F</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9"/>
              </w:rPr>
              <w:t>Additions</w:t>
            </w:r>
          </w:p>
        </w:tc>
        <w:tc>
          <w:tcPr>
            <w:tcW w:w="300" w:type="dxa"/>
            <w:vAlign w:val="bottom"/>
          </w:tcPr>
          <w:p>
            <w:pPr>
              <w:spacing w:after="0"/>
              <w:rPr>
                <w:sz w:val="16"/>
                <w:szCs w:val="16"/>
                <w:color w:val="auto"/>
              </w:rPr>
            </w:pPr>
          </w:p>
        </w:tc>
        <w:tc>
          <w:tcPr>
            <w:tcW w:w="9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7"/>
              </w:rPr>
              <w:t>Deductions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center"/>
              <w:ind w:right="400"/>
              <w:spacing w:after="0" w:line="202" w:lineRule="exact"/>
              <w:rPr>
                <w:sz w:val="20"/>
                <w:szCs w:val="20"/>
                <w:color w:val="auto"/>
              </w:rPr>
            </w:pPr>
            <w:r>
              <w:rPr>
                <w:rFonts w:ascii="Arial" w:cs="Arial" w:eastAsia="Arial" w:hAnsi="Arial"/>
                <w:sz w:val="18"/>
                <w:szCs w:val="18"/>
                <w:color w:val="auto"/>
                <w:w w:val="92"/>
              </w:rPr>
              <w:t>at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Charged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Credited</w:t>
            </w:r>
          </w:p>
        </w:tc>
        <w:tc>
          <w:tcPr>
            <w:tcW w:w="120" w:type="dxa"/>
            <w:vAlign w:val="bottom"/>
          </w:tcPr>
          <w:p>
            <w:pPr>
              <w:spacing w:after="0"/>
              <w:rPr>
                <w:sz w:val="17"/>
                <w:szCs w:val="17"/>
                <w:color w:val="auto"/>
              </w:rPr>
            </w:pPr>
          </w:p>
        </w:tc>
        <w:tc>
          <w:tcPr>
            <w:tcW w:w="86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8"/>
              </w:rPr>
              <w:t>Balance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0" w:type="dxa"/>
            <w:vAlign w:val="bottom"/>
            <w:gridSpan w:val="4"/>
          </w:tcPr>
          <w:p>
            <w:pPr>
              <w:jc w:val="center"/>
              <w:ind w:right="160"/>
              <w:spacing w:after="0" w:line="202" w:lineRule="exact"/>
              <w:rPr>
                <w:sz w:val="20"/>
                <w:szCs w:val="20"/>
                <w:color w:val="auto"/>
              </w:rPr>
            </w:pPr>
            <w:r>
              <w:rPr>
                <w:rFonts w:ascii="Arial" w:cs="Arial" w:eastAsia="Arial" w:hAnsi="Arial"/>
                <w:sz w:val="18"/>
                <w:szCs w:val="18"/>
                <w:color w:val="auto"/>
                <w:w w:val="99"/>
              </w:rPr>
              <w:t>Beginning</w:t>
            </w:r>
          </w:p>
        </w:tc>
        <w:tc>
          <w:tcPr>
            <w:tcW w:w="100" w:type="dxa"/>
            <w:vAlign w:val="bottom"/>
          </w:tcPr>
          <w:p>
            <w:pPr>
              <w:spacing w:after="0"/>
              <w:rPr>
                <w:sz w:val="17"/>
                <w:szCs w:val="17"/>
                <w:color w:val="auto"/>
              </w:rPr>
            </w:pPr>
          </w:p>
        </w:tc>
        <w:tc>
          <w:tcPr>
            <w:tcW w:w="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Reserves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center"/>
              <w:ind w:right="210"/>
              <w:spacing w:after="0" w:line="202" w:lineRule="exact"/>
              <w:rPr>
                <w:sz w:val="20"/>
                <w:szCs w:val="20"/>
                <w:color w:val="auto"/>
              </w:rPr>
            </w:pPr>
            <w:r>
              <w:rPr>
                <w:rFonts w:ascii="Arial" w:cs="Arial" w:eastAsia="Arial" w:hAnsi="Arial"/>
                <w:sz w:val="18"/>
                <w:szCs w:val="18"/>
                <w:color w:val="auto"/>
              </w:rPr>
              <w:t>to</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9"/>
              </w:rPr>
              <w:t>and</w:t>
            </w:r>
          </w:p>
        </w:tc>
        <w:tc>
          <w:tcPr>
            <w:tcW w:w="120" w:type="dxa"/>
            <w:vAlign w:val="bottom"/>
          </w:tcPr>
          <w:p>
            <w:pPr>
              <w:spacing w:after="0"/>
              <w:rPr>
                <w:sz w:val="17"/>
                <w:szCs w:val="17"/>
                <w:color w:val="auto"/>
              </w:rPr>
            </w:pPr>
          </w:p>
        </w:tc>
        <w:tc>
          <w:tcPr>
            <w:tcW w:w="8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at End of</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0" w:type="dxa"/>
            <w:vAlign w:val="bottom"/>
            <w:gridSpan w:val="2"/>
          </w:tcPr>
          <w:p>
            <w:pPr>
              <w:ind w:left="700"/>
              <w:spacing w:after="0"/>
              <w:rPr>
                <w:sz w:val="20"/>
                <w:szCs w:val="20"/>
                <w:color w:val="auto"/>
              </w:rPr>
            </w:pPr>
            <w:r>
              <w:rPr>
                <w:rFonts w:ascii="Arial" w:cs="Arial" w:eastAsia="Arial" w:hAnsi="Arial"/>
                <w:sz w:val="18"/>
                <w:szCs w:val="18"/>
                <w:color w:val="auto"/>
              </w:rPr>
              <w:t>Classification</w:t>
            </w:r>
          </w:p>
        </w:tc>
        <w:tc>
          <w:tcPr>
            <w:tcW w:w="1880" w:type="dxa"/>
            <w:vAlign w:val="bottom"/>
          </w:tcPr>
          <w:p>
            <w:pPr>
              <w:spacing w:after="0"/>
              <w:rPr>
                <w:sz w:val="18"/>
                <w:szCs w:val="18"/>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of Period</w:t>
            </w:r>
          </w:p>
        </w:tc>
        <w:tc>
          <w:tcPr>
            <w:tcW w:w="10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Expense</w:t>
            </w:r>
          </w:p>
        </w:tc>
        <w:tc>
          <w:tcPr>
            <w:tcW w:w="3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Write-Offs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Period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Valuation and qualifying accounts deducted from the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assets to which they apply:</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line="202" w:lineRule="exact"/>
              <w:rPr>
                <w:sz w:val="20"/>
                <w:szCs w:val="20"/>
                <w:color w:val="auto"/>
              </w:rPr>
            </w:pPr>
            <w:r>
              <w:rPr>
                <w:rFonts w:ascii="Arial" w:cs="Arial" w:eastAsia="Arial" w:hAnsi="Arial"/>
                <w:sz w:val="18"/>
                <w:szCs w:val="18"/>
                <w:color w:val="auto"/>
              </w:rPr>
              <w:t>Inventory reserve</w:t>
            </w:r>
          </w:p>
        </w:tc>
        <w:tc>
          <w:tcPr>
            <w:tcW w:w="2100" w:type="dxa"/>
            <w:vAlign w:val="bottom"/>
            <w:gridSpan w:val="2"/>
          </w:tcPr>
          <w:p>
            <w:pPr>
              <w:ind w:left="18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w:t>
            </w:r>
          </w:p>
        </w:tc>
        <w:tc>
          <w:tcPr>
            <w:tcW w:w="180" w:type="dxa"/>
            <w:vAlign w:val="bottom"/>
          </w:tcPr>
          <w:p>
            <w:pPr>
              <w:spacing w:after="0"/>
              <w:rPr>
                <w:sz w:val="17"/>
                <w:szCs w:val="17"/>
                <w:color w:val="auto"/>
              </w:rPr>
            </w:pPr>
          </w:p>
        </w:tc>
        <w:tc>
          <w:tcPr>
            <w:tcW w:w="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5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3"/>
        </w:trPr>
        <w:tc>
          <w:tcPr>
            <w:tcW w:w="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38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w w:val="99"/>
              </w:rPr>
              <w:t>Schedule II — Valuation and Qualifying Accounts</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380" w:type="dxa"/>
            <w:vAlign w:val="bottom"/>
            <w:gridSpan w:val="10"/>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for the fiscal year ended September 30, 2005</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80" w:type="dxa"/>
            <w:vAlign w:val="bottom"/>
            <w:gridSpan w:val="5"/>
          </w:tcPr>
          <w:p>
            <w:pPr>
              <w:jc w:val="center"/>
              <w:ind w:left="1550"/>
              <w:spacing w:after="0"/>
              <w:rPr>
                <w:sz w:val="20"/>
                <w:szCs w:val="20"/>
                <w:color w:val="auto"/>
              </w:rPr>
            </w:pPr>
            <w:r>
              <w:rPr>
                <w:rFonts w:ascii="Arial" w:cs="Arial" w:eastAsia="Arial" w:hAnsi="Arial"/>
                <w:sz w:val="18"/>
                <w:szCs w:val="18"/>
                <w:b w:val="1"/>
                <w:bCs w:val="1"/>
                <w:color w:val="auto"/>
                <w:w w:val="98"/>
              </w:rPr>
              <w:t>(in millions)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400" w:type="dxa"/>
            <w:vAlign w:val="bottom"/>
            <w:gridSpan w:val="2"/>
          </w:tcPr>
          <w:p>
            <w:pPr>
              <w:ind w:left="700"/>
              <w:spacing w:after="0"/>
              <w:rPr>
                <w:sz w:val="20"/>
                <w:szCs w:val="20"/>
                <w:color w:val="auto"/>
              </w:rPr>
            </w:pPr>
            <w:r>
              <w:rPr>
                <w:rFonts w:ascii="Arial" w:cs="Arial" w:eastAsia="Arial" w:hAnsi="Arial"/>
                <w:sz w:val="18"/>
                <w:szCs w:val="18"/>
                <w:color w:val="auto"/>
              </w:rPr>
              <w:t>Column A</w:t>
            </w:r>
          </w:p>
        </w:tc>
        <w:tc>
          <w:tcPr>
            <w:tcW w:w="1880" w:type="dxa"/>
            <w:vAlign w:val="bottom"/>
          </w:tcPr>
          <w:p>
            <w:pPr>
              <w:spacing w:after="0"/>
              <w:rPr>
                <w:sz w:val="24"/>
                <w:szCs w:val="2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8"/>
                <w:szCs w:val="18"/>
                <w:color w:val="auto"/>
                <w:w w:val="98"/>
              </w:rPr>
              <w:t>Column B</w:t>
            </w:r>
          </w:p>
        </w:tc>
        <w:tc>
          <w:tcPr>
            <w:tcW w:w="1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99"/>
              </w:rPr>
              <w:t>Column C</w:t>
            </w:r>
          </w:p>
        </w:tc>
        <w:tc>
          <w:tcPr>
            <w:tcW w:w="2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Column D</w:t>
            </w:r>
          </w:p>
        </w:tc>
        <w:tc>
          <w:tcPr>
            <w:tcW w:w="30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rPr>
              <w:t>Column E</w:t>
            </w:r>
          </w:p>
        </w:tc>
        <w:tc>
          <w:tcPr>
            <w:tcW w:w="980" w:type="dxa"/>
            <w:vAlign w:val="bottom"/>
            <w:gridSpan w:val="4"/>
          </w:tcPr>
          <w:p>
            <w:pPr>
              <w:ind w:left="120"/>
              <w:spacing w:after="0"/>
              <w:rPr>
                <w:sz w:val="20"/>
                <w:szCs w:val="20"/>
                <w:color w:val="auto"/>
              </w:rPr>
            </w:pPr>
            <w:r>
              <w:rPr>
                <w:rFonts w:ascii="Arial" w:cs="Arial" w:eastAsia="Arial" w:hAnsi="Arial"/>
                <w:sz w:val="18"/>
                <w:szCs w:val="18"/>
                <w:color w:val="auto"/>
              </w:rPr>
              <w:t>Column F</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9"/>
              </w:rPr>
              <w:t>Additions</w:t>
            </w:r>
          </w:p>
        </w:tc>
        <w:tc>
          <w:tcPr>
            <w:tcW w:w="300" w:type="dxa"/>
            <w:vAlign w:val="bottom"/>
          </w:tcPr>
          <w:p>
            <w:pPr>
              <w:spacing w:after="0"/>
              <w:rPr>
                <w:sz w:val="16"/>
                <w:szCs w:val="16"/>
                <w:color w:val="auto"/>
              </w:rPr>
            </w:pPr>
          </w:p>
        </w:tc>
        <w:tc>
          <w:tcPr>
            <w:tcW w:w="9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7"/>
              </w:rPr>
              <w:t>Deductions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center"/>
              <w:ind w:right="400"/>
              <w:spacing w:after="0" w:line="202" w:lineRule="exact"/>
              <w:rPr>
                <w:sz w:val="20"/>
                <w:szCs w:val="20"/>
                <w:color w:val="auto"/>
              </w:rPr>
            </w:pPr>
            <w:r>
              <w:rPr>
                <w:rFonts w:ascii="Arial" w:cs="Arial" w:eastAsia="Arial" w:hAnsi="Arial"/>
                <w:sz w:val="18"/>
                <w:szCs w:val="18"/>
                <w:color w:val="auto"/>
                <w:w w:val="92"/>
              </w:rPr>
              <w:t>at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Charged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Credited</w:t>
            </w:r>
          </w:p>
        </w:tc>
        <w:tc>
          <w:tcPr>
            <w:tcW w:w="120" w:type="dxa"/>
            <w:vAlign w:val="bottom"/>
          </w:tcPr>
          <w:p>
            <w:pPr>
              <w:spacing w:after="0"/>
              <w:rPr>
                <w:sz w:val="17"/>
                <w:szCs w:val="17"/>
                <w:color w:val="auto"/>
              </w:rPr>
            </w:pPr>
          </w:p>
        </w:tc>
        <w:tc>
          <w:tcPr>
            <w:tcW w:w="86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8"/>
              </w:rPr>
              <w:t>Balance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0" w:type="dxa"/>
            <w:vAlign w:val="bottom"/>
            <w:gridSpan w:val="4"/>
          </w:tcPr>
          <w:p>
            <w:pPr>
              <w:jc w:val="center"/>
              <w:ind w:right="160"/>
              <w:spacing w:after="0" w:line="202" w:lineRule="exact"/>
              <w:rPr>
                <w:sz w:val="20"/>
                <w:szCs w:val="20"/>
                <w:color w:val="auto"/>
              </w:rPr>
            </w:pPr>
            <w:r>
              <w:rPr>
                <w:rFonts w:ascii="Arial" w:cs="Arial" w:eastAsia="Arial" w:hAnsi="Arial"/>
                <w:sz w:val="18"/>
                <w:szCs w:val="18"/>
                <w:color w:val="auto"/>
                <w:w w:val="99"/>
              </w:rPr>
              <w:t>Beginning</w:t>
            </w:r>
          </w:p>
        </w:tc>
        <w:tc>
          <w:tcPr>
            <w:tcW w:w="100" w:type="dxa"/>
            <w:vAlign w:val="bottom"/>
          </w:tcPr>
          <w:p>
            <w:pPr>
              <w:spacing w:after="0"/>
              <w:rPr>
                <w:sz w:val="17"/>
                <w:szCs w:val="17"/>
                <w:color w:val="auto"/>
              </w:rPr>
            </w:pPr>
          </w:p>
        </w:tc>
        <w:tc>
          <w:tcPr>
            <w:tcW w:w="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Reserves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center"/>
              <w:ind w:right="210"/>
              <w:spacing w:after="0" w:line="202" w:lineRule="exact"/>
              <w:rPr>
                <w:sz w:val="20"/>
                <w:szCs w:val="20"/>
                <w:color w:val="auto"/>
              </w:rPr>
            </w:pPr>
            <w:r>
              <w:rPr>
                <w:rFonts w:ascii="Arial" w:cs="Arial" w:eastAsia="Arial" w:hAnsi="Arial"/>
                <w:sz w:val="18"/>
                <w:szCs w:val="18"/>
                <w:color w:val="auto"/>
              </w:rPr>
              <w:t>to</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9"/>
              </w:rPr>
              <w:t>and</w:t>
            </w:r>
          </w:p>
        </w:tc>
        <w:tc>
          <w:tcPr>
            <w:tcW w:w="120" w:type="dxa"/>
            <w:vAlign w:val="bottom"/>
          </w:tcPr>
          <w:p>
            <w:pPr>
              <w:spacing w:after="0"/>
              <w:rPr>
                <w:sz w:val="17"/>
                <w:szCs w:val="17"/>
                <w:color w:val="auto"/>
              </w:rPr>
            </w:pPr>
          </w:p>
        </w:tc>
        <w:tc>
          <w:tcPr>
            <w:tcW w:w="8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at End of</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0" w:type="dxa"/>
            <w:vAlign w:val="bottom"/>
            <w:gridSpan w:val="2"/>
          </w:tcPr>
          <w:p>
            <w:pPr>
              <w:ind w:left="700"/>
              <w:spacing w:after="0"/>
              <w:rPr>
                <w:sz w:val="20"/>
                <w:szCs w:val="20"/>
                <w:color w:val="auto"/>
              </w:rPr>
            </w:pPr>
            <w:r>
              <w:rPr>
                <w:rFonts w:ascii="Arial" w:cs="Arial" w:eastAsia="Arial" w:hAnsi="Arial"/>
                <w:sz w:val="18"/>
                <w:szCs w:val="18"/>
                <w:color w:val="auto"/>
              </w:rPr>
              <w:t>Classification</w:t>
            </w:r>
          </w:p>
        </w:tc>
        <w:tc>
          <w:tcPr>
            <w:tcW w:w="1880" w:type="dxa"/>
            <w:vAlign w:val="bottom"/>
          </w:tcPr>
          <w:p>
            <w:pPr>
              <w:spacing w:after="0"/>
              <w:rPr>
                <w:sz w:val="18"/>
                <w:szCs w:val="18"/>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of Period</w:t>
            </w:r>
          </w:p>
        </w:tc>
        <w:tc>
          <w:tcPr>
            <w:tcW w:w="10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Expense</w:t>
            </w:r>
          </w:p>
        </w:tc>
        <w:tc>
          <w:tcPr>
            <w:tcW w:w="3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Write-Offs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Period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Valuation and qualifying accounts deducted from the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assets to which they apply:</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line="202" w:lineRule="exact"/>
              <w:rPr>
                <w:sz w:val="20"/>
                <w:szCs w:val="20"/>
                <w:color w:val="auto"/>
              </w:rPr>
            </w:pPr>
            <w:r>
              <w:rPr>
                <w:rFonts w:ascii="Arial" w:cs="Arial" w:eastAsia="Arial" w:hAnsi="Arial"/>
                <w:sz w:val="18"/>
                <w:szCs w:val="18"/>
                <w:color w:val="auto"/>
              </w:rPr>
              <w:t>Inventory reserve</w:t>
            </w:r>
          </w:p>
        </w:tc>
        <w:tc>
          <w:tcPr>
            <w:tcW w:w="2100" w:type="dxa"/>
            <w:vAlign w:val="bottom"/>
            <w:gridSpan w:val="2"/>
          </w:tcPr>
          <w:p>
            <w:pPr>
              <w:ind w:left="18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w:t>
            </w:r>
          </w:p>
        </w:tc>
        <w:tc>
          <w:tcPr>
            <w:tcW w:w="180" w:type="dxa"/>
            <w:vAlign w:val="bottom"/>
          </w:tcPr>
          <w:p>
            <w:pPr>
              <w:spacing w:after="0"/>
              <w:rPr>
                <w:sz w:val="17"/>
                <w:szCs w:val="17"/>
                <w:color w:val="auto"/>
              </w:rPr>
            </w:pPr>
          </w:p>
        </w:tc>
        <w:tc>
          <w:tcPr>
            <w:tcW w:w="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3"/>
        </w:trPr>
        <w:tc>
          <w:tcPr>
            <w:tcW w:w="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38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w w:val="99"/>
              </w:rPr>
              <w:t>Schedule II — Valuation and Qualifying Accounts</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380" w:type="dxa"/>
            <w:vAlign w:val="bottom"/>
            <w:gridSpan w:val="10"/>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for the fiscal year ended September 30, 2004</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80" w:type="dxa"/>
            <w:vAlign w:val="bottom"/>
            <w:gridSpan w:val="5"/>
          </w:tcPr>
          <w:p>
            <w:pPr>
              <w:jc w:val="center"/>
              <w:ind w:left="1550"/>
              <w:spacing w:after="0"/>
              <w:rPr>
                <w:sz w:val="20"/>
                <w:szCs w:val="20"/>
                <w:color w:val="auto"/>
              </w:rPr>
            </w:pPr>
            <w:r>
              <w:rPr>
                <w:rFonts w:ascii="Arial" w:cs="Arial" w:eastAsia="Arial" w:hAnsi="Arial"/>
                <w:sz w:val="18"/>
                <w:szCs w:val="18"/>
                <w:b w:val="1"/>
                <w:bCs w:val="1"/>
                <w:color w:val="auto"/>
                <w:w w:val="98"/>
              </w:rPr>
              <w:t>(in millions)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400" w:type="dxa"/>
            <w:vAlign w:val="bottom"/>
            <w:gridSpan w:val="2"/>
          </w:tcPr>
          <w:p>
            <w:pPr>
              <w:ind w:left="700"/>
              <w:spacing w:after="0"/>
              <w:rPr>
                <w:sz w:val="20"/>
                <w:szCs w:val="20"/>
                <w:color w:val="auto"/>
              </w:rPr>
            </w:pPr>
            <w:r>
              <w:rPr>
                <w:rFonts w:ascii="Arial" w:cs="Arial" w:eastAsia="Arial" w:hAnsi="Arial"/>
                <w:sz w:val="18"/>
                <w:szCs w:val="18"/>
                <w:color w:val="auto"/>
              </w:rPr>
              <w:t>Column A</w:t>
            </w:r>
          </w:p>
        </w:tc>
        <w:tc>
          <w:tcPr>
            <w:tcW w:w="1880" w:type="dxa"/>
            <w:vAlign w:val="bottom"/>
          </w:tcPr>
          <w:p>
            <w:pPr>
              <w:spacing w:after="0"/>
              <w:rPr>
                <w:sz w:val="24"/>
                <w:szCs w:val="2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8"/>
                <w:szCs w:val="18"/>
                <w:color w:val="auto"/>
                <w:w w:val="98"/>
              </w:rPr>
              <w:t>Column B</w:t>
            </w:r>
          </w:p>
        </w:tc>
        <w:tc>
          <w:tcPr>
            <w:tcW w:w="1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99"/>
              </w:rPr>
              <w:t>Column C</w:t>
            </w:r>
          </w:p>
        </w:tc>
        <w:tc>
          <w:tcPr>
            <w:tcW w:w="2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Column D</w:t>
            </w:r>
          </w:p>
        </w:tc>
        <w:tc>
          <w:tcPr>
            <w:tcW w:w="30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rPr>
              <w:t>Column E</w:t>
            </w:r>
          </w:p>
        </w:tc>
        <w:tc>
          <w:tcPr>
            <w:tcW w:w="980" w:type="dxa"/>
            <w:vAlign w:val="bottom"/>
            <w:gridSpan w:val="4"/>
          </w:tcPr>
          <w:p>
            <w:pPr>
              <w:ind w:left="120"/>
              <w:spacing w:after="0"/>
              <w:rPr>
                <w:sz w:val="20"/>
                <w:szCs w:val="20"/>
                <w:color w:val="auto"/>
              </w:rPr>
            </w:pPr>
            <w:r>
              <w:rPr>
                <w:rFonts w:ascii="Arial" w:cs="Arial" w:eastAsia="Arial" w:hAnsi="Arial"/>
                <w:sz w:val="18"/>
                <w:szCs w:val="18"/>
                <w:color w:val="auto"/>
              </w:rPr>
              <w:t>Column F</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9"/>
              </w:rPr>
              <w:t>Additions</w:t>
            </w:r>
          </w:p>
        </w:tc>
        <w:tc>
          <w:tcPr>
            <w:tcW w:w="300" w:type="dxa"/>
            <w:vAlign w:val="bottom"/>
          </w:tcPr>
          <w:p>
            <w:pPr>
              <w:spacing w:after="0"/>
              <w:rPr>
                <w:sz w:val="16"/>
                <w:szCs w:val="16"/>
                <w:color w:val="auto"/>
              </w:rPr>
            </w:pPr>
          </w:p>
        </w:tc>
        <w:tc>
          <w:tcPr>
            <w:tcW w:w="9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7"/>
              </w:rPr>
              <w:t>Deductions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center"/>
              <w:ind w:right="400"/>
              <w:spacing w:after="0" w:line="202" w:lineRule="exact"/>
              <w:rPr>
                <w:sz w:val="20"/>
                <w:szCs w:val="20"/>
                <w:color w:val="auto"/>
              </w:rPr>
            </w:pPr>
            <w:r>
              <w:rPr>
                <w:rFonts w:ascii="Arial" w:cs="Arial" w:eastAsia="Arial" w:hAnsi="Arial"/>
                <w:sz w:val="18"/>
                <w:szCs w:val="18"/>
                <w:color w:val="auto"/>
                <w:w w:val="92"/>
              </w:rPr>
              <w:t>at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Charged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Credited</w:t>
            </w:r>
          </w:p>
        </w:tc>
        <w:tc>
          <w:tcPr>
            <w:tcW w:w="120" w:type="dxa"/>
            <w:vAlign w:val="bottom"/>
          </w:tcPr>
          <w:p>
            <w:pPr>
              <w:spacing w:after="0"/>
              <w:rPr>
                <w:sz w:val="17"/>
                <w:szCs w:val="17"/>
                <w:color w:val="auto"/>
              </w:rPr>
            </w:pPr>
          </w:p>
        </w:tc>
        <w:tc>
          <w:tcPr>
            <w:tcW w:w="86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8"/>
              </w:rPr>
              <w:t>Balance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0" w:type="dxa"/>
            <w:vAlign w:val="bottom"/>
            <w:gridSpan w:val="4"/>
          </w:tcPr>
          <w:p>
            <w:pPr>
              <w:jc w:val="center"/>
              <w:ind w:right="160"/>
              <w:spacing w:after="0" w:line="202" w:lineRule="exact"/>
              <w:rPr>
                <w:sz w:val="20"/>
                <w:szCs w:val="20"/>
                <w:color w:val="auto"/>
              </w:rPr>
            </w:pPr>
            <w:r>
              <w:rPr>
                <w:rFonts w:ascii="Arial" w:cs="Arial" w:eastAsia="Arial" w:hAnsi="Arial"/>
                <w:sz w:val="18"/>
                <w:szCs w:val="18"/>
                <w:color w:val="auto"/>
                <w:w w:val="99"/>
              </w:rPr>
              <w:t>Beginning</w:t>
            </w:r>
          </w:p>
        </w:tc>
        <w:tc>
          <w:tcPr>
            <w:tcW w:w="100" w:type="dxa"/>
            <w:vAlign w:val="bottom"/>
          </w:tcPr>
          <w:p>
            <w:pPr>
              <w:spacing w:after="0"/>
              <w:rPr>
                <w:sz w:val="17"/>
                <w:szCs w:val="17"/>
                <w:color w:val="auto"/>
              </w:rPr>
            </w:pPr>
          </w:p>
        </w:tc>
        <w:tc>
          <w:tcPr>
            <w:tcW w:w="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Reserves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center"/>
              <w:ind w:right="210"/>
              <w:spacing w:after="0" w:line="202" w:lineRule="exact"/>
              <w:rPr>
                <w:sz w:val="20"/>
                <w:szCs w:val="20"/>
                <w:color w:val="auto"/>
              </w:rPr>
            </w:pPr>
            <w:r>
              <w:rPr>
                <w:rFonts w:ascii="Arial" w:cs="Arial" w:eastAsia="Arial" w:hAnsi="Arial"/>
                <w:sz w:val="18"/>
                <w:szCs w:val="18"/>
                <w:color w:val="auto"/>
              </w:rPr>
              <w:t>to</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9"/>
              </w:rPr>
              <w:t>and</w:t>
            </w:r>
          </w:p>
        </w:tc>
        <w:tc>
          <w:tcPr>
            <w:tcW w:w="120" w:type="dxa"/>
            <w:vAlign w:val="bottom"/>
          </w:tcPr>
          <w:p>
            <w:pPr>
              <w:spacing w:after="0"/>
              <w:rPr>
                <w:sz w:val="17"/>
                <w:szCs w:val="17"/>
                <w:color w:val="auto"/>
              </w:rPr>
            </w:pPr>
          </w:p>
        </w:tc>
        <w:tc>
          <w:tcPr>
            <w:tcW w:w="8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at End of</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0" w:type="dxa"/>
            <w:vAlign w:val="bottom"/>
            <w:gridSpan w:val="2"/>
          </w:tcPr>
          <w:p>
            <w:pPr>
              <w:ind w:left="700"/>
              <w:spacing w:after="0"/>
              <w:rPr>
                <w:sz w:val="20"/>
                <w:szCs w:val="20"/>
                <w:color w:val="auto"/>
              </w:rPr>
            </w:pPr>
            <w:r>
              <w:rPr>
                <w:rFonts w:ascii="Arial" w:cs="Arial" w:eastAsia="Arial" w:hAnsi="Arial"/>
                <w:sz w:val="18"/>
                <w:szCs w:val="18"/>
                <w:color w:val="auto"/>
              </w:rPr>
              <w:t>Classification</w:t>
            </w:r>
          </w:p>
        </w:tc>
        <w:tc>
          <w:tcPr>
            <w:tcW w:w="1880" w:type="dxa"/>
            <w:vAlign w:val="bottom"/>
          </w:tcPr>
          <w:p>
            <w:pPr>
              <w:spacing w:after="0"/>
              <w:rPr>
                <w:sz w:val="18"/>
                <w:szCs w:val="18"/>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of Period</w:t>
            </w:r>
          </w:p>
        </w:tc>
        <w:tc>
          <w:tcPr>
            <w:tcW w:w="10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Expense</w:t>
            </w:r>
          </w:p>
        </w:tc>
        <w:tc>
          <w:tcPr>
            <w:tcW w:w="3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Write-Offs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Period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Valuation and qualifying accounts deducted from the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assets to which they apply:</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line="202" w:lineRule="exact"/>
              <w:rPr>
                <w:sz w:val="20"/>
                <w:szCs w:val="20"/>
                <w:color w:val="auto"/>
              </w:rPr>
            </w:pPr>
            <w:r>
              <w:rPr>
                <w:rFonts w:ascii="Arial" w:cs="Arial" w:eastAsia="Arial" w:hAnsi="Arial"/>
                <w:sz w:val="18"/>
                <w:szCs w:val="18"/>
                <w:color w:val="auto"/>
              </w:rPr>
              <w:t>Inventory reserve</w:t>
            </w:r>
          </w:p>
        </w:tc>
        <w:tc>
          <w:tcPr>
            <w:tcW w:w="2100" w:type="dxa"/>
            <w:vAlign w:val="bottom"/>
            <w:gridSpan w:val="2"/>
          </w:tcPr>
          <w:p>
            <w:pPr>
              <w:ind w:left="18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w:t>
            </w:r>
          </w:p>
        </w:tc>
        <w:tc>
          <w:tcPr>
            <w:tcW w:w="180" w:type="dxa"/>
            <w:vAlign w:val="bottom"/>
          </w:tcPr>
          <w:p>
            <w:pPr>
              <w:spacing w:after="0"/>
              <w:rPr>
                <w:sz w:val="17"/>
                <w:szCs w:val="17"/>
                <w:color w:val="auto"/>
              </w:rPr>
            </w:pPr>
          </w:p>
        </w:tc>
        <w:tc>
          <w:tcPr>
            <w:tcW w:w="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(12.5)</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107</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270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-5687060</wp:posOffset>
            </wp:positionV>
            <wp:extent cx="260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-3577590</wp:posOffset>
            </wp:positionV>
            <wp:extent cx="260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-1468120</wp:posOffset>
            </wp:positionV>
            <wp:extent cx="260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99"/>
        <w:spacing w:after="0"/>
        <w:rPr>
          <w:sz w:val="20"/>
          <w:szCs w:val="20"/>
          <w:color w:val="auto"/>
        </w:rPr>
      </w:pPr>
      <w:r>
        <w:rPr>
          <w:rFonts w:ascii="Arial" w:cs="Arial" w:eastAsia="Arial" w:hAnsi="Arial"/>
          <w:sz w:val="20"/>
          <w:szCs w:val="20"/>
          <w:b w:val="1"/>
          <w:bCs w:val="1"/>
          <w:color w:val="auto"/>
        </w:rPr>
        <w:t>The Scotts Miracle-Gro Company</w:t>
      </w:r>
    </w:p>
    <w:p>
      <w:pPr>
        <w:spacing w:after="0" w:line="11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53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1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32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70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Location</w:t>
            </w:r>
          </w:p>
        </w:tc>
      </w:t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2(a)</w:t>
            </w:r>
          </w:p>
        </w:tc>
        <w:tc>
          <w:tcPr>
            <w:tcW w:w="5320" w:type="dxa"/>
            <w:vAlign w:val="bottom"/>
          </w:tcPr>
          <w:p>
            <w:pPr>
              <w:ind w:left="200"/>
              <w:spacing w:after="0"/>
              <w:rPr>
                <w:sz w:val="20"/>
                <w:szCs w:val="20"/>
                <w:color w:val="auto"/>
              </w:rPr>
            </w:pPr>
            <w:r>
              <w:rPr>
                <w:rFonts w:ascii="Arial" w:cs="Arial" w:eastAsia="Arial" w:hAnsi="Arial"/>
                <w:sz w:val="18"/>
                <w:szCs w:val="18"/>
                <w:color w:val="auto"/>
              </w:rPr>
              <w:t>Amended and Restated Agreement and Plan of Merger, dated</w:t>
            </w:r>
          </w:p>
        </w:tc>
        <w:tc>
          <w:tcPr>
            <w:tcW w:w="3700" w:type="dxa"/>
            <w:vAlign w:val="bottom"/>
          </w:tcPr>
          <w:p>
            <w:pPr>
              <w:ind w:left="14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as of May 19, 1995, among Stern’s Miracle-Gro Products, Inc.,</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Current Report on Form 8-K dated May 31,</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Stern’s Nurseries, Inc., Miracle-Gro Lawn Products Inc.,</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1995 and filed June 2, 1995, of The Scotts</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Miracle-Gro Products Limited, Hagedorn Partnership, L.P., the</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Company, an Ohio corporation (‘‘Scotts”)</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general partners of Hagedorn Partnership, L.P., Horace</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(File No. 0-19768) [Exhibit 2(b)]</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Hagedorn, Community Funds, Inc., and John Kenlon, The</w:t>
            </w:r>
          </w:p>
        </w:tc>
        <w:tc>
          <w:tcPr>
            <w:tcW w:w="37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Scotts Company and ZYX Corporation</w:t>
            </w:r>
          </w:p>
        </w:tc>
        <w:tc>
          <w:tcPr>
            <w:tcW w:w="37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620"/>
          </w:cols>
          <w:pgMar w:left="240" w:top="419" w:right="1039" w:bottom="1440" w:gutter="0" w:footer="0" w:header="0"/>
        </w:sectPr>
      </w:pP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2(b)</w:t>
            </w:r>
          </w:p>
        </w:tc>
        <w:tc>
          <w:tcPr>
            <w:tcW w:w="5400" w:type="dxa"/>
            <w:vAlign w:val="bottom"/>
          </w:tcPr>
          <w:p>
            <w:pPr>
              <w:ind w:left="400"/>
              <w:spacing w:after="0"/>
              <w:rPr>
                <w:sz w:val="20"/>
                <w:szCs w:val="20"/>
                <w:color w:val="auto"/>
              </w:rPr>
            </w:pPr>
            <w:r>
              <w:rPr>
                <w:rFonts w:ascii="Arial" w:cs="Arial" w:eastAsia="Arial" w:hAnsi="Arial"/>
                <w:sz w:val="18"/>
                <w:szCs w:val="18"/>
                <w:color w:val="auto"/>
              </w:rPr>
              <w:t>First Amendment to Amended and Restated Agreement and</w:t>
            </w:r>
          </w:p>
        </w:tc>
      </w:tr>
      <w:tr>
        <w:trPr>
          <w:trHeight w:val="203"/>
        </w:trPr>
        <w:tc>
          <w:tcPr>
            <w:tcW w:w="700" w:type="dxa"/>
            <w:vAlign w:val="bottom"/>
          </w:tcPr>
          <w:p>
            <w:pPr>
              <w:spacing w:after="0"/>
              <w:rPr>
                <w:sz w:val="17"/>
                <w:szCs w:val="17"/>
                <w:color w:val="auto"/>
              </w:rPr>
            </w:pPr>
          </w:p>
        </w:tc>
        <w:tc>
          <w:tcPr>
            <w:tcW w:w="5400" w:type="dxa"/>
            <w:vAlign w:val="bottom"/>
          </w:tcPr>
          <w:p>
            <w:pPr>
              <w:ind w:left="400"/>
              <w:spacing w:after="0" w:line="202" w:lineRule="exact"/>
              <w:rPr>
                <w:sz w:val="20"/>
                <w:szCs w:val="20"/>
                <w:color w:val="auto"/>
              </w:rPr>
            </w:pPr>
            <w:r>
              <w:rPr>
                <w:rFonts w:ascii="Arial" w:cs="Arial" w:eastAsia="Arial" w:hAnsi="Arial"/>
                <w:sz w:val="18"/>
                <w:szCs w:val="18"/>
                <w:color w:val="auto"/>
              </w:rPr>
              <w:t>Plan of Merger, made and entered into as of October 1, 1999,</w:t>
            </w:r>
          </w:p>
        </w:tc>
      </w:tr>
      <w:tr>
        <w:trPr>
          <w:trHeight w:val="203"/>
        </w:trPr>
        <w:tc>
          <w:tcPr>
            <w:tcW w:w="700" w:type="dxa"/>
            <w:vAlign w:val="bottom"/>
          </w:tcPr>
          <w:p>
            <w:pPr>
              <w:spacing w:after="0"/>
              <w:rPr>
                <w:sz w:val="17"/>
                <w:szCs w:val="17"/>
                <w:color w:val="auto"/>
              </w:rPr>
            </w:pPr>
          </w:p>
        </w:tc>
        <w:tc>
          <w:tcPr>
            <w:tcW w:w="5400" w:type="dxa"/>
            <w:vAlign w:val="bottom"/>
          </w:tcPr>
          <w:p>
            <w:pPr>
              <w:ind w:left="400"/>
              <w:spacing w:after="0" w:line="202" w:lineRule="exact"/>
              <w:rPr>
                <w:sz w:val="20"/>
                <w:szCs w:val="20"/>
                <w:color w:val="auto"/>
              </w:rPr>
            </w:pPr>
            <w:r>
              <w:rPr>
                <w:rFonts w:ascii="Arial" w:cs="Arial" w:eastAsia="Arial" w:hAnsi="Arial"/>
                <w:sz w:val="18"/>
                <w:szCs w:val="18"/>
                <w:color w:val="auto"/>
                <w:w w:val="99"/>
              </w:rPr>
              <w:t>among The Scotts Company, Scotts Miracle-Gro Products, Inc.</w:t>
            </w:r>
          </w:p>
        </w:tc>
      </w:tr>
      <w:tr>
        <w:trPr>
          <w:trHeight w:val="203"/>
        </w:trPr>
        <w:tc>
          <w:tcPr>
            <w:tcW w:w="700" w:type="dxa"/>
            <w:vAlign w:val="bottom"/>
          </w:tcPr>
          <w:p>
            <w:pPr>
              <w:spacing w:after="0"/>
              <w:rPr>
                <w:sz w:val="17"/>
                <w:szCs w:val="17"/>
                <w:color w:val="auto"/>
              </w:rPr>
            </w:pPr>
          </w:p>
        </w:tc>
        <w:tc>
          <w:tcPr>
            <w:tcW w:w="5400" w:type="dxa"/>
            <w:vAlign w:val="bottom"/>
          </w:tcPr>
          <w:p>
            <w:pPr>
              <w:ind w:left="400"/>
              <w:spacing w:after="0" w:line="202" w:lineRule="exact"/>
              <w:rPr>
                <w:sz w:val="20"/>
                <w:szCs w:val="20"/>
                <w:color w:val="auto"/>
              </w:rPr>
            </w:pPr>
            <w:r>
              <w:rPr>
                <w:rFonts w:ascii="Arial" w:cs="Arial" w:eastAsia="Arial" w:hAnsi="Arial"/>
                <w:sz w:val="18"/>
                <w:szCs w:val="18"/>
                <w:color w:val="auto"/>
              </w:rPr>
              <w:t>(as successor to ZYX Corporation and Stern’s Miracle-Gro</w:t>
            </w:r>
          </w:p>
        </w:tc>
      </w:tr>
      <w:tr>
        <w:trPr>
          <w:trHeight w:val="203"/>
        </w:trPr>
        <w:tc>
          <w:tcPr>
            <w:tcW w:w="700" w:type="dxa"/>
            <w:vAlign w:val="bottom"/>
          </w:tcPr>
          <w:p>
            <w:pPr>
              <w:spacing w:after="0"/>
              <w:rPr>
                <w:sz w:val="17"/>
                <w:szCs w:val="17"/>
                <w:color w:val="auto"/>
              </w:rPr>
            </w:pPr>
          </w:p>
        </w:tc>
        <w:tc>
          <w:tcPr>
            <w:tcW w:w="5400" w:type="dxa"/>
            <w:vAlign w:val="bottom"/>
          </w:tcPr>
          <w:p>
            <w:pPr>
              <w:ind w:left="400"/>
              <w:spacing w:after="0" w:line="202" w:lineRule="exact"/>
              <w:rPr>
                <w:sz w:val="20"/>
                <w:szCs w:val="20"/>
                <w:color w:val="auto"/>
              </w:rPr>
            </w:pPr>
            <w:r>
              <w:rPr>
                <w:rFonts w:ascii="Arial" w:cs="Arial" w:eastAsia="Arial" w:hAnsi="Arial"/>
                <w:sz w:val="18"/>
                <w:szCs w:val="18"/>
                <w:color w:val="auto"/>
              </w:rPr>
              <w:t>Products, Inc.), Miracle-Gro Lawn Products Inc., Miracle-Gro</w:t>
            </w:r>
          </w:p>
        </w:tc>
      </w:tr>
    </w:tbl>
    <w:p>
      <w:pPr>
        <w:ind w:left="1800" w:right="200"/>
        <w:spacing w:after="0" w:line="239" w:lineRule="auto"/>
        <w:rPr>
          <w:sz w:val="20"/>
          <w:szCs w:val="20"/>
          <w:color w:val="auto"/>
        </w:rPr>
      </w:pPr>
      <w:r>
        <w:rPr>
          <w:rFonts w:ascii="Arial" w:cs="Arial" w:eastAsia="Arial" w:hAnsi="Arial"/>
          <w:sz w:val="18"/>
          <w:szCs w:val="18"/>
          <w:color w:val="auto"/>
        </w:rPr>
        <w:t>Products Limited, Hagedorn Partnership, L.P., Community Funds, Inc., Horace Hagedorn and John Kenlon, and James Hagedorn, Katherine Hagedorn Littlefield, Paul Hagedorn, Peter Hagedorn, Robert Hagedorn and Susan Hagedorn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Incorporated herein by reference to Scotts’ Current Report on Form 8-K dated October 4, 1999 and filed October 5, 1999 (File No. 1-11593) [Exhibit 2]</w:t>
      </w:r>
    </w:p>
    <w:p>
      <w:pPr>
        <w:spacing w:after="0" w:line="1212" w:lineRule="exact"/>
        <w:rPr>
          <w:sz w:val="20"/>
          <w:szCs w:val="20"/>
          <w:color w:val="auto"/>
        </w:rPr>
      </w:pPr>
    </w:p>
    <w:p>
      <w:pPr>
        <w:sectPr>
          <w:pgSz w:w="11900" w:h="16838" w:orient="portrait"/>
          <w:cols w:equalWidth="0" w:num="2">
            <w:col w:w="6800" w:space="260"/>
            <w:col w:w="3560"/>
          </w:cols>
          <w:pgMar w:left="240" w:top="419" w:right="1039" w:bottom="1440"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2(c)</w:t>
            </w:r>
          </w:p>
        </w:tc>
        <w:tc>
          <w:tcPr>
            <w:tcW w:w="5360" w:type="dxa"/>
            <w:vAlign w:val="bottom"/>
          </w:tcPr>
          <w:p>
            <w:pPr>
              <w:ind w:left="400"/>
              <w:spacing w:after="0"/>
              <w:rPr>
                <w:sz w:val="20"/>
                <w:szCs w:val="20"/>
                <w:color w:val="auto"/>
              </w:rPr>
            </w:pPr>
            <w:r>
              <w:rPr>
                <w:rFonts w:ascii="Arial" w:cs="Arial" w:eastAsia="Arial" w:hAnsi="Arial"/>
                <w:sz w:val="18"/>
                <w:szCs w:val="18"/>
                <w:color w:val="auto"/>
              </w:rPr>
              <w:t>Agreement and Plan of Merger, dated as of December 13,</w:t>
            </w:r>
          </w:p>
        </w:tc>
      </w:tr>
      <w:tr>
        <w:trPr>
          <w:trHeight w:val="203"/>
        </w:trPr>
        <w:tc>
          <w:tcPr>
            <w:tcW w:w="700" w:type="dxa"/>
            <w:vAlign w:val="bottom"/>
          </w:tcPr>
          <w:p>
            <w:pPr>
              <w:spacing w:after="0"/>
              <w:rPr>
                <w:sz w:val="17"/>
                <w:szCs w:val="17"/>
                <w:color w:val="auto"/>
              </w:rPr>
            </w:pPr>
          </w:p>
        </w:tc>
        <w:tc>
          <w:tcPr>
            <w:tcW w:w="5360" w:type="dxa"/>
            <w:vAlign w:val="bottom"/>
          </w:tcPr>
          <w:p>
            <w:pPr>
              <w:ind w:left="400"/>
              <w:spacing w:after="0" w:line="202" w:lineRule="exact"/>
              <w:rPr>
                <w:sz w:val="20"/>
                <w:szCs w:val="20"/>
                <w:color w:val="auto"/>
              </w:rPr>
            </w:pPr>
            <w:r>
              <w:rPr>
                <w:rFonts w:ascii="Arial" w:cs="Arial" w:eastAsia="Arial" w:hAnsi="Arial"/>
                <w:sz w:val="18"/>
                <w:szCs w:val="18"/>
                <w:color w:val="auto"/>
              </w:rPr>
              <w:t>2004, by and among The Scotts Company, The Scotts</w:t>
            </w:r>
          </w:p>
        </w:tc>
      </w:tr>
      <w:tr>
        <w:trPr>
          <w:trHeight w:val="217"/>
        </w:trPr>
        <w:tc>
          <w:tcPr>
            <w:tcW w:w="70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Company LLC and The Scotts Miracle-Gro Company</w:t>
            </w:r>
          </w:p>
        </w:tc>
      </w:tr>
      <w:tr>
        <w:trPr>
          <w:trHeight w:val="972"/>
        </w:trPr>
        <w:tc>
          <w:tcPr>
            <w:tcW w:w="700" w:type="dxa"/>
            <w:vAlign w:val="bottom"/>
          </w:tcPr>
          <w:p>
            <w:pPr>
              <w:spacing w:after="0"/>
              <w:rPr>
                <w:sz w:val="20"/>
                <w:szCs w:val="20"/>
                <w:color w:val="auto"/>
              </w:rPr>
            </w:pPr>
            <w:r>
              <w:rPr>
                <w:rFonts w:ascii="Arial" w:cs="Arial" w:eastAsia="Arial" w:hAnsi="Arial"/>
                <w:sz w:val="18"/>
                <w:szCs w:val="18"/>
                <w:color w:val="auto"/>
              </w:rPr>
              <w:t>3(a)</w:t>
            </w:r>
          </w:p>
        </w:tc>
        <w:tc>
          <w:tcPr>
            <w:tcW w:w="5360" w:type="dxa"/>
            <w:vAlign w:val="bottom"/>
          </w:tcPr>
          <w:p>
            <w:pPr>
              <w:ind w:left="400"/>
              <w:spacing w:after="0"/>
              <w:rPr>
                <w:sz w:val="20"/>
                <w:szCs w:val="20"/>
                <w:color w:val="auto"/>
              </w:rPr>
            </w:pPr>
            <w:r>
              <w:rPr>
                <w:rFonts w:ascii="Arial" w:cs="Arial" w:eastAsia="Arial" w:hAnsi="Arial"/>
                <w:sz w:val="18"/>
                <w:szCs w:val="18"/>
                <w:color w:val="auto"/>
              </w:rPr>
              <w:t>Initial Articles of Incorporation of The Scotts Miracle-Gro</w:t>
            </w:r>
          </w:p>
        </w:tc>
      </w:tr>
      <w:tr>
        <w:trPr>
          <w:trHeight w:val="203"/>
        </w:trPr>
        <w:tc>
          <w:tcPr>
            <w:tcW w:w="700" w:type="dxa"/>
            <w:vAlign w:val="bottom"/>
          </w:tcPr>
          <w:p>
            <w:pPr>
              <w:spacing w:after="0"/>
              <w:rPr>
                <w:sz w:val="17"/>
                <w:szCs w:val="17"/>
                <w:color w:val="auto"/>
              </w:rPr>
            </w:pPr>
          </w:p>
        </w:tc>
        <w:tc>
          <w:tcPr>
            <w:tcW w:w="5360" w:type="dxa"/>
            <w:vAlign w:val="bottom"/>
          </w:tcPr>
          <w:p>
            <w:pPr>
              <w:ind w:left="400"/>
              <w:spacing w:after="0" w:line="202" w:lineRule="exact"/>
              <w:rPr>
                <w:sz w:val="20"/>
                <w:szCs w:val="20"/>
                <w:color w:val="auto"/>
              </w:rPr>
            </w:pPr>
            <w:r>
              <w:rPr>
                <w:rFonts w:ascii="Arial" w:cs="Arial" w:eastAsia="Arial" w:hAnsi="Arial"/>
                <w:sz w:val="18"/>
                <w:szCs w:val="18"/>
                <w:color w:val="auto"/>
              </w:rPr>
              <w:t>Company as filed with Ohio Secretary of State on</w:t>
            </w:r>
          </w:p>
        </w:tc>
      </w:tr>
      <w:tr>
        <w:trPr>
          <w:trHeight w:val="217"/>
        </w:trPr>
        <w:tc>
          <w:tcPr>
            <w:tcW w:w="70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November 22, 2004</w:t>
            </w:r>
          </w:p>
        </w:tc>
      </w:tr>
      <w:tr>
        <w:trPr>
          <w:trHeight w:val="972"/>
        </w:trPr>
        <w:tc>
          <w:tcPr>
            <w:tcW w:w="700" w:type="dxa"/>
            <w:vAlign w:val="bottom"/>
          </w:tcPr>
          <w:p>
            <w:pPr>
              <w:spacing w:after="0"/>
              <w:rPr>
                <w:sz w:val="20"/>
                <w:szCs w:val="20"/>
                <w:color w:val="auto"/>
              </w:rPr>
            </w:pPr>
            <w:r>
              <w:rPr>
                <w:rFonts w:ascii="Arial" w:cs="Arial" w:eastAsia="Arial" w:hAnsi="Arial"/>
                <w:sz w:val="18"/>
                <w:szCs w:val="18"/>
                <w:color w:val="auto"/>
              </w:rPr>
              <w:t>3(b)</w:t>
            </w:r>
          </w:p>
        </w:tc>
        <w:tc>
          <w:tcPr>
            <w:tcW w:w="5360" w:type="dxa"/>
            <w:vAlign w:val="bottom"/>
          </w:tcPr>
          <w:p>
            <w:pPr>
              <w:ind w:left="400"/>
              <w:spacing w:after="0"/>
              <w:rPr>
                <w:sz w:val="20"/>
                <w:szCs w:val="20"/>
                <w:color w:val="auto"/>
              </w:rPr>
            </w:pPr>
            <w:r>
              <w:rPr>
                <w:rFonts w:ascii="Arial" w:cs="Arial" w:eastAsia="Arial" w:hAnsi="Arial"/>
                <w:sz w:val="18"/>
                <w:szCs w:val="18"/>
                <w:color w:val="auto"/>
              </w:rPr>
              <w:t>Certificate of Amendment by Shareholders to Articles of</w:t>
            </w:r>
          </w:p>
        </w:tc>
      </w:tr>
      <w:tr>
        <w:trPr>
          <w:trHeight w:val="203"/>
        </w:trPr>
        <w:tc>
          <w:tcPr>
            <w:tcW w:w="700" w:type="dxa"/>
            <w:vAlign w:val="bottom"/>
          </w:tcPr>
          <w:p>
            <w:pPr>
              <w:spacing w:after="0"/>
              <w:rPr>
                <w:sz w:val="17"/>
                <w:szCs w:val="17"/>
                <w:color w:val="auto"/>
              </w:rPr>
            </w:pPr>
          </w:p>
        </w:tc>
        <w:tc>
          <w:tcPr>
            <w:tcW w:w="5360" w:type="dxa"/>
            <w:vAlign w:val="bottom"/>
          </w:tcPr>
          <w:p>
            <w:pPr>
              <w:ind w:left="400"/>
              <w:spacing w:after="0" w:line="202" w:lineRule="exact"/>
              <w:rPr>
                <w:sz w:val="20"/>
                <w:szCs w:val="20"/>
                <w:color w:val="auto"/>
              </w:rPr>
            </w:pPr>
            <w:r>
              <w:rPr>
                <w:rFonts w:ascii="Arial" w:cs="Arial" w:eastAsia="Arial" w:hAnsi="Arial"/>
                <w:sz w:val="18"/>
                <w:szCs w:val="18"/>
                <w:color w:val="auto"/>
                <w:w w:val="99"/>
              </w:rPr>
              <w:t>Incorporation of The Scotts Miracle-Gro Company as filed with</w:t>
            </w:r>
          </w:p>
        </w:tc>
      </w:tr>
      <w:tr>
        <w:trPr>
          <w:trHeight w:val="217"/>
        </w:trPr>
        <w:tc>
          <w:tcPr>
            <w:tcW w:w="70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Ohio Secretary of State on March 18, 2005</w:t>
            </w:r>
          </w:p>
        </w:tc>
      </w:tr>
      <w:tr>
        <w:trPr>
          <w:trHeight w:val="783"/>
        </w:trPr>
        <w:tc>
          <w:tcPr>
            <w:tcW w:w="700" w:type="dxa"/>
            <w:vAlign w:val="bottom"/>
          </w:tcPr>
          <w:p>
            <w:pPr>
              <w:spacing w:after="0"/>
              <w:rPr>
                <w:sz w:val="20"/>
                <w:szCs w:val="20"/>
                <w:color w:val="auto"/>
              </w:rPr>
            </w:pPr>
            <w:r>
              <w:rPr>
                <w:rFonts w:ascii="Arial" w:cs="Arial" w:eastAsia="Arial" w:hAnsi="Arial"/>
                <w:sz w:val="18"/>
                <w:szCs w:val="18"/>
                <w:color w:val="auto"/>
              </w:rPr>
              <w:t>3(c)</w:t>
            </w:r>
          </w:p>
        </w:tc>
        <w:tc>
          <w:tcPr>
            <w:tcW w:w="5360" w:type="dxa"/>
            <w:vAlign w:val="bottom"/>
          </w:tcPr>
          <w:p>
            <w:pPr>
              <w:ind w:left="400"/>
              <w:spacing w:after="0"/>
              <w:rPr>
                <w:sz w:val="20"/>
                <w:szCs w:val="20"/>
                <w:color w:val="auto"/>
              </w:rPr>
            </w:pPr>
            <w:r>
              <w:rPr>
                <w:rFonts w:ascii="Arial" w:cs="Arial" w:eastAsia="Arial" w:hAnsi="Arial"/>
                <w:sz w:val="18"/>
                <w:szCs w:val="18"/>
                <w:color w:val="auto"/>
              </w:rPr>
              <w:t>Code of Regulations of The Scotts Miracle-Gro Company</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Incorporated herein by reference to the Current Report on Form 8-K of The Scotts Company dated February 1, 2005 and filed February 2, 2005 (File No. 1-13292)) [Exhibit 2.1]</w:t>
      </w:r>
    </w:p>
    <w:p>
      <w:pPr>
        <w:spacing w:after="0" w:line="36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Incorporated herein by reference to the Current Report on Form 8-K of The Scotts Miracle-Gro Company (the ‘‘Registrant”) filed March 24, 2005 (File No. 1-13292) [Exhibit 3.1]</w:t>
      </w:r>
    </w:p>
    <w:p>
      <w:pPr>
        <w:spacing w:after="0" w:line="36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1-13292) [Exhibit 3.2]</w:t>
      </w:r>
    </w:p>
    <w:p>
      <w:pPr>
        <w:spacing w:after="0" w:line="36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1-13292) [Exhibit 3.3]</w:t>
      </w:r>
    </w:p>
    <w:p>
      <w:pPr>
        <w:spacing w:after="0" w:line="200" w:lineRule="exact"/>
        <w:rPr>
          <w:sz w:val="20"/>
          <w:szCs w:val="20"/>
          <w:color w:val="auto"/>
        </w:rPr>
      </w:pPr>
    </w:p>
    <w:p>
      <w:pPr>
        <w:sectPr>
          <w:pgSz w:w="11900" w:h="16838" w:orient="portrait"/>
          <w:cols w:equalWidth="0" w:num="2">
            <w:col w:w="6760" w:space="300"/>
            <w:col w:w="3560"/>
          </w:cols>
          <w:pgMar w:left="240" w:top="419" w:right="1039" w:bottom="1440"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4(a)</w:t>
            </w:r>
          </w:p>
        </w:tc>
        <w:tc>
          <w:tcPr>
            <w:tcW w:w="5340" w:type="dxa"/>
            <w:vAlign w:val="bottom"/>
          </w:tcPr>
          <w:p>
            <w:pPr>
              <w:ind w:left="400"/>
              <w:spacing w:after="0"/>
              <w:rPr>
                <w:sz w:val="20"/>
                <w:szCs w:val="20"/>
                <w:color w:val="auto"/>
              </w:rPr>
            </w:pPr>
            <w:r>
              <w:rPr>
                <w:rFonts w:ascii="Arial" w:cs="Arial" w:eastAsia="Arial" w:hAnsi="Arial"/>
                <w:sz w:val="18"/>
                <w:szCs w:val="18"/>
                <w:color w:val="auto"/>
                <w:w w:val="99"/>
              </w:rPr>
              <w:t>INDENTURE, dated as of October 8, 2003, among The Scotts</w:t>
            </w:r>
          </w:p>
        </w:tc>
      </w:tr>
      <w:tr>
        <w:trPr>
          <w:trHeight w:val="203"/>
        </w:trPr>
        <w:tc>
          <w:tcPr>
            <w:tcW w:w="700" w:type="dxa"/>
            <w:vAlign w:val="bottom"/>
          </w:tcPr>
          <w:p>
            <w:pPr>
              <w:spacing w:after="0"/>
              <w:rPr>
                <w:sz w:val="17"/>
                <w:szCs w:val="17"/>
                <w:color w:val="auto"/>
              </w:rPr>
            </w:pPr>
          </w:p>
        </w:tc>
        <w:tc>
          <w:tcPr>
            <w:tcW w:w="5340" w:type="dxa"/>
            <w:vAlign w:val="bottom"/>
          </w:tcPr>
          <w:p>
            <w:pPr>
              <w:ind w:left="400"/>
              <w:spacing w:after="0" w:line="202" w:lineRule="exact"/>
              <w:rPr>
                <w:sz w:val="20"/>
                <w:szCs w:val="20"/>
                <w:color w:val="auto"/>
              </w:rPr>
            </w:pPr>
            <w:r>
              <w:rPr>
                <w:rFonts w:ascii="Arial" w:cs="Arial" w:eastAsia="Arial" w:hAnsi="Arial"/>
                <w:sz w:val="18"/>
                <w:szCs w:val="18"/>
                <w:color w:val="auto"/>
              </w:rPr>
              <w:t>Company; the Guarantors identified therein; and U.S. Bank</w:t>
            </w:r>
          </w:p>
        </w:tc>
      </w:tr>
      <w:tr>
        <w:trPr>
          <w:trHeight w:val="217"/>
        </w:trPr>
        <w:tc>
          <w:tcPr>
            <w:tcW w:w="70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National Association, as Trustee</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Incorporated herein by reference to Scotts’ Annual Report on 10-K for the fiscal year ended September 30, 2003 (File No. 1-13292) [Exhibit 4(n)]</w:t>
      </w:r>
    </w:p>
    <w:p>
      <w:pPr>
        <w:spacing w:after="0" w:line="200" w:lineRule="exact"/>
        <w:rPr>
          <w:sz w:val="20"/>
          <w:szCs w:val="20"/>
          <w:color w:val="auto"/>
        </w:rPr>
      </w:pPr>
    </w:p>
    <w:p>
      <w:pPr>
        <w:sectPr>
          <w:pgSz w:w="11900" w:h="16838" w:orient="portrait"/>
          <w:cols w:equalWidth="0" w:num="2">
            <w:col w:w="6740" w:space="320"/>
            <w:col w:w="3560"/>
          </w:cols>
          <w:pgMar w:left="240" w:top="419" w:right="1039" w:bottom="1440"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4(b)</w:t>
            </w:r>
          </w:p>
        </w:tc>
        <w:tc>
          <w:tcPr>
            <w:tcW w:w="5400" w:type="dxa"/>
            <w:vAlign w:val="bottom"/>
          </w:tcPr>
          <w:p>
            <w:pPr>
              <w:ind w:left="400"/>
              <w:spacing w:after="0"/>
              <w:rPr>
                <w:sz w:val="20"/>
                <w:szCs w:val="20"/>
                <w:color w:val="auto"/>
              </w:rPr>
            </w:pPr>
            <w:r>
              <w:rPr>
                <w:rFonts w:ascii="Arial" w:cs="Arial" w:eastAsia="Arial" w:hAnsi="Arial"/>
                <w:sz w:val="18"/>
                <w:szCs w:val="18"/>
                <w:color w:val="auto"/>
                <w:w w:val="99"/>
              </w:rPr>
              <w:t>Registration Rights Agreement, dated October 8, 2003, among</w:t>
            </w:r>
          </w:p>
        </w:tc>
      </w:tr>
      <w:tr>
        <w:trPr>
          <w:trHeight w:val="203"/>
        </w:trPr>
        <w:tc>
          <w:tcPr>
            <w:tcW w:w="700" w:type="dxa"/>
            <w:vAlign w:val="bottom"/>
          </w:tcPr>
          <w:p>
            <w:pPr>
              <w:spacing w:after="0"/>
              <w:rPr>
                <w:sz w:val="17"/>
                <w:szCs w:val="17"/>
                <w:color w:val="auto"/>
              </w:rPr>
            </w:pPr>
          </w:p>
        </w:tc>
        <w:tc>
          <w:tcPr>
            <w:tcW w:w="5400" w:type="dxa"/>
            <w:vAlign w:val="bottom"/>
          </w:tcPr>
          <w:p>
            <w:pPr>
              <w:ind w:left="400"/>
              <w:spacing w:after="0" w:line="202" w:lineRule="exact"/>
              <w:rPr>
                <w:sz w:val="20"/>
                <w:szCs w:val="20"/>
                <w:color w:val="auto"/>
              </w:rPr>
            </w:pPr>
            <w:r>
              <w:rPr>
                <w:rFonts w:ascii="Arial" w:cs="Arial" w:eastAsia="Arial" w:hAnsi="Arial"/>
                <w:sz w:val="18"/>
                <w:szCs w:val="18"/>
                <w:color w:val="auto"/>
              </w:rPr>
              <w:t>The Scotts Company; the Guarantors identified therein; and</w:t>
            </w:r>
          </w:p>
        </w:tc>
      </w:tr>
      <w:tr>
        <w:trPr>
          <w:trHeight w:val="203"/>
        </w:trPr>
        <w:tc>
          <w:tcPr>
            <w:tcW w:w="700" w:type="dxa"/>
            <w:vAlign w:val="bottom"/>
          </w:tcPr>
          <w:p>
            <w:pPr>
              <w:spacing w:after="0"/>
              <w:rPr>
                <w:sz w:val="17"/>
                <w:szCs w:val="17"/>
                <w:color w:val="auto"/>
              </w:rPr>
            </w:pPr>
          </w:p>
        </w:tc>
        <w:tc>
          <w:tcPr>
            <w:tcW w:w="5400" w:type="dxa"/>
            <w:vAlign w:val="bottom"/>
          </w:tcPr>
          <w:p>
            <w:pPr>
              <w:ind w:left="400"/>
              <w:spacing w:after="0" w:line="202" w:lineRule="exact"/>
              <w:rPr>
                <w:sz w:val="20"/>
                <w:szCs w:val="20"/>
                <w:color w:val="auto"/>
              </w:rPr>
            </w:pPr>
            <w:r>
              <w:rPr>
                <w:rFonts w:ascii="Arial" w:cs="Arial" w:eastAsia="Arial" w:hAnsi="Arial"/>
                <w:sz w:val="18"/>
                <w:szCs w:val="18"/>
                <w:color w:val="auto"/>
              </w:rPr>
              <w:t>Citigroup Global Markets Inc., Banc of America Securities LLC</w:t>
            </w:r>
          </w:p>
        </w:tc>
      </w:tr>
    </w:tbl>
    <w:p>
      <w:pPr>
        <w:ind w:left="1800"/>
        <w:spacing w:after="0" w:line="212" w:lineRule="auto"/>
        <w:rPr>
          <w:sz w:val="20"/>
          <w:szCs w:val="20"/>
          <w:color w:val="auto"/>
        </w:rPr>
      </w:pPr>
      <w:r>
        <w:rPr>
          <w:rFonts w:ascii="Arial" w:cs="Arial" w:eastAsia="Arial" w:hAnsi="Arial"/>
          <w:sz w:val="18"/>
          <w:szCs w:val="18"/>
          <w:color w:val="auto"/>
        </w:rPr>
        <w:t>and J.P. Morgan Securities Inc. as representatives for the initial purchasers of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due 2013 described therein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2003 (File No. 1-13292) [Exhibit 4(o)]</w:t>
      </w:r>
    </w:p>
    <w:p>
      <w:pPr>
        <w:spacing w:after="0" w:line="602" w:lineRule="exact"/>
        <w:rPr>
          <w:sz w:val="20"/>
          <w:szCs w:val="20"/>
          <w:color w:val="auto"/>
        </w:rPr>
      </w:pPr>
    </w:p>
    <w:p>
      <w:pPr>
        <w:sectPr>
          <w:pgSz w:w="11900" w:h="16838" w:orient="portrait"/>
          <w:cols w:equalWidth="0" w:num="2">
            <w:col w:w="6820" w:space="240"/>
            <w:col w:w="3560"/>
          </w:cols>
          <w:pgMar w:left="240" w:top="419" w:right="1039" w:bottom="1440" w:gutter="0" w:footer="0" w:header="0"/>
          <w:type w:val="continuous"/>
        </w:sectPr>
      </w:pPr>
    </w:p>
    <w:p>
      <w:pPr>
        <w:spacing w:after="0" w:line="5" w:lineRule="exact"/>
        <w:rPr>
          <w:sz w:val="20"/>
          <w:szCs w:val="20"/>
          <w:color w:val="auto"/>
        </w:rPr>
      </w:pPr>
    </w:p>
    <w:p>
      <w:pPr>
        <w:ind w:left="5580"/>
        <w:spacing w:after="0"/>
        <w:rPr>
          <w:sz w:val="20"/>
          <w:szCs w:val="20"/>
          <w:color w:val="auto"/>
        </w:rPr>
      </w:pPr>
      <w:r>
        <w:rPr>
          <w:rFonts w:ascii="Arial" w:cs="Arial" w:eastAsia="Arial" w:hAnsi="Arial"/>
          <w:sz w:val="9"/>
          <w:szCs w:val="9"/>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-64770</wp:posOffset>
            </wp:positionV>
            <wp:extent cx="1885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155575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28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7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Location</w:t>
            </w: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4(c)(1)</w:t>
            </w:r>
          </w:p>
        </w:tc>
        <w:tc>
          <w:tcPr>
            <w:tcW w:w="5280" w:type="dxa"/>
            <w:vAlign w:val="bottom"/>
          </w:tcPr>
          <w:p>
            <w:pPr>
              <w:ind w:left="200"/>
              <w:spacing w:after="0"/>
              <w:rPr>
                <w:sz w:val="20"/>
                <w:szCs w:val="20"/>
                <w:color w:val="auto"/>
              </w:rPr>
            </w:pPr>
            <w:r>
              <w:rPr>
                <w:rFonts w:ascii="Arial" w:cs="Arial" w:eastAsia="Arial" w:hAnsi="Arial"/>
                <w:sz w:val="18"/>
                <w:szCs w:val="18"/>
                <w:color w:val="auto"/>
              </w:rPr>
              <w:t>Supplemental Indenture, dated as of October 15, 2004,</w:t>
            </w:r>
          </w:p>
        </w:tc>
        <w:tc>
          <w:tcPr>
            <w:tcW w:w="3740" w:type="dxa"/>
            <w:vAlign w:val="bottom"/>
          </w:tcPr>
          <w:p>
            <w:pPr>
              <w:ind w:left="18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between Smith &amp; Hawken, Ltd., as a guaranteeing subsidiary,</w:t>
            </w: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Registrant’s Current Report on Form 8-K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and U.S. Bank National Association, as Trustee</w:t>
            </w: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filed March 24, 2005 (File No. 1-13292)</w:t>
            </w: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[Exhibit 4.2]</w:t>
            </w:r>
          </w:p>
        </w:tc>
      </w:tr>
    </w:tbl>
    <w:p>
      <w:pPr>
        <w:spacing w:after="0" w:line="200" w:lineRule="exact"/>
        <w:rPr>
          <w:sz w:val="20"/>
          <w:szCs w:val="20"/>
          <w:color w:val="auto"/>
        </w:rPr>
      </w:pPr>
    </w:p>
    <w:p>
      <w:pPr>
        <w:sectPr>
          <w:pgSz w:w="11900" w:h="16838" w:orient="portrait"/>
          <w:cols w:equalWidth="0" w:num="1">
            <w:col w:w="10620"/>
          </w:cols>
          <w:pgMar w:left="240" w:top="405" w:right="1039" w:bottom="1440" w:gutter="0" w:footer="0" w:header="0"/>
        </w:sectPr>
      </w:pPr>
    </w:p>
    <w:p>
      <w:pPr>
        <w:spacing w:after="0" w:line="164" w:lineRule="exact"/>
        <w:rPr>
          <w:sz w:val="20"/>
          <w:szCs w:val="20"/>
          <w:color w:val="auto"/>
        </w:rPr>
      </w:pPr>
    </w:p>
    <w:p>
      <w:pPr>
        <w:ind w:left="1800" w:hanging="1106"/>
        <w:spacing w:after="0" w:line="238" w:lineRule="auto"/>
        <w:tabs>
          <w:tab w:leader="none" w:pos="1780" w:val="left"/>
        </w:tabs>
        <w:rPr>
          <w:sz w:val="20"/>
          <w:szCs w:val="20"/>
          <w:color w:val="auto"/>
        </w:rPr>
      </w:pPr>
      <w:r>
        <w:rPr>
          <w:rFonts w:ascii="Arial" w:cs="Arial" w:eastAsia="Arial" w:hAnsi="Arial"/>
          <w:sz w:val="18"/>
          <w:szCs w:val="18"/>
          <w:color w:val="auto"/>
        </w:rPr>
        <w:t>4(c)(2)</w:t>
      </w:r>
      <w:r>
        <w:rPr>
          <w:sz w:val="20"/>
          <w:szCs w:val="20"/>
          <w:color w:val="auto"/>
        </w:rPr>
        <w:tab/>
      </w:r>
      <w:r>
        <w:rPr>
          <w:rFonts w:ascii="Arial" w:cs="Arial" w:eastAsia="Arial" w:hAnsi="Arial"/>
          <w:sz w:val="18"/>
          <w:szCs w:val="18"/>
          <w:color w:val="auto"/>
        </w:rPr>
        <w:t>Second Supplemental Indenture, dated as of March 18, 2005, among The Scotts Company; The Scotts Miracle-Gro Company; The Scotts Company LLC; the other subsidiaries identified as Guarantors therein; and U.S. Bank National Association, as Trustee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1-13292) [Exhibit 4.3]</w:t>
      </w:r>
    </w:p>
    <w:p>
      <w:pPr>
        <w:spacing w:after="0" w:line="401" w:lineRule="exact"/>
        <w:rPr>
          <w:sz w:val="20"/>
          <w:szCs w:val="20"/>
          <w:color w:val="auto"/>
        </w:rPr>
      </w:pPr>
    </w:p>
    <w:p>
      <w:pPr>
        <w:sectPr>
          <w:pgSz w:w="11900" w:h="16838" w:orient="portrait"/>
          <w:cols w:equalWidth="0" w:num="2">
            <w:col w:w="6720" w:space="340"/>
            <w:col w:w="3560"/>
          </w:cols>
          <w:pgMar w:left="240" w:top="405" w:right="1039" w:bottom="1440" w:gutter="0" w:footer="0" w:header="0"/>
          <w:type w:val="continuous"/>
        </w:sectPr>
      </w:pPr>
    </w:p>
    <w:p>
      <w:pPr>
        <w:spacing w:after="0" w:line="165" w:lineRule="exact"/>
        <w:rPr>
          <w:sz w:val="20"/>
          <w:szCs w:val="20"/>
          <w:color w:val="auto"/>
        </w:rPr>
      </w:pPr>
    </w:p>
    <w:p>
      <w:pPr>
        <w:ind w:left="1800" w:right="3500" w:hanging="1106"/>
        <w:spacing w:after="0" w:line="239" w:lineRule="auto"/>
        <w:tabs>
          <w:tab w:leader="none" w:pos="1780" w:val="left"/>
        </w:tabs>
        <w:rPr>
          <w:sz w:val="20"/>
          <w:szCs w:val="20"/>
          <w:color w:val="auto"/>
        </w:rPr>
      </w:pPr>
      <w:r>
        <w:rPr>
          <w:rFonts w:ascii="Arial" w:cs="Arial" w:eastAsia="Arial" w:hAnsi="Arial"/>
          <w:sz w:val="18"/>
          <w:szCs w:val="18"/>
          <w:color w:val="auto"/>
        </w:rPr>
        <w:t>4(c)(3)</w:t>
      </w:r>
      <w:r>
        <w:rPr>
          <w:sz w:val="20"/>
          <w:szCs w:val="20"/>
          <w:color w:val="auto"/>
        </w:rPr>
        <w:tab/>
      </w:r>
      <w:r>
        <w:rPr>
          <w:rFonts w:ascii="Arial" w:cs="Arial" w:eastAsia="Arial" w:hAnsi="Arial"/>
          <w:sz w:val="18"/>
          <w:szCs w:val="18"/>
          <w:color w:val="auto"/>
        </w:rPr>
        <w:t>Third Supplemental Indenture, dated as of October 17, 2005, * among Rod McLellan Company and SMG Growing Media, Inc., each as a guaranteeing subsidiary, and U.S. Bank National Association, as Trustee</w:t>
      </w:r>
    </w:p>
    <w:p>
      <w:pPr>
        <w:sectPr>
          <w:pgSz w:w="11900" w:h="16838" w:orient="portrait"/>
          <w:cols w:equalWidth="0" w:num="1">
            <w:col w:w="10620"/>
          </w:cols>
          <w:pgMar w:left="240" w:top="405" w:right="1039" w:bottom="1440" w:gutter="0" w:footer="0" w:header="0"/>
          <w:type w:val="continuous"/>
        </w:sectPr>
      </w:pPr>
    </w:p>
    <w:p>
      <w:pPr>
        <w:spacing w:after="0" w:line="3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4(c)(4)</w:t>
            </w:r>
          </w:p>
        </w:tc>
        <w:tc>
          <w:tcPr>
            <w:tcW w:w="5340" w:type="dxa"/>
            <w:vAlign w:val="bottom"/>
          </w:tcPr>
          <w:p>
            <w:pPr>
              <w:ind w:left="280"/>
              <w:spacing w:after="0"/>
              <w:rPr>
                <w:sz w:val="20"/>
                <w:szCs w:val="20"/>
                <w:color w:val="auto"/>
              </w:rPr>
            </w:pPr>
            <w:r>
              <w:rPr>
                <w:rFonts w:ascii="Arial" w:cs="Arial" w:eastAsia="Arial" w:hAnsi="Arial"/>
                <w:sz w:val="18"/>
                <w:szCs w:val="18"/>
                <w:color w:val="auto"/>
                <w:w w:val="99"/>
              </w:rPr>
              <w:t>Fourth Supplemental Indenture, dated as of December 5, 2005,</w:t>
            </w:r>
          </w:p>
        </w:tc>
      </w:tr>
      <w:tr>
        <w:trPr>
          <w:trHeight w:val="203"/>
        </w:trPr>
        <w:tc>
          <w:tcPr>
            <w:tcW w:w="820" w:type="dxa"/>
            <w:vAlign w:val="bottom"/>
          </w:tcPr>
          <w:p>
            <w:pPr>
              <w:spacing w:after="0"/>
              <w:rPr>
                <w:sz w:val="17"/>
                <w:szCs w:val="17"/>
                <w:color w:val="auto"/>
              </w:rPr>
            </w:pPr>
          </w:p>
        </w:tc>
        <w:tc>
          <w:tcPr>
            <w:tcW w:w="5340" w:type="dxa"/>
            <w:vAlign w:val="bottom"/>
          </w:tcPr>
          <w:p>
            <w:pPr>
              <w:ind w:left="280"/>
              <w:spacing w:after="0" w:line="202" w:lineRule="exact"/>
              <w:rPr>
                <w:sz w:val="20"/>
                <w:szCs w:val="20"/>
                <w:color w:val="auto"/>
              </w:rPr>
            </w:pPr>
            <w:r>
              <w:rPr>
                <w:rFonts w:ascii="Arial" w:cs="Arial" w:eastAsia="Arial" w:hAnsi="Arial"/>
                <w:sz w:val="18"/>
                <w:szCs w:val="18"/>
                <w:color w:val="auto"/>
              </w:rPr>
              <w:t>between Gutwein &amp; Co., Inc., as a guaranteeing subsidiary,</w:t>
            </w:r>
          </w:p>
        </w:tc>
      </w:tr>
      <w:tr>
        <w:trPr>
          <w:trHeight w:val="217"/>
        </w:trPr>
        <w:tc>
          <w:tcPr>
            <w:tcW w:w="820" w:type="dxa"/>
            <w:vAlign w:val="bottom"/>
          </w:tcPr>
          <w:p>
            <w:pPr>
              <w:spacing w:after="0"/>
              <w:rPr>
                <w:sz w:val="18"/>
                <w:szCs w:val="18"/>
                <w:color w:val="auto"/>
              </w:rPr>
            </w:pPr>
          </w:p>
        </w:tc>
        <w:tc>
          <w:tcPr>
            <w:tcW w:w="5340" w:type="dxa"/>
            <w:vAlign w:val="bottom"/>
          </w:tcPr>
          <w:p>
            <w:pPr>
              <w:ind w:left="280"/>
              <w:spacing w:after="0"/>
              <w:rPr>
                <w:sz w:val="20"/>
                <w:szCs w:val="20"/>
                <w:color w:val="auto"/>
              </w:rPr>
            </w:pPr>
            <w:r>
              <w:rPr>
                <w:rFonts w:ascii="Arial" w:cs="Arial" w:eastAsia="Arial" w:hAnsi="Arial"/>
                <w:sz w:val="18"/>
                <w:szCs w:val="18"/>
                <w:color w:val="auto"/>
              </w:rPr>
              <w:t>and U.S. Bank National Association, as Trustee</w:t>
            </w:r>
          </w:p>
        </w:tc>
      </w:tr>
      <w:tr>
        <w:trPr>
          <w:trHeight w:val="566"/>
        </w:trPr>
        <w:tc>
          <w:tcPr>
            <w:tcW w:w="820" w:type="dxa"/>
            <w:vAlign w:val="bottom"/>
          </w:tcPr>
          <w:p>
            <w:pPr>
              <w:spacing w:after="0"/>
              <w:rPr>
                <w:sz w:val="20"/>
                <w:szCs w:val="20"/>
                <w:color w:val="auto"/>
              </w:rPr>
            </w:pPr>
            <w:r>
              <w:rPr>
                <w:rFonts w:ascii="Arial" w:cs="Arial" w:eastAsia="Arial" w:hAnsi="Arial"/>
                <w:sz w:val="18"/>
                <w:szCs w:val="18"/>
                <w:color w:val="auto"/>
              </w:rPr>
              <w:t>4(d)</w:t>
            </w:r>
          </w:p>
        </w:tc>
        <w:tc>
          <w:tcPr>
            <w:tcW w:w="5340" w:type="dxa"/>
            <w:vAlign w:val="bottom"/>
          </w:tcPr>
          <w:p>
            <w:pPr>
              <w:ind w:left="280"/>
              <w:spacing w:after="0"/>
              <w:rPr>
                <w:sz w:val="20"/>
                <w:szCs w:val="20"/>
                <w:color w:val="auto"/>
              </w:rPr>
            </w:pPr>
            <w:r>
              <w:rPr>
                <w:rFonts w:ascii="Arial" w:cs="Arial" w:eastAsia="Arial" w:hAnsi="Arial"/>
                <w:sz w:val="18"/>
                <w:szCs w:val="18"/>
                <w:color w:val="auto"/>
              </w:rPr>
              <w:t>Revolving Credit Agreement, dated as of July 21, 2005, among</w:t>
            </w:r>
          </w:p>
        </w:tc>
      </w:tr>
      <w:tr>
        <w:trPr>
          <w:trHeight w:val="203"/>
        </w:trPr>
        <w:tc>
          <w:tcPr>
            <w:tcW w:w="820" w:type="dxa"/>
            <w:vAlign w:val="bottom"/>
          </w:tcPr>
          <w:p>
            <w:pPr>
              <w:spacing w:after="0"/>
              <w:rPr>
                <w:sz w:val="17"/>
                <w:szCs w:val="17"/>
                <w:color w:val="auto"/>
              </w:rPr>
            </w:pPr>
          </w:p>
        </w:tc>
        <w:tc>
          <w:tcPr>
            <w:tcW w:w="5340" w:type="dxa"/>
            <w:vAlign w:val="bottom"/>
          </w:tcPr>
          <w:p>
            <w:pPr>
              <w:ind w:left="280"/>
              <w:spacing w:after="0" w:line="202" w:lineRule="exact"/>
              <w:rPr>
                <w:sz w:val="20"/>
                <w:szCs w:val="20"/>
                <w:color w:val="auto"/>
              </w:rPr>
            </w:pPr>
            <w:r>
              <w:rPr>
                <w:rFonts w:ascii="Arial" w:cs="Arial" w:eastAsia="Arial" w:hAnsi="Arial"/>
                <w:sz w:val="18"/>
                <w:szCs w:val="18"/>
                <w:color w:val="auto"/>
              </w:rPr>
              <w:t>The Scotts Miracle-Gro Company, as Borrower; certain</w:t>
            </w:r>
          </w:p>
        </w:tc>
      </w:tr>
      <w:tr>
        <w:trPr>
          <w:trHeight w:val="203"/>
        </w:trPr>
        <w:tc>
          <w:tcPr>
            <w:tcW w:w="820" w:type="dxa"/>
            <w:vAlign w:val="bottom"/>
          </w:tcPr>
          <w:p>
            <w:pPr>
              <w:spacing w:after="0"/>
              <w:rPr>
                <w:sz w:val="17"/>
                <w:szCs w:val="17"/>
                <w:color w:val="auto"/>
              </w:rPr>
            </w:pPr>
          </w:p>
        </w:tc>
        <w:tc>
          <w:tcPr>
            <w:tcW w:w="5340" w:type="dxa"/>
            <w:vAlign w:val="bottom"/>
          </w:tcPr>
          <w:p>
            <w:pPr>
              <w:ind w:left="280"/>
              <w:spacing w:after="0" w:line="202" w:lineRule="exact"/>
              <w:rPr>
                <w:sz w:val="20"/>
                <w:szCs w:val="20"/>
                <w:color w:val="auto"/>
              </w:rPr>
            </w:pPr>
            <w:r>
              <w:rPr>
                <w:rFonts w:ascii="Arial" w:cs="Arial" w:eastAsia="Arial" w:hAnsi="Arial"/>
                <w:sz w:val="18"/>
                <w:szCs w:val="18"/>
                <w:color w:val="auto"/>
              </w:rPr>
              <w:t>subsidiaries of The Scotts Miracle-Gro Company who are also</w:t>
            </w:r>
          </w:p>
        </w:tc>
      </w:tr>
    </w:tbl>
    <w:p>
      <w:pPr>
        <w:ind w:left="1800" w:right="40"/>
        <w:spacing w:after="0" w:line="236" w:lineRule="auto"/>
        <w:rPr>
          <w:sz w:val="20"/>
          <w:szCs w:val="20"/>
          <w:color w:val="auto"/>
        </w:rPr>
      </w:pPr>
      <w:r>
        <w:rPr>
          <w:rFonts w:ascii="Arial" w:cs="Arial" w:eastAsia="Arial" w:hAnsi="Arial"/>
          <w:sz w:val="18"/>
          <w:szCs w:val="18"/>
          <w:color w:val="auto"/>
        </w:rPr>
        <w:t>borrowers from time to time under the Revolving Credit Agreement, as Subsidiary Borrowers; the banks and other financial institutions and entities from time to time parties to the Revolving Credit Agreement, as Lenders; JPMorgan Chase Bank, N.A., as Administrative Agent; Bank of America, N.A. and Citicorp North America, Inc., as Syndication Agents; and Bank of Tokyo-Mitsubishi Trust Company, BNP Paribas, CoBank, ACB, Harris, N.A., Rabobank International and SunTrust Bank, as Documentation Agents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2, 2005 (File No. 1-13292) [Exhibit 4.1]</w:t>
      </w:r>
    </w:p>
    <w:p>
      <w:pPr>
        <w:spacing w:after="0" w:line="1815" w:lineRule="exact"/>
        <w:rPr>
          <w:sz w:val="20"/>
          <w:szCs w:val="20"/>
          <w:color w:val="auto"/>
        </w:rPr>
      </w:pPr>
    </w:p>
    <w:p>
      <w:pPr>
        <w:sectPr>
          <w:pgSz w:w="11900" w:h="16838" w:orient="portrait"/>
          <w:cols w:equalWidth="0" w:num="2">
            <w:col w:w="6860" w:space="200"/>
            <w:col w:w="3560"/>
          </w:cols>
          <w:pgMar w:left="240" w:top="405" w:right="1039" w:bottom="1440" w:gutter="0" w:footer="0" w:header="0"/>
          <w:type w:val="continuous"/>
        </w:sectPr>
      </w:pPr>
    </w:p>
    <w:p>
      <w:pPr>
        <w:spacing w:after="0" w:line="165"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4(e)</w:t>
            </w:r>
          </w:p>
        </w:tc>
        <w:tc>
          <w:tcPr>
            <w:tcW w:w="5000" w:type="dxa"/>
            <w:vAlign w:val="bottom"/>
          </w:tcPr>
          <w:p>
            <w:pPr>
              <w:ind w:left="400"/>
              <w:spacing w:after="0"/>
              <w:rPr>
                <w:sz w:val="20"/>
                <w:szCs w:val="20"/>
                <w:color w:val="auto"/>
              </w:rPr>
            </w:pPr>
            <w:r>
              <w:rPr>
                <w:rFonts w:ascii="Arial" w:cs="Arial" w:eastAsia="Arial" w:hAnsi="Arial"/>
                <w:sz w:val="18"/>
                <w:szCs w:val="18"/>
                <w:color w:val="auto"/>
                <w:w w:val="99"/>
              </w:rPr>
              <w:t>Guarantee and Collateral Agreement, dated as of July 21,</w:t>
            </w:r>
          </w:p>
        </w:tc>
      </w:tr>
      <w:tr>
        <w:trPr>
          <w:trHeight w:val="203"/>
        </w:trPr>
        <w:tc>
          <w:tcPr>
            <w:tcW w:w="700" w:type="dxa"/>
            <w:vAlign w:val="bottom"/>
          </w:tcPr>
          <w:p>
            <w:pPr>
              <w:spacing w:after="0"/>
              <w:rPr>
                <w:sz w:val="17"/>
                <w:szCs w:val="17"/>
                <w:color w:val="auto"/>
              </w:rPr>
            </w:pPr>
          </w:p>
        </w:tc>
        <w:tc>
          <w:tcPr>
            <w:tcW w:w="5000" w:type="dxa"/>
            <w:vAlign w:val="bottom"/>
          </w:tcPr>
          <w:p>
            <w:pPr>
              <w:ind w:left="400"/>
              <w:spacing w:after="0" w:line="202" w:lineRule="exact"/>
              <w:rPr>
                <w:sz w:val="20"/>
                <w:szCs w:val="20"/>
                <w:color w:val="auto"/>
              </w:rPr>
            </w:pPr>
            <w:r>
              <w:rPr>
                <w:rFonts w:ascii="Arial" w:cs="Arial" w:eastAsia="Arial" w:hAnsi="Arial"/>
                <w:sz w:val="18"/>
                <w:szCs w:val="18"/>
                <w:color w:val="auto"/>
              </w:rPr>
              <w:t>2005, made by The Scotts Miracle-Gro Company, each</w:t>
            </w:r>
          </w:p>
        </w:tc>
      </w:tr>
      <w:tr>
        <w:trPr>
          <w:trHeight w:val="203"/>
        </w:trPr>
        <w:tc>
          <w:tcPr>
            <w:tcW w:w="700" w:type="dxa"/>
            <w:vAlign w:val="bottom"/>
          </w:tcPr>
          <w:p>
            <w:pPr>
              <w:spacing w:after="0"/>
              <w:rPr>
                <w:sz w:val="17"/>
                <w:szCs w:val="17"/>
                <w:color w:val="auto"/>
              </w:rPr>
            </w:pPr>
          </w:p>
        </w:tc>
        <w:tc>
          <w:tcPr>
            <w:tcW w:w="5000" w:type="dxa"/>
            <w:vAlign w:val="bottom"/>
          </w:tcPr>
          <w:p>
            <w:pPr>
              <w:ind w:left="400"/>
              <w:spacing w:after="0" w:line="202" w:lineRule="exact"/>
              <w:rPr>
                <w:sz w:val="20"/>
                <w:szCs w:val="20"/>
                <w:color w:val="auto"/>
              </w:rPr>
            </w:pPr>
            <w:r>
              <w:rPr>
                <w:rFonts w:ascii="Arial" w:cs="Arial" w:eastAsia="Arial" w:hAnsi="Arial"/>
                <w:sz w:val="18"/>
                <w:szCs w:val="18"/>
                <w:color w:val="auto"/>
              </w:rPr>
              <w:t>domestic Subsidiary Borrower under the Revolving Credit</w:t>
            </w:r>
          </w:p>
        </w:tc>
      </w:tr>
    </w:tbl>
    <w:p>
      <w:pPr>
        <w:ind w:left="1800"/>
        <w:spacing w:after="0"/>
        <w:rPr>
          <w:sz w:val="20"/>
          <w:szCs w:val="20"/>
          <w:color w:val="auto"/>
        </w:rPr>
      </w:pPr>
      <w:r>
        <w:rPr>
          <w:rFonts w:ascii="Arial" w:cs="Arial" w:eastAsia="Arial" w:hAnsi="Arial"/>
          <w:sz w:val="18"/>
          <w:szCs w:val="18"/>
          <w:color w:val="auto"/>
        </w:rPr>
        <w:t>Agreement dated as of July 21, 2005, and certain of their domestic subsidiaries in favor of JPMorgan Chase Bank, N.A., as Administrative Agent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2, 2005 (File No. 1-13292) [Exhibit 4.2]</w:t>
      </w:r>
    </w:p>
    <w:p>
      <w:pPr>
        <w:spacing w:after="0" w:line="604" w:lineRule="exact"/>
        <w:rPr>
          <w:sz w:val="20"/>
          <w:szCs w:val="20"/>
          <w:color w:val="auto"/>
        </w:rPr>
      </w:pPr>
    </w:p>
    <w:p>
      <w:pPr>
        <w:sectPr>
          <w:pgSz w:w="11900" w:h="16838" w:orient="portrait"/>
          <w:cols w:equalWidth="0" w:num="2">
            <w:col w:w="6760" w:space="300"/>
            <w:col w:w="3560"/>
          </w:cols>
          <w:pgMar w:left="240" w:top="405" w:right="1039" w:bottom="1440" w:gutter="0" w:footer="0" w:header="0"/>
          <w:type w:val="continuous"/>
        </w:sectPr>
      </w:pPr>
    </w:p>
    <w:p>
      <w:pPr>
        <w:spacing w:after="0" w:line="16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4(f)</w:t>
            </w:r>
          </w:p>
        </w:tc>
        <w:tc>
          <w:tcPr>
            <w:tcW w:w="5480" w:type="dxa"/>
            <w:vAlign w:val="bottom"/>
          </w:tcPr>
          <w:p>
            <w:pPr>
              <w:ind w:left="420"/>
              <w:spacing w:after="0"/>
              <w:rPr>
                <w:sz w:val="20"/>
                <w:szCs w:val="20"/>
                <w:color w:val="auto"/>
              </w:rPr>
            </w:pPr>
            <w:r>
              <w:rPr>
                <w:rFonts w:ascii="Arial" w:cs="Arial" w:eastAsia="Arial" w:hAnsi="Arial"/>
                <w:sz w:val="18"/>
                <w:szCs w:val="18"/>
                <w:color w:val="auto"/>
              </w:rPr>
              <w:t>Joinder Agreement, dated as of February 23, 2006, made by</w:t>
            </w:r>
          </w:p>
        </w:tc>
      </w:tr>
      <w:tr>
        <w:trPr>
          <w:trHeight w:val="203"/>
        </w:trPr>
        <w:tc>
          <w:tcPr>
            <w:tcW w:w="680" w:type="dxa"/>
            <w:vAlign w:val="bottom"/>
          </w:tcPr>
          <w:p>
            <w:pPr>
              <w:spacing w:after="0"/>
              <w:rPr>
                <w:sz w:val="17"/>
                <w:szCs w:val="17"/>
                <w:color w:val="auto"/>
              </w:rPr>
            </w:pPr>
          </w:p>
        </w:tc>
        <w:tc>
          <w:tcPr>
            <w:tcW w:w="5480" w:type="dxa"/>
            <w:vAlign w:val="bottom"/>
          </w:tcPr>
          <w:p>
            <w:pPr>
              <w:ind w:left="420"/>
              <w:spacing w:after="0" w:line="202" w:lineRule="exact"/>
              <w:rPr>
                <w:sz w:val="20"/>
                <w:szCs w:val="20"/>
                <w:color w:val="auto"/>
              </w:rPr>
            </w:pPr>
            <w:r>
              <w:rPr>
                <w:rFonts w:ascii="Arial" w:cs="Arial" w:eastAsia="Arial" w:hAnsi="Arial"/>
                <w:sz w:val="18"/>
                <w:szCs w:val="18"/>
                <w:color w:val="auto"/>
                <w:w w:val="99"/>
              </w:rPr>
              <w:t>SMG Growing Media, Inc., as a Subsidiary Borrower, in favor of</w:t>
            </w:r>
          </w:p>
        </w:tc>
      </w:tr>
      <w:tr>
        <w:trPr>
          <w:trHeight w:val="203"/>
        </w:trPr>
        <w:tc>
          <w:tcPr>
            <w:tcW w:w="680" w:type="dxa"/>
            <w:vAlign w:val="bottom"/>
          </w:tcPr>
          <w:p>
            <w:pPr>
              <w:spacing w:after="0"/>
              <w:rPr>
                <w:sz w:val="17"/>
                <w:szCs w:val="17"/>
                <w:color w:val="auto"/>
              </w:rPr>
            </w:pPr>
          </w:p>
        </w:tc>
        <w:tc>
          <w:tcPr>
            <w:tcW w:w="5480" w:type="dxa"/>
            <w:vAlign w:val="bottom"/>
          </w:tcPr>
          <w:p>
            <w:pPr>
              <w:ind w:left="420"/>
              <w:spacing w:after="0" w:line="202" w:lineRule="exact"/>
              <w:rPr>
                <w:sz w:val="20"/>
                <w:szCs w:val="20"/>
                <w:color w:val="auto"/>
              </w:rPr>
            </w:pPr>
            <w:r>
              <w:rPr>
                <w:rFonts w:ascii="Arial" w:cs="Arial" w:eastAsia="Arial" w:hAnsi="Arial"/>
                <w:sz w:val="18"/>
                <w:szCs w:val="18"/>
                <w:color w:val="auto"/>
              </w:rPr>
              <w:t>JPMorgan Chase Bank, N.A., as administrative agent for the</w:t>
            </w:r>
          </w:p>
        </w:tc>
      </w:tr>
    </w:tbl>
    <w:p>
      <w:pPr>
        <w:ind w:left="1800" w:right="20"/>
        <w:spacing w:after="0" w:line="236" w:lineRule="auto"/>
        <w:rPr>
          <w:sz w:val="20"/>
          <w:szCs w:val="20"/>
          <w:color w:val="auto"/>
        </w:rPr>
      </w:pPr>
      <w:r>
        <w:rPr>
          <w:rFonts w:ascii="Arial" w:cs="Arial" w:eastAsia="Arial" w:hAnsi="Arial"/>
          <w:sz w:val="18"/>
          <w:szCs w:val="18"/>
          <w:color w:val="auto"/>
        </w:rPr>
        <w:t>Lenders from time to time parties to the Revolving Credit Agreement, dated as of July 21, 2005, by and among The Scotts Miracle-Gro Company; the Subsidiary Borrowers from time to time parties thereto; the Lenders from time to time parties thereto; Bank of America, N.A. and Citicorp North America, Inc., as Syndication Agents; and Bank of Tokyo-Mitsubishi Trust Company, BNP Paribas, CoBank, ACB, Harris, N.A., Rabobank International, and SunTrust Bank, as Documentation Agents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2006 (File No. 1-13292) [Exhibit 4(a)]</w:t>
      </w:r>
    </w:p>
    <w:p>
      <w:pPr>
        <w:spacing w:after="0" w:line="1815" w:lineRule="exact"/>
        <w:rPr>
          <w:sz w:val="20"/>
          <w:szCs w:val="20"/>
          <w:color w:val="auto"/>
        </w:rPr>
      </w:pPr>
    </w:p>
    <w:p>
      <w:pPr>
        <w:sectPr>
          <w:pgSz w:w="11900" w:h="16838" w:orient="portrait"/>
          <w:cols w:equalWidth="0" w:num="2">
            <w:col w:w="6860" w:space="200"/>
            <w:col w:w="3560"/>
          </w:cols>
          <w:pgMar w:left="240" w:top="405" w:right="1039" w:bottom="1440" w:gutter="0" w:footer="0" w:header="0"/>
          <w:type w:val="continuous"/>
        </w:sectPr>
      </w:pPr>
    </w:p>
    <w:p>
      <w:pPr>
        <w:spacing w:after="0" w:line="8" w:lineRule="exact"/>
        <w:rPr>
          <w:sz w:val="20"/>
          <w:szCs w:val="20"/>
          <w:color w:val="auto"/>
        </w:rPr>
      </w:pPr>
    </w:p>
    <w:p>
      <w:pPr>
        <w:ind w:left="5580"/>
        <w:spacing w:after="0"/>
        <w:rPr>
          <w:sz w:val="20"/>
          <w:szCs w:val="20"/>
          <w:color w:val="auto"/>
        </w:rPr>
      </w:pPr>
      <w:r>
        <w:rPr>
          <w:rFonts w:ascii="Arial" w:cs="Arial" w:eastAsia="Arial" w:hAnsi="Arial"/>
          <w:sz w:val="9"/>
          <w:szCs w:val="9"/>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-64770</wp:posOffset>
            </wp:positionV>
            <wp:extent cx="1885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155575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3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34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68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Location</w:t>
            </w: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4(g)</w:t>
            </w:r>
          </w:p>
        </w:tc>
        <w:tc>
          <w:tcPr>
            <w:tcW w:w="5340" w:type="dxa"/>
            <w:vAlign w:val="bottom"/>
          </w:tcPr>
          <w:p>
            <w:pPr>
              <w:ind w:left="200"/>
              <w:spacing w:after="0"/>
              <w:rPr>
                <w:sz w:val="20"/>
                <w:szCs w:val="20"/>
                <w:color w:val="auto"/>
              </w:rPr>
            </w:pPr>
            <w:r>
              <w:rPr>
                <w:rFonts w:ascii="Arial" w:cs="Arial" w:eastAsia="Arial" w:hAnsi="Arial"/>
                <w:sz w:val="18"/>
                <w:szCs w:val="18"/>
                <w:color w:val="auto"/>
              </w:rPr>
              <w:t>Joinder Agreement, dated as of February 23, 2006, made by</w:t>
            </w:r>
          </w:p>
        </w:tc>
        <w:tc>
          <w:tcPr>
            <w:tcW w:w="3680" w:type="dxa"/>
            <w:vAlign w:val="bottom"/>
          </w:tcPr>
          <w:p>
            <w:pPr>
              <w:ind w:left="12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Gutwein &amp; Co., Inc., as a Subsidiary Borrower, in favor of</w:t>
            </w:r>
          </w:p>
        </w:tc>
        <w:tc>
          <w:tcPr>
            <w:tcW w:w="3680" w:type="dxa"/>
            <w:vAlign w:val="bottom"/>
          </w:tcPr>
          <w:p>
            <w:pPr>
              <w:ind w:left="12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JPMorgan Chase Bank, N.A., as administrative agent for the</w:t>
            </w:r>
          </w:p>
        </w:tc>
        <w:tc>
          <w:tcPr>
            <w:tcW w:w="3680" w:type="dxa"/>
            <w:vAlign w:val="bottom"/>
          </w:tcPr>
          <w:p>
            <w:pPr>
              <w:ind w:left="120"/>
              <w:spacing w:after="0" w:line="202" w:lineRule="exact"/>
              <w:rPr>
                <w:sz w:val="20"/>
                <w:szCs w:val="20"/>
                <w:color w:val="auto"/>
              </w:rPr>
            </w:pPr>
            <w:r>
              <w:rPr>
                <w:rFonts w:ascii="Arial" w:cs="Arial" w:eastAsia="Arial" w:hAnsi="Arial"/>
                <w:sz w:val="18"/>
                <w:szCs w:val="18"/>
                <w:color w:val="auto"/>
              </w:rPr>
              <w:t>for the quarterly period ended April 1, 2006</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Lenders from time to time parties to the Revolving Credit</w:t>
            </w:r>
          </w:p>
        </w:tc>
        <w:tc>
          <w:tcPr>
            <w:tcW w:w="3680" w:type="dxa"/>
            <w:vAlign w:val="bottom"/>
          </w:tcPr>
          <w:p>
            <w:pPr>
              <w:ind w:left="120"/>
              <w:spacing w:after="0" w:line="202" w:lineRule="exact"/>
              <w:rPr>
                <w:sz w:val="20"/>
                <w:szCs w:val="20"/>
                <w:color w:val="auto"/>
              </w:rPr>
            </w:pPr>
            <w:r>
              <w:rPr>
                <w:rFonts w:ascii="Arial" w:cs="Arial" w:eastAsia="Arial" w:hAnsi="Arial"/>
                <w:sz w:val="18"/>
                <w:szCs w:val="18"/>
                <w:color w:val="auto"/>
              </w:rPr>
              <w:t>(File No. 1-13292) [Exhibit 4(b)]</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Agreement, dated as of July 21, 2005, by and among The</w:t>
            </w:r>
          </w:p>
        </w:tc>
        <w:tc>
          <w:tcPr>
            <w:tcW w:w="3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Scotts Miracle-Gro Company; the Subsidiary Borrowers from</w:t>
            </w:r>
          </w:p>
        </w:tc>
        <w:tc>
          <w:tcPr>
            <w:tcW w:w="3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time to time parties thereto; the Lenders from time to time</w:t>
            </w:r>
          </w:p>
        </w:tc>
        <w:tc>
          <w:tcPr>
            <w:tcW w:w="3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parties thereto; Bank of America, N.A. and Citicorp North</w:t>
            </w:r>
          </w:p>
        </w:tc>
        <w:tc>
          <w:tcPr>
            <w:tcW w:w="3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America, Inc., as Syndication Agents; and Bank of Tokyo-</w:t>
            </w:r>
          </w:p>
        </w:tc>
        <w:tc>
          <w:tcPr>
            <w:tcW w:w="3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Mitsubishi Trust Company, BNP Paribas, CoBank, ACB, Harris,</w:t>
            </w:r>
          </w:p>
        </w:tc>
        <w:tc>
          <w:tcPr>
            <w:tcW w:w="3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N.A., Rabobank International, and SunTrust Bank, as</w:t>
            </w:r>
          </w:p>
        </w:tc>
        <w:tc>
          <w:tcPr>
            <w:tcW w:w="368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Documentation Agents</w:t>
            </w:r>
          </w:p>
        </w:tc>
        <w:tc>
          <w:tcPr>
            <w:tcW w:w="36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620"/>
          </w:cols>
          <w:pgMar w:left="240" w:top="405" w:right="1039" w:bottom="1440" w:gutter="0" w:footer="0" w:header="0"/>
        </w:sectPr>
      </w:pP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4(h)</w:t>
            </w:r>
          </w:p>
        </w:tc>
        <w:tc>
          <w:tcPr>
            <w:tcW w:w="5460" w:type="dxa"/>
            <w:vAlign w:val="bottom"/>
          </w:tcPr>
          <w:p>
            <w:pPr>
              <w:ind w:left="400"/>
              <w:spacing w:after="0"/>
              <w:rPr>
                <w:sz w:val="20"/>
                <w:szCs w:val="20"/>
                <w:color w:val="auto"/>
              </w:rPr>
            </w:pPr>
            <w:r>
              <w:rPr>
                <w:rFonts w:ascii="Arial" w:cs="Arial" w:eastAsia="Arial" w:hAnsi="Arial"/>
                <w:sz w:val="18"/>
                <w:szCs w:val="18"/>
                <w:color w:val="auto"/>
              </w:rPr>
              <w:t>Assumption Agreement, dated as of February 23, 2006, made</w:t>
            </w:r>
          </w:p>
        </w:tc>
      </w:tr>
      <w:tr>
        <w:trPr>
          <w:trHeight w:val="203"/>
        </w:trPr>
        <w:tc>
          <w:tcPr>
            <w:tcW w:w="700" w:type="dxa"/>
            <w:vAlign w:val="bottom"/>
          </w:tcPr>
          <w:p>
            <w:pPr>
              <w:spacing w:after="0"/>
              <w:rPr>
                <w:sz w:val="17"/>
                <w:szCs w:val="17"/>
                <w:color w:val="auto"/>
              </w:rPr>
            </w:pPr>
          </w:p>
        </w:tc>
        <w:tc>
          <w:tcPr>
            <w:tcW w:w="5460" w:type="dxa"/>
            <w:vAlign w:val="bottom"/>
          </w:tcPr>
          <w:p>
            <w:pPr>
              <w:ind w:left="400"/>
              <w:spacing w:after="0" w:line="202" w:lineRule="exact"/>
              <w:rPr>
                <w:sz w:val="20"/>
                <w:szCs w:val="20"/>
                <w:color w:val="auto"/>
              </w:rPr>
            </w:pPr>
            <w:r>
              <w:rPr>
                <w:rFonts w:ascii="Arial" w:cs="Arial" w:eastAsia="Arial" w:hAnsi="Arial"/>
                <w:sz w:val="18"/>
                <w:szCs w:val="18"/>
                <w:color w:val="auto"/>
              </w:rPr>
              <w:t>by SMG Growing Media, Inc. and Rod McLellan Company, as</w:t>
            </w:r>
          </w:p>
        </w:tc>
      </w:tr>
      <w:tr>
        <w:trPr>
          <w:trHeight w:val="203"/>
        </w:trPr>
        <w:tc>
          <w:tcPr>
            <w:tcW w:w="700" w:type="dxa"/>
            <w:vAlign w:val="bottom"/>
          </w:tcPr>
          <w:p>
            <w:pPr>
              <w:spacing w:after="0"/>
              <w:rPr>
                <w:sz w:val="17"/>
                <w:szCs w:val="17"/>
                <w:color w:val="auto"/>
              </w:rPr>
            </w:pPr>
          </w:p>
        </w:tc>
        <w:tc>
          <w:tcPr>
            <w:tcW w:w="5460" w:type="dxa"/>
            <w:vAlign w:val="bottom"/>
          </w:tcPr>
          <w:p>
            <w:pPr>
              <w:ind w:left="400"/>
              <w:spacing w:after="0" w:line="202" w:lineRule="exact"/>
              <w:rPr>
                <w:sz w:val="20"/>
                <w:szCs w:val="20"/>
                <w:color w:val="auto"/>
              </w:rPr>
            </w:pPr>
            <w:r>
              <w:rPr>
                <w:rFonts w:ascii="Arial" w:cs="Arial" w:eastAsia="Arial" w:hAnsi="Arial"/>
                <w:sz w:val="18"/>
                <w:szCs w:val="18"/>
                <w:color w:val="auto"/>
              </w:rPr>
              <w:t>Grantors, in favor of JPMorgan Chase Bank, N.A., as</w:t>
            </w:r>
          </w:p>
        </w:tc>
      </w:tr>
      <w:tr>
        <w:trPr>
          <w:trHeight w:val="203"/>
        </w:trPr>
        <w:tc>
          <w:tcPr>
            <w:tcW w:w="700" w:type="dxa"/>
            <w:vAlign w:val="bottom"/>
          </w:tcPr>
          <w:p>
            <w:pPr>
              <w:spacing w:after="0"/>
              <w:rPr>
                <w:sz w:val="17"/>
                <w:szCs w:val="17"/>
                <w:color w:val="auto"/>
              </w:rPr>
            </w:pPr>
          </w:p>
        </w:tc>
        <w:tc>
          <w:tcPr>
            <w:tcW w:w="5460" w:type="dxa"/>
            <w:vAlign w:val="bottom"/>
          </w:tcPr>
          <w:p>
            <w:pPr>
              <w:ind w:left="400"/>
              <w:spacing w:after="0" w:line="202" w:lineRule="exact"/>
              <w:rPr>
                <w:sz w:val="20"/>
                <w:szCs w:val="20"/>
                <w:color w:val="auto"/>
              </w:rPr>
            </w:pPr>
            <w:r>
              <w:rPr>
                <w:rFonts w:ascii="Arial" w:cs="Arial" w:eastAsia="Arial" w:hAnsi="Arial"/>
                <w:sz w:val="18"/>
                <w:szCs w:val="18"/>
                <w:color w:val="auto"/>
                <w:w w:val="99"/>
              </w:rPr>
              <w:t>administrative agent for the Lenders from time to time parties to</w:t>
            </w:r>
          </w:p>
        </w:tc>
      </w:tr>
      <w:tr>
        <w:trPr>
          <w:trHeight w:val="203"/>
        </w:trPr>
        <w:tc>
          <w:tcPr>
            <w:tcW w:w="700" w:type="dxa"/>
            <w:vAlign w:val="bottom"/>
          </w:tcPr>
          <w:p>
            <w:pPr>
              <w:spacing w:after="0"/>
              <w:rPr>
                <w:sz w:val="17"/>
                <w:szCs w:val="17"/>
                <w:color w:val="auto"/>
              </w:rPr>
            </w:pPr>
          </w:p>
        </w:tc>
        <w:tc>
          <w:tcPr>
            <w:tcW w:w="5460" w:type="dxa"/>
            <w:vAlign w:val="bottom"/>
          </w:tcPr>
          <w:p>
            <w:pPr>
              <w:ind w:left="400"/>
              <w:spacing w:after="0" w:line="202" w:lineRule="exact"/>
              <w:rPr>
                <w:sz w:val="20"/>
                <w:szCs w:val="20"/>
                <w:color w:val="auto"/>
              </w:rPr>
            </w:pPr>
            <w:r>
              <w:rPr>
                <w:rFonts w:ascii="Arial" w:cs="Arial" w:eastAsia="Arial" w:hAnsi="Arial"/>
                <w:sz w:val="18"/>
                <w:szCs w:val="18"/>
                <w:color w:val="auto"/>
              </w:rPr>
              <w:t>the Revolving Credit Agreement, dated as of July 21, 2005, by</w:t>
            </w:r>
          </w:p>
        </w:tc>
      </w:tr>
    </w:tbl>
    <w:p>
      <w:pPr>
        <w:ind w:left="1800"/>
        <w:spacing w:after="0" w:line="237" w:lineRule="auto"/>
        <w:rPr>
          <w:sz w:val="20"/>
          <w:szCs w:val="20"/>
          <w:color w:val="auto"/>
        </w:rPr>
      </w:pPr>
      <w:r>
        <w:rPr>
          <w:rFonts w:ascii="Arial" w:cs="Arial" w:eastAsia="Arial" w:hAnsi="Arial"/>
          <w:sz w:val="18"/>
          <w:szCs w:val="18"/>
          <w:color w:val="auto"/>
        </w:rPr>
        <w:t>and among The Scotts Miracle-Gro Company; the Subsidiary Borrowers from time to time parties thereto; the Lenders from time to time parties thereto; Bank of America, N.A. and Citicorp North America, Inc., as Syndication Agents; and Bank of Tokyo-Mitsubishi Trust Company, BNP Paribas, CoBank, ACB, Harris, N.A., Rabobank International, and SunTrust Bank, as Documentation Agents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2006 (File No. 1-13292) [Exhibit 4(c)]</w:t>
      </w:r>
    </w:p>
    <w:p>
      <w:pPr>
        <w:spacing w:after="0" w:line="1819" w:lineRule="exact"/>
        <w:rPr>
          <w:sz w:val="20"/>
          <w:szCs w:val="20"/>
          <w:color w:val="auto"/>
        </w:rPr>
      </w:pPr>
    </w:p>
    <w:p>
      <w:pPr>
        <w:sectPr>
          <w:pgSz w:w="11900" w:h="16838" w:orient="portrait"/>
          <w:cols w:equalWidth="0" w:num="2">
            <w:col w:w="6860" w:space="200"/>
            <w:col w:w="3560"/>
          </w:cols>
          <w:pgMar w:left="240" w:top="405" w:right="1039" w:bottom="1440" w:gutter="0" w:footer="0" w:header="0"/>
          <w:type w:val="continuous"/>
        </w:sectPr>
      </w:pPr>
    </w:p>
    <w:p>
      <w:pPr>
        <w:spacing w:after="0" w:line="16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4(i)</w:t>
            </w:r>
          </w:p>
        </w:tc>
        <w:tc>
          <w:tcPr>
            <w:tcW w:w="5480" w:type="dxa"/>
            <w:vAlign w:val="bottom"/>
          </w:tcPr>
          <w:p>
            <w:pPr>
              <w:ind w:left="420"/>
              <w:spacing w:after="0"/>
              <w:rPr>
                <w:sz w:val="20"/>
                <w:szCs w:val="20"/>
                <w:color w:val="auto"/>
              </w:rPr>
            </w:pPr>
            <w:r>
              <w:rPr>
                <w:rFonts w:ascii="Arial" w:cs="Arial" w:eastAsia="Arial" w:hAnsi="Arial"/>
                <w:sz w:val="18"/>
                <w:szCs w:val="18"/>
                <w:color w:val="auto"/>
              </w:rPr>
              <w:t>Assumption Agreement, dated as of February 23, 2006, made</w:t>
            </w:r>
          </w:p>
        </w:tc>
      </w:tr>
      <w:tr>
        <w:trPr>
          <w:trHeight w:val="203"/>
        </w:trPr>
        <w:tc>
          <w:tcPr>
            <w:tcW w:w="680" w:type="dxa"/>
            <w:vAlign w:val="bottom"/>
          </w:tcPr>
          <w:p>
            <w:pPr>
              <w:spacing w:after="0"/>
              <w:rPr>
                <w:sz w:val="17"/>
                <w:szCs w:val="17"/>
                <w:color w:val="auto"/>
              </w:rPr>
            </w:pPr>
          </w:p>
        </w:tc>
        <w:tc>
          <w:tcPr>
            <w:tcW w:w="5480" w:type="dxa"/>
            <w:vAlign w:val="bottom"/>
          </w:tcPr>
          <w:p>
            <w:pPr>
              <w:ind w:left="420"/>
              <w:spacing w:after="0" w:line="202" w:lineRule="exact"/>
              <w:rPr>
                <w:sz w:val="20"/>
                <w:szCs w:val="20"/>
                <w:color w:val="auto"/>
              </w:rPr>
            </w:pPr>
            <w:r>
              <w:rPr>
                <w:rFonts w:ascii="Arial" w:cs="Arial" w:eastAsia="Arial" w:hAnsi="Arial"/>
                <w:sz w:val="18"/>
                <w:szCs w:val="18"/>
                <w:color w:val="auto"/>
                <w:w w:val="99"/>
              </w:rPr>
              <w:t>by Gutwein &amp; Co., Inc., as Grantor, in favor of JPMorgan Chase</w:t>
            </w:r>
          </w:p>
        </w:tc>
      </w:tr>
    </w:tbl>
    <w:p>
      <w:pPr>
        <w:ind w:left="1800" w:right="80"/>
        <w:spacing w:after="0" w:line="252" w:lineRule="auto"/>
        <w:rPr>
          <w:sz w:val="20"/>
          <w:szCs w:val="20"/>
          <w:color w:val="auto"/>
        </w:rPr>
      </w:pPr>
      <w:r>
        <w:rPr>
          <w:rFonts w:ascii="Arial" w:cs="Arial" w:eastAsia="Arial" w:hAnsi="Arial"/>
          <w:sz w:val="17"/>
          <w:szCs w:val="17"/>
          <w:color w:val="auto"/>
        </w:rPr>
        <w:t>Bank, N.A., as administrative agent for the Lenders from time to time parties to the Revolving Credit Agreement, dated as of July 21, 2005, by and among The Scotts Miracle-Gro Company; the Subsidiary Borrowers from time to time parties thereto; the Lenders from time to time parties thereto; Bank of America, N.A. and Citicorp North America, Inc., as Syndication Agents; and Bank of Tokyo-Mitsubishi Trust Company, BNP Paribas, CoBank, ACB, Harris, N.A., Rabobank International, and SunTrust Bank, as Documentation Agents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2006 (File No. 1-13292) [Exhibit 4(d)]</w:t>
      </w:r>
    </w:p>
    <w:p>
      <w:pPr>
        <w:spacing w:after="0" w:line="1627" w:lineRule="exact"/>
        <w:rPr>
          <w:sz w:val="20"/>
          <w:szCs w:val="20"/>
          <w:color w:val="auto"/>
        </w:rPr>
      </w:pPr>
    </w:p>
    <w:p>
      <w:pPr>
        <w:sectPr>
          <w:pgSz w:w="11900" w:h="16838" w:orient="portrait"/>
          <w:cols w:equalWidth="0" w:num="2">
            <w:col w:w="6860" w:space="200"/>
            <w:col w:w="3560"/>
          </w:cols>
          <w:pgMar w:left="240" w:top="405" w:right="1039" w:bottom="1440" w:gutter="0" w:footer="0" w:header="0"/>
          <w:type w:val="continuous"/>
        </w:sectPr>
      </w:pPr>
    </w:p>
    <w:p>
      <w:pPr>
        <w:spacing w:after="0" w:line="15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4(j)</w:t>
            </w:r>
          </w:p>
        </w:tc>
        <w:tc>
          <w:tcPr>
            <w:tcW w:w="5380" w:type="dxa"/>
            <w:vAlign w:val="bottom"/>
          </w:tcPr>
          <w:p>
            <w:pPr>
              <w:ind w:left="420"/>
              <w:spacing w:after="0"/>
              <w:rPr>
                <w:sz w:val="20"/>
                <w:szCs w:val="20"/>
                <w:color w:val="auto"/>
              </w:rPr>
            </w:pPr>
            <w:r>
              <w:rPr>
                <w:rFonts w:ascii="Arial" w:cs="Arial" w:eastAsia="Arial" w:hAnsi="Arial"/>
                <w:sz w:val="18"/>
                <w:szCs w:val="18"/>
                <w:color w:val="auto"/>
                <w:w w:val="99"/>
              </w:rPr>
              <w:t>First Amendment, dated as of March 2, 2006, to the Revolving</w:t>
            </w:r>
          </w:p>
        </w:tc>
      </w:tr>
      <w:tr>
        <w:trPr>
          <w:trHeight w:val="203"/>
        </w:trPr>
        <w:tc>
          <w:tcPr>
            <w:tcW w:w="680" w:type="dxa"/>
            <w:vAlign w:val="bottom"/>
          </w:tcPr>
          <w:p>
            <w:pPr>
              <w:spacing w:after="0"/>
              <w:rPr>
                <w:sz w:val="17"/>
                <w:szCs w:val="17"/>
                <w:color w:val="auto"/>
              </w:rPr>
            </w:pPr>
          </w:p>
        </w:tc>
        <w:tc>
          <w:tcPr>
            <w:tcW w:w="5380" w:type="dxa"/>
            <w:vAlign w:val="bottom"/>
          </w:tcPr>
          <w:p>
            <w:pPr>
              <w:ind w:left="420"/>
              <w:spacing w:after="0" w:line="202" w:lineRule="exact"/>
              <w:rPr>
                <w:sz w:val="20"/>
                <w:szCs w:val="20"/>
                <w:color w:val="auto"/>
              </w:rPr>
            </w:pPr>
            <w:r>
              <w:rPr>
                <w:rFonts w:ascii="Arial" w:cs="Arial" w:eastAsia="Arial" w:hAnsi="Arial"/>
                <w:sz w:val="18"/>
                <w:szCs w:val="18"/>
                <w:color w:val="auto"/>
              </w:rPr>
              <w:t>Credit Agreement, dated as of July 21, 2005, by and among</w:t>
            </w:r>
          </w:p>
        </w:tc>
      </w:tr>
    </w:tbl>
    <w:p>
      <w:pPr>
        <w:ind w:left="1800"/>
        <w:spacing w:after="0" w:line="238" w:lineRule="auto"/>
        <w:rPr>
          <w:sz w:val="20"/>
          <w:szCs w:val="20"/>
          <w:color w:val="auto"/>
        </w:rPr>
      </w:pPr>
      <w:r>
        <w:rPr>
          <w:rFonts w:ascii="Arial" w:cs="Arial" w:eastAsia="Arial" w:hAnsi="Arial"/>
          <w:sz w:val="18"/>
          <w:szCs w:val="18"/>
          <w:color w:val="auto"/>
        </w:rPr>
        <w:t>The Scotts Miracle-Gro Company; the Subsidiary Borrowers from time to time parties thereto; the Lenders from time to time parties thereto; the Syndication Agents and Documentation Agents named therein; and JPMorgan Chase Bank, N.A., as administrative agent for the Lenders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2006 (File No. 1-13292) [Exhibit 4(e)]</w:t>
      </w:r>
    </w:p>
    <w:p>
      <w:pPr>
        <w:spacing w:after="0" w:line="806" w:lineRule="exact"/>
        <w:rPr>
          <w:sz w:val="20"/>
          <w:szCs w:val="20"/>
          <w:color w:val="auto"/>
        </w:rPr>
      </w:pPr>
    </w:p>
    <w:p>
      <w:pPr>
        <w:sectPr>
          <w:pgSz w:w="11900" w:h="16838" w:orient="portrait"/>
          <w:cols w:equalWidth="0" w:num="2">
            <w:col w:w="6780" w:space="280"/>
            <w:col w:w="3560"/>
          </w:cols>
          <w:pgMar w:left="240" w:top="405" w:right="1039" w:bottom="1440" w:gutter="0" w:footer="0" w:header="0"/>
          <w:type w:val="continuous"/>
        </w:sectPr>
      </w:pPr>
    </w:p>
    <w:p>
      <w:pPr>
        <w:spacing w:after="0" w:line="3" w:lineRule="exact"/>
        <w:rPr>
          <w:sz w:val="20"/>
          <w:szCs w:val="20"/>
          <w:color w:val="auto"/>
        </w:rPr>
      </w:pPr>
    </w:p>
    <w:p>
      <w:pPr>
        <w:ind w:left="5580"/>
        <w:spacing w:after="0"/>
        <w:rPr>
          <w:sz w:val="20"/>
          <w:szCs w:val="20"/>
          <w:color w:val="auto"/>
        </w:rPr>
      </w:pPr>
      <w:r>
        <w:rPr>
          <w:rFonts w:ascii="Arial" w:cs="Arial" w:eastAsia="Arial" w:hAnsi="Arial"/>
          <w:sz w:val="9"/>
          <w:szCs w:val="9"/>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-64770</wp:posOffset>
            </wp:positionV>
            <wp:extent cx="1885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155575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28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7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Location</w:t>
            </w: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4(k)</w:t>
            </w:r>
          </w:p>
        </w:tc>
        <w:tc>
          <w:tcPr>
            <w:tcW w:w="5280" w:type="dxa"/>
            <w:vAlign w:val="bottom"/>
          </w:tcPr>
          <w:p>
            <w:pPr>
              <w:ind w:left="200"/>
              <w:spacing w:after="0"/>
              <w:rPr>
                <w:sz w:val="20"/>
                <w:szCs w:val="20"/>
                <w:color w:val="auto"/>
              </w:rPr>
            </w:pPr>
            <w:r>
              <w:rPr>
                <w:rFonts w:ascii="Arial" w:cs="Arial" w:eastAsia="Arial" w:hAnsi="Arial"/>
                <w:sz w:val="18"/>
                <w:szCs w:val="18"/>
                <w:color w:val="auto"/>
              </w:rPr>
              <w:t>Commitment Increase Supplement, dated February 24, 2006,</w:t>
            </w:r>
          </w:p>
        </w:tc>
        <w:tc>
          <w:tcPr>
            <w:tcW w:w="3740" w:type="dxa"/>
            <w:vAlign w:val="bottom"/>
          </w:tcPr>
          <w:p>
            <w:pPr>
              <w:ind w:left="18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to the Revolving Credit Agreement, dated as of July 21, 2005,</w:t>
            </w: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by and among The Scotts Miracle-Gro Company; the</w:t>
            </w: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for the quarterly period ended April 1, 2006</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Subsidiary Borrowers from time to time parties thereto; the</w:t>
            </w: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(File No. 1-13292) [Exhibit 4(f)]</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Lenders from time to time parties thereto; Bank of America,</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N.A. and Citicorp North America, Inc., as Syndication Agents;</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Bank of Tokyo-Mitsubishi Trust Company, BNP Paribas,</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CoBank, ACB, Harris, N.A., Rabobank International, and</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SunTrust Bank, as Documentation Agents; and JPMorgan</w:t>
            </w:r>
          </w:p>
        </w:tc>
        <w:tc>
          <w:tcPr>
            <w:tcW w:w="37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Chase Bank, N.A., as Administrative Agent (executed and</w:t>
            </w:r>
          </w:p>
        </w:tc>
        <w:tc>
          <w:tcPr>
            <w:tcW w:w="374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delivered by SunTrust Bank)</w:t>
            </w:r>
          </w:p>
        </w:tc>
        <w:tc>
          <w:tcPr>
            <w:tcW w:w="37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620"/>
          </w:cols>
          <w:pgMar w:left="240" w:top="405" w:right="1039" w:bottom="1440" w:gutter="0" w:footer="0" w:header="0"/>
        </w:sectPr>
      </w:pP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4(l)</w:t>
            </w:r>
          </w:p>
        </w:tc>
        <w:tc>
          <w:tcPr>
            <w:tcW w:w="5340" w:type="dxa"/>
            <w:vAlign w:val="bottom"/>
          </w:tcPr>
          <w:p>
            <w:pPr>
              <w:ind w:left="420"/>
              <w:spacing w:after="0"/>
              <w:rPr>
                <w:sz w:val="20"/>
                <w:szCs w:val="20"/>
                <w:color w:val="auto"/>
              </w:rPr>
            </w:pPr>
            <w:r>
              <w:rPr>
                <w:rFonts w:ascii="Arial" w:cs="Arial" w:eastAsia="Arial" w:hAnsi="Arial"/>
                <w:sz w:val="18"/>
                <w:szCs w:val="18"/>
                <w:color w:val="auto"/>
              </w:rPr>
              <w:t>Commitment Increase Supplement, dated February 24, 2006,</w:t>
            </w:r>
          </w:p>
        </w:tc>
      </w:tr>
      <w:tr>
        <w:trPr>
          <w:trHeight w:val="203"/>
        </w:trPr>
        <w:tc>
          <w:tcPr>
            <w:tcW w:w="680" w:type="dxa"/>
            <w:vAlign w:val="bottom"/>
          </w:tcPr>
          <w:p>
            <w:pPr>
              <w:spacing w:after="0"/>
              <w:rPr>
                <w:sz w:val="17"/>
                <w:szCs w:val="17"/>
                <w:color w:val="auto"/>
              </w:rPr>
            </w:pPr>
          </w:p>
        </w:tc>
        <w:tc>
          <w:tcPr>
            <w:tcW w:w="5340" w:type="dxa"/>
            <w:vAlign w:val="bottom"/>
          </w:tcPr>
          <w:p>
            <w:pPr>
              <w:ind w:left="420"/>
              <w:spacing w:after="0" w:line="202" w:lineRule="exact"/>
              <w:rPr>
                <w:sz w:val="20"/>
                <w:szCs w:val="20"/>
                <w:color w:val="auto"/>
              </w:rPr>
            </w:pPr>
            <w:r>
              <w:rPr>
                <w:rFonts w:ascii="Arial" w:cs="Arial" w:eastAsia="Arial" w:hAnsi="Arial"/>
                <w:sz w:val="18"/>
                <w:szCs w:val="18"/>
                <w:color w:val="auto"/>
                <w:w w:val="99"/>
              </w:rPr>
              <w:t>to the Revolving Credit Agreement, dated as of July 21, 2005,</w:t>
            </w:r>
          </w:p>
        </w:tc>
      </w:tr>
      <w:tr>
        <w:trPr>
          <w:trHeight w:val="203"/>
        </w:trPr>
        <w:tc>
          <w:tcPr>
            <w:tcW w:w="680" w:type="dxa"/>
            <w:vAlign w:val="bottom"/>
          </w:tcPr>
          <w:p>
            <w:pPr>
              <w:spacing w:after="0"/>
              <w:rPr>
                <w:sz w:val="17"/>
                <w:szCs w:val="17"/>
                <w:color w:val="auto"/>
              </w:rPr>
            </w:pPr>
          </w:p>
        </w:tc>
        <w:tc>
          <w:tcPr>
            <w:tcW w:w="5340" w:type="dxa"/>
            <w:vAlign w:val="bottom"/>
          </w:tcPr>
          <w:p>
            <w:pPr>
              <w:ind w:left="420"/>
              <w:spacing w:after="0" w:line="202" w:lineRule="exact"/>
              <w:rPr>
                <w:sz w:val="20"/>
                <w:szCs w:val="20"/>
                <w:color w:val="auto"/>
              </w:rPr>
            </w:pPr>
            <w:r>
              <w:rPr>
                <w:rFonts w:ascii="Arial" w:cs="Arial" w:eastAsia="Arial" w:hAnsi="Arial"/>
                <w:sz w:val="18"/>
                <w:szCs w:val="18"/>
                <w:color w:val="auto"/>
              </w:rPr>
              <w:t>by and among The Scotts Miracle-Gro Company; the</w:t>
            </w:r>
          </w:p>
        </w:tc>
      </w:tr>
      <w:tr>
        <w:trPr>
          <w:trHeight w:val="203"/>
        </w:trPr>
        <w:tc>
          <w:tcPr>
            <w:tcW w:w="680" w:type="dxa"/>
            <w:vAlign w:val="bottom"/>
          </w:tcPr>
          <w:p>
            <w:pPr>
              <w:spacing w:after="0"/>
              <w:rPr>
                <w:sz w:val="17"/>
                <w:szCs w:val="17"/>
                <w:color w:val="auto"/>
              </w:rPr>
            </w:pPr>
          </w:p>
        </w:tc>
        <w:tc>
          <w:tcPr>
            <w:tcW w:w="5340" w:type="dxa"/>
            <w:vAlign w:val="bottom"/>
          </w:tcPr>
          <w:p>
            <w:pPr>
              <w:ind w:left="420"/>
              <w:spacing w:after="0" w:line="202" w:lineRule="exact"/>
              <w:rPr>
                <w:sz w:val="20"/>
                <w:szCs w:val="20"/>
                <w:color w:val="auto"/>
              </w:rPr>
            </w:pPr>
            <w:r>
              <w:rPr>
                <w:rFonts w:ascii="Arial" w:cs="Arial" w:eastAsia="Arial" w:hAnsi="Arial"/>
                <w:sz w:val="18"/>
                <w:szCs w:val="18"/>
                <w:color w:val="auto"/>
              </w:rPr>
              <w:t>Subsidiary Borrowers from time to time parties thereto; the</w:t>
            </w:r>
          </w:p>
        </w:tc>
      </w:tr>
      <w:tr>
        <w:trPr>
          <w:trHeight w:val="203"/>
        </w:trPr>
        <w:tc>
          <w:tcPr>
            <w:tcW w:w="680" w:type="dxa"/>
            <w:vAlign w:val="bottom"/>
          </w:tcPr>
          <w:p>
            <w:pPr>
              <w:spacing w:after="0"/>
              <w:rPr>
                <w:sz w:val="17"/>
                <w:szCs w:val="17"/>
                <w:color w:val="auto"/>
              </w:rPr>
            </w:pPr>
          </w:p>
        </w:tc>
        <w:tc>
          <w:tcPr>
            <w:tcW w:w="5340" w:type="dxa"/>
            <w:vAlign w:val="bottom"/>
          </w:tcPr>
          <w:p>
            <w:pPr>
              <w:ind w:left="420"/>
              <w:spacing w:after="0" w:line="202" w:lineRule="exact"/>
              <w:rPr>
                <w:sz w:val="20"/>
                <w:szCs w:val="20"/>
                <w:color w:val="auto"/>
              </w:rPr>
            </w:pPr>
            <w:r>
              <w:rPr>
                <w:rFonts w:ascii="Arial" w:cs="Arial" w:eastAsia="Arial" w:hAnsi="Arial"/>
                <w:sz w:val="18"/>
                <w:szCs w:val="18"/>
                <w:color w:val="auto"/>
              </w:rPr>
              <w:t>Lenders from time to time parties thereto; Bank of America,</w:t>
            </w:r>
          </w:p>
        </w:tc>
      </w:tr>
    </w:tbl>
    <w:p>
      <w:pPr>
        <w:ind w:left="1800" w:right="40"/>
        <w:spacing w:after="0" w:line="237" w:lineRule="auto"/>
        <w:rPr>
          <w:sz w:val="20"/>
          <w:szCs w:val="20"/>
          <w:color w:val="auto"/>
        </w:rPr>
      </w:pPr>
      <w:r>
        <w:rPr>
          <w:rFonts w:ascii="Arial" w:cs="Arial" w:eastAsia="Arial" w:hAnsi="Arial"/>
          <w:sz w:val="18"/>
          <w:szCs w:val="18"/>
          <w:color w:val="auto"/>
        </w:rPr>
        <w:t>N.A. and Citicorp North America, Inc., as Syndication Agents; Bank of Tokyo-Mitsubishi Trust Company, BNP Paribas, CoBank, ACB, Harris, N.A., Rabobank International, and SunTrust Bank, as Documentation Agents; and JPMorgan Chase Bank, N.A., as Administrative Agent (executed and delivered by Bank of America, N.A.)</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2006 (File No. 1-13292) [Exhibit 4(g)]</w:t>
      </w:r>
    </w:p>
    <w:p>
      <w:pPr>
        <w:spacing w:after="0" w:line="1614" w:lineRule="exact"/>
        <w:rPr>
          <w:sz w:val="20"/>
          <w:szCs w:val="20"/>
          <w:color w:val="auto"/>
        </w:rPr>
      </w:pPr>
    </w:p>
    <w:p>
      <w:pPr>
        <w:sectPr>
          <w:pgSz w:w="11900" w:h="16838" w:orient="portrait"/>
          <w:cols w:equalWidth="0" w:num="2">
            <w:col w:w="6720" w:space="340"/>
            <w:col w:w="3560"/>
          </w:cols>
          <w:pgMar w:left="240" w:top="405" w:right="1039" w:bottom="1440" w:gutter="0" w:footer="0" w:header="0"/>
          <w:type w:val="continuous"/>
        </w:sectPr>
      </w:pPr>
    </w:p>
    <w:p>
      <w:pPr>
        <w:spacing w:after="0" w:line="16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4(m)</w:t>
            </w:r>
          </w:p>
        </w:tc>
        <w:tc>
          <w:tcPr>
            <w:tcW w:w="5280" w:type="dxa"/>
            <w:vAlign w:val="bottom"/>
          </w:tcPr>
          <w:p>
            <w:pPr>
              <w:ind w:left="360"/>
              <w:spacing w:after="0"/>
              <w:rPr>
                <w:sz w:val="20"/>
                <w:szCs w:val="20"/>
                <w:color w:val="auto"/>
              </w:rPr>
            </w:pPr>
            <w:r>
              <w:rPr>
                <w:rFonts w:ascii="Arial" w:cs="Arial" w:eastAsia="Arial" w:hAnsi="Arial"/>
                <w:sz w:val="18"/>
                <w:szCs w:val="18"/>
                <w:color w:val="auto"/>
              </w:rPr>
              <w:t>Commitment Increase Supplement, dated February 24, 2006,</w:t>
            </w:r>
          </w:p>
        </w:tc>
      </w:tr>
      <w:tr>
        <w:trPr>
          <w:trHeight w:val="203"/>
        </w:trPr>
        <w:tc>
          <w:tcPr>
            <w:tcW w:w="740" w:type="dxa"/>
            <w:vAlign w:val="bottom"/>
          </w:tcPr>
          <w:p>
            <w:pPr>
              <w:spacing w:after="0"/>
              <w:rPr>
                <w:sz w:val="17"/>
                <w:szCs w:val="17"/>
                <w:color w:val="auto"/>
              </w:rPr>
            </w:pPr>
          </w:p>
        </w:tc>
        <w:tc>
          <w:tcPr>
            <w:tcW w:w="5280" w:type="dxa"/>
            <w:vAlign w:val="bottom"/>
          </w:tcPr>
          <w:p>
            <w:pPr>
              <w:ind w:left="360"/>
              <w:spacing w:after="0" w:line="202" w:lineRule="exact"/>
              <w:rPr>
                <w:sz w:val="20"/>
                <w:szCs w:val="20"/>
                <w:color w:val="auto"/>
              </w:rPr>
            </w:pPr>
            <w:r>
              <w:rPr>
                <w:rFonts w:ascii="Arial" w:cs="Arial" w:eastAsia="Arial" w:hAnsi="Arial"/>
                <w:sz w:val="18"/>
                <w:szCs w:val="18"/>
                <w:color w:val="auto"/>
                <w:w w:val="99"/>
              </w:rPr>
              <w:t>to the Revolving Credit Agreement, dated as of July 21, 2005,</w:t>
            </w:r>
          </w:p>
        </w:tc>
      </w:tr>
      <w:tr>
        <w:trPr>
          <w:trHeight w:val="203"/>
        </w:trPr>
        <w:tc>
          <w:tcPr>
            <w:tcW w:w="740" w:type="dxa"/>
            <w:vAlign w:val="bottom"/>
          </w:tcPr>
          <w:p>
            <w:pPr>
              <w:spacing w:after="0"/>
              <w:rPr>
                <w:sz w:val="17"/>
                <w:szCs w:val="17"/>
                <w:color w:val="auto"/>
              </w:rPr>
            </w:pPr>
          </w:p>
        </w:tc>
        <w:tc>
          <w:tcPr>
            <w:tcW w:w="5280" w:type="dxa"/>
            <w:vAlign w:val="bottom"/>
          </w:tcPr>
          <w:p>
            <w:pPr>
              <w:ind w:left="360"/>
              <w:spacing w:after="0" w:line="202" w:lineRule="exact"/>
              <w:rPr>
                <w:sz w:val="20"/>
                <w:szCs w:val="20"/>
                <w:color w:val="auto"/>
              </w:rPr>
            </w:pPr>
            <w:r>
              <w:rPr>
                <w:rFonts w:ascii="Arial" w:cs="Arial" w:eastAsia="Arial" w:hAnsi="Arial"/>
                <w:sz w:val="18"/>
                <w:szCs w:val="18"/>
                <w:color w:val="auto"/>
              </w:rPr>
              <w:t>by and among The Scotts Miracle-Gro Company; the</w:t>
            </w:r>
          </w:p>
        </w:tc>
      </w:tr>
    </w:tbl>
    <w:p>
      <w:pPr>
        <w:ind w:left="1800" w:right="40"/>
        <w:spacing w:after="0" w:line="236" w:lineRule="auto"/>
        <w:rPr>
          <w:sz w:val="20"/>
          <w:szCs w:val="20"/>
          <w:color w:val="auto"/>
        </w:rPr>
      </w:pPr>
      <w:r>
        <w:rPr>
          <w:rFonts w:ascii="Arial" w:cs="Arial" w:eastAsia="Arial" w:hAnsi="Arial"/>
          <w:sz w:val="18"/>
          <w:szCs w:val="18"/>
          <w:color w:val="auto"/>
        </w:rPr>
        <w:t>Subsidiary Borrowers from time to time parties thereto; the Lenders from time to time parties thereto; Bank of America, N.A. and Citicorp North America, Inc., as Syndication Agents; Bank of Tokyo-Mitsubishi Trust Company, BNP Paribas, CoBank, ACB, Harris, N.A., Rabobank International, and SunTrust Bank, as Documentation Agents; and JPMorgan Chase Bank, N.A., as Administrative Agent (executed and delivered by JPMorgan Chase Bank, N.A.)</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2006 (File No. 1-13292) [Exhibit 4(h)]</w:t>
      </w:r>
    </w:p>
    <w:p>
      <w:pPr>
        <w:spacing w:after="0" w:line="1611" w:lineRule="exact"/>
        <w:rPr>
          <w:sz w:val="20"/>
          <w:szCs w:val="20"/>
          <w:color w:val="auto"/>
        </w:rPr>
      </w:pPr>
    </w:p>
    <w:p>
      <w:pPr>
        <w:sectPr>
          <w:pgSz w:w="11900" w:h="16838" w:orient="portrait"/>
          <w:cols w:equalWidth="0" w:num="2">
            <w:col w:w="6720" w:space="340"/>
            <w:col w:w="3560"/>
          </w:cols>
          <w:pgMar w:left="240" w:top="405" w:right="1039" w:bottom="1440" w:gutter="0" w:footer="0" w:header="0"/>
          <w:type w:val="continuous"/>
        </w:sectPr>
      </w:pPr>
    </w:p>
    <w:p>
      <w:pPr>
        <w:spacing w:after="0" w:line="16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4(n)</w:t>
            </w:r>
          </w:p>
        </w:tc>
        <w:tc>
          <w:tcPr>
            <w:tcW w:w="5320" w:type="dxa"/>
            <w:vAlign w:val="bottom"/>
          </w:tcPr>
          <w:p>
            <w:pPr>
              <w:ind w:left="400"/>
              <w:spacing w:after="0"/>
              <w:rPr>
                <w:sz w:val="20"/>
                <w:szCs w:val="20"/>
                <w:color w:val="auto"/>
              </w:rPr>
            </w:pPr>
            <w:r>
              <w:rPr>
                <w:rFonts w:ascii="Arial" w:cs="Arial" w:eastAsia="Arial" w:hAnsi="Arial"/>
                <w:sz w:val="18"/>
                <w:szCs w:val="18"/>
                <w:color w:val="auto"/>
              </w:rPr>
              <w:t>Commitment Increase Supplement, dated February 24, 2006,</w:t>
            </w:r>
          </w:p>
        </w:tc>
      </w:tr>
      <w:tr>
        <w:trPr>
          <w:trHeight w:val="203"/>
        </w:trPr>
        <w:tc>
          <w:tcPr>
            <w:tcW w:w="700" w:type="dxa"/>
            <w:vAlign w:val="bottom"/>
          </w:tcPr>
          <w:p>
            <w:pPr>
              <w:spacing w:after="0"/>
              <w:rPr>
                <w:sz w:val="17"/>
                <w:szCs w:val="17"/>
                <w:color w:val="auto"/>
              </w:rPr>
            </w:pPr>
          </w:p>
        </w:tc>
        <w:tc>
          <w:tcPr>
            <w:tcW w:w="5320" w:type="dxa"/>
            <w:vAlign w:val="bottom"/>
          </w:tcPr>
          <w:p>
            <w:pPr>
              <w:ind w:left="400"/>
              <w:spacing w:after="0" w:line="202" w:lineRule="exact"/>
              <w:rPr>
                <w:sz w:val="20"/>
                <w:szCs w:val="20"/>
                <w:color w:val="auto"/>
              </w:rPr>
            </w:pPr>
            <w:r>
              <w:rPr>
                <w:rFonts w:ascii="Arial" w:cs="Arial" w:eastAsia="Arial" w:hAnsi="Arial"/>
                <w:sz w:val="18"/>
                <w:szCs w:val="18"/>
                <w:color w:val="auto"/>
                <w:w w:val="99"/>
              </w:rPr>
              <w:t>to the Revolving Credit Agreement, dated as of July 21, 2005,</w:t>
            </w:r>
          </w:p>
        </w:tc>
      </w:tr>
    </w:tbl>
    <w:p>
      <w:pPr>
        <w:ind w:left="1800" w:right="40"/>
        <w:spacing w:after="0" w:line="236" w:lineRule="auto"/>
        <w:rPr>
          <w:sz w:val="20"/>
          <w:szCs w:val="20"/>
          <w:color w:val="auto"/>
        </w:rPr>
      </w:pPr>
      <w:r>
        <w:rPr>
          <w:rFonts w:ascii="Arial" w:cs="Arial" w:eastAsia="Arial" w:hAnsi="Arial"/>
          <w:sz w:val="18"/>
          <w:szCs w:val="18"/>
          <w:color w:val="auto"/>
        </w:rPr>
        <w:t>by and among The Scotts Miracle-Gro Company; the Subsidiary Borrowers from time to time parties thereto; the Lenders from time to time parties thereto; Bank of America, N.A. and Citicorp North America, Inc., as Syndication Agents; Bank of Tokyo-Mitsubishi Trust Company, BNP Paribas, CoBank, ACB, Harris, N.A., Rabobank International, and SunTrust Bank, as Documentation Agents; and JPMorgan Chase Bank, N.A., as Administrative Agent (executed and delivered by Citicorp North America, Inc.)</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2006 (File No. 1-13292) [Exhibit 4(i)]</w:t>
      </w:r>
    </w:p>
    <w:p>
      <w:pPr>
        <w:spacing w:after="0" w:line="1612" w:lineRule="exact"/>
        <w:rPr>
          <w:sz w:val="20"/>
          <w:szCs w:val="20"/>
          <w:color w:val="auto"/>
        </w:rPr>
      </w:pPr>
    </w:p>
    <w:p>
      <w:pPr>
        <w:sectPr>
          <w:pgSz w:w="11900" w:h="16838" w:orient="portrait"/>
          <w:cols w:equalWidth="0" w:num="2">
            <w:col w:w="6720" w:space="340"/>
            <w:col w:w="3560"/>
          </w:cols>
          <w:pgMar w:left="240" w:top="405" w:right="1039" w:bottom="1440" w:gutter="0" w:footer="0" w:header="0"/>
          <w:type w:val="continuous"/>
        </w:sectPr>
      </w:pPr>
    </w:p>
    <w:p>
      <w:pPr>
        <w:spacing w:after="0" w:line="170" w:lineRule="exact"/>
        <w:rPr>
          <w:sz w:val="20"/>
          <w:szCs w:val="20"/>
          <w:color w:val="auto"/>
        </w:rPr>
      </w:pPr>
    </w:p>
    <w:p>
      <w:pPr>
        <w:ind w:left="1800" w:right="3500" w:hanging="1099"/>
        <w:spacing w:after="0" w:line="246" w:lineRule="auto"/>
        <w:tabs>
          <w:tab w:leader="none" w:pos="1780" w:val="left"/>
        </w:tabs>
        <w:rPr>
          <w:sz w:val="20"/>
          <w:szCs w:val="20"/>
          <w:color w:val="auto"/>
        </w:rPr>
      </w:pPr>
      <w:r>
        <w:rPr>
          <w:rFonts w:ascii="Arial" w:cs="Arial" w:eastAsia="Arial" w:hAnsi="Arial"/>
          <w:sz w:val="18"/>
          <w:szCs w:val="18"/>
          <w:color w:val="auto"/>
        </w:rPr>
        <w:t>4(o)</w:t>
      </w:r>
      <w:r>
        <w:rPr>
          <w:sz w:val="20"/>
          <w:szCs w:val="20"/>
          <w:color w:val="auto"/>
        </w:rPr>
        <w:tab/>
      </w:r>
      <w:r>
        <w:rPr>
          <w:rFonts w:ascii="Arial" w:cs="Arial" w:eastAsia="Arial" w:hAnsi="Arial"/>
          <w:sz w:val="18"/>
          <w:szCs w:val="18"/>
          <w:color w:val="auto"/>
        </w:rPr>
        <w:t>Agreement to furnish copies of instruments and agreements * defining rights of holders of long-term debt</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1"/>
          <w:szCs w:val="11"/>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-79375</wp:posOffset>
            </wp:positionV>
            <wp:extent cx="1885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00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00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402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Location</w:t>
            </w: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10(a)(1)</w:t>
            </w:r>
          </w:p>
        </w:tc>
        <w:tc>
          <w:tcPr>
            <w:tcW w:w="5000" w:type="dxa"/>
            <w:vAlign w:val="bottom"/>
          </w:tcPr>
          <w:p>
            <w:pPr>
              <w:ind w:left="200"/>
              <w:spacing w:after="0"/>
              <w:rPr>
                <w:sz w:val="20"/>
                <w:szCs w:val="20"/>
                <w:color w:val="auto"/>
              </w:rPr>
            </w:pPr>
            <w:r>
              <w:rPr>
                <w:rFonts w:ascii="Arial" w:cs="Arial" w:eastAsia="Arial" w:hAnsi="Arial"/>
                <w:sz w:val="18"/>
                <w:szCs w:val="18"/>
                <w:color w:val="auto"/>
              </w:rPr>
              <w:t>The O.M. Scott &amp; Sons Company Excess Benefit Plan,</w:t>
            </w:r>
          </w:p>
        </w:tc>
        <w:tc>
          <w:tcPr>
            <w:tcW w:w="4020" w:type="dxa"/>
            <w:vAlign w:val="bottom"/>
          </w:tcPr>
          <w:p>
            <w:pPr>
              <w:ind w:left="46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effective October 1, 1993</w:t>
            </w:r>
          </w:p>
        </w:tc>
        <w:tc>
          <w:tcPr>
            <w:tcW w:w="4020" w:type="dxa"/>
            <w:vAlign w:val="bottom"/>
          </w:tcPr>
          <w:p>
            <w:pPr>
              <w:ind w:left="460"/>
              <w:spacing w:after="0" w:line="202" w:lineRule="exact"/>
              <w:rPr>
                <w:sz w:val="20"/>
                <w:szCs w:val="20"/>
                <w:color w:val="auto"/>
              </w:rPr>
            </w:pPr>
            <w:r>
              <w:rPr>
                <w:rFonts w:ascii="Arial" w:cs="Arial" w:eastAsia="Arial" w:hAnsi="Arial"/>
                <w:sz w:val="18"/>
                <w:szCs w:val="18"/>
                <w:color w:val="auto"/>
              </w:rPr>
              <w:t>Annual Report on Form 10-K for the fiscal</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4020" w:type="dxa"/>
            <w:vAlign w:val="bottom"/>
          </w:tcPr>
          <w:p>
            <w:pPr>
              <w:ind w:left="460"/>
              <w:spacing w:after="0" w:line="202" w:lineRule="exact"/>
              <w:rPr>
                <w:sz w:val="20"/>
                <w:szCs w:val="20"/>
                <w:color w:val="auto"/>
              </w:rPr>
            </w:pPr>
            <w:r>
              <w:rPr>
                <w:rFonts w:ascii="Arial" w:cs="Arial" w:eastAsia="Arial" w:hAnsi="Arial"/>
                <w:sz w:val="18"/>
                <w:szCs w:val="18"/>
                <w:color w:val="auto"/>
              </w:rPr>
              <w:t>year ended September 30, 1993, of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4020" w:type="dxa"/>
            <w:vAlign w:val="bottom"/>
          </w:tcPr>
          <w:p>
            <w:pPr>
              <w:ind w:left="460"/>
              <w:spacing w:after="0" w:line="202" w:lineRule="exact"/>
              <w:rPr>
                <w:sz w:val="20"/>
                <w:szCs w:val="20"/>
                <w:color w:val="auto"/>
              </w:rPr>
            </w:pPr>
            <w:r>
              <w:rPr>
                <w:rFonts w:ascii="Arial" w:cs="Arial" w:eastAsia="Arial" w:hAnsi="Arial"/>
                <w:sz w:val="18"/>
                <w:szCs w:val="18"/>
                <w:color w:val="auto"/>
              </w:rPr>
              <w:t>Scotts Company, a Delaware corporation</w:t>
            </w: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020" w:type="dxa"/>
            <w:vAlign w:val="bottom"/>
          </w:tcPr>
          <w:p>
            <w:pPr>
              <w:ind w:left="460"/>
              <w:spacing w:after="0"/>
              <w:rPr>
                <w:sz w:val="20"/>
                <w:szCs w:val="20"/>
                <w:color w:val="auto"/>
              </w:rPr>
            </w:pPr>
            <w:r>
              <w:rPr>
                <w:rFonts w:ascii="Arial" w:cs="Arial" w:eastAsia="Arial" w:hAnsi="Arial"/>
                <w:sz w:val="18"/>
                <w:szCs w:val="18"/>
                <w:color w:val="auto"/>
              </w:rPr>
              <w:t>(File No. 0-19768) [Exhibit 10(h)]</w:t>
            </w:r>
          </w:p>
        </w:tc>
      </w:tr>
    </w:tbl>
    <w:p>
      <w:pPr>
        <w:spacing w:after="0" w:line="200" w:lineRule="exact"/>
        <w:rPr>
          <w:sz w:val="20"/>
          <w:szCs w:val="20"/>
          <w:color w:val="auto"/>
        </w:rPr>
      </w:pPr>
    </w:p>
    <w:p>
      <w:pPr>
        <w:sectPr>
          <w:pgSz w:w="11900" w:h="16838" w:orient="portrait"/>
          <w:cols w:equalWidth="0" w:num="1">
            <w:col w:w="10620"/>
          </w:cols>
          <w:pgMar w:left="240" w:top="405" w:right="1039" w:bottom="1440" w:gutter="0" w:footer="0" w:header="0"/>
        </w:sectPr>
      </w:pPr>
    </w:p>
    <w:p>
      <w:pPr>
        <w:spacing w:after="0" w:line="164" w:lineRule="exact"/>
        <w:rPr>
          <w:sz w:val="20"/>
          <w:szCs w:val="20"/>
          <w:color w:val="auto"/>
        </w:rPr>
      </w:pPr>
    </w:p>
    <w:p>
      <w:pPr>
        <w:ind w:left="1800" w:hanging="1099"/>
        <w:spacing w:after="0" w:line="246" w:lineRule="auto"/>
        <w:tabs>
          <w:tab w:leader="none" w:pos="1780" w:val="left"/>
        </w:tabs>
        <w:rPr>
          <w:sz w:val="20"/>
          <w:szCs w:val="20"/>
          <w:color w:val="auto"/>
        </w:rPr>
      </w:pPr>
      <w:r>
        <w:rPr>
          <w:rFonts w:ascii="Arial" w:cs="Arial" w:eastAsia="Arial" w:hAnsi="Arial"/>
          <w:sz w:val="18"/>
          <w:szCs w:val="18"/>
          <w:color w:val="auto"/>
        </w:rPr>
        <w:t>10(a)(2)</w:t>
      </w:r>
      <w:r>
        <w:rPr>
          <w:sz w:val="20"/>
          <w:szCs w:val="20"/>
          <w:color w:val="auto"/>
        </w:rPr>
        <w:tab/>
      </w:r>
      <w:r>
        <w:rPr>
          <w:rFonts w:ascii="Arial" w:cs="Arial" w:eastAsia="Arial" w:hAnsi="Arial"/>
          <w:sz w:val="18"/>
          <w:szCs w:val="18"/>
          <w:color w:val="auto"/>
        </w:rPr>
        <w:t>First Amendment to The O.M. Scott &amp; Sons Company Excess Benefit Plan, effective as of January 1, 1998</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2001 (File No. 1-13292) [Exhibit 10(a)(2)]</w:t>
      </w:r>
    </w:p>
    <w:p>
      <w:pPr>
        <w:spacing w:after="0" w:line="200" w:lineRule="exact"/>
        <w:rPr>
          <w:sz w:val="20"/>
          <w:szCs w:val="20"/>
          <w:color w:val="auto"/>
        </w:rPr>
      </w:pPr>
    </w:p>
    <w:p>
      <w:pPr>
        <w:sectPr>
          <w:pgSz w:w="11900" w:h="16838" w:orient="portrait"/>
          <w:cols w:equalWidth="0" w:num="2">
            <w:col w:w="6720" w:space="340"/>
            <w:col w:w="3560"/>
          </w:cols>
          <w:pgMar w:left="240" w:top="405" w:right="1039" w:bottom="1440" w:gutter="0" w:footer="0" w:header="0"/>
          <w:type w:val="continuous"/>
        </w:sectPr>
      </w:pPr>
    </w:p>
    <w:p>
      <w:pPr>
        <w:spacing w:after="0" w:line="164" w:lineRule="exact"/>
        <w:rPr>
          <w:sz w:val="20"/>
          <w:szCs w:val="20"/>
          <w:color w:val="auto"/>
        </w:rPr>
      </w:pPr>
    </w:p>
    <w:p>
      <w:pPr>
        <w:ind w:left="1800" w:right="440" w:hanging="1099"/>
        <w:spacing w:after="0" w:line="275" w:lineRule="auto"/>
        <w:tabs>
          <w:tab w:leader="none" w:pos="1780" w:val="left"/>
        </w:tabs>
        <w:rPr>
          <w:sz w:val="20"/>
          <w:szCs w:val="20"/>
          <w:color w:val="auto"/>
        </w:rPr>
      </w:pPr>
      <w:r>
        <w:rPr>
          <w:rFonts w:ascii="Arial" w:cs="Arial" w:eastAsia="Arial" w:hAnsi="Arial"/>
          <w:sz w:val="17"/>
          <w:szCs w:val="17"/>
          <w:color w:val="auto"/>
        </w:rPr>
        <w:t>10(a)(3)</w:t>
      </w:r>
      <w:r>
        <w:rPr>
          <w:sz w:val="20"/>
          <w:szCs w:val="20"/>
          <w:color w:val="auto"/>
        </w:rPr>
        <w:tab/>
      </w:r>
      <w:r>
        <w:rPr>
          <w:rFonts w:ascii="Arial" w:cs="Arial" w:eastAsia="Arial" w:hAnsi="Arial"/>
          <w:sz w:val="17"/>
          <w:szCs w:val="17"/>
          <w:color w:val="auto"/>
        </w:rPr>
        <w:t>Second Amendment to The O.M. Scott &amp; Sons Company Excess Benefit Plan, effective as of January 1, 1999</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800" w:hanging="1099"/>
        <w:spacing w:after="0"/>
        <w:tabs>
          <w:tab w:leader="none" w:pos="1780" w:val="left"/>
        </w:tabs>
        <w:rPr>
          <w:sz w:val="20"/>
          <w:szCs w:val="20"/>
          <w:color w:val="auto"/>
        </w:rPr>
      </w:pPr>
      <w:r>
        <w:rPr>
          <w:rFonts w:ascii="Arial" w:cs="Arial" w:eastAsia="Arial" w:hAnsi="Arial"/>
          <w:sz w:val="18"/>
          <w:szCs w:val="18"/>
          <w:color w:val="auto"/>
        </w:rPr>
        <w:t>10(a)(4)</w:t>
      </w:r>
      <w:r>
        <w:rPr>
          <w:sz w:val="20"/>
          <w:szCs w:val="20"/>
          <w:color w:val="auto"/>
        </w:rPr>
        <w:tab/>
      </w:r>
      <w:r>
        <w:rPr>
          <w:rFonts w:ascii="Arial" w:cs="Arial" w:eastAsia="Arial" w:hAnsi="Arial"/>
          <w:sz w:val="18"/>
          <w:szCs w:val="18"/>
          <w:color w:val="auto"/>
        </w:rPr>
        <w:t>Third Amendment to The O.M. Scott &amp; Sons Company Excess Benefit Plan, effective as of March 18, 2005 (amended title of plan to be The Scotts Company LLC Excess Benefit Plan)</w:t>
      </w:r>
    </w:p>
    <w:p>
      <w:pPr>
        <w:spacing w:after="0" w:line="200" w:lineRule="exact"/>
        <w:rPr>
          <w:sz w:val="20"/>
          <w:szCs w:val="20"/>
          <w:color w:val="auto"/>
        </w:rPr>
      </w:pPr>
    </w:p>
    <w:p>
      <w:pPr>
        <w:spacing w:after="0" w:line="36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10(b)</w:t>
            </w:r>
          </w:p>
        </w:tc>
        <w:tc>
          <w:tcPr>
            <w:tcW w:w="5100" w:type="dxa"/>
            <w:vAlign w:val="bottom"/>
          </w:tcPr>
          <w:p>
            <w:pPr>
              <w:ind w:left="340"/>
              <w:spacing w:after="0"/>
              <w:rPr>
                <w:sz w:val="20"/>
                <w:szCs w:val="20"/>
                <w:color w:val="auto"/>
              </w:rPr>
            </w:pPr>
            <w:r>
              <w:rPr>
                <w:rFonts w:ascii="Arial" w:cs="Arial" w:eastAsia="Arial" w:hAnsi="Arial"/>
                <w:sz w:val="18"/>
                <w:szCs w:val="18"/>
                <w:color w:val="auto"/>
                <w:w w:val="99"/>
              </w:rPr>
              <w:t>The Scotts Company LLC Executive/Management Incentive</w:t>
            </w:r>
          </w:p>
        </w:tc>
      </w:tr>
      <w:tr>
        <w:trPr>
          <w:trHeight w:val="217"/>
        </w:trPr>
        <w:tc>
          <w:tcPr>
            <w:tcW w:w="76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Plan</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2001 (File No. 1-13292) [Exhibit 10(a)(3)]</w:t>
      </w:r>
    </w:p>
    <w:p>
      <w:pPr>
        <w:spacing w:after="0" w:line="36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2005 (File No. 1-13292) [Exhibit 10(CC)]</w:t>
      </w:r>
    </w:p>
    <w:p>
      <w:pPr>
        <w:spacing w:after="0" w:line="36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1-13292) [Exhibit 10.4]</w:t>
      </w:r>
    </w:p>
    <w:p>
      <w:pPr>
        <w:spacing w:after="0" w:line="200" w:lineRule="exact"/>
        <w:rPr>
          <w:sz w:val="20"/>
          <w:szCs w:val="20"/>
          <w:color w:val="auto"/>
        </w:rPr>
      </w:pPr>
    </w:p>
    <w:p>
      <w:pPr>
        <w:sectPr>
          <w:pgSz w:w="11900" w:h="16838" w:orient="portrait"/>
          <w:cols w:equalWidth="0" w:num="2">
            <w:col w:w="6780" w:space="280"/>
            <w:col w:w="3560"/>
          </w:cols>
          <w:pgMar w:left="240" w:top="405" w:right="1039" w:bottom="1440"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10(c)</w:t>
            </w:r>
          </w:p>
        </w:tc>
        <w:tc>
          <w:tcPr>
            <w:tcW w:w="5200" w:type="dxa"/>
            <w:vAlign w:val="bottom"/>
          </w:tcPr>
          <w:p>
            <w:pPr>
              <w:ind w:left="340"/>
              <w:spacing w:after="0"/>
              <w:rPr>
                <w:sz w:val="20"/>
                <w:szCs w:val="20"/>
                <w:color w:val="auto"/>
              </w:rPr>
            </w:pPr>
            <w:r>
              <w:rPr>
                <w:rFonts w:ascii="Arial" w:cs="Arial" w:eastAsia="Arial" w:hAnsi="Arial"/>
                <w:sz w:val="18"/>
                <w:szCs w:val="18"/>
                <w:color w:val="auto"/>
                <w:w w:val="99"/>
              </w:rPr>
              <w:t>Specimen form of Employee Confidentiality, Noncompetition,</w:t>
            </w:r>
          </w:p>
        </w:tc>
      </w:tr>
      <w:tr>
        <w:trPr>
          <w:trHeight w:val="203"/>
        </w:trPr>
        <w:tc>
          <w:tcPr>
            <w:tcW w:w="760" w:type="dxa"/>
            <w:vAlign w:val="bottom"/>
          </w:tcPr>
          <w:p>
            <w:pPr>
              <w:spacing w:after="0"/>
              <w:rPr>
                <w:sz w:val="17"/>
                <w:szCs w:val="17"/>
                <w:color w:val="auto"/>
              </w:rPr>
            </w:pPr>
          </w:p>
        </w:tc>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w w:val="99"/>
              </w:rPr>
              <w:t>Nonsolicitation Agreement for employees participating in The</w:t>
            </w:r>
          </w:p>
        </w:tc>
      </w:tr>
      <w:tr>
        <w:trPr>
          <w:trHeight w:val="217"/>
        </w:trPr>
        <w:tc>
          <w:tcPr>
            <w:tcW w:w="76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Scotts Company LLC Executive/Management Incentive Plan</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1-13292) [Exhibit 10.1]</w:t>
      </w:r>
    </w:p>
    <w:p>
      <w:pPr>
        <w:spacing w:after="0" w:line="200" w:lineRule="exact"/>
        <w:rPr>
          <w:sz w:val="20"/>
          <w:szCs w:val="20"/>
          <w:color w:val="auto"/>
        </w:rPr>
      </w:pPr>
    </w:p>
    <w:p>
      <w:pPr>
        <w:sectPr>
          <w:pgSz w:w="11900" w:h="16838" w:orient="portrait"/>
          <w:cols w:equalWidth="0" w:num="2">
            <w:col w:w="6660" w:space="400"/>
            <w:col w:w="3560"/>
          </w:cols>
          <w:pgMar w:left="240" w:top="405" w:right="1039" w:bottom="1440"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10(d)</w:t>
            </w:r>
          </w:p>
        </w:tc>
        <w:tc>
          <w:tcPr>
            <w:tcW w:w="5400" w:type="dxa"/>
            <w:vAlign w:val="bottom"/>
          </w:tcPr>
          <w:p>
            <w:pPr>
              <w:ind w:left="340"/>
              <w:spacing w:after="0"/>
              <w:rPr>
                <w:sz w:val="20"/>
                <w:szCs w:val="20"/>
                <w:color w:val="auto"/>
              </w:rPr>
            </w:pPr>
            <w:r>
              <w:rPr>
                <w:rFonts w:ascii="Arial" w:cs="Arial" w:eastAsia="Arial" w:hAnsi="Arial"/>
                <w:sz w:val="18"/>
                <w:szCs w:val="18"/>
                <w:color w:val="auto"/>
                <w:w w:val="99"/>
              </w:rPr>
              <w:t>Executive Officers of The Scotts Miracle-Gro Company who are</w:t>
            </w:r>
          </w:p>
        </w:tc>
      </w:tr>
      <w:tr>
        <w:trPr>
          <w:trHeight w:val="203"/>
        </w:trPr>
        <w:tc>
          <w:tcPr>
            <w:tcW w:w="760" w:type="dxa"/>
            <w:vAlign w:val="bottom"/>
          </w:tcPr>
          <w:p>
            <w:pPr>
              <w:spacing w:after="0"/>
              <w:rPr>
                <w:sz w:val="17"/>
                <w:szCs w:val="17"/>
                <w:color w:val="auto"/>
              </w:rPr>
            </w:pPr>
          </w:p>
        </w:tc>
        <w:tc>
          <w:tcPr>
            <w:tcW w:w="5400" w:type="dxa"/>
            <w:vAlign w:val="bottom"/>
          </w:tcPr>
          <w:p>
            <w:pPr>
              <w:ind w:left="340"/>
              <w:spacing w:after="0" w:line="202" w:lineRule="exact"/>
              <w:rPr>
                <w:sz w:val="20"/>
                <w:szCs w:val="20"/>
                <w:color w:val="auto"/>
              </w:rPr>
            </w:pPr>
            <w:r>
              <w:rPr>
                <w:rFonts w:ascii="Arial" w:cs="Arial" w:eastAsia="Arial" w:hAnsi="Arial"/>
                <w:sz w:val="18"/>
                <w:szCs w:val="18"/>
                <w:color w:val="auto"/>
              </w:rPr>
              <w:t>parties to form of Employee Confidentiality, Noncompetition,</w:t>
            </w:r>
          </w:p>
        </w:tc>
      </w:tr>
    </w:tbl>
    <w:p>
      <w:pPr>
        <w:ind w:left="1800" w:right="200"/>
        <w:spacing w:after="0" w:line="246" w:lineRule="auto"/>
        <w:rPr>
          <w:sz w:val="20"/>
          <w:szCs w:val="20"/>
          <w:color w:val="auto"/>
        </w:rPr>
      </w:pPr>
      <w:r>
        <w:rPr>
          <w:rFonts w:ascii="Arial" w:cs="Arial" w:eastAsia="Arial" w:hAnsi="Arial"/>
          <w:sz w:val="18"/>
          <w:szCs w:val="18"/>
          <w:color w:val="auto"/>
        </w:rPr>
        <w:t>Nonsolicitation Agreement for employees participating in The Scotts Company LLC Executive/Management Incentive Plan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September 18, 2006 (File No. 1-13292) [Exhibit 10.2]</w:t>
      </w:r>
    </w:p>
    <w:p>
      <w:pPr>
        <w:spacing w:after="0" w:line="204" w:lineRule="exact"/>
        <w:rPr>
          <w:sz w:val="20"/>
          <w:szCs w:val="20"/>
          <w:color w:val="auto"/>
        </w:rPr>
      </w:pPr>
    </w:p>
    <w:p>
      <w:pPr>
        <w:sectPr>
          <w:pgSz w:w="11900" w:h="16838" w:orient="portrait"/>
          <w:cols w:equalWidth="0" w:num="2">
            <w:col w:w="6860" w:space="200"/>
            <w:col w:w="3560"/>
          </w:cols>
          <w:pgMar w:left="240" w:top="405" w:right="1039" w:bottom="1440" w:gutter="0" w:footer="0" w:header="0"/>
          <w:type w:val="continuous"/>
        </w:sectPr>
      </w:pPr>
    </w:p>
    <w:p>
      <w:pPr>
        <w:spacing w:after="0" w:line="155"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10(e)(1)</w:t>
            </w:r>
          </w:p>
        </w:tc>
        <w:tc>
          <w:tcPr>
            <w:tcW w:w="2400" w:type="dxa"/>
            <w:vAlign w:val="bottom"/>
          </w:tcPr>
          <w:p>
            <w:pPr>
              <w:ind w:left="240"/>
              <w:spacing w:after="0"/>
              <w:rPr>
                <w:sz w:val="20"/>
                <w:szCs w:val="20"/>
                <w:color w:val="auto"/>
              </w:rPr>
            </w:pPr>
            <w:r>
              <w:rPr>
                <w:rFonts w:ascii="Arial" w:cs="Arial" w:eastAsia="Arial" w:hAnsi="Arial"/>
                <w:sz w:val="18"/>
                <w:szCs w:val="18"/>
                <w:color w:val="auto"/>
              </w:rPr>
              <w:t>The Scotts Company 1996</w:t>
            </w:r>
          </w:p>
        </w:tc>
        <w:tc>
          <w:tcPr>
            <w:tcW w:w="2820" w:type="dxa"/>
            <w:vAlign w:val="bottom"/>
          </w:tcPr>
          <w:p>
            <w:pPr>
              <w:ind w:left="20"/>
              <w:spacing w:after="0"/>
              <w:rPr>
                <w:sz w:val="20"/>
                <w:szCs w:val="20"/>
                <w:color w:val="auto"/>
              </w:rPr>
            </w:pPr>
            <w:r>
              <w:rPr>
                <w:rFonts w:ascii="Arial" w:cs="Arial" w:eastAsia="Arial" w:hAnsi="Arial"/>
                <w:sz w:val="18"/>
                <w:szCs w:val="18"/>
                <w:color w:val="auto"/>
              </w:rPr>
              <w:t>Stock Option Plan (as amended</w:t>
            </w:r>
          </w:p>
        </w:tc>
        <w:tc>
          <w:tcPr>
            <w:tcW w:w="3700" w:type="dxa"/>
            <w:vAlign w:val="bottom"/>
          </w:tcPr>
          <w:p>
            <w:pPr>
              <w:ind w:left="280"/>
              <w:spacing w:after="0"/>
              <w:rPr>
                <w:sz w:val="20"/>
                <w:szCs w:val="20"/>
                <w:color w:val="auto"/>
              </w:rPr>
            </w:pPr>
            <w:r>
              <w:rPr>
                <w:rFonts w:ascii="Arial" w:cs="Arial" w:eastAsia="Arial" w:hAnsi="Arial"/>
                <w:sz w:val="18"/>
                <w:szCs w:val="18"/>
                <w:color w:val="auto"/>
                <w:w w:val="99"/>
              </w:rPr>
              <w:t>Incorporated herein by reference to Scotts’</w:t>
            </w:r>
          </w:p>
        </w:tc>
      </w:tr>
      <w:tr>
        <w:trPr>
          <w:trHeight w:val="203"/>
        </w:trPr>
        <w:tc>
          <w:tcPr>
            <w:tcW w:w="860" w:type="dxa"/>
            <w:vAlign w:val="bottom"/>
          </w:tcPr>
          <w:p>
            <w:pPr>
              <w:spacing w:after="0"/>
              <w:rPr>
                <w:sz w:val="17"/>
                <w:szCs w:val="17"/>
                <w:color w:val="auto"/>
              </w:rPr>
            </w:pPr>
          </w:p>
        </w:tc>
        <w:tc>
          <w:tcPr>
            <w:tcW w:w="2400" w:type="dxa"/>
            <w:vAlign w:val="bottom"/>
          </w:tcPr>
          <w:p>
            <w:pPr>
              <w:ind w:left="240"/>
              <w:spacing w:after="0" w:line="202" w:lineRule="exact"/>
              <w:rPr>
                <w:sz w:val="20"/>
                <w:szCs w:val="20"/>
                <w:color w:val="auto"/>
              </w:rPr>
            </w:pPr>
            <w:r>
              <w:rPr>
                <w:rFonts w:ascii="Arial" w:cs="Arial" w:eastAsia="Arial" w:hAnsi="Arial"/>
                <w:sz w:val="18"/>
                <w:szCs w:val="18"/>
                <w:color w:val="auto"/>
              </w:rPr>
              <w:t>through May 15, 2000)</w:t>
            </w:r>
          </w:p>
        </w:tc>
        <w:tc>
          <w:tcPr>
            <w:tcW w:w="2820" w:type="dxa"/>
            <w:vAlign w:val="bottom"/>
          </w:tcPr>
          <w:p>
            <w:pPr>
              <w:spacing w:after="0"/>
              <w:rPr>
                <w:sz w:val="17"/>
                <w:szCs w:val="17"/>
                <w:color w:val="auto"/>
              </w:rPr>
            </w:pPr>
          </w:p>
        </w:tc>
        <w:tc>
          <w:tcPr>
            <w:tcW w:w="3700" w:type="dxa"/>
            <w:vAlign w:val="bottom"/>
          </w:tcPr>
          <w:p>
            <w:pPr>
              <w:ind w:left="280"/>
              <w:spacing w:after="0" w:line="202" w:lineRule="exact"/>
              <w:rPr>
                <w:sz w:val="20"/>
                <w:szCs w:val="20"/>
                <w:color w:val="auto"/>
              </w:rPr>
            </w:pPr>
            <w:r>
              <w:rPr>
                <w:rFonts w:ascii="Arial" w:cs="Arial" w:eastAsia="Arial" w:hAnsi="Arial"/>
                <w:sz w:val="18"/>
                <w:szCs w:val="18"/>
                <w:color w:val="auto"/>
              </w:rPr>
              <w:t>Quarterly Report on Form 10-Q for the</w:t>
            </w:r>
          </w:p>
        </w:tc>
      </w:tr>
      <w:tr>
        <w:trPr>
          <w:trHeight w:val="203"/>
        </w:trPr>
        <w:tc>
          <w:tcPr>
            <w:tcW w:w="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700" w:type="dxa"/>
            <w:vAlign w:val="bottom"/>
          </w:tcPr>
          <w:p>
            <w:pPr>
              <w:ind w:left="280"/>
              <w:spacing w:after="0" w:line="202" w:lineRule="exact"/>
              <w:rPr>
                <w:sz w:val="20"/>
                <w:szCs w:val="20"/>
                <w:color w:val="auto"/>
              </w:rPr>
            </w:pPr>
            <w:r>
              <w:rPr>
                <w:rFonts w:ascii="Arial" w:cs="Arial" w:eastAsia="Arial" w:hAnsi="Arial"/>
                <w:sz w:val="18"/>
                <w:szCs w:val="18"/>
                <w:color w:val="auto"/>
              </w:rPr>
              <w:t>quarterly period ended April 1, 2000 (File</w:t>
            </w:r>
          </w:p>
        </w:tc>
      </w:tr>
      <w:tr>
        <w:trPr>
          <w:trHeight w:val="217"/>
        </w:trPr>
        <w:tc>
          <w:tcPr>
            <w:tcW w:w="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700" w:type="dxa"/>
            <w:vAlign w:val="bottom"/>
          </w:tcPr>
          <w:p>
            <w:pPr>
              <w:ind w:left="280"/>
              <w:spacing w:after="0"/>
              <w:rPr>
                <w:sz w:val="20"/>
                <w:szCs w:val="20"/>
                <w:color w:val="auto"/>
              </w:rPr>
            </w:pPr>
            <w:r>
              <w:rPr>
                <w:rFonts w:ascii="Arial" w:cs="Arial" w:eastAsia="Arial" w:hAnsi="Arial"/>
                <w:sz w:val="18"/>
                <w:szCs w:val="18"/>
                <w:color w:val="auto"/>
              </w:rPr>
              <w:t>No. 1-13292) [Exhibit 10(d)]</w:t>
            </w:r>
          </w:p>
        </w:tc>
      </w:tr>
      <w:tr>
        <w:trPr>
          <w:trHeight w:val="566"/>
        </w:trPr>
        <w:tc>
          <w:tcPr>
            <w:tcW w:w="860" w:type="dxa"/>
            <w:vAlign w:val="bottom"/>
          </w:tcPr>
          <w:p>
            <w:pPr>
              <w:spacing w:after="0"/>
              <w:rPr>
                <w:sz w:val="20"/>
                <w:szCs w:val="20"/>
                <w:color w:val="auto"/>
              </w:rPr>
            </w:pPr>
            <w:r>
              <w:rPr>
                <w:rFonts w:ascii="Arial" w:cs="Arial" w:eastAsia="Arial" w:hAnsi="Arial"/>
                <w:sz w:val="18"/>
                <w:szCs w:val="18"/>
                <w:color w:val="auto"/>
              </w:rPr>
              <w:t>10(e)(2)</w:t>
            </w:r>
          </w:p>
        </w:tc>
        <w:tc>
          <w:tcPr>
            <w:tcW w:w="2400" w:type="dxa"/>
            <w:vAlign w:val="bottom"/>
          </w:tcPr>
          <w:p>
            <w:pPr>
              <w:ind w:left="240"/>
              <w:spacing w:after="0"/>
              <w:rPr>
                <w:sz w:val="20"/>
                <w:szCs w:val="20"/>
                <w:color w:val="auto"/>
              </w:rPr>
            </w:pPr>
            <w:r>
              <w:rPr>
                <w:rFonts w:ascii="Arial" w:cs="Arial" w:eastAsia="Arial" w:hAnsi="Arial"/>
                <w:sz w:val="18"/>
                <w:szCs w:val="18"/>
                <w:color w:val="auto"/>
              </w:rPr>
              <w:t>The Scotts Company 1996</w:t>
            </w:r>
          </w:p>
        </w:tc>
        <w:tc>
          <w:tcPr>
            <w:tcW w:w="2820" w:type="dxa"/>
            <w:vAlign w:val="bottom"/>
          </w:tcPr>
          <w:p>
            <w:pPr>
              <w:ind w:left="20"/>
              <w:spacing w:after="0"/>
              <w:rPr>
                <w:sz w:val="20"/>
                <w:szCs w:val="20"/>
                <w:color w:val="auto"/>
              </w:rPr>
            </w:pPr>
            <w:r>
              <w:rPr>
                <w:rFonts w:ascii="Arial" w:cs="Arial" w:eastAsia="Arial" w:hAnsi="Arial"/>
                <w:sz w:val="18"/>
                <w:szCs w:val="18"/>
                <w:color w:val="auto"/>
              </w:rPr>
              <w:t>Stock Option Plan (2002</w:t>
            </w:r>
          </w:p>
        </w:tc>
        <w:tc>
          <w:tcPr>
            <w:tcW w:w="3700" w:type="dxa"/>
            <w:vAlign w:val="bottom"/>
          </w:tcPr>
          <w:p>
            <w:pPr>
              <w:ind w:left="280"/>
              <w:spacing w:after="0"/>
              <w:rPr>
                <w:sz w:val="20"/>
                <w:szCs w:val="20"/>
                <w:color w:val="auto"/>
              </w:rPr>
            </w:pPr>
            <w:r>
              <w:rPr>
                <w:rFonts w:ascii="Arial" w:cs="Arial" w:eastAsia="Arial" w:hAnsi="Arial"/>
                <w:sz w:val="18"/>
                <w:szCs w:val="18"/>
                <w:color w:val="auto"/>
                <w:w w:val="99"/>
              </w:rPr>
              <w:t>Incorporated herein by reference to Scotts’</w:t>
            </w:r>
          </w:p>
        </w:tc>
      </w:tr>
      <w:tr>
        <w:trPr>
          <w:trHeight w:val="203"/>
        </w:trPr>
        <w:tc>
          <w:tcPr>
            <w:tcW w:w="860" w:type="dxa"/>
            <w:vAlign w:val="bottom"/>
          </w:tcPr>
          <w:p>
            <w:pPr>
              <w:spacing w:after="0"/>
              <w:rPr>
                <w:sz w:val="17"/>
                <w:szCs w:val="17"/>
                <w:color w:val="auto"/>
              </w:rPr>
            </w:pPr>
          </w:p>
        </w:tc>
        <w:tc>
          <w:tcPr>
            <w:tcW w:w="2400" w:type="dxa"/>
            <w:vAlign w:val="bottom"/>
          </w:tcPr>
          <w:p>
            <w:pPr>
              <w:ind w:left="240"/>
              <w:spacing w:after="0" w:line="202" w:lineRule="exact"/>
              <w:rPr>
                <w:sz w:val="20"/>
                <w:szCs w:val="20"/>
                <w:color w:val="auto"/>
              </w:rPr>
            </w:pPr>
            <w:r>
              <w:rPr>
                <w:rFonts w:ascii="Arial" w:cs="Arial" w:eastAsia="Arial" w:hAnsi="Arial"/>
                <w:sz w:val="18"/>
                <w:szCs w:val="18"/>
                <w:color w:val="auto"/>
              </w:rPr>
              <w:t>Amendment)</w:t>
            </w:r>
          </w:p>
        </w:tc>
        <w:tc>
          <w:tcPr>
            <w:tcW w:w="2820" w:type="dxa"/>
            <w:vAlign w:val="bottom"/>
          </w:tcPr>
          <w:p>
            <w:pPr>
              <w:spacing w:after="0"/>
              <w:rPr>
                <w:sz w:val="17"/>
                <w:szCs w:val="17"/>
                <w:color w:val="auto"/>
              </w:rPr>
            </w:pPr>
          </w:p>
        </w:tc>
        <w:tc>
          <w:tcPr>
            <w:tcW w:w="3700" w:type="dxa"/>
            <w:vAlign w:val="bottom"/>
          </w:tcPr>
          <w:p>
            <w:pPr>
              <w:ind w:left="280"/>
              <w:spacing w:after="0" w:line="202" w:lineRule="exact"/>
              <w:rPr>
                <w:sz w:val="20"/>
                <w:szCs w:val="20"/>
                <w:color w:val="auto"/>
              </w:rPr>
            </w:pPr>
            <w:r>
              <w:rPr>
                <w:rFonts w:ascii="Arial" w:cs="Arial" w:eastAsia="Arial" w:hAnsi="Arial"/>
                <w:sz w:val="18"/>
                <w:szCs w:val="18"/>
                <w:color w:val="auto"/>
              </w:rPr>
              <w:t>Quarterly Report on Form 10-Q for the</w:t>
            </w:r>
          </w:p>
        </w:tc>
      </w:tr>
      <w:tr>
        <w:trPr>
          <w:trHeight w:val="203"/>
        </w:trPr>
        <w:tc>
          <w:tcPr>
            <w:tcW w:w="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700" w:type="dxa"/>
            <w:vAlign w:val="bottom"/>
          </w:tcPr>
          <w:p>
            <w:pPr>
              <w:ind w:left="280"/>
              <w:spacing w:after="0" w:line="202" w:lineRule="exact"/>
              <w:rPr>
                <w:sz w:val="20"/>
                <w:szCs w:val="20"/>
                <w:color w:val="auto"/>
              </w:rPr>
            </w:pPr>
            <w:r>
              <w:rPr>
                <w:rFonts w:ascii="Arial" w:cs="Arial" w:eastAsia="Arial" w:hAnsi="Arial"/>
                <w:sz w:val="18"/>
                <w:szCs w:val="18"/>
                <w:color w:val="auto"/>
                <w:w w:val="99"/>
              </w:rPr>
              <w:t>quarterly period ended December 28, 2002</w:t>
            </w:r>
          </w:p>
        </w:tc>
      </w:tr>
      <w:tr>
        <w:trPr>
          <w:trHeight w:val="217"/>
        </w:trPr>
        <w:tc>
          <w:tcPr>
            <w:tcW w:w="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700" w:type="dxa"/>
            <w:vAlign w:val="bottom"/>
          </w:tcPr>
          <w:p>
            <w:pPr>
              <w:ind w:left="280"/>
              <w:spacing w:after="0"/>
              <w:rPr>
                <w:sz w:val="20"/>
                <w:szCs w:val="20"/>
                <w:color w:val="auto"/>
              </w:rPr>
            </w:pPr>
            <w:r>
              <w:rPr>
                <w:rFonts w:ascii="Arial" w:cs="Arial" w:eastAsia="Arial" w:hAnsi="Arial"/>
                <w:sz w:val="18"/>
                <w:szCs w:val="18"/>
                <w:color w:val="auto"/>
              </w:rPr>
              <w:t>(File No. 1-13292) [Exhibit 10(d)(i)]</w:t>
            </w:r>
          </w:p>
        </w:tc>
      </w:tr>
    </w:tbl>
    <w:p>
      <w:pPr>
        <w:spacing w:after="0" w:line="200" w:lineRule="exact"/>
        <w:rPr>
          <w:sz w:val="20"/>
          <w:szCs w:val="20"/>
          <w:color w:val="auto"/>
        </w:rPr>
      </w:pPr>
    </w:p>
    <w:p>
      <w:pPr>
        <w:sectPr>
          <w:pgSz w:w="11900" w:h="16838" w:orient="portrait"/>
          <w:cols w:equalWidth="0" w:num="1">
            <w:col w:w="10620"/>
          </w:cols>
          <w:pgMar w:left="240" w:top="405" w:right="1039" w:bottom="1440" w:gutter="0" w:footer="0" w:header="0"/>
          <w:type w:val="continuous"/>
        </w:sectPr>
      </w:pPr>
    </w:p>
    <w:p>
      <w:pPr>
        <w:spacing w:after="0" w:line="164" w:lineRule="exact"/>
        <w:rPr>
          <w:sz w:val="20"/>
          <w:szCs w:val="20"/>
          <w:color w:val="auto"/>
        </w:rPr>
      </w:pPr>
    </w:p>
    <w:p>
      <w:pPr>
        <w:ind w:left="1800" w:hanging="1099"/>
        <w:spacing w:after="0" w:line="239" w:lineRule="auto"/>
        <w:tabs>
          <w:tab w:leader="none" w:pos="1780" w:val="left"/>
        </w:tabs>
        <w:rPr>
          <w:sz w:val="20"/>
          <w:szCs w:val="20"/>
          <w:color w:val="auto"/>
        </w:rPr>
      </w:pPr>
      <w:r>
        <w:rPr>
          <w:rFonts w:ascii="Arial" w:cs="Arial" w:eastAsia="Arial" w:hAnsi="Arial"/>
          <w:sz w:val="18"/>
          <w:szCs w:val="18"/>
          <w:color w:val="auto"/>
        </w:rPr>
        <w:t>10(e)(3)</w:t>
      </w:r>
      <w:r>
        <w:rPr>
          <w:sz w:val="20"/>
          <w:szCs w:val="20"/>
          <w:color w:val="auto"/>
        </w:rPr>
        <w:tab/>
      </w:r>
      <w:r>
        <w:rPr>
          <w:rFonts w:ascii="Arial" w:cs="Arial" w:eastAsia="Arial" w:hAnsi="Arial"/>
          <w:sz w:val="18"/>
          <w:szCs w:val="18"/>
          <w:color w:val="auto"/>
        </w:rPr>
        <w:t>Amendment to The Scotts Company 1996 Stock Option Plan — 2005 Amendment, effective as of March 18, 2005 (amended title of plan to be The Scotts Miracle-Gro Company 1996 Stock Option Plan)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2005 (File No. 1-13292) [Exhibit 10(z)]</w:t>
      </w:r>
    </w:p>
    <w:p>
      <w:pPr>
        <w:spacing w:after="0" w:line="200" w:lineRule="exact"/>
        <w:rPr>
          <w:sz w:val="20"/>
          <w:szCs w:val="20"/>
          <w:color w:val="auto"/>
        </w:rPr>
      </w:pPr>
    </w:p>
    <w:p>
      <w:pPr>
        <w:sectPr>
          <w:pgSz w:w="11900" w:h="16838" w:orient="portrait"/>
          <w:cols w:equalWidth="0" w:num="2">
            <w:col w:w="6700" w:space="360"/>
            <w:col w:w="3560"/>
          </w:cols>
          <w:pgMar w:left="240" w:top="405" w:right="1039" w:bottom="1440"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10(f)</w:t>
            </w:r>
          </w:p>
        </w:tc>
        <w:tc>
          <w:tcPr>
            <w:tcW w:w="5380" w:type="dxa"/>
            <w:vAlign w:val="bottom"/>
          </w:tcPr>
          <w:p>
            <w:pPr>
              <w:ind w:left="360"/>
              <w:spacing w:after="0"/>
              <w:rPr>
                <w:sz w:val="20"/>
                <w:szCs w:val="20"/>
                <w:color w:val="auto"/>
              </w:rPr>
            </w:pPr>
            <w:r>
              <w:rPr>
                <w:rFonts w:ascii="Arial" w:cs="Arial" w:eastAsia="Arial" w:hAnsi="Arial"/>
                <w:sz w:val="18"/>
                <w:szCs w:val="18"/>
                <w:color w:val="auto"/>
              </w:rPr>
              <w:t>Form of 1996 Stock Option Plan Stock Option Agreement —</w:t>
            </w:r>
          </w:p>
        </w:tc>
        <w:tc>
          <w:tcPr>
            <w:tcW w:w="3640" w:type="dxa"/>
            <w:vAlign w:val="bottom"/>
          </w:tcPr>
          <w:p>
            <w:pPr>
              <w:ind w:left="240"/>
              <w:spacing w:after="0"/>
              <w:rPr>
                <w:sz w:val="20"/>
                <w:szCs w:val="20"/>
                <w:color w:val="auto"/>
              </w:rPr>
            </w:pPr>
            <w:r>
              <w:rPr>
                <w:rFonts w:ascii="Arial" w:cs="Arial" w:eastAsia="Arial" w:hAnsi="Arial"/>
                <w:sz w:val="18"/>
                <w:szCs w:val="18"/>
                <w:color w:val="auto"/>
                <w:w w:val="99"/>
              </w:rPr>
              <w:t>Incorporated herein by reference to Scotts’</w:t>
            </w:r>
          </w:p>
        </w:tc>
      </w:tr>
      <w:tr>
        <w:trPr>
          <w:trHeight w:val="203"/>
        </w:trPr>
        <w:tc>
          <w:tcPr>
            <w:tcW w:w="740" w:type="dxa"/>
            <w:vAlign w:val="bottom"/>
          </w:tcPr>
          <w:p>
            <w:pPr>
              <w:spacing w:after="0"/>
              <w:rPr>
                <w:sz w:val="17"/>
                <w:szCs w:val="17"/>
                <w:color w:val="auto"/>
              </w:rPr>
            </w:pPr>
          </w:p>
        </w:tc>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Non-Qualified Stock Option</w:t>
            </w:r>
          </w:p>
        </w:tc>
        <w:tc>
          <w:tcPr>
            <w:tcW w:w="3640" w:type="dxa"/>
            <w:vAlign w:val="bottom"/>
          </w:tcPr>
          <w:p>
            <w:pPr>
              <w:ind w:left="240"/>
              <w:spacing w:after="0" w:line="202" w:lineRule="exact"/>
              <w:rPr>
                <w:sz w:val="20"/>
                <w:szCs w:val="20"/>
                <w:color w:val="auto"/>
              </w:rPr>
            </w:pPr>
            <w:r>
              <w:rPr>
                <w:rFonts w:ascii="Arial" w:cs="Arial" w:eastAsia="Arial" w:hAnsi="Arial"/>
                <w:sz w:val="18"/>
                <w:szCs w:val="18"/>
                <w:color w:val="auto"/>
              </w:rPr>
              <w:t>Current Report on Form 8-K filed</w:t>
            </w:r>
          </w:p>
        </w:tc>
      </w:tr>
      <w:tr>
        <w:trPr>
          <w:trHeight w:val="203"/>
        </w:trPr>
        <w:tc>
          <w:tcPr>
            <w:tcW w:w="7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3640" w:type="dxa"/>
            <w:vAlign w:val="bottom"/>
          </w:tcPr>
          <w:p>
            <w:pPr>
              <w:ind w:left="240"/>
              <w:spacing w:after="0" w:line="202" w:lineRule="exact"/>
              <w:rPr>
                <w:sz w:val="20"/>
                <w:szCs w:val="20"/>
                <w:color w:val="auto"/>
              </w:rPr>
            </w:pPr>
            <w:r>
              <w:rPr>
                <w:rFonts w:ascii="Arial" w:cs="Arial" w:eastAsia="Arial" w:hAnsi="Arial"/>
                <w:sz w:val="18"/>
                <w:szCs w:val="18"/>
                <w:color w:val="auto"/>
              </w:rPr>
              <w:t>November 19, 2004 (File No. 1-13292)</w:t>
            </w:r>
          </w:p>
        </w:tc>
      </w:tr>
      <w:tr>
        <w:trPr>
          <w:trHeight w:val="217"/>
        </w:trPr>
        <w:tc>
          <w:tcPr>
            <w:tcW w:w="7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[Exhibit 10.7]</w:t>
            </w:r>
          </w:p>
        </w:tc>
      </w:tr>
    </w:tbl>
    <w:p>
      <w:pPr>
        <w:spacing w:after="0" w:line="200" w:lineRule="exact"/>
        <w:rPr>
          <w:sz w:val="20"/>
          <w:szCs w:val="20"/>
          <w:color w:val="auto"/>
        </w:rPr>
      </w:pPr>
    </w:p>
    <w:p>
      <w:pPr>
        <w:sectPr>
          <w:pgSz w:w="11900" w:h="16838" w:orient="portrait"/>
          <w:cols w:equalWidth="0" w:num="1">
            <w:col w:w="10620"/>
          </w:cols>
          <w:pgMar w:left="240" w:top="405" w:right="1039" w:bottom="1440" w:gutter="0" w:footer="0" w:header="0"/>
          <w:type w:val="continuous"/>
        </w:sectPr>
      </w:pPr>
    </w:p>
    <w:p>
      <w:pPr>
        <w:spacing w:after="0" w:line="2" w:lineRule="exact"/>
        <w:rPr>
          <w:sz w:val="20"/>
          <w:szCs w:val="20"/>
          <w:color w:val="auto"/>
        </w:rPr>
      </w:pPr>
    </w:p>
    <w:p>
      <w:pPr>
        <w:ind w:left="5580"/>
        <w:spacing w:after="0"/>
        <w:rPr>
          <w:sz w:val="20"/>
          <w:szCs w:val="20"/>
          <w:color w:val="auto"/>
        </w:rPr>
      </w:pPr>
      <w:r>
        <w:rPr>
          <w:rFonts w:ascii="Arial" w:cs="Arial" w:eastAsia="Arial" w:hAnsi="Arial"/>
          <w:sz w:val="9"/>
          <w:szCs w:val="9"/>
          <w:b w:val="1"/>
          <w:bCs w:val="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-64770</wp:posOffset>
            </wp:positionV>
            <wp:extent cx="1885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155575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28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7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Location</w:t>
            </w: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10(g)</w:t>
            </w:r>
          </w:p>
        </w:tc>
        <w:tc>
          <w:tcPr>
            <w:tcW w:w="5280" w:type="dxa"/>
            <w:vAlign w:val="bottom"/>
          </w:tcPr>
          <w:p>
            <w:pPr>
              <w:ind w:left="200"/>
              <w:spacing w:after="0"/>
              <w:rPr>
                <w:sz w:val="20"/>
                <w:szCs w:val="20"/>
                <w:color w:val="auto"/>
              </w:rPr>
            </w:pPr>
            <w:r>
              <w:rPr>
                <w:rFonts w:ascii="Arial" w:cs="Arial" w:eastAsia="Arial" w:hAnsi="Arial"/>
                <w:sz w:val="18"/>
                <w:szCs w:val="18"/>
                <w:color w:val="auto"/>
              </w:rPr>
              <w:t>Specimen form of Stock Option Agreement (as amended</w:t>
            </w:r>
          </w:p>
        </w:tc>
        <w:tc>
          <w:tcPr>
            <w:tcW w:w="3740" w:type="dxa"/>
            <w:vAlign w:val="bottom"/>
          </w:tcPr>
          <w:p>
            <w:pPr>
              <w:ind w:left="180"/>
              <w:spacing w:after="0"/>
              <w:rPr>
                <w:sz w:val="20"/>
                <w:szCs w:val="20"/>
                <w:color w:val="auto"/>
              </w:rPr>
            </w:pPr>
            <w:r>
              <w:rPr>
                <w:rFonts w:ascii="Arial" w:cs="Arial" w:eastAsia="Arial" w:hAnsi="Arial"/>
                <w:sz w:val="18"/>
                <w:szCs w:val="18"/>
                <w:color w:val="auto"/>
              </w:rPr>
              <w:t>Incorporated herein by reference to Scotts’</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through October 23, 2001) for Non-Qualified Stock Options</w:t>
            </w: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Annual Report on Form 10-K for the fiscal</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granted to employees under The Scotts Company 1996 Stock</w:t>
            </w: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year ended September 30, 2001 (File No. 1-</w:t>
            </w: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Option Plan, French specimen</w:t>
            </w:r>
          </w:p>
        </w:tc>
        <w:tc>
          <w:tcPr>
            <w:tcW w:w="3740" w:type="dxa"/>
            <w:vAlign w:val="bottom"/>
          </w:tcPr>
          <w:p>
            <w:pPr>
              <w:ind w:left="180"/>
              <w:spacing w:after="0"/>
              <w:rPr>
                <w:sz w:val="20"/>
                <w:szCs w:val="20"/>
                <w:color w:val="auto"/>
              </w:rPr>
            </w:pPr>
            <w:r>
              <w:rPr>
                <w:rFonts w:ascii="Arial" w:cs="Arial" w:eastAsia="Arial" w:hAnsi="Arial"/>
                <w:sz w:val="18"/>
                <w:szCs w:val="18"/>
                <w:color w:val="auto"/>
              </w:rPr>
              <w:t>13292) [Exhibit 10(f)]</w:t>
            </w:r>
          </w:p>
        </w:tc>
      </w:tr>
      <w:tr>
        <w:trPr>
          <w:trHeight w:val="566"/>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10(h)(1)</w:t>
            </w:r>
          </w:p>
        </w:tc>
        <w:tc>
          <w:tcPr>
            <w:tcW w:w="5280" w:type="dxa"/>
            <w:vAlign w:val="bottom"/>
          </w:tcPr>
          <w:p>
            <w:pPr>
              <w:ind w:left="200"/>
              <w:spacing w:after="0"/>
              <w:rPr>
                <w:sz w:val="20"/>
                <w:szCs w:val="20"/>
                <w:color w:val="auto"/>
              </w:rPr>
            </w:pPr>
            <w:r>
              <w:rPr>
                <w:rFonts w:ascii="Arial" w:cs="Arial" w:eastAsia="Arial" w:hAnsi="Arial"/>
                <w:sz w:val="18"/>
                <w:szCs w:val="18"/>
                <w:color w:val="auto"/>
              </w:rPr>
              <w:t>The Scotts Company Executive Retirement Plan</w:t>
            </w:r>
          </w:p>
        </w:tc>
        <w:tc>
          <w:tcPr>
            <w:tcW w:w="3740" w:type="dxa"/>
            <w:vAlign w:val="bottom"/>
          </w:tcPr>
          <w:p>
            <w:pPr>
              <w:ind w:left="180"/>
              <w:spacing w:after="0"/>
              <w:rPr>
                <w:sz w:val="20"/>
                <w:szCs w:val="20"/>
                <w:color w:val="auto"/>
              </w:rPr>
            </w:pPr>
            <w:r>
              <w:rPr>
                <w:rFonts w:ascii="Arial" w:cs="Arial" w:eastAsia="Arial" w:hAnsi="Arial"/>
                <w:sz w:val="18"/>
                <w:szCs w:val="18"/>
                <w:color w:val="auto"/>
              </w:rPr>
              <w:t>Incorporated herein by reference to Scotts’</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Annual Report on Form 10-K for the fiscal</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year ended September 30, 1998 (File No. 1-</w:t>
            </w: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11593) [Exhibit 10(j)]</w:t>
            </w:r>
          </w:p>
        </w:tc>
      </w:tr>
    </w:tbl>
    <w:p>
      <w:pPr>
        <w:spacing w:after="0" w:line="200" w:lineRule="exact"/>
        <w:rPr>
          <w:sz w:val="20"/>
          <w:szCs w:val="20"/>
          <w:color w:val="auto"/>
        </w:rPr>
      </w:pPr>
    </w:p>
    <w:p>
      <w:pPr>
        <w:sectPr>
          <w:pgSz w:w="11900" w:h="16838" w:orient="portrait"/>
          <w:cols w:equalWidth="0" w:num="1">
            <w:col w:w="10620"/>
          </w:cols>
          <w:pgMar w:left="240" w:top="405" w:right="1039" w:bottom="41" w:gutter="0" w:footer="0" w:header="0"/>
        </w:sectPr>
      </w:pPr>
    </w:p>
    <w:p>
      <w:pPr>
        <w:spacing w:after="0" w:line="164" w:lineRule="exact"/>
        <w:rPr>
          <w:sz w:val="20"/>
          <w:szCs w:val="20"/>
          <w:color w:val="auto"/>
        </w:rPr>
      </w:pPr>
    </w:p>
    <w:p>
      <w:pPr>
        <w:ind w:left="1800" w:hanging="1099"/>
        <w:spacing w:after="0" w:line="246" w:lineRule="auto"/>
        <w:tabs>
          <w:tab w:leader="none" w:pos="1780" w:val="left"/>
        </w:tabs>
        <w:rPr>
          <w:sz w:val="20"/>
          <w:szCs w:val="20"/>
          <w:color w:val="auto"/>
        </w:rPr>
      </w:pPr>
      <w:r>
        <w:rPr>
          <w:rFonts w:ascii="Arial" w:cs="Arial" w:eastAsia="Arial" w:hAnsi="Arial"/>
          <w:sz w:val="18"/>
          <w:szCs w:val="18"/>
          <w:color w:val="auto"/>
        </w:rPr>
        <w:t>10(h)(2)</w:t>
      </w:r>
      <w:r>
        <w:rPr>
          <w:sz w:val="20"/>
          <w:szCs w:val="20"/>
          <w:color w:val="auto"/>
        </w:rPr>
        <w:tab/>
      </w:r>
      <w:r>
        <w:rPr>
          <w:rFonts w:ascii="Arial" w:cs="Arial" w:eastAsia="Arial" w:hAnsi="Arial"/>
          <w:sz w:val="18"/>
          <w:szCs w:val="18"/>
          <w:color w:val="auto"/>
        </w:rPr>
        <w:t>First Amendment to The Scotts Company Executive Retirement Plan, effective as of January 1, 1999</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2001 (File No. 1-13292) [Exhibit 10(g)(2)]</w:t>
      </w:r>
    </w:p>
    <w:p>
      <w:pPr>
        <w:spacing w:after="0" w:line="200" w:lineRule="exact"/>
        <w:rPr>
          <w:sz w:val="20"/>
          <w:szCs w:val="20"/>
          <w:color w:val="auto"/>
        </w:rPr>
      </w:pPr>
    </w:p>
    <w:p>
      <w:pPr>
        <w:sectPr>
          <w:pgSz w:w="11900" w:h="16838" w:orient="portrait"/>
          <w:cols w:equalWidth="0" w:num="2">
            <w:col w:w="6860" w:space="200"/>
            <w:col w:w="3560"/>
          </w:cols>
          <w:pgMar w:left="240" w:top="405" w:right="1039" w:bottom="41" w:gutter="0" w:footer="0" w:header="0"/>
          <w:type w:val="continuous"/>
        </w:sectPr>
      </w:pPr>
    </w:p>
    <w:p>
      <w:pPr>
        <w:spacing w:after="0" w:line="164" w:lineRule="exact"/>
        <w:rPr>
          <w:sz w:val="20"/>
          <w:szCs w:val="20"/>
          <w:color w:val="auto"/>
        </w:rPr>
      </w:pPr>
    </w:p>
    <w:p>
      <w:pPr>
        <w:ind w:left="1800" w:right="140" w:hanging="1099"/>
        <w:spacing w:after="0" w:line="246" w:lineRule="auto"/>
        <w:tabs>
          <w:tab w:leader="none" w:pos="1780" w:val="left"/>
        </w:tabs>
        <w:rPr>
          <w:sz w:val="20"/>
          <w:szCs w:val="20"/>
          <w:color w:val="auto"/>
        </w:rPr>
      </w:pPr>
      <w:r>
        <w:rPr>
          <w:rFonts w:ascii="Arial" w:cs="Arial" w:eastAsia="Arial" w:hAnsi="Arial"/>
          <w:sz w:val="18"/>
          <w:szCs w:val="18"/>
          <w:color w:val="auto"/>
        </w:rPr>
        <w:t>10(h)(3)</w:t>
      </w:r>
      <w:r>
        <w:rPr>
          <w:sz w:val="20"/>
          <w:szCs w:val="20"/>
          <w:color w:val="auto"/>
        </w:rPr>
        <w:tab/>
      </w:r>
      <w:r>
        <w:rPr>
          <w:rFonts w:ascii="Arial" w:cs="Arial" w:eastAsia="Arial" w:hAnsi="Arial"/>
          <w:sz w:val="18"/>
          <w:szCs w:val="18"/>
          <w:color w:val="auto"/>
        </w:rPr>
        <w:t>Second Amendment to The Scotts Company Executive Retirement Plan, effective as of January 1, 2000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0" w:right="340" w:hanging="1099"/>
        <w:spacing w:after="0" w:line="246" w:lineRule="auto"/>
        <w:tabs>
          <w:tab w:leader="none" w:pos="1780" w:val="left"/>
        </w:tabs>
        <w:rPr>
          <w:sz w:val="20"/>
          <w:szCs w:val="20"/>
          <w:color w:val="auto"/>
        </w:rPr>
      </w:pPr>
      <w:r>
        <w:rPr>
          <w:rFonts w:ascii="Arial" w:cs="Arial" w:eastAsia="Arial" w:hAnsi="Arial"/>
          <w:sz w:val="18"/>
          <w:szCs w:val="18"/>
          <w:color w:val="auto"/>
        </w:rPr>
        <w:t>10(h)(4)</w:t>
      </w:r>
      <w:r>
        <w:rPr>
          <w:sz w:val="20"/>
          <w:szCs w:val="20"/>
          <w:color w:val="auto"/>
        </w:rPr>
        <w:tab/>
      </w:r>
      <w:r>
        <w:rPr>
          <w:rFonts w:ascii="Arial" w:cs="Arial" w:eastAsia="Arial" w:hAnsi="Arial"/>
          <w:sz w:val="18"/>
          <w:szCs w:val="18"/>
          <w:color w:val="auto"/>
        </w:rPr>
        <w:t>Third Amendment to The Scotts Company Executive Retirement Plan, effective as of January 1, 2003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2001 (File No. 1-13292) [Exhibit 10(g)(3)]</w:t>
      </w:r>
    </w:p>
    <w:p>
      <w:pPr>
        <w:spacing w:after="0" w:line="36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2003 (File No. 1-13292) [Exhibit 10(g)(4)]</w:t>
      </w:r>
    </w:p>
    <w:p>
      <w:pPr>
        <w:spacing w:after="0" w:line="200" w:lineRule="exact"/>
        <w:rPr>
          <w:sz w:val="20"/>
          <w:szCs w:val="20"/>
          <w:color w:val="auto"/>
        </w:rPr>
      </w:pPr>
    </w:p>
    <w:p>
      <w:pPr>
        <w:sectPr>
          <w:pgSz w:w="11900" w:h="16838" w:orient="portrait"/>
          <w:cols w:equalWidth="0" w:num="2">
            <w:col w:w="6340" w:space="720"/>
            <w:col w:w="3560"/>
          </w:cols>
          <w:pgMar w:left="240" w:top="405" w:right="1039" w:bottom="41" w:gutter="0" w:footer="0" w:header="0"/>
          <w:type w:val="continuous"/>
        </w:sectPr>
      </w:pPr>
    </w:p>
    <w:p>
      <w:pPr>
        <w:spacing w:after="0" w:line="164" w:lineRule="exact"/>
        <w:rPr>
          <w:sz w:val="20"/>
          <w:szCs w:val="20"/>
          <w:color w:val="auto"/>
        </w:rPr>
      </w:pPr>
    </w:p>
    <w:p>
      <w:pPr>
        <w:ind w:left="1800" w:right="240" w:hanging="1099"/>
        <w:spacing w:after="0" w:line="275" w:lineRule="auto"/>
        <w:tabs>
          <w:tab w:leader="none" w:pos="1780" w:val="left"/>
        </w:tabs>
        <w:rPr>
          <w:sz w:val="20"/>
          <w:szCs w:val="20"/>
          <w:color w:val="auto"/>
        </w:rPr>
      </w:pPr>
      <w:r>
        <w:rPr>
          <w:rFonts w:ascii="Arial" w:cs="Arial" w:eastAsia="Arial" w:hAnsi="Arial"/>
          <w:sz w:val="17"/>
          <w:szCs w:val="17"/>
          <w:color w:val="auto"/>
        </w:rPr>
        <w:t>10(h)(5)</w:t>
      </w:r>
      <w:r>
        <w:rPr>
          <w:sz w:val="20"/>
          <w:szCs w:val="20"/>
          <w:color w:val="auto"/>
        </w:rPr>
        <w:tab/>
      </w:r>
      <w:r>
        <w:rPr>
          <w:rFonts w:ascii="Arial" w:cs="Arial" w:eastAsia="Arial" w:hAnsi="Arial"/>
          <w:sz w:val="17"/>
          <w:szCs w:val="17"/>
          <w:color w:val="auto"/>
        </w:rPr>
        <w:t>Fourth Amendment to The Scotts Company Executive Retirement Plan, effective as of January 1, 2004</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2004 (File No. 1-13292) [Exhibit 10(g)(5)]</w:t>
      </w:r>
    </w:p>
    <w:p>
      <w:pPr>
        <w:spacing w:after="0" w:line="200" w:lineRule="exact"/>
        <w:rPr>
          <w:sz w:val="20"/>
          <w:szCs w:val="20"/>
          <w:color w:val="auto"/>
        </w:rPr>
      </w:pPr>
    </w:p>
    <w:p>
      <w:pPr>
        <w:sectPr>
          <w:pgSz w:w="11900" w:h="16838" w:orient="portrait"/>
          <w:cols w:equalWidth="0" w:num="2">
            <w:col w:w="6340" w:space="720"/>
            <w:col w:w="3560"/>
          </w:cols>
          <w:pgMar w:left="240" w:top="405" w:right="1039" w:bottom="41" w:gutter="0" w:footer="0" w:header="0"/>
          <w:type w:val="continuous"/>
        </w:sectPr>
      </w:pPr>
    </w:p>
    <w:p>
      <w:pPr>
        <w:spacing w:after="0" w:line="164" w:lineRule="exact"/>
        <w:rPr>
          <w:sz w:val="20"/>
          <w:szCs w:val="20"/>
          <w:color w:val="auto"/>
        </w:rPr>
      </w:pPr>
    </w:p>
    <w:p>
      <w:pPr>
        <w:ind w:left="1800" w:hanging="1099"/>
        <w:spacing w:after="0" w:line="261" w:lineRule="auto"/>
        <w:tabs>
          <w:tab w:leader="none" w:pos="1780" w:val="left"/>
        </w:tabs>
        <w:rPr>
          <w:sz w:val="20"/>
          <w:szCs w:val="20"/>
          <w:color w:val="auto"/>
        </w:rPr>
      </w:pPr>
      <w:r>
        <w:rPr>
          <w:rFonts w:ascii="Arial" w:cs="Arial" w:eastAsia="Arial" w:hAnsi="Arial"/>
          <w:sz w:val="17"/>
          <w:szCs w:val="17"/>
          <w:color w:val="auto"/>
        </w:rPr>
        <w:t>10(h)(6)</w:t>
      </w:r>
      <w:r>
        <w:rPr>
          <w:sz w:val="20"/>
          <w:szCs w:val="20"/>
          <w:color w:val="auto"/>
        </w:rPr>
        <w:tab/>
      </w:r>
      <w:r>
        <w:rPr>
          <w:rFonts w:ascii="Arial" w:cs="Arial" w:eastAsia="Arial" w:hAnsi="Arial"/>
          <w:sz w:val="17"/>
          <w:szCs w:val="17"/>
          <w:color w:val="auto"/>
        </w:rPr>
        <w:t>Fifth Amendment to The Scotts Company Executive Retirement Plan, effective as of March 18, 2005 (amended title of plan to be The Scotts Company LLC Executive Retirement Plan)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2005 (File No. 1-13292) [Exhibit 10(DD)]</w:t>
      </w:r>
    </w:p>
    <w:p>
      <w:pPr>
        <w:spacing w:after="0" w:line="200" w:lineRule="exact"/>
        <w:rPr>
          <w:sz w:val="20"/>
          <w:szCs w:val="20"/>
          <w:color w:val="auto"/>
        </w:rPr>
      </w:pPr>
    </w:p>
    <w:p>
      <w:pPr>
        <w:sectPr>
          <w:pgSz w:w="11900" w:h="16838" w:orient="portrait"/>
          <w:cols w:equalWidth="0" w:num="2">
            <w:col w:w="6860" w:space="200"/>
            <w:col w:w="3560"/>
          </w:cols>
          <w:pgMar w:left="240" w:top="405" w:right="1039" w:bottom="41"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10(i)</w:t>
            </w:r>
          </w:p>
        </w:tc>
        <w:tc>
          <w:tcPr>
            <w:tcW w:w="5220" w:type="dxa"/>
            <w:vAlign w:val="bottom"/>
          </w:tcPr>
          <w:p>
            <w:pPr>
              <w:ind w:left="380"/>
              <w:spacing w:after="0"/>
              <w:rPr>
                <w:sz w:val="20"/>
                <w:szCs w:val="20"/>
                <w:color w:val="auto"/>
              </w:rPr>
            </w:pPr>
            <w:r>
              <w:rPr>
                <w:rFonts w:ascii="Arial" w:cs="Arial" w:eastAsia="Arial" w:hAnsi="Arial"/>
                <w:sz w:val="18"/>
                <w:szCs w:val="18"/>
                <w:color w:val="auto"/>
                <w:w w:val="99"/>
              </w:rPr>
              <w:t>Employment Agreement, dated as of May 19, 1995, between</w:t>
            </w:r>
          </w:p>
        </w:tc>
      </w:tr>
      <w:tr>
        <w:trPr>
          <w:trHeight w:val="217"/>
        </w:trPr>
        <w:tc>
          <w:tcPr>
            <w:tcW w:w="720" w:type="dxa"/>
            <w:vAlign w:val="bottom"/>
          </w:tcPr>
          <w:p>
            <w:pPr>
              <w:spacing w:after="0"/>
              <w:rPr>
                <w:sz w:val="18"/>
                <w:szCs w:val="18"/>
                <w:color w:val="auto"/>
              </w:rPr>
            </w:pPr>
          </w:p>
        </w:tc>
        <w:tc>
          <w:tcPr>
            <w:tcW w:w="5220" w:type="dxa"/>
            <w:vAlign w:val="bottom"/>
          </w:tcPr>
          <w:p>
            <w:pPr>
              <w:ind w:left="380"/>
              <w:spacing w:after="0"/>
              <w:rPr>
                <w:sz w:val="20"/>
                <w:szCs w:val="20"/>
                <w:color w:val="auto"/>
              </w:rPr>
            </w:pPr>
            <w:r>
              <w:rPr>
                <w:rFonts w:ascii="Arial" w:cs="Arial" w:eastAsia="Arial" w:hAnsi="Arial"/>
                <w:sz w:val="18"/>
                <w:szCs w:val="18"/>
                <w:color w:val="auto"/>
              </w:rPr>
              <w:t>The Scotts Company and James Hagedorn</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800" w:right="200" w:hanging="1099"/>
        <w:spacing w:after="0" w:line="246" w:lineRule="auto"/>
        <w:tabs>
          <w:tab w:leader="none" w:pos="1780" w:val="left"/>
        </w:tabs>
        <w:rPr>
          <w:sz w:val="20"/>
          <w:szCs w:val="20"/>
          <w:color w:val="auto"/>
        </w:rPr>
      </w:pPr>
      <w:r>
        <w:rPr>
          <w:rFonts w:ascii="Arial" w:cs="Arial" w:eastAsia="Arial" w:hAnsi="Arial"/>
          <w:sz w:val="18"/>
          <w:szCs w:val="18"/>
          <w:color w:val="auto"/>
        </w:rPr>
        <w:t>10(j)(1)</w:t>
      </w:r>
      <w:r>
        <w:rPr>
          <w:sz w:val="20"/>
          <w:szCs w:val="20"/>
          <w:color w:val="auto"/>
        </w:rPr>
        <w:tab/>
      </w:r>
      <w:r>
        <w:rPr>
          <w:rFonts w:ascii="Arial" w:cs="Arial" w:eastAsia="Arial" w:hAnsi="Arial"/>
          <w:sz w:val="18"/>
          <w:szCs w:val="18"/>
          <w:color w:val="auto"/>
        </w:rPr>
        <w:t>Letter agreement, dated June 8, 2000, between The Scotts Company and Patrick J. Norton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0" w:hanging="1099"/>
        <w:spacing w:after="0" w:line="248" w:lineRule="auto"/>
        <w:tabs>
          <w:tab w:leader="none" w:pos="1780" w:val="left"/>
        </w:tabs>
        <w:rPr>
          <w:sz w:val="20"/>
          <w:szCs w:val="20"/>
          <w:color w:val="auto"/>
        </w:rPr>
      </w:pPr>
      <w:r>
        <w:rPr>
          <w:rFonts w:ascii="Arial" w:cs="Arial" w:eastAsia="Arial" w:hAnsi="Arial"/>
          <w:sz w:val="17"/>
          <w:szCs w:val="17"/>
          <w:color w:val="auto"/>
        </w:rPr>
        <w:t>10(j)(2)</w:t>
      </w:r>
      <w:r>
        <w:rPr>
          <w:sz w:val="20"/>
          <w:szCs w:val="20"/>
          <w:color w:val="auto"/>
        </w:rPr>
        <w:tab/>
      </w:r>
      <w:r>
        <w:rPr>
          <w:rFonts w:ascii="Arial" w:cs="Arial" w:eastAsia="Arial" w:hAnsi="Arial"/>
          <w:sz w:val="17"/>
          <w:szCs w:val="17"/>
          <w:color w:val="auto"/>
        </w:rPr>
        <w:t>Letter agreement, dated November 5, 2002, and accepted by Mr. Norton on November 22, 2002, pertaining to the terms of employment of Patrick J. Norton through December 31, 2005, and superseding certain provisions of the letter agreement, dated June 8, 2000, between The Scotts Company and</w:t>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Mr. Norton</w:t>
      </w:r>
    </w:p>
    <w:p>
      <w:pPr>
        <w:spacing w:after="0" w:line="374" w:lineRule="exact"/>
        <w:rPr>
          <w:sz w:val="20"/>
          <w:szCs w:val="20"/>
          <w:color w:val="auto"/>
        </w:rPr>
      </w:pPr>
    </w:p>
    <w:p>
      <w:pPr>
        <w:ind w:left="1800" w:right="260" w:hanging="1099"/>
        <w:spacing w:after="0" w:line="246" w:lineRule="auto"/>
        <w:tabs>
          <w:tab w:leader="none" w:pos="1780" w:val="left"/>
        </w:tabs>
        <w:rPr>
          <w:sz w:val="20"/>
          <w:szCs w:val="20"/>
          <w:color w:val="auto"/>
        </w:rPr>
      </w:pPr>
      <w:r>
        <w:rPr>
          <w:rFonts w:ascii="Arial" w:cs="Arial" w:eastAsia="Arial" w:hAnsi="Arial"/>
          <w:sz w:val="18"/>
          <w:szCs w:val="18"/>
          <w:color w:val="auto"/>
        </w:rPr>
        <w:t>10(j)(3)</w:t>
      </w:r>
      <w:r>
        <w:rPr>
          <w:sz w:val="20"/>
          <w:szCs w:val="20"/>
          <w:color w:val="auto"/>
        </w:rPr>
        <w:tab/>
      </w:r>
      <w:r>
        <w:rPr>
          <w:rFonts w:ascii="Arial" w:cs="Arial" w:eastAsia="Arial" w:hAnsi="Arial"/>
          <w:sz w:val="18"/>
          <w:szCs w:val="18"/>
          <w:color w:val="auto"/>
        </w:rPr>
        <w:t>Letter of Extension, dated October 25, 2005, between The Scotts Miracle-Gro Company and Patrick J. Norton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5240" w:type="dxa"/>
            <w:vAlign w:val="bottom"/>
          </w:tcPr>
          <w:p>
            <w:pPr>
              <w:ind w:left="340"/>
              <w:spacing w:after="0"/>
              <w:rPr>
                <w:sz w:val="20"/>
                <w:szCs w:val="20"/>
                <w:color w:val="auto"/>
              </w:rPr>
            </w:pPr>
            <w:r>
              <w:rPr>
                <w:rFonts w:ascii="Arial" w:cs="Arial" w:eastAsia="Arial" w:hAnsi="Arial"/>
                <w:sz w:val="18"/>
                <w:szCs w:val="18"/>
                <w:color w:val="auto"/>
              </w:rPr>
              <w:t>Written description of employment, severance and change in</w:t>
            </w:r>
          </w:p>
        </w:tc>
      </w:tr>
      <w:tr>
        <w:trPr>
          <w:trHeight w:val="203"/>
        </w:trPr>
        <w:tc>
          <w:tcPr>
            <w:tcW w:w="760" w:type="dxa"/>
            <w:vAlign w:val="bottom"/>
          </w:tcPr>
          <w:p>
            <w:pPr>
              <w:spacing w:after="0"/>
              <w:rPr>
                <w:sz w:val="17"/>
                <w:szCs w:val="17"/>
                <w:color w:val="auto"/>
              </w:rPr>
            </w:pPr>
          </w:p>
        </w:tc>
        <w:tc>
          <w:tcPr>
            <w:tcW w:w="5240" w:type="dxa"/>
            <w:vAlign w:val="bottom"/>
          </w:tcPr>
          <w:p>
            <w:pPr>
              <w:ind w:left="340"/>
              <w:spacing w:after="0" w:line="202" w:lineRule="exact"/>
              <w:rPr>
                <w:sz w:val="20"/>
                <w:szCs w:val="20"/>
                <w:color w:val="auto"/>
              </w:rPr>
            </w:pPr>
            <w:r>
              <w:rPr>
                <w:rFonts w:ascii="Arial" w:cs="Arial" w:eastAsia="Arial" w:hAnsi="Arial"/>
                <w:sz w:val="18"/>
                <w:szCs w:val="18"/>
                <w:color w:val="auto"/>
                <w:w w:val="99"/>
              </w:rPr>
              <w:t>control terms between the Registrant and David M. Aronowitz</w:t>
            </w:r>
          </w:p>
        </w:tc>
      </w:tr>
      <w:tr>
        <w:trPr>
          <w:trHeight w:val="217"/>
        </w:trPr>
        <w:tc>
          <w:tcPr>
            <w:tcW w:w="76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and Denise S. Stump</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1995 (File No. 1-11593) [Exhibit 10(p)]</w:t>
      </w:r>
    </w:p>
    <w:p>
      <w:pPr>
        <w:spacing w:after="0" w:line="36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2000 (File No. 1-13292) [Exhibit 10(q)]</w:t>
      </w:r>
    </w:p>
    <w:p>
      <w:pPr>
        <w:spacing w:after="0" w:line="36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2002 (File No. 1-13292) [Exhibit 10(q)]</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December 14, 2005 (File No. 1-13292) [Exhibit 10.3]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15" w:lineRule="exact"/>
        <w:rPr>
          <w:sz w:val="20"/>
          <w:szCs w:val="20"/>
          <w:color w:val="auto"/>
        </w:rPr>
      </w:pPr>
    </w:p>
    <w:p>
      <w:pPr>
        <w:sectPr>
          <w:pgSz w:w="11900" w:h="16838" w:orient="portrait"/>
          <w:cols w:equalWidth="0" w:num="2">
            <w:col w:w="6700" w:space="360"/>
            <w:col w:w="3560"/>
          </w:cols>
          <w:pgMar w:left="240" w:top="405" w:right="1039" w:bottom="41" w:gutter="0" w:footer="0" w:header="0"/>
          <w:type w:val="continuous"/>
        </w:sectPr>
      </w:pPr>
    </w:p>
    <w:p>
      <w:pPr>
        <w:spacing w:after="0" w:line="2" w:lineRule="exact"/>
        <w:rPr>
          <w:sz w:val="20"/>
          <w:szCs w:val="20"/>
          <w:color w:val="auto"/>
        </w:rPr>
      </w:pPr>
    </w:p>
    <w:p>
      <w:pPr>
        <w:ind w:left="5580"/>
        <w:spacing w:after="0"/>
        <w:rPr>
          <w:sz w:val="20"/>
          <w:szCs w:val="20"/>
          <w:color w:val="auto"/>
        </w:rPr>
      </w:pPr>
      <w:r>
        <w:rPr>
          <w:rFonts w:ascii="Arial" w:cs="Arial" w:eastAsia="Arial" w:hAnsi="Arial"/>
          <w:sz w:val="9"/>
          <w:szCs w:val="9"/>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-64770</wp:posOffset>
            </wp:positionV>
            <wp:extent cx="1885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155575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41"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26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76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Location</w:t>
            </w: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10(l)(1)</w:t>
            </w:r>
          </w:p>
        </w:tc>
        <w:tc>
          <w:tcPr>
            <w:tcW w:w="5260" w:type="dxa"/>
            <w:vAlign w:val="bottom"/>
          </w:tcPr>
          <w:p>
            <w:pPr>
              <w:ind w:left="200"/>
              <w:spacing w:after="0"/>
              <w:rPr>
                <w:sz w:val="20"/>
                <w:szCs w:val="20"/>
                <w:color w:val="auto"/>
              </w:rPr>
            </w:pPr>
            <w:r>
              <w:rPr>
                <w:rFonts w:ascii="Arial" w:cs="Arial" w:eastAsia="Arial" w:hAnsi="Arial"/>
                <w:sz w:val="18"/>
                <w:szCs w:val="18"/>
                <w:color w:val="auto"/>
              </w:rPr>
              <w:t>The Scotts Company 2003 Stock Option and Incentive Equity</w:t>
            </w:r>
          </w:p>
        </w:tc>
        <w:tc>
          <w:tcPr>
            <w:tcW w:w="3760" w:type="dxa"/>
            <w:vAlign w:val="bottom"/>
          </w:tcPr>
          <w:p>
            <w:pPr>
              <w:ind w:left="200"/>
              <w:spacing w:after="0"/>
              <w:rPr>
                <w:sz w:val="20"/>
                <w:szCs w:val="20"/>
                <w:color w:val="auto"/>
              </w:rPr>
            </w:pPr>
            <w:r>
              <w:rPr>
                <w:rFonts w:ascii="Arial" w:cs="Arial" w:eastAsia="Arial" w:hAnsi="Arial"/>
                <w:sz w:val="18"/>
                <w:szCs w:val="18"/>
                <w:color w:val="auto"/>
              </w:rPr>
              <w:t>Incorporated herein by reference to Scotts’</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60" w:type="dxa"/>
            <w:vAlign w:val="bottom"/>
          </w:tcPr>
          <w:p>
            <w:pPr>
              <w:ind w:left="200"/>
              <w:spacing w:after="0" w:line="202" w:lineRule="exact"/>
              <w:rPr>
                <w:sz w:val="20"/>
                <w:szCs w:val="20"/>
                <w:color w:val="auto"/>
              </w:rPr>
            </w:pPr>
            <w:r>
              <w:rPr>
                <w:rFonts w:ascii="Arial" w:cs="Arial" w:eastAsia="Arial" w:hAnsi="Arial"/>
                <w:sz w:val="18"/>
                <w:szCs w:val="18"/>
                <w:color w:val="auto"/>
              </w:rPr>
              <w:t>Plan</w:t>
            </w: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Quarterly Report on Form 10-Q for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quarterly period ended December 28, 2002</w:t>
            </w: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(File No. 1-13292) [Exhibit 10(w)]</w:t>
            </w:r>
          </w:p>
        </w:tc>
      </w:tr>
    </w:tbl>
    <w:p>
      <w:pPr>
        <w:spacing w:after="0" w:line="200" w:lineRule="exact"/>
        <w:rPr>
          <w:sz w:val="20"/>
          <w:szCs w:val="20"/>
          <w:color w:val="auto"/>
        </w:rPr>
      </w:pPr>
    </w:p>
    <w:p>
      <w:pPr>
        <w:sectPr>
          <w:pgSz w:w="11900" w:h="16838" w:orient="portrait"/>
          <w:cols w:equalWidth="0" w:num="1">
            <w:col w:w="10620"/>
          </w:cols>
          <w:pgMar w:left="240" w:top="405" w:right="1039" w:bottom="999" w:gutter="0" w:footer="0" w:header="0"/>
        </w:sectPr>
      </w:pPr>
    </w:p>
    <w:p>
      <w:pPr>
        <w:spacing w:after="0" w:line="164" w:lineRule="exact"/>
        <w:rPr>
          <w:sz w:val="20"/>
          <w:szCs w:val="20"/>
          <w:color w:val="auto"/>
        </w:rPr>
      </w:pPr>
    </w:p>
    <w:p>
      <w:pPr>
        <w:ind w:left="1800" w:hanging="1099"/>
        <w:spacing w:after="0" w:line="239" w:lineRule="auto"/>
        <w:tabs>
          <w:tab w:leader="none" w:pos="1780" w:val="left"/>
        </w:tabs>
        <w:rPr>
          <w:sz w:val="20"/>
          <w:szCs w:val="20"/>
          <w:color w:val="auto"/>
        </w:rPr>
      </w:pPr>
      <w:r>
        <w:rPr>
          <w:rFonts w:ascii="Arial" w:cs="Arial" w:eastAsia="Arial" w:hAnsi="Arial"/>
          <w:sz w:val="18"/>
          <w:szCs w:val="18"/>
          <w:color w:val="auto"/>
        </w:rPr>
        <w:t>10(l)(2)</w:t>
      </w:r>
      <w:r>
        <w:rPr>
          <w:sz w:val="20"/>
          <w:szCs w:val="20"/>
          <w:color w:val="auto"/>
        </w:rPr>
        <w:tab/>
      </w:r>
      <w:r>
        <w:rPr>
          <w:rFonts w:ascii="Arial" w:cs="Arial" w:eastAsia="Arial" w:hAnsi="Arial"/>
          <w:sz w:val="18"/>
          <w:szCs w:val="18"/>
          <w:color w:val="auto"/>
        </w:rPr>
        <w:t>First Amendment to The Scotts Company 2003 Stock Option and Incentive Equity Plan, effective as of March 18, 2005 (amended title of plan to be The Scotts Miracle-Gro Company 2003 Stock Option and Incentive Equity Plan)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2005 (File No. 1-13292) [Exhibit 10(AA)]</w:t>
      </w:r>
    </w:p>
    <w:p>
      <w:pPr>
        <w:spacing w:after="0" w:line="200" w:lineRule="exact"/>
        <w:rPr>
          <w:sz w:val="20"/>
          <w:szCs w:val="20"/>
          <w:color w:val="auto"/>
        </w:rPr>
      </w:pPr>
    </w:p>
    <w:p>
      <w:pPr>
        <w:sectPr>
          <w:pgSz w:w="11900" w:h="16838" w:orient="portrait"/>
          <w:cols w:equalWidth="0" w:num="2">
            <w:col w:w="6700" w:space="360"/>
            <w:col w:w="3560"/>
          </w:cols>
          <w:pgMar w:left="240" w:top="405" w:right="1039" w:bottom="999" w:gutter="0" w:footer="0" w:header="0"/>
          <w:type w:val="continuous"/>
        </w:sectPr>
      </w:pPr>
    </w:p>
    <w:p>
      <w:pPr>
        <w:spacing w:after="0" w:line="164" w:lineRule="exact"/>
        <w:rPr>
          <w:sz w:val="20"/>
          <w:szCs w:val="20"/>
          <w:color w:val="auto"/>
        </w:rPr>
      </w:pPr>
    </w:p>
    <w:p>
      <w:pPr>
        <w:jc w:val="both"/>
        <w:ind w:left="1800" w:hanging="1099"/>
        <w:spacing w:after="0"/>
        <w:tabs>
          <w:tab w:leader="none" w:pos="1780" w:val="left"/>
        </w:tabs>
        <w:rPr>
          <w:sz w:val="20"/>
          <w:szCs w:val="20"/>
          <w:color w:val="auto"/>
        </w:rPr>
      </w:pPr>
      <w:r>
        <w:rPr>
          <w:rFonts w:ascii="Arial" w:cs="Arial" w:eastAsia="Arial" w:hAnsi="Arial"/>
          <w:sz w:val="18"/>
          <w:szCs w:val="18"/>
          <w:color w:val="auto"/>
        </w:rPr>
        <w:t>10(m)</w:t>
      </w:r>
      <w:r>
        <w:rPr>
          <w:sz w:val="20"/>
          <w:szCs w:val="20"/>
          <w:color w:val="auto"/>
        </w:rPr>
        <w:tab/>
      </w:r>
      <w:r>
        <w:rPr>
          <w:rFonts w:ascii="Arial" w:cs="Arial" w:eastAsia="Arial" w:hAnsi="Arial"/>
          <w:sz w:val="18"/>
          <w:szCs w:val="18"/>
          <w:color w:val="auto"/>
        </w:rPr>
        <w:t>Letter agreement between The Scotts Company and Robert F. Bernstock, dated April 23, 2003 and accepted by Mr. Bernstock on May 2, 2003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Incorporated herein by reference to Scotts’ Quarterly Report on Form 10-Q for the quarterly period ended June 28, 2003 (File No. 1-13292) [Exhibit 10(x)]</w:t>
      </w:r>
    </w:p>
    <w:p>
      <w:pPr>
        <w:spacing w:after="0" w:line="200" w:lineRule="exact"/>
        <w:rPr>
          <w:sz w:val="20"/>
          <w:szCs w:val="20"/>
          <w:color w:val="auto"/>
        </w:rPr>
      </w:pPr>
    </w:p>
    <w:p>
      <w:pPr>
        <w:sectPr>
          <w:pgSz w:w="11900" w:h="16838" w:orient="portrait"/>
          <w:cols w:equalWidth="0" w:num="2">
            <w:col w:w="6840" w:space="220"/>
            <w:col w:w="3560"/>
          </w:cols>
          <w:pgMar w:left="240" w:top="405" w:right="1039" w:bottom="999"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10(n)</w:t>
            </w:r>
          </w:p>
        </w:tc>
        <w:tc>
          <w:tcPr>
            <w:tcW w:w="5300" w:type="dxa"/>
            <w:vAlign w:val="bottom"/>
          </w:tcPr>
          <w:p>
            <w:pPr>
              <w:ind w:left="340"/>
              <w:spacing w:after="0"/>
              <w:rPr>
                <w:sz w:val="20"/>
                <w:szCs w:val="20"/>
                <w:color w:val="auto"/>
              </w:rPr>
            </w:pPr>
            <w:r>
              <w:rPr>
                <w:rFonts w:ascii="Arial" w:cs="Arial" w:eastAsia="Arial" w:hAnsi="Arial"/>
                <w:sz w:val="18"/>
                <w:szCs w:val="18"/>
                <w:color w:val="auto"/>
              </w:rPr>
              <w:t>Employment Agreement and Covenant Not to Compete,</w:t>
            </w:r>
          </w:p>
        </w:tc>
      </w:tr>
      <w:tr>
        <w:trPr>
          <w:trHeight w:val="203"/>
        </w:trPr>
        <w:tc>
          <w:tcPr>
            <w:tcW w:w="760" w:type="dxa"/>
            <w:vAlign w:val="bottom"/>
          </w:tcPr>
          <w:p>
            <w:pPr>
              <w:spacing w:after="0"/>
              <w:rPr>
                <w:sz w:val="17"/>
                <w:szCs w:val="17"/>
                <w:color w:val="auto"/>
              </w:rPr>
            </w:pPr>
          </w:p>
        </w:tc>
        <w:tc>
          <w:tcPr>
            <w:tcW w:w="5300" w:type="dxa"/>
            <w:vAlign w:val="bottom"/>
          </w:tcPr>
          <w:p>
            <w:pPr>
              <w:ind w:left="340"/>
              <w:spacing w:after="0" w:line="202" w:lineRule="exact"/>
              <w:rPr>
                <w:sz w:val="20"/>
                <w:szCs w:val="20"/>
                <w:color w:val="auto"/>
              </w:rPr>
            </w:pPr>
            <w:r>
              <w:rPr>
                <w:rFonts w:ascii="Arial" w:cs="Arial" w:eastAsia="Arial" w:hAnsi="Arial"/>
                <w:sz w:val="18"/>
                <w:szCs w:val="18"/>
                <w:color w:val="auto"/>
                <w:w w:val="99"/>
              </w:rPr>
              <w:t>effective as of October 1, 2004, between The Scotts Company</w:t>
            </w:r>
          </w:p>
        </w:tc>
      </w:tr>
      <w:tr>
        <w:trPr>
          <w:trHeight w:val="217"/>
        </w:trPr>
        <w:tc>
          <w:tcPr>
            <w:tcW w:w="76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and Robert F. Bernstock</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Incorporated herein by reference to Scotts’ Current Report on Form 8-K filed November 19, 2004 (File No. 1-13292) [Exhibit 10.1]</w:t>
      </w:r>
    </w:p>
    <w:p>
      <w:pPr>
        <w:spacing w:after="0" w:line="200" w:lineRule="exact"/>
        <w:rPr>
          <w:sz w:val="20"/>
          <w:szCs w:val="20"/>
          <w:color w:val="auto"/>
        </w:rPr>
      </w:pPr>
    </w:p>
    <w:p>
      <w:pPr>
        <w:sectPr>
          <w:pgSz w:w="11900" w:h="16838" w:orient="portrait"/>
          <w:cols w:equalWidth="0" w:num="2">
            <w:col w:w="6760" w:space="300"/>
            <w:col w:w="3560"/>
          </w:cols>
          <w:pgMar w:left="240" w:top="405" w:right="1039" w:bottom="999"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10(o)</w:t>
            </w:r>
          </w:p>
        </w:tc>
        <w:tc>
          <w:tcPr>
            <w:tcW w:w="5400" w:type="dxa"/>
            <w:vAlign w:val="bottom"/>
          </w:tcPr>
          <w:p>
            <w:pPr>
              <w:ind w:left="340"/>
              <w:spacing w:after="0"/>
              <w:rPr>
                <w:sz w:val="20"/>
                <w:szCs w:val="20"/>
                <w:color w:val="auto"/>
              </w:rPr>
            </w:pPr>
            <w:r>
              <w:rPr>
                <w:rFonts w:ascii="Arial" w:cs="Arial" w:eastAsia="Arial" w:hAnsi="Arial"/>
                <w:sz w:val="18"/>
                <w:szCs w:val="18"/>
                <w:color w:val="auto"/>
                <w:w w:val="99"/>
              </w:rPr>
              <w:t>First Amendment to Employment Agreement and Covenant Not</w:t>
            </w:r>
          </w:p>
        </w:tc>
      </w:tr>
      <w:tr>
        <w:trPr>
          <w:trHeight w:val="203"/>
        </w:trPr>
        <w:tc>
          <w:tcPr>
            <w:tcW w:w="760" w:type="dxa"/>
            <w:vAlign w:val="bottom"/>
          </w:tcPr>
          <w:p>
            <w:pPr>
              <w:spacing w:after="0"/>
              <w:rPr>
                <w:sz w:val="17"/>
                <w:szCs w:val="17"/>
                <w:color w:val="auto"/>
              </w:rPr>
            </w:pPr>
          </w:p>
        </w:tc>
        <w:tc>
          <w:tcPr>
            <w:tcW w:w="5400" w:type="dxa"/>
            <w:vAlign w:val="bottom"/>
          </w:tcPr>
          <w:p>
            <w:pPr>
              <w:ind w:left="340"/>
              <w:spacing w:after="0" w:line="202" w:lineRule="exact"/>
              <w:rPr>
                <w:sz w:val="20"/>
                <w:szCs w:val="20"/>
                <w:color w:val="auto"/>
              </w:rPr>
            </w:pPr>
            <w:r>
              <w:rPr>
                <w:rFonts w:ascii="Arial" w:cs="Arial" w:eastAsia="Arial" w:hAnsi="Arial"/>
                <w:sz w:val="18"/>
                <w:szCs w:val="18"/>
                <w:color w:val="auto"/>
              </w:rPr>
              <w:t>to Compete, effective as of October 1, 2004, between The</w:t>
            </w:r>
          </w:p>
        </w:tc>
      </w:tr>
      <w:tr>
        <w:trPr>
          <w:trHeight w:val="217"/>
        </w:trPr>
        <w:tc>
          <w:tcPr>
            <w:tcW w:w="76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Scotts Company and Robert F. Bernstock</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Incorporated herein by reference to Scotts’ Current Report on Form 8-K filed November 19, 2004 (File No. 1-13292) [Exhibit 10.2]</w:t>
      </w:r>
    </w:p>
    <w:p>
      <w:pPr>
        <w:spacing w:after="0" w:line="200" w:lineRule="exact"/>
        <w:rPr>
          <w:sz w:val="20"/>
          <w:szCs w:val="20"/>
          <w:color w:val="auto"/>
        </w:rPr>
      </w:pPr>
    </w:p>
    <w:p>
      <w:pPr>
        <w:sectPr>
          <w:pgSz w:w="11900" w:h="16838" w:orient="portrait"/>
          <w:cols w:equalWidth="0" w:num="2">
            <w:col w:w="6860" w:space="200"/>
            <w:col w:w="3560"/>
          </w:cols>
          <w:pgMar w:left="240" w:top="405" w:right="1039" w:bottom="999"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10(p)</w:t>
            </w:r>
          </w:p>
        </w:tc>
        <w:tc>
          <w:tcPr>
            <w:tcW w:w="5320" w:type="dxa"/>
            <w:vAlign w:val="bottom"/>
          </w:tcPr>
          <w:p>
            <w:pPr>
              <w:ind w:left="340"/>
              <w:spacing w:after="0"/>
              <w:rPr>
                <w:sz w:val="20"/>
                <w:szCs w:val="20"/>
                <w:color w:val="auto"/>
              </w:rPr>
            </w:pPr>
            <w:r>
              <w:rPr>
                <w:rFonts w:ascii="Arial" w:cs="Arial" w:eastAsia="Arial" w:hAnsi="Arial"/>
                <w:sz w:val="18"/>
                <w:szCs w:val="18"/>
                <w:color w:val="auto"/>
                <w:w w:val="99"/>
              </w:rPr>
              <w:t>Second Amendment to Employment Agreement and Covenant</w:t>
            </w:r>
          </w:p>
        </w:tc>
      </w:tr>
      <w:tr>
        <w:trPr>
          <w:trHeight w:val="203"/>
        </w:trPr>
        <w:tc>
          <w:tcPr>
            <w:tcW w:w="760" w:type="dxa"/>
            <w:vAlign w:val="bottom"/>
          </w:tcPr>
          <w:p>
            <w:pPr>
              <w:spacing w:after="0"/>
              <w:rPr>
                <w:sz w:val="17"/>
                <w:szCs w:val="17"/>
                <w:color w:val="auto"/>
              </w:rPr>
            </w:pPr>
          </w:p>
        </w:tc>
        <w:tc>
          <w:tcPr>
            <w:tcW w:w="5320" w:type="dxa"/>
            <w:vAlign w:val="bottom"/>
          </w:tcPr>
          <w:p>
            <w:pPr>
              <w:ind w:left="340"/>
              <w:spacing w:after="0" w:line="202" w:lineRule="exact"/>
              <w:rPr>
                <w:sz w:val="20"/>
                <w:szCs w:val="20"/>
                <w:color w:val="auto"/>
              </w:rPr>
            </w:pPr>
            <w:r>
              <w:rPr>
                <w:rFonts w:ascii="Arial" w:cs="Arial" w:eastAsia="Arial" w:hAnsi="Arial"/>
                <w:sz w:val="18"/>
                <w:szCs w:val="18"/>
                <w:color w:val="auto"/>
              </w:rPr>
              <w:t>Not to Compete, effective as of October 1, 2004, between The</w:t>
            </w:r>
          </w:p>
        </w:tc>
      </w:tr>
      <w:tr>
        <w:trPr>
          <w:trHeight w:val="217"/>
        </w:trPr>
        <w:tc>
          <w:tcPr>
            <w:tcW w:w="76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Scotts Company and Robert F. Bernstock</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Incorporated herein by reference to Scotts’ Current Report on Form 8-K filed November 19, 2004 (File No. 1-13292) [Exhibit 10.3]</w:t>
      </w:r>
    </w:p>
    <w:p>
      <w:pPr>
        <w:spacing w:after="0" w:line="200" w:lineRule="exact"/>
        <w:rPr>
          <w:sz w:val="20"/>
          <w:szCs w:val="20"/>
          <w:color w:val="auto"/>
        </w:rPr>
      </w:pPr>
    </w:p>
    <w:p>
      <w:pPr>
        <w:sectPr>
          <w:pgSz w:w="11900" w:h="16838" w:orient="portrait"/>
          <w:cols w:equalWidth="0" w:num="2">
            <w:col w:w="6780" w:space="280"/>
            <w:col w:w="3560"/>
          </w:cols>
          <w:pgMar w:left="240" w:top="405" w:right="1039" w:bottom="999"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5360" w:type="dxa"/>
            <w:vAlign w:val="bottom"/>
          </w:tcPr>
          <w:p>
            <w:pPr>
              <w:ind w:left="340"/>
              <w:spacing w:after="0"/>
              <w:rPr>
                <w:sz w:val="20"/>
                <w:szCs w:val="20"/>
                <w:color w:val="auto"/>
              </w:rPr>
            </w:pPr>
            <w:r>
              <w:rPr>
                <w:rFonts w:ascii="Arial" w:cs="Arial" w:eastAsia="Arial" w:hAnsi="Arial"/>
                <w:sz w:val="18"/>
                <w:szCs w:val="18"/>
                <w:color w:val="auto"/>
              </w:rPr>
              <w:t>Third Amendment to Employment Agreement and Covenant</w:t>
            </w:r>
          </w:p>
        </w:tc>
      </w:tr>
      <w:tr>
        <w:trPr>
          <w:trHeight w:val="203"/>
        </w:trPr>
        <w:tc>
          <w:tcPr>
            <w:tcW w:w="760" w:type="dxa"/>
            <w:vAlign w:val="bottom"/>
          </w:tcPr>
          <w:p>
            <w:pPr>
              <w:spacing w:after="0"/>
              <w:rPr>
                <w:sz w:val="17"/>
                <w:szCs w:val="17"/>
                <w:color w:val="auto"/>
              </w:rPr>
            </w:pPr>
          </w:p>
        </w:tc>
        <w:tc>
          <w:tcPr>
            <w:tcW w:w="5360" w:type="dxa"/>
            <w:vAlign w:val="bottom"/>
          </w:tcPr>
          <w:p>
            <w:pPr>
              <w:ind w:left="340"/>
              <w:spacing w:after="0" w:line="202" w:lineRule="exact"/>
              <w:rPr>
                <w:sz w:val="20"/>
                <w:szCs w:val="20"/>
                <w:color w:val="auto"/>
              </w:rPr>
            </w:pPr>
            <w:r>
              <w:rPr>
                <w:rFonts w:ascii="Arial" w:cs="Arial" w:eastAsia="Arial" w:hAnsi="Arial"/>
                <w:sz w:val="18"/>
                <w:szCs w:val="18"/>
                <w:color w:val="auto"/>
              </w:rPr>
              <w:t>Not to Compete, executed February 9, 2006 to be effective as</w:t>
            </w:r>
          </w:p>
        </w:tc>
      </w:tr>
      <w:tr>
        <w:trPr>
          <w:trHeight w:val="203"/>
        </w:trPr>
        <w:tc>
          <w:tcPr>
            <w:tcW w:w="760" w:type="dxa"/>
            <w:vAlign w:val="bottom"/>
          </w:tcPr>
          <w:p>
            <w:pPr>
              <w:spacing w:after="0"/>
              <w:rPr>
                <w:sz w:val="17"/>
                <w:szCs w:val="17"/>
                <w:color w:val="auto"/>
              </w:rPr>
            </w:pPr>
          </w:p>
        </w:tc>
        <w:tc>
          <w:tcPr>
            <w:tcW w:w="5360" w:type="dxa"/>
            <w:vAlign w:val="bottom"/>
          </w:tcPr>
          <w:p>
            <w:pPr>
              <w:ind w:left="340"/>
              <w:spacing w:after="0" w:line="202" w:lineRule="exact"/>
              <w:rPr>
                <w:sz w:val="20"/>
                <w:szCs w:val="20"/>
                <w:color w:val="auto"/>
              </w:rPr>
            </w:pPr>
            <w:r>
              <w:rPr>
                <w:rFonts w:ascii="Arial" w:cs="Arial" w:eastAsia="Arial" w:hAnsi="Arial"/>
                <w:sz w:val="18"/>
                <w:szCs w:val="18"/>
                <w:color w:val="auto"/>
                <w:w w:val="99"/>
              </w:rPr>
              <w:t>of October 1, 2005, between The Scotts Miracle-Gro Company,</w:t>
            </w:r>
          </w:p>
        </w:tc>
      </w:tr>
      <w:tr>
        <w:trPr>
          <w:trHeight w:val="217"/>
        </w:trPr>
        <w:tc>
          <w:tcPr>
            <w:tcW w:w="76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The Scotts Company LLC and Robert F. Bernstock</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2005 (File No. 1-13292) [Exhibit 10(c)]</w:t>
      </w:r>
    </w:p>
    <w:p>
      <w:pPr>
        <w:spacing w:after="0" w:line="200" w:lineRule="exact"/>
        <w:rPr>
          <w:sz w:val="20"/>
          <w:szCs w:val="20"/>
          <w:color w:val="auto"/>
        </w:rPr>
      </w:pPr>
    </w:p>
    <w:p>
      <w:pPr>
        <w:sectPr>
          <w:pgSz w:w="11900" w:h="16838" w:orient="portrait"/>
          <w:cols w:equalWidth="0" w:num="2">
            <w:col w:w="6820" w:space="240"/>
            <w:col w:w="3560"/>
          </w:cols>
          <w:pgMar w:left="240" w:top="405" w:right="1039" w:bottom="999" w:gutter="0" w:footer="0" w:header="0"/>
          <w:type w:val="continuous"/>
        </w:sectPr>
      </w:pP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10(r)</w:t>
            </w:r>
          </w:p>
        </w:tc>
        <w:tc>
          <w:tcPr>
            <w:tcW w:w="5300" w:type="dxa"/>
            <w:vAlign w:val="bottom"/>
          </w:tcPr>
          <w:p>
            <w:pPr>
              <w:ind w:left="360"/>
              <w:spacing w:after="0"/>
              <w:rPr>
                <w:sz w:val="20"/>
                <w:szCs w:val="20"/>
                <w:color w:val="auto"/>
              </w:rPr>
            </w:pPr>
            <w:r>
              <w:rPr>
                <w:rFonts w:ascii="Arial" w:cs="Arial" w:eastAsia="Arial" w:hAnsi="Arial"/>
                <w:sz w:val="18"/>
                <w:szCs w:val="18"/>
                <w:color w:val="auto"/>
              </w:rPr>
              <w:t>The Scotts Company 2003 Stock Option and Incentive Equity</w:t>
            </w:r>
          </w:p>
        </w:tc>
      </w:tr>
      <w:tr>
        <w:trPr>
          <w:trHeight w:val="203"/>
        </w:trPr>
        <w:tc>
          <w:tcPr>
            <w:tcW w:w="740" w:type="dxa"/>
            <w:vAlign w:val="bottom"/>
          </w:tcPr>
          <w:p>
            <w:pPr>
              <w:spacing w:after="0"/>
              <w:rPr>
                <w:sz w:val="17"/>
                <w:szCs w:val="17"/>
                <w:color w:val="auto"/>
              </w:rPr>
            </w:pPr>
          </w:p>
        </w:tc>
        <w:tc>
          <w:tcPr>
            <w:tcW w:w="5300" w:type="dxa"/>
            <w:vAlign w:val="bottom"/>
          </w:tcPr>
          <w:p>
            <w:pPr>
              <w:ind w:left="360"/>
              <w:spacing w:after="0" w:line="202" w:lineRule="exact"/>
              <w:rPr>
                <w:sz w:val="20"/>
                <w:szCs w:val="20"/>
                <w:color w:val="auto"/>
              </w:rPr>
            </w:pPr>
            <w:r>
              <w:rPr>
                <w:rFonts w:ascii="Arial" w:cs="Arial" w:eastAsia="Arial" w:hAnsi="Arial"/>
                <w:sz w:val="18"/>
                <w:szCs w:val="18"/>
                <w:color w:val="auto"/>
              </w:rPr>
              <w:t>Plan Award Agreement for Nondirectors, effective as of</w:t>
            </w:r>
          </w:p>
        </w:tc>
      </w:tr>
      <w:tr>
        <w:trPr>
          <w:trHeight w:val="203"/>
        </w:trPr>
        <w:tc>
          <w:tcPr>
            <w:tcW w:w="740" w:type="dxa"/>
            <w:vAlign w:val="bottom"/>
          </w:tcPr>
          <w:p>
            <w:pPr>
              <w:spacing w:after="0"/>
              <w:rPr>
                <w:sz w:val="17"/>
                <w:szCs w:val="17"/>
                <w:color w:val="auto"/>
              </w:rPr>
            </w:pPr>
          </w:p>
        </w:tc>
        <w:tc>
          <w:tcPr>
            <w:tcW w:w="5300" w:type="dxa"/>
            <w:vAlign w:val="bottom"/>
          </w:tcPr>
          <w:p>
            <w:pPr>
              <w:ind w:left="360"/>
              <w:spacing w:after="0" w:line="202" w:lineRule="exact"/>
              <w:rPr>
                <w:sz w:val="20"/>
                <w:szCs w:val="20"/>
                <w:color w:val="auto"/>
              </w:rPr>
            </w:pPr>
            <w:r>
              <w:rPr>
                <w:rFonts w:ascii="Arial" w:cs="Arial" w:eastAsia="Arial" w:hAnsi="Arial"/>
                <w:sz w:val="18"/>
                <w:szCs w:val="18"/>
                <w:color w:val="auto"/>
                <w:w w:val="99"/>
              </w:rPr>
              <w:t>October 1, 2004, between The Scotts Company and Robert F.</w:t>
            </w:r>
          </w:p>
        </w:tc>
      </w:tr>
      <w:tr>
        <w:trPr>
          <w:trHeight w:val="203"/>
        </w:trPr>
        <w:tc>
          <w:tcPr>
            <w:tcW w:w="740" w:type="dxa"/>
            <w:vAlign w:val="bottom"/>
          </w:tcPr>
          <w:p>
            <w:pPr>
              <w:spacing w:after="0"/>
              <w:rPr>
                <w:sz w:val="17"/>
                <w:szCs w:val="17"/>
                <w:color w:val="auto"/>
              </w:rPr>
            </w:pPr>
          </w:p>
        </w:tc>
        <w:tc>
          <w:tcPr>
            <w:tcW w:w="5300" w:type="dxa"/>
            <w:vAlign w:val="bottom"/>
          </w:tcPr>
          <w:p>
            <w:pPr>
              <w:ind w:left="360"/>
              <w:spacing w:after="0" w:line="202" w:lineRule="exact"/>
              <w:rPr>
                <w:sz w:val="20"/>
                <w:szCs w:val="20"/>
                <w:color w:val="auto"/>
              </w:rPr>
            </w:pPr>
            <w:r>
              <w:rPr>
                <w:rFonts w:ascii="Arial" w:cs="Arial" w:eastAsia="Arial" w:hAnsi="Arial"/>
                <w:sz w:val="18"/>
                <w:szCs w:val="18"/>
                <w:color w:val="auto"/>
              </w:rPr>
              <w:t>Bernstock, in respect of grant of 25,000 shares of restricted</w:t>
            </w:r>
          </w:p>
        </w:tc>
      </w:tr>
      <w:tr>
        <w:trPr>
          <w:trHeight w:val="217"/>
        </w:trPr>
        <w:tc>
          <w:tcPr>
            <w:tcW w:w="74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stock</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Incorporated herein by reference to Scotts’ Current Report on Form 8-K filed November 19, 2004 (File No. 1-13292) [Exhibit 10.4]</w:t>
      </w:r>
    </w:p>
    <w:p>
      <w:pPr>
        <w:spacing w:after="0" w:line="402" w:lineRule="exact"/>
        <w:rPr>
          <w:sz w:val="20"/>
          <w:szCs w:val="20"/>
          <w:color w:val="auto"/>
        </w:rPr>
      </w:pPr>
    </w:p>
    <w:p>
      <w:pPr>
        <w:sectPr>
          <w:pgSz w:w="11900" w:h="16838" w:orient="portrait"/>
          <w:cols w:equalWidth="0" w:num="2">
            <w:col w:w="6740" w:space="320"/>
            <w:col w:w="3560"/>
          </w:cols>
          <w:pgMar w:left="240" w:top="405" w:right="1039" w:bottom="999" w:gutter="0" w:footer="0" w:header="0"/>
          <w:type w:val="continuous"/>
        </w:sectPr>
      </w:pP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10(s)</w:t>
            </w:r>
          </w:p>
        </w:tc>
        <w:tc>
          <w:tcPr>
            <w:tcW w:w="5120" w:type="dxa"/>
            <w:vAlign w:val="bottom"/>
          </w:tcPr>
          <w:p>
            <w:pPr>
              <w:ind w:left="340"/>
              <w:spacing w:after="0"/>
              <w:rPr>
                <w:sz w:val="20"/>
                <w:szCs w:val="20"/>
                <w:color w:val="auto"/>
              </w:rPr>
            </w:pPr>
            <w:r>
              <w:rPr>
                <w:rFonts w:ascii="Arial" w:cs="Arial" w:eastAsia="Arial" w:hAnsi="Arial"/>
                <w:sz w:val="18"/>
                <w:szCs w:val="18"/>
                <w:color w:val="auto"/>
                <w:w w:val="99"/>
              </w:rPr>
              <w:t>Amendment to The Scotts Company 2003 Stock Option and</w:t>
            </w:r>
          </w:p>
        </w:tc>
      </w:tr>
      <w:tr>
        <w:trPr>
          <w:trHeight w:val="203"/>
        </w:trPr>
        <w:tc>
          <w:tcPr>
            <w:tcW w:w="760" w:type="dxa"/>
            <w:vAlign w:val="bottom"/>
          </w:tcPr>
          <w:p>
            <w:pPr>
              <w:spacing w:after="0"/>
              <w:rPr>
                <w:sz w:val="17"/>
                <w:szCs w:val="17"/>
                <w:color w:val="auto"/>
              </w:rPr>
            </w:pPr>
          </w:p>
        </w:tc>
        <w:tc>
          <w:tcPr>
            <w:tcW w:w="5120" w:type="dxa"/>
            <w:vAlign w:val="bottom"/>
          </w:tcPr>
          <w:p>
            <w:pPr>
              <w:ind w:left="340"/>
              <w:spacing w:after="0" w:line="202" w:lineRule="exact"/>
              <w:rPr>
                <w:sz w:val="20"/>
                <w:szCs w:val="20"/>
                <w:color w:val="auto"/>
              </w:rPr>
            </w:pPr>
            <w:r>
              <w:rPr>
                <w:rFonts w:ascii="Arial" w:cs="Arial" w:eastAsia="Arial" w:hAnsi="Arial"/>
                <w:sz w:val="18"/>
                <w:szCs w:val="18"/>
                <w:color w:val="auto"/>
              </w:rPr>
              <w:t>Incentive Equity Plan Award Agreement for Nondirectors,</w:t>
            </w:r>
          </w:p>
        </w:tc>
      </w:tr>
    </w:tbl>
    <w:p>
      <w:pPr>
        <w:ind w:left="1800"/>
        <w:spacing w:after="0"/>
        <w:rPr>
          <w:sz w:val="20"/>
          <w:szCs w:val="20"/>
          <w:color w:val="auto"/>
        </w:rPr>
      </w:pPr>
      <w:r>
        <w:rPr>
          <w:rFonts w:ascii="Arial" w:cs="Arial" w:eastAsia="Arial" w:hAnsi="Arial"/>
          <w:sz w:val="18"/>
          <w:szCs w:val="18"/>
          <w:color w:val="auto"/>
        </w:rPr>
        <w:t>effective as of October 1, 2004, between The Scotts Company and Robert F. Bernstock, in respect of June 2, 2003 award of freestanding stock appreciation rights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Incorporated herein by reference to Scotts’ Current Report on Form 8-K filed November 19, 2004 (File No. 1-13292) [Exhibit 10.5]</w:t>
      </w:r>
    </w:p>
    <w:p>
      <w:pPr>
        <w:spacing w:after="0" w:line="401" w:lineRule="exact"/>
        <w:rPr>
          <w:sz w:val="20"/>
          <w:szCs w:val="20"/>
          <w:color w:val="auto"/>
        </w:rPr>
      </w:pPr>
    </w:p>
    <w:p>
      <w:pPr>
        <w:sectPr>
          <w:pgSz w:w="11900" w:h="16838" w:orient="portrait"/>
          <w:cols w:equalWidth="0" w:num="2">
            <w:col w:w="6760" w:space="300"/>
            <w:col w:w="3560"/>
          </w:cols>
          <w:pgMar w:left="240" w:top="405" w:right="1039" w:bottom="999" w:gutter="0" w:footer="0" w:header="0"/>
          <w:type w:val="continuous"/>
        </w:sectPr>
      </w:pPr>
    </w:p>
    <w:p>
      <w:pPr>
        <w:spacing w:after="0" w:line="16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10(t)</w:t>
            </w:r>
          </w:p>
        </w:tc>
        <w:tc>
          <w:tcPr>
            <w:tcW w:w="5320" w:type="dxa"/>
            <w:vAlign w:val="bottom"/>
          </w:tcPr>
          <w:p>
            <w:pPr>
              <w:ind w:left="360"/>
              <w:spacing w:after="0"/>
              <w:rPr>
                <w:sz w:val="20"/>
                <w:szCs w:val="20"/>
                <w:color w:val="auto"/>
              </w:rPr>
            </w:pPr>
            <w:r>
              <w:rPr>
                <w:rFonts w:ascii="Arial" w:cs="Arial" w:eastAsia="Arial" w:hAnsi="Arial"/>
                <w:sz w:val="18"/>
                <w:szCs w:val="18"/>
                <w:color w:val="auto"/>
              </w:rPr>
              <w:t>Amendment to The Scotts Company 2003 Stock Option and</w:t>
            </w:r>
          </w:p>
        </w:tc>
      </w:tr>
      <w:tr>
        <w:trPr>
          <w:trHeight w:val="203"/>
        </w:trPr>
        <w:tc>
          <w:tcPr>
            <w:tcW w:w="740" w:type="dxa"/>
            <w:vAlign w:val="bottom"/>
          </w:tcPr>
          <w:p>
            <w:pPr>
              <w:spacing w:after="0"/>
              <w:rPr>
                <w:sz w:val="17"/>
                <w:szCs w:val="17"/>
                <w:color w:val="auto"/>
              </w:rPr>
            </w:pPr>
          </w:p>
        </w:tc>
        <w:tc>
          <w:tcPr>
            <w:tcW w:w="5320" w:type="dxa"/>
            <w:vAlign w:val="bottom"/>
          </w:tcPr>
          <w:p>
            <w:pPr>
              <w:ind w:left="360"/>
              <w:spacing w:after="0" w:line="202" w:lineRule="exact"/>
              <w:rPr>
                <w:sz w:val="20"/>
                <w:szCs w:val="20"/>
                <w:color w:val="auto"/>
              </w:rPr>
            </w:pPr>
            <w:r>
              <w:rPr>
                <w:rFonts w:ascii="Arial" w:cs="Arial" w:eastAsia="Arial" w:hAnsi="Arial"/>
                <w:sz w:val="18"/>
                <w:szCs w:val="18"/>
                <w:color w:val="auto"/>
              </w:rPr>
              <w:t>Incentive Equity Plan Award Agreement for Nondirectors,</w:t>
            </w:r>
          </w:p>
        </w:tc>
      </w:tr>
      <w:tr>
        <w:trPr>
          <w:trHeight w:val="203"/>
        </w:trPr>
        <w:tc>
          <w:tcPr>
            <w:tcW w:w="740" w:type="dxa"/>
            <w:vAlign w:val="bottom"/>
          </w:tcPr>
          <w:p>
            <w:pPr>
              <w:spacing w:after="0"/>
              <w:rPr>
                <w:sz w:val="17"/>
                <w:szCs w:val="17"/>
                <w:color w:val="auto"/>
              </w:rPr>
            </w:pPr>
          </w:p>
        </w:tc>
        <w:tc>
          <w:tcPr>
            <w:tcW w:w="5320" w:type="dxa"/>
            <w:vAlign w:val="bottom"/>
          </w:tcPr>
          <w:p>
            <w:pPr>
              <w:ind w:left="360"/>
              <w:spacing w:after="0" w:line="202" w:lineRule="exact"/>
              <w:rPr>
                <w:sz w:val="20"/>
                <w:szCs w:val="20"/>
                <w:color w:val="auto"/>
              </w:rPr>
            </w:pPr>
            <w:r>
              <w:rPr>
                <w:rFonts w:ascii="Arial" w:cs="Arial" w:eastAsia="Arial" w:hAnsi="Arial"/>
                <w:sz w:val="18"/>
                <w:szCs w:val="18"/>
                <w:color w:val="auto"/>
                <w:w w:val="99"/>
              </w:rPr>
              <w:t>effective as of October 1, 2004, between The Scotts Company</w:t>
            </w:r>
          </w:p>
        </w:tc>
      </w:tr>
      <w:tr>
        <w:trPr>
          <w:trHeight w:val="203"/>
        </w:trPr>
        <w:tc>
          <w:tcPr>
            <w:tcW w:w="740" w:type="dxa"/>
            <w:vAlign w:val="bottom"/>
          </w:tcPr>
          <w:p>
            <w:pPr>
              <w:spacing w:after="0"/>
              <w:rPr>
                <w:sz w:val="17"/>
                <w:szCs w:val="17"/>
                <w:color w:val="auto"/>
              </w:rPr>
            </w:pPr>
          </w:p>
        </w:tc>
        <w:tc>
          <w:tcPr>
            <w:tcW w:w="5320" w:type="dxa"/>
            <w:vAlign w:val="bottom"/>
          </w:tcPr>
          <w:p>
            <w:pPr>
              <w:ind w:left="360"/>
              <w:spacing w:after="0" w:line="202" w:lineRule="exact"/>
              <w:rPr>
                <w:sz w:val="20"/>
                <w:szCs w:val="20"/>
                <w:color w:val="auto"/>
              </w:rPr>
            </w:pPr>
            <w:r>
              <w:rPr>
                <w:rFonts w:ascii="Arial" w:cs="Arial" w:eastAsia="Arial" w:hAnsi="Arial"/>
                <w:sz w:val="18"/>
                <w:szCs w:val="18"/>
                <w:color w:val="auto"/>
              </w:rPr>
              <w:t>and Robert F. Bernstock, in respect of November 19, 2003</w:t>
            </w:r>
          </w:p>
        </w:tc>
      </w:tr>
      <w:tr>
        <w:trPr>
          <w:trHeight w:val="217"/>
        </w:trPr>
        <w:tc>
          <w:tcPr>
            <w:tcW w:w="740" w:type="dxa"/>
            <w:vAlign w:val="bottom"/>
          </w:tcPr>
          <w:p>
            <w:pPr>
              <w:spacing w:after="0"/>
              <w:rPr>
                <w:sz w:val="18"/>
                <w:szCs w:val="18"/>
                <w:color w:val="auto"/>
              </w:rPr>
            </w:pPr>
          </w:p>
        </w:tc>
        <w:tc>
          <w:tcPr>
            <w:tcW w:w="5320" w:type="dxa"/>
            <w:vAlign w:val="bottom"/>
          </w:tcPr>
          <w:p>
            <w:pPr>
              <w:ind w:left="360"/>
              <w:spacing w:after="0"/>
              <w:rPr>
                <w:sz w:val="20"/>
                <w:szCs w:val="20"/>
                <w:color w:val="auto"/>
              </w:rPr>
            </w:pPr>
            <w:r>
              <w:rPr>
                <w:rFonts w:ascii="Arial" w:cs="Arial" w:eastAsia="Arial" w:hAnsi="Arial"/>
                <w:sz w:val="18"/>
                <w:szCs w:val="18"/>
                <w:color w:val="auto"/>
              </w:rPr>
              <w:t>award of freestanding stock appreciation rights</w:t>
            </w:r>
          </w:p>
        </w:tc>
      </w:tr>
    </w:tbl>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Incorporated herein by reference to Scotts’ Current Report on Form 8-K filed November 19, 2004 (File No. 1-13292) [Exhibit 10.6]</w:t>
      </w:r>
    </w:p>
    <w:p>
      <w:pPr>
        <w:spacing w:after="0" w:line="402" w:lineRule="exact"/>
        <w:rPr>
          <w:sz w:val="20"/>
          <w:szCs w:val="20"/>
          <w:color w:val="auto"/>
        </w:rPr>
      </w:pPr>
    </w:p>
    <w:p>
      <w:pPr>
        <w:sectPr>
          <w:pgSz w:w="11900" w:h="16838" w:orient="portrait"/>
          <w:cols w:equalWidth="0" w:num="2">
            <w:col w:w="6760" w:space="300"/>
            <w:col w:w="3560"/>
          </w:cols>
          <w:pgMar w:left="240" w:top="405" w:right="1039" w:bottom="999" w:gutter="0" w:footer="0" w:header="0"/>
          <w:type w:val="continuous"/>
        </w:sectPr>
      </w:pP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10(u)</w:t>
            </w:r>
          </w:p>
        </w:tc>
        <w:tc>
          <w:tcPr>
            <w:tcW w:w="5360" w:type="dxa"/>
            <w:vAlign w:val="bottom"/>
          </w:tcPr>
          <w:p>
            <w:pPr>
              <w:ind w:left="340"/>
              <w:spacing w:after="0"/>
              <w:rPr>
                <w:sz w:val="20"/>
                <w:szCs w:val="20"/>
                <w:color w:val="auto"/>
              </w:rPr>
            </w:pPr>
            <w:r>
              <w:rPr>
                <w:rFonts w:ascii="Arial" w:cs="Arial" w:eastAsia="Arial" w:hAnsi="Arial"/>
                <w:sz w:val="18"/>
                <w:szCs w:val="18"/>
                <w:color w:val="auto"/>
              </w:rPr>
              <w:t>The Scotts Miracle-Gro Company 2003 Stock Option and</w:t>
            </w:r>
          </w:p>
        </w:tc>
      </w:tr>
      <w:tr>
        <w:trPr>
          <w:trHeight w:val="203"/>
        </w:trPr>
        <w:tc>
          <w:tcPr>
            <w:tcW w:w="760" w:type="dxa"/>
            <w:vAlign w:val="bottom"/>
          </w:tcPr>
          <w:p>
            <w:pPr>
              <w:spacing w:after="0"/>
              <w:rPr>
                <w:sz w:val="17"/>
                <w:szCs w:val="17"/>
                <w:color w:val="auto"/>
              </w:rPr>
            </w:pPr>
          </w:p>
        </w:tc>
        <w:tc>
          <w:tcPr>
            <w:tcW w:w="5360" w:type="dxa"/>
            <w:vAlign w:val="bottom"/>
          </w:tcPr>
          <w:p>
            <w:pPr>
              <w:ind w:left="340"/>
              <w:spacing w:after="0" w:line="202" w:lineRule="exact"/>
              <w:rPr>
                <w:sz w:val="20"/>
                <w:szCs w:val="20"/>
                <w:color w:val="auto"/>
              </w:rPr>
            </w:pPr>
            <w:r>
              <w:rPr>
                <w:rFonts w:ascii="Arial" w:cs="Arial" w:eastAsia="Arial" w:hAnsi="Arial"/>
                <w:sz w:val="18"/>
                <w:szCs w:val="18"/>
                <w:color w:val="auto"/>
              </w:rPr>
              <w:t>Incentive Equity Plan Award Agreement for Nondirectors,</w:t>
            </w:r>
          </w:p>
        </w:tc>
      </w:tr>
      <w:tr>
        <w:trPr>
          <w:trHeight w:val="203"/>
        </w:trPr>
        <w:tc>
          <w:tcPr>
            <w:tcW w:w="760" w:type="dxa"/>
            <w:vAlign w:val="bottom"/>
          </w:tcPr>
          <w:p>
            <w:pPr>
              <w:spacing w:after="0"/>
              <w:rPr>
                <w:sz w:val="17"/>
                <w:szCs w:val="17"/>
                <w:color w:val="auto"/>
              </w:rPr>
            </w:pPr>
          </w:p>
        </w:tc>
        <w:tc>
          <w:tcPr>
            <w:tcW w:w="5360" w:type="dxa"/>
            <w:vAlign w:val="bottom"/>
          </w:tcPr>
          <w:p>
            <w:pPr>
              <w:ind w:left="340"/>
              <w:spacing w:after="0" w:line="202" w:lineRule="exact"/>
              <w:rPr>
                <w:sz w:val="20"/>
                <w:szCs w:val="20"/>
                <w:color w:val="auto"/>
              </w:rPr>
            </w:pPr>
            <w:r>
              <w:rPr>
                <w:rFonts w:ascii="Arial" w:cs="Arial" w:eastAsia="Arial" w:hAnsi="Arial"/>
                <w:sz w:val="18"/>
                <w:szCs w:val="18"/>
                <w:color w:val="auto"/>
                <w:w w:val="99"/>
              </w:rPr>
              <w:t>effective as of December 9, 2005, between The Scotts Miracle-</w:t>
            </w:r>
          </w:p>
        </w:tc>
      </w:tr>
      <w:tr>
        <w:trPr>
          <w:trHeight w:val="203"/>
        </w:trPr>
        <w:tc>
          <w:tcPr>
            <w:tcW w:w="760" w:type="dxa"/>
            <w:vAlign w:val="bottom"/>
          </w:tcPr>
          <w:p>
            <w:pPr>
              <w:spacing w:after="0"/>
              <w:rPr>
                <w:sz w:val="17"/>
                <w:szCs w:val="17"/>
                <w:color w:val="auto"/>
              </w:rPr>
            </w:pPr>
          </w:p>
        </w:tc>
        <w:tc>
          <w:tcPr>
            <w:tcW w:w="5360" w:type="dxa"/>
            <w:vAlign w:val="bottom"/>
          </w:tcPr>
          <w:p>
            <w:pPr>
              <w:ind w:left="340"/>
              <w:spacing w:after="0" w:line="202" w:lineRule="exact"/>
              <w:rPr>
                <w:sz w:val="20"/>
                <w:szCs w:val="20"/>
                <w:color w:val="auto"/>
              </w:rPr>
            </w:pPr>
            <w:r>
              <w:rPr>
                <w:rFonts w:ascii="Arial" w:cs="Arial" w:eastAsia="Arial" w:hAnsi="Arial"/>
                <w:sz w:val="18"/>
                <w:szCs w:val="18"/>
                <w:color w:val="auto"/>
              </w:rPr>
              <w:t>Gro Company and Robert F. Bernstock, in respect of grant of</w:t>
            </w:r>
          </w:p>
        </w:tc>
      </w:tr>
      <w:tr>
        <w:trPr>
          <w:trHeight w:val="217"/>
        </w:trPr>
        <w:tc>
          <w:tcPr>
            <w:tcW w:w="76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10,000 Performance Shares</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2005 (File No. 1-13292) [Exhibit 10(a)]</w:t>
      </w:r>
    </w:p>
    <w:p>
      <w:pPr>
        <w:spacing w:after="0" w:line="402" w:lineRule="exact"/>
        <w:rPr>
          <w:sz w:val="20"/>
          <w:szCs w:val="20"/>
          <w:color w:val="auto"/>
        </w:rPr>
      </w:pPr>
    </w:p>
    <w:p>
      <w:pPr>
        <w:sectPr>
          <w:pgSz w:w="11900" w:h="16838" w:orient="portrait"/>
          <w:cols w:equalWidth="0" w:num="2">
            <w:col w:w="6820" w:space="240"/>
            <w:col w:w="3560"/>
          </w:cols>
          <w:pgMar w:left="240" w:top="405" w:right="1039" w:bottom="999" w:gutter="0" w:footer="0" w:header="0"/>
          <w:type w:val="continuous"/>
        </w:sectPr>
      </w:pPr>
    </w:p>
    <w:p>
      <w:pPr>
        <w:spacing w:after="0" w:line="2" w:lineRule="exact"/>
        <w:rPr>
          <w:sz w:val="20"/>
          <w:szCs w:val="20"/>
          <w:color w:val="auto"/>
        </w:rPr>
      </w:pPr>
    </w:p>
    <w:p>
      <w:pPr>
        <w:ind w:left="5580"/>
        <w:spacing w:after="0"/>
        <w:rPr>
          <w:sz w:val="20"/>
          <w:szCs w:val="20"/>
          <w:color w:val="auto"/>
        </w:rPr>
      </w:pPr>
      <w:r>
        <w:rPr>
          <w:rFonts w:ascii="Arial" w:cs="Arial" w:eastAsia="Arial" w:hAnsi="Arial"/>
          <w:sz w:val="9"/>
          <w:szCs w:val="9"/>
          <w:b w:val="1"/>
          <w:bCs w:val="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-64770</wp:posOffset>
            </wp:positionV>
            <wp:extent cx="1885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155575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999"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3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30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72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Location</w:t>
            </w: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10(v)</w:t>
            </w:r>
          </w:p>
        </w:tc>
        <w:tc>
          <w:tcPr>
            <w:tcW w:w="5300" w:type="dxa"/>
            <w:vAlign w:val="bottom"/>
          </w:tcPr>
          <w:p>
            <w:pPr>
              <w:ind w:left="200"/>
              <w:spacing w:after="0"/>
              <w:rPr>
                <w:sz w:val="20"/>
                <w:szCs w:val="20"/>
                <w:color w:val="auto"/>
              </w:rPr>
            </w:pPr>
            <w:r>
              <w:rPr>
                <w:rFonts w:ascii="Arial" w:cs="Arial" w:eastAsia="Arial" w:hAnsi="Arial"/>
                <w:sz w:val="18"/>
                <w:szCs w:val="18"/>
                <w:color w:val="auto"/>
              </w:rPr>
              <w:t>The Scotts Miracle-Gro Company 2003 Stock Option and</w:t>
            </w:r>
          </w:p>
        </w:tc>
        <w:tc>
          <w:tcPr>
            <w:tcW w:w="3720" w:type="dxa"/>
            <w:vAlign w:val="bottom"/>
          </w:tcPr>
          <w:p>
            <w:pPr>
              <w:ind w:left="16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Incentive Equity Plan Award Agreement for Nondirectors,</w:t>
            </w: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effective as of October 12, 2005, between The Scotts Miracle-</w:t>
            </w: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w w:val="99"/>
              </w:rPr>
              <w:t>for the quarterly period ended December 31,</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Gro Company and Robert F. Bernstock, in respect of grant of</w:t>
            </w: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2005 (File No. 1-13292) [Exhibit 10(d)]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Nonqualified Stock Options to purchase 16,900 common</w:t>
            </w:r>
          </w:p>
        </w:tc>
        <w:tc>
          <w:tcPr>
            <w:tcW w:w="37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shares (33,800 common shares as adjusted for 2-for-1 stock</w:t>
            </w:r>
          </w:p>
        </w:tc>
        <w:tc>
          <w:tcPr>
            <w:tcW w:w="3720" w:type="dxa"/>
            <w:vAlign w:val="bottom"/>
          </w:tcPr>
          <w:p>
            <w:pPr>
              <w:spacing w:after="0"/>
              <w:rPr>
                <w:sz w:val="17"/>
                <w:szCs w:val="17"/>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split distributed on November 9, 2005)</w:t>
            </w:r>
          </w:p>
        </w:tc>
        <w:tc>
          <w:tcPr>
            <w:tcW w:w="37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620"/>
          </w:cols>
          <w:pgMar w:left="240" w:top="405" w:right="1039" w:bottom="1440" w:gutter="0" w:footer="0" w:header="0"/>
        </w:sectPr>
      </w:pPr>
    </w:p>
    <w:p>
      <w:pPr>
        <w:spacing w:after="0" w:line="164" w:lineRule="exact"/>
        <w:rPr>
          <w:sz w:val="20"/>
          <w:szCs w:val="20"/>
          <w:color w:val="auto"/>
        </w:rPr>
      </w:pPr>
    </w:p>
    <w:p>
      <w:pPr>
        <w:ind w:left="1800" w:hanging="1099"/>
        <w:spacing w:after="0" w:line="237" w:lineRule="auto"/>
        <w:tabs>
          <w:tab w:leader="none" w:pos="1780" w:val="left"/>
        </w:tabs>
        <w:rPr>
          <w:sz w:val="20"/>
          <w:szCs w:val="20"/>
          <w:color w:val="auto"/>
        </w:rPr>
      </w:pPr>
      <w:r>
        <w:rPr>
          <w:rFonts w:ascii="Arial" w:cs="Arial" w:eastAsia="Arial" w:hAnsi="Arial"/>
          <w:sz w:val="18"/>
          <w:szCs w:val="18"/>
          <w:color w:val="auto"/>
        </w:rPr>
        <w:t>10(w)</w:t>
      </w:r>
      <w:r>
        <w:rPr>
          <w:sz w:val="20"/>
          <w:szCs w:val="20"/>
          <w:color w:val="auto"/>
        </w:rPr>
        <w:tab/>
      </w:r>
      <w:r>
        <w:rPr>
          <w:rFonts w:ascii="Arial" w:cs="Arial" w:eastAsia="Arial" w:hAnsi="Arial"/>
          <w:sz w:val="18"/>
          <w:szCs w:val="18"/>
          <w:color w:val="auto"/>
        </w:rPr>
        <w:t>The Scotts Miracle-Gro Company 2003 Stock Option and Incentive Equity Plan Award Agreement for Nondirectors, effective as of October 12, 2005, between The Scotts Miracle-Gro Company and Robert F. Bernstock, in respect of grant of 3,200 shares of Restricted Stock (6,400 as adjusted for 2-for-1 stock split distributed on November 9, 2005)</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2005 (File No. 1-13292) [Exhibit 10(e)]</w:t>
      </w:r>
    </w:p>
    <w:p>
      <w:pPr>
        <w:spacing w:after="0" w:line="601" w:lineRule="exact"/>
        <w:rPr>
          <w:sz w:val="20"/>
          <w:szCs w:val="20"/>
          <w:color w:val="auto"/>
        </w:rPr>
      </w:pPr>
    </w:p>
    <w:p>
      <w:pPr>
        <w:sectPr>
          <w:pgSz w:w="11900" w:h="16838" w:orient="portrait"/>
          <w:cols w:equalWidth="0" w:num="2">
            <w:col w:w="6780" w:space="280"/>
            <w:col w:w="3560"/>
          </w:cols>
          <w:pgMar w:left="240" w:top="405" w:right="1039" w:bottom="1440" w:gutter="0" w:footer="0" w:header="0"/>
          <w:type w:val="continuous"/>
        </w:sectPr>
      </w:pPr>
    </w:p>
    <w:p>
      <w:pPr>
        <w:spacing w:after="0" w:line="16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10(x)</w:t>
            </w:r>
          </w:p>
        </w:tc>
        <w:tc>
          <w:tcPr>
            <w:tcW w:w="5380" w:type="dxa"/>
            <w:vAlign w:val="bottom"/>
          </w:tcPr>
          <w:p>
            <w:pPr>
              <w:ind w:left="340"/>
              <w:spacing w:after="0"/>
              <w:rPr>
                <w:sz w:val="20"/>
                <w:szCs w:val="20"/>
                <w:color w:val="auto"/>
              </w:rPr>
            </w:pPr>
            <w:r>
              <w:rPr>
                <w:rFonts w:ascii="Arial" w:cs="Arial" w:eastAsia="Arial" w:hAnsi="Arial"/>
                <w:sz w:val="18"/>
                <w:szCs w:val="18"/>
                <w:color w:val="auto"/>
              </w:rPr>
              <w:t>Amendment to The Scotts Miracle-Gro Company 2003 Stock</w:t>
            </w:r>
          </w:p>
        </w:tc>
      </w:tr>
      <w:tr>
        <w:trPr>
          <w:trHeight w:val="203"/>
        </w:trPr>
        <w:tc>
          <w:tcPr>
            <w:tcW w:w="760" w:type="dxa"/>
            <w:vAlign w:val="bottom"/>
          </w:tcPr>
          <w:p>
            <w:pPr>
              <w:spacing w:after="0"/>
              <w:rPr>
                <w:sz w:val="17"/>
                <w:szCs w:val="17"/>
                <w:color w:val="auto"/>
              </w:rPr>
            </w:pPr>
          </w:p>
        </w:tc>
        <w:tc>
          <w:tcPr>
            <w:tcW w:w="5380" w:type="dxa"/>
            <w:vAlign w:val="bottom"/>
          </w:tcPr>
          <w:p>
            <w:pPr>
              <w:ind w:left="340"/>
              <w:spacing w:after="0" w:line="202" w:lineRule="exact"/>
              <w:rPr>
                <w:sz w:val="20"/>
                <w:szCs w:val="20"/>
                <w:color w:val="auto"/>
              </w:rPr>
            </w:pPr>
            <w:r>
              <w:rPr>
                <w:rFonts w:ascii="Arial" w:cs="Arial" w:eastAsia="Arial" w:hAnsi="Arial"/>
                <w:sz w:val="18"/>
                <w:szCs w:val="18"/>
                <w:color w:val="auto"/>
              </w:rPr>
              <w:t>Option and Incentive Equity Plan Award Agreement for</w:t>
            </w:r>
          </w:p>
        </w:tc>
      </w:tr>
      <w:tr>
        <w:trPr>
          <w:trHeight w:val="203"/>
        </w:trPr>
        <w:tc>
          <w:tcPr>
            <w:tcW w:w="760" w:type="dxa"/>
            <w:vAlign w:val="bottom"/>
          </w:tcPr>
          <w:p>
            <w:pPr>
              <w:spacing w:after="0"/>
              <w:rPr>
                <w:sz w:val="17"/>
                <w:szCs w:val="17"/>
                <w:color w:val="auto"/>
              </w:rPr>
            </w:pPr>
          </w:p>
        </w:tc>
        <w:tc>
          <w:tcPr>
            <w:tcW w:w="5380" w:type="dxa"/>
            <w:vAlign w:val="bottom"/>
          </w:tcPr>
          <w:p>
            <w:pPr>
              <w:ind w:left="340"/>
              <w:spacing w:after="0" w:line="202" w:lineRule="exact"/>
              <w:rPr>
                <w:sz w:val="20"/>
                <w:szCs w:val="20"/>
                <w:color w:val="auto"/>
              </w:rPr>
            </w:pPr>
            <w:r>
              <w:rPr>
                <w:rFonts w:ascii="Arial" w:cs="Arial" w:eastAsia="Arial" w:hAnsi="Arial"/>
                <w:sz w:val="18"/>
                <w:szCs w:val="18"/>
                <w:color w:val="auto"/>
              </w:rPr>
              <w:t>Nondirectors, dated February 9, 2006, effective October 12,</w:t>
            </w:r>
          </w:p>
        </w:tc>
      </w:tr>
      <w:tr>
        <w:trPr>
          <w:trHeight w:val="203"/>
        </w:trPr>
        <w:tc>
          <w:tcPr>
            <w:tcW w:w="760" w:type="dxa"/>
            <w:vAlign w:val="bottom"/>
          </w:tcPr>
          <w:p>
            <w:pPr>
              <w:spacing w:after="0"/>
              <w:rPr>
                <w:sz w:val="17"/>
                <w:szCs w:val="17"/>
                <w:color w:val="auto"/>
              </w:rPr>
            </w:pPr>
          </w:p>
        </w:tc>
        <w:tc>
          <w:tcPr>
            <w:tcW w:w="5380" w:type="dxa"/>
            <w:vAlign w:val="bottom"/>
          </w:tcPr>
          <w:p>
            <w:pPr>
              <w:ind w:left="340"/>
              <w:spacing w:after="0" w:line="202" w:lineRule="exact"/>
              <w:rPr>
                <w:sz w:val="20"/>
                <w:szCs w:val="20"/>
                <w:color w:val="auto"/>
              </w:rPr>
            </w:pPr>
            <w:r>
              <w:rPr>
                <w:rFonts w:ascii="Arial" w:cs="Arial" w:eastAsia="Arial" w:hAnsi="Arial"/>
                <w:sz w:val="18"/>
                <w:szCs w:val="18"/>
                <w:color w:val="auto"/>
                <w:w w:val="99"/>
              </w:rPr>
              <w:t>2005, between The Scotts Miracle-Gro Company and Robert F.</w:t>
            </w:r>
          </w:p>
        </w:tc>
      </w:tr>
      <w:tr>
        <w:trPr>
          <w:trHeight w:val="203"/>
        </w:trPr>
        <w:tc>
          <w:tcPr>
            <w:tcW w:w="760" w:type="dxa"/>
            <w:vAlign w:val="bottom"/>
          </w:tcPr>
          <w:p>
            <w:pPr>
              <w:spacing w:after="0"/>
              <w:rPr>
                <w:sz w:val="17"/>
                <w:szCs w:val="17"/>
                <w:color w:val="auto"/>
              </w:rPr>
            </w:pPr>
          </w:p>
        </w:tc>
        <w:tc>
          <w:tcPr>
            <w:tcW w:w="5380" w:type="dxa"/>
            <w:vAlign w:val="bottom"/>
          </w:tcPr>
          <w:p>
            <w:pPr>
              <w:ind w:left="340"/>
              <w:spacing w:after="0" w:line="202" w:lineRule="exact"/>
              <w:rPr>
                <w:sz w:val="20"/>
                <w:szCs w:val="20"/>
                <w:color w:val="auto"/>
              </w:rPr>
            </w:pPr>
            <w:r>
              <w:rPr>
                <w:rFonts w:ascii="Arial" w:cs="Arial" w:eastAsia="Arial" w:hAnsi="Arial"/>
                <w:sz w:val="18"/>
                <w:szCs w:val="18"/>
                <w:color w:val="auto"/>
              </w:rPr>
              <w:t>Bernstock in respect of grant of Nonqualified Stock Options to</w:t>
            </w:r>
          </w:p>
        </w:tc>
      </w:tr>
      <w:tr>
        <w:trPr>
          <w:trHeight w:val="217"/>
        </w:trPr>
        <w:tc>
          <w:tcPr>
            <w:tcW w:w="76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purchase 33,800 common shares (as adjusted)</w:t>
            </w: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2005 (File No. 1-13292) [Exhibit 10(f)]</w:t>
      </w:r>
    </w:p>
    <w:p>
      <w:pPr>
        <w:spacing w:after="0" w:line="605" w:lineRule="exact"/>
        <w:rPr>
          <w:sz w:val="20"/>
          <w:szCs w:val="20"/>
          <w:color w:val="auto"/>
        </w:rPr>
      </w:pPr>
    </w:p>
    <w:p>
      <w:pPr>
        <w:sectPr>
          <w:pgSz w:w="11900" w:h="16838" w:orient="portrait"/>
          <w:cols w:equalWidth="0" w:num="2">
            <w:col w:w="6840" w:space="220"/>
            <w:col w:w="3560"/>
          </w:cols>
          <w:pgMar w:left="240" w:top="405" w:right="1039" w:bottom="1440" w:gutter="0" w:footer="0" w:header="0"/>
          <w:type w:val="continuous"/>
        </w:sectPr>
      </w:pP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10(y)</w:t>
            </w:r>
          </w:p>
        </w:tc>
        <w:tc>
          <w:tcPr>
            <w:tcW w:w="5240" w:type="dxa"/>
            <w:vAlign w:val="bottom"/>
          </w:tcPr>
          <w:p>
            <w:pPr>
              <w:ind w:left="340"/>
              <w:spacing w:after="0"/>
              <w:rPr>
                <w:sz w:val="20"/>
                <w:szCs w:val="20"/>
                <w:color w:val="auto"/>
              </w:rPr>
            </w:pPr>
            <w:r>
              <w:rPr>
                <w:rFonts w:ascii="Arial" w:cs="Arial" w:eastAsia="Arial" w:hAnsi="Arial"/>
                <w:sz w:val="18"/>
                <w:szCs w:val="18"/>
                <w:color w:val="auto"/>
                <w:w w:val="99"/>
              </w:rPr>
              <w:t>Amendment to The Scotts Miracle-Gro Company 2003, Stock</w:t>
            </w:r>
          </w:p>
        </w:tc>
      </w:tr>
      <w:tr>
        <w:trPr>
          <w:trHeight w:val="203"/>
        </w:trPr>
        <w:tc>
          <w:tcPr>
            <w:tcW w:w="760" w:type="dxa"/>
            <w:vAlign w:val="bottom"/>
          </w:tcPr>
          <w:p>
            <w:pPr>
              <w:spacing w:after="0"/>
              <w:rPr>
                <w:sz w:val="17"/>
                <w:szCs w:val="17"/>
                <w:color w:val="auto"/>
              </w:rPr>
            </w:pPr>
          </w:p>
        </w:tc>
        <w:tc>
          <w:tcPr>
            <w:tcW w:w="5240" w:type="dxa"/>
            <w:vAlign w:val="bottom"/>
          </w:tcPr>
          <w:p>
            <w:pPr>
              <w:ind w:left="340"/>
              <w:spacing w:after="0" w:line="202" w:lineRule="exact"/>
              <w:rPr>
                <w:sz w:val="20"/>
                <w:szCs w:val="20"/>
                <w:color w:val="auto"/>
              </w:rPr>
            </w:pPr>
            <w:r>
              <w:rPr>
                <w:rFonts w:ascii="Arial" w:cs="Arial" w:eastAsia="Arial" w:hAnsi="Arial"/>
                <w:sz w:val="18"/>
                <w:szCs w:val="18"/>
                <w:color w:val="auto"/>
              </w:rPr>
              <w:t>Option and Incentive Equity Plan Award Agreement for</w:t>
            </w:r>
          </w:p>
        </w:tc>
      </w:tr>
      <w:tr>
        <w:trPr>
          <w:trHeight w:val="203"/>
        </w:trPr>
        <w:tc>
          <w:tcPr>
            <w:tcW w:w="760" w:type="dxa"/>
            <w:vAlign w:val="bottom"/>
          </w:tcPr>
          <w:p>
            <w:pPr>
              <w:spacing w:after="0"/>
              <w:rPr>
                <w:sz w:val="17"/>
                <w:szCs w:val="17"/>
                <w:color w:val="auto"/>
              </w:rPr>
            </w:pPr>
          </w:p>
        </w:tc>
        <w:tc>
          <w:tcPr>
            <w:tcW w:w="5240" w:type="dxa"/>
            <w:vAlign w:val="bottom"/>
          </w:tcPr>
          <w:p>
            <w:pPr>
              <w:ind w:left="340"/>
              <w:spacing w:after="0" w:line="202" w:lineRule="exact"/>
              <w:rPr>
                <w:sz w:val="20"/>
                <w:szCs w:val="20"/>
                <w:color w:val="auto"/>
              </w:rPr>
            </w:pPr>
            <w:r>
              <w:rPr>
                <w:rFonts w:ascii="Arial" w:cs="Arial" w:eastAsia="Arial" w:hAnsi="Arial"/>
                <w:sz w:val="18"/>
                <w:szCs w:val="18"/>
                <w:color w:val="auto"/>
              </w:rPr>
              <w:t>Nondirectors, dated February 9, 2006, effective October 12,</w:t>
            </w:r>
          </w:p>
        </w:tc>
      </w:tr>
    </w:tbl>
    <w:p>
      <w:pPr>
        <w:jc w:val="both"/>
        <w:ind w:left="1800"/>
        <w:spacing w:after="0"/>
        <w:rPr>
          <w:sz w:val="20"/>
          <w:szCs w:val="20"/>
          <w:color w:val="auto"/>
        </w:rPr>
      </w:pPr>
      <w:r>
        <w:rPr>
          <w:rFonts w:ascii="Arial" w:cs="Arial" w:eastAsia="Arial" w:hAnsi="Arial"/>
          <w:sz w:val="18"/>
          <w:szCs w:val="18"/>
          <w:color w:val="auto"/>
        </w:rPr>
        <w:t>2005, between The Scotts Miracle-Gro Company and Robert F. Bernstock, in respect of grant of 6,400 shares Restricted Stock (as adjusted)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2005 (File No. 1-13292) [Exhibit 10(g)]</w:t>
      </w:r>
    </w:p>
    <w:p>
      <w:pPr>
        <w:spacing w:after="0" w:line="604" w:lineRule="exact"/>
        <w:rPr>
          <w:sz w:val="20"/>
          <w:szCs w:val="20"/>
          <w:color w:val="auto"/>
        </w:rPr>
      </w:pPr>
    </w:p>
    <w:p>
      <w:pPr>
        <w:sectPr>
          <w:pgSz w:w="11900" w:h="16838" w:orient="portrait"/>
          <w:cols w:equalWidth="0" w:num="2">
            <w:col w:w="6840" w:space="220"/>
            <w:col w:w="3560"/>
          </w:cols>
          <w:pgMar w:left="240" w:top="405" w:right="1039" w:bottom="1440" w:gutter="0" w:footer="0" w:header="0"/>
          <w:type w:val="continuous"/>
        </w:sectPr>
      </w:pPr>
    </w:p>
    <w:p>
      <w:pPr>
        <w:spacing w:after="0" w:line="16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10(z)</w:t>
            </w:r>
          </w:p>
        </w:tc>
        <w:tc>
          <w:tcPr>
            <w:tcW w:w="5060" w:type="dxa"/>
            <w:vAlign w:val="bottom"/>
          </w:tcPr>
          <w:p>
            <w:pPr>
              <w:ind w:left="340"/>
              <w:spacing w:after="0"/>
              <w:rPr>
                <w:sz w:val="20"/>
                <w:szCs w:val="20"/>
                <w:color w:val="auto"/>
              </w:rPr>
            </w:pPr>
            <w:r>
              <w:rPr>
                <w:rFonts w:ascii="Arial" w:cs="Arial" w:eastAsia="Arial" w:hAnsi="Arial"/>
                <w:sz w:val="18"/>
                <w:szCs w:val="18"/>
                <w:color w:val="auto"/>
              </w:rPr>
              <w:t>Separation Agreement and Release of All Claims, dated</w:t>
            </w:r>
          </w:p>
        </w:tc>
      </w:tr>
      <w:tr>
        <w:trPr>
          <w:trHeight w:val="203"/>
        </w:trPr>
        <w:tc>
          <w:tcPr>
            <w:tcW w:w="760" w:type="dxa"/>
            <w:vAlign w:val="bottom"/>
          </w:tcPr>
          <w:p>
            <w:pPr>
              <w:spacing w:after="0"/>
              <w:rPr>
                <w:sz w:val="17"/>
                <w:szCs w:val="17"/>
                <w:color w:val="auto"/>
              </w:rPr>
            </w:pPr>
          </w:p>
        </w:tc>
        <w:tc>
          <w:tcPr>
            <w:tcW w:w="5060" w:type="dxa"/>
            <w:vAlign w:val="bottom"/>
          </w:tcPr>
          <w:p>
            <w:pPr>
              <w:ind w:left="340"/>
              <w:spacing w:after="0" w:line="202" w:lineRule="exact"/>
              <w:rPr>
                <w:sz w:val="20"/>
                <w:szCs w:val="20"/>
                <w:color w:val="auto"/>
              </w:rPr>
            </w:pPr>
            <w:r>
              <w:rPr>
                <w:rFonts w:ascii="Arial" w:cs="Arial" w:eastAsia="Arial" w:hAnsi="Arial"/>
                <w:sz w:val="18"/>
                <w:szCs w:val="18"/>
                <w:color w:val="auto"/>
                <w:w w:val="99"/>
              </w:rPr>
              <w:t>December 1, 2006, between The Scotts Company LLC and</w:t>
            </w:r>
          </w:p>
        </w:tc>
      </w:tr>
      <w:tr>
        <w:trPr>
          <w:trHeight w:val="217"/>
        </w:trPr>
        <w:tc>
          <w:tcPr>
            <w:tcW w:w="76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Robert F. Bernstock</w:t>
            </w:r>
          </w:p>
        </w:tc>
      </w:tr>
    </w:tbl>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December 7, 2006 (File No. 1-13292) [Exhibit 10.3]</w:t>
      </w:r>
    </w:p>
    <w:p>
      <w:pPr>
        <w:spacing w:after="0" w:line="200" w:lineRule="exact"/>
        <w:rPr>
          <w:sz w:val="20"/>
          <w:szCs w:val="20"/>
          <w:color w:val="auto"/>
        </w:rPr>
      </w:pPr>
    </w:p>
    <w:p>
      <w:pPr>
        <w:sectPr>
          <w:pgSz w:w="11900" w:h="16838" w:orient="portrait"/>
          <w:cols w:equalWidth="0" w:num="2">
            <w:col w:w="6520" w:space="540"/>
            <w:col w:w="3560"/>
          </w:cols>
          <w:pgMar w:left="240" w:top="405" w:right="1039" w:bottom="1440" w:gutter="0" w:footer="0" w:header="0"/>
          <w:type w:val="continuous"/>
        </w:sectPr>
      </w:pPr>
    </w:p>
    <w:p>
      <w:pPr>
        <w:spacing w:after="0" w:line="164" w:lineRule="exact"/>
        <w:rPr>
          <w:sz w:val="20"/>
          <w:szCs w:val="20"/>
          <w:color w:val="auto"/>
        </w:rPr>
      </w:pPr>
    </w:p>
    <w:p>
      <w:pPr>
        <w:jc w:val="both"/>
        <w:ind w:left="1800" w:hanging="1099"/>
        <w:spacing w:after="0"/>
        <w:tabs>
          <w:tab w:leader="none" w:pos="1780" w:val="left"/>
        </w:tabs>
        <w:rPr>
          <w:sz w:val="20"/>
          <w:szCs w:val="20"/>
          <w:color w:val="auto"/>
        </w:rPr>
      </w:pPr>
      <w:r>
        <w:rPr>
          <w:rFonts w:ascii="Arial" w:cs="Arial" w:eastAsia="Arial" w:hAnsi="Arial"/>
          <w:sz w:val="18"/>
          <w:szCs w:val="18"/>
          <w:color w:val="auto"/>
        </w:rPr>
        <w:t>10(aa)</w:t>
      </w:r>
      <w:r>
        <w:rPr>
          <w:sz w:val="20"/>
          <w:szCs w:val="20"/>
          <w:color w:val="auto"/>
        </w:rPr>
        <w:tab/>
      </w:r>
      <w:r>
        <w:rPr>
          <w:rFonts w:ascii="Arial" w:cs="Arial" w:eastAsia="Arial" w:hAnsi="Arial"/>
          <w:sz w:val="18"/>
          <w:szCs w:val="18"/>
          <w:color w:val="auto"/>
        </w:rPr>
        <w:t>Employment Agreement for Christopher Nagel, entered into effective as of October 1, 2006, by and between Christopher Nagel and The Scotts Miracle-Gro Company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December 7, 2006 (File No. 1-13292) [Exhibit 10.1]</w:t>
      </w:r>
    </w:p>
    <w:p>
      <w:pPr>
        <w:spacing w:after="0" w:line="200" w:lineRule="exact"/>
        <w:rPr>
          <w:sz w:val="20"/>
          <w:szCs w:val="20"/>
          <w:color w:val="auto"/>
        </w:rPr>
      </w:pPr>
    </w:p>
    <w:p>
      <w:pPr>
        <w:sectPr>
          <w:pgSz w:w="11900" w:h="16838" w:orient="portrait"/>
          <w:cols w:equalWidth="0" w:num="2">
            <w:col w:w="6600" w:space="460"/>
            <w:col w:w="3560"/>
          </w:cols>
          <w:pgMar w:left="240" w:top="405" w:right="1039" w:bottom="1440" w:gutter="0" w:footer="0" w:header="0"/>
          <w:type w:val="continuous"/>
        </w:sectPr>
      </w:pPr>
    </w:p>
    <w:p>
      <w:pPr>
        <w:spacing w:after="0" w:line="164" w:lineRule="exact"/>
        <w:rPr>
          <w:sz w:val="20"/>
          <w:szCs w:val="20"/>
          <w:color w:val="auto"/>
        </w:rPr>
      </w:pPr>
    </w:p>
    <w:p>
      <w:pPr>
        <w:ind w:left="1800" w:hanging="1099"/>
        <w:spacing w:after="0" w:line="238" w:lineRule="auto"/>
        <w:tabs>
          <w:tab w:leader="none" w:pos="1780" w:val="left"/>
        </w:tabs>
        <w:rPr>
          <w:sz w:val="20"/>
          <w:szCs w:val="20"/>
          <w:color w:val="auto"/>
        </w:rPr>
      </w:pPr>
      <w:r>
        <w:rPr>
          <w:rFonts w:ascii="Arial" w:cs="Arial" w:eastAsia="Arial" w:hAnsi="Arial"/>
          <w:sz w:val="18"/>
          <w:szCs w:val="18"/>
          <w:color w:val="auto"/>
        </w:rPr>
        <w:t>10(bb)</w:t>
      </w:r>
      <w:r>
        <w:rPr>
          <w:sz w:val="20"/>
          <w:szCs w:val="20"/>
          <w:color w:val="auto"/>
        </w:rPr>
        <w:tab/>
      </w:r>
      <w:r>
        <w:rPr>
          <w:rFonts w:ascii="Arial" w:cs="Arial" w:eastAsia="Arial" w:hAnsi="Arial"/>
          <w:sz w:val="18"/>
          <w:szCs w:val="18"/>
          <w:color w:val="auto"/>
        </w:rPr>
        <w:t>The Scotts Miracle-Gro Company 2006 Long-Term Incentive Plan Award Agreement for Employees, evidencing Restricted Stock Award of 38,000 Restricted Common Shares Awarded to Christopher Nagel on October 1, 2006 by The Scotts Miracle-Gro Company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December 7, 2006 (File No. 1-13292) [Exhibit 10.2]</w:t>
      </w:r>
    </w:p>
    <w:p>
      <w:pPr>
        <w:spacing w:after="0" w:line="401" w:lineRule="exact"/>
        <w:rPr>
          <w:sz w:val="20"/>
          <w:szCs w:val="20"/>
          <w:color w:val="auto"/>
        </w:rPr>
      </w:pPr>
    </w:p>
    <w:p>
      <w:pPr>
        <w:sectPr>
          <w:pgSz w:w="11900" w:h="16838" w:orient="portrait"/>
          <w:cols w:equalWidth="0" w:num="2">
            <w:col w:w="6820" w:space="240"/>
            <w:col w:w="3560"/>
          </w:cols>
          <w:pgMar w:left="240" w:top="405" w:right="1039" w:bottom="1440" w:gutter="0" w:footer="0" w:header="0"/>
          <w:type w:val="continuous"/>
        </w:sectPr>
      </w:pPr>
    </w:p>
    <w:p>
      <w:pPr>
        <w:spacing w:after="0" w:line="165" w:lineRule="exact"/>
        <w:rPr>
          <w:sz w:val="20"/>
          <w:szCs w:val="20"/>
          <w:color w:val="auto"/>
        </w:rPr>
      </w:pPr>
    </w:p>
    <w:p>
      <w:pPr>
        <w:ind w:left="1800" w:hanging="1099"/>
        <w:spacing w:after="0" w:line="246" w:lineRule="auto"/>
        <w:tabs>
          <w:tab w:leader="none" w:pos="1780" w:val="left"/>
        </w:tabs>
        <w:rPr>
          <w:sz w:val="20"/>
          <w:szCs w:val="20"/>
          <w:color w:val="auto"/>
        </w:rPr>
      </w:pPr>
      <w:r>
        <w:rPr>
          <w:rFonts w:ascii="Arial" w:cs="Arial" w:eastAsia="Arial" w:hAnsi="Arial"/>
          <w:sz w:val="18"/>
          <w:szCs w:val="18"/>
          <w:color w:val="auto"/>
        </w:rPr>
        <w:t>10(cc)</w:t>
      </w:r>
      <w:r>
        <w:rPr>
          <w:sz w:val="20"/>
          <w:szCs w:val="20"/>
          <w:color w:val="auto"/>
        </w:rPr>
        <w:tab/>
      </w:r>
      <w:r>
        <w:rPr>
          <w:rFonts w:ascii="Arial" w:cs="Arial" w:eastAsia="Arial" w:hAnsi="Arial"/>
          <w:sz w:val="18"/>
          <w:szCs w:val="18"/>
          <w:color w:val="auto"/>
        </w:rPr>
        <w:t>Form of 2003 Stock Option and Incentive Equity Plan Award Agreement for Nondirectors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0" w:hanging="1099"/>
        <w:spacing w:after="0" w:line="246" w:lineRule="auto"/>
        <w:tabs>
          <w:tab w:leader="none" w:pos="1780" w:val="left"/>
        </w:tabs>
        <w:rPr>
          <w:sz w:val="20"/>
          <w:szCs w:val="20"/>
          <w:color w:val="auto"/>
        </w:rPr>
      </w:pPr>
      <w:r>
        <w:rPr>
          <w:rFonts w:ascii="Arial" w:cs="Arial" w:eastAsia="Arial" w:hAnsi="Arial"/>
          <w:sz w:val="18"/>
          <w:szCs w:val="18"/>
          <w:color w:val="auto"/>
        </w:rPr>
        <w:t>10(dd)</w:t>
      </w:r>
      <w:r>
        <w:rPr>
          <w:sz w:val="20"/>
          <w:szCs w:val="20"/>
          <w:color w:val="auto"/>
        </w:rPr>
        <w:tab/>
      </w:r>
      <w:r>
        <w:rPr>
          <w:rFonts w:ascii="Arial" w:cs="Arial" w:eastAsia="Arial" w:hAnsi="Arial"/>
          <w:sz w:val="18"/>
          <w:szCs w:val="18"/>
          <w:color w:val="auto"/>
        </w:rPr>
        <w:t>Form of 2003 Stock Option and Incentive Equity Plan Award Agreement for Directors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1-13292) [Exhibit 10(u)]</w:t>
      </w:r>
    </w:p>
    <w:p>
      <w:pPr>
        <w:spacing w:after="0" w:line="36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1-13292) [Exhibit 10(v)]</w:t>
      </w:r>
    </w:p>
    <w:p>
      <w:pPr>
        <w:spacing w:after="0" w:line="200" w:lineRule="exact"/>
        <w:rPr>
          <w:sz w:val="20"/>
          <w:szCs w:val="20"/>
          <w:color w:val="auto"/>
        </w:rPr>
      </w:pPr>
    </w:p>
    <w:p>
      <w:pPr>
        <w:sectPr>
          <w:pgSz w:w="11900" w:h="16838" w:orient="portrait"/>
          <w:cols w:equalWidth="0" w:num="2">
            <w:col w:w="6600" w:space="460"/>
            <w:col w:w="3560"/>
          </w:cols>
          <w:pgMar w:left="240" w:top="405" w:right="1039" w:bottom="1440" w:gutter="0" w:footer="0" w:header="0"/>
          <w:type w:val="continuous"/>
        </w:sectPr>
      </w:pPr>
    </w:p>
    <w:p>
      <w:pPr>
        <w:spacing w:after="0" w:line="3" w:lineRule="exact"/>
        <w:rPr>
          <w:sz w:val="20"/>
          <w:szCs w:val="20"/>
          <w:color w:val="auto"/>
        </w:rPr>
      </w:pPr>
    </w:p>
    <w:p>
      <w:pPr>
        <w:ind w:left="5580"/>
        <w:spacing w:after="0"/>
        <w:rPr>
          <w:sz w:val="20"/>
          <w:szCs w:val="20"/>
          <w:color w:val="auto"/>
        </w:rPr>
      </w:pPr>
      <w:r>
        <w:rPr>
          <w:rFonts w:ascii="Arial" w:cs="Arial" w:eastAsia="Arial" w:hAnsi="Arial"/>
          <w:sz w:val="9"/>
          <w:szCs w:val="9"/>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-64770</wp:posOffset>
            </wp:positionV>
            <wp:extent cx="1885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155575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533"/>
        </w:trPr>
        <w:tc>
          <w:tcPr>
            <w:tcW w:w="7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No.</w:t>
            </w:r>
          </w:p>
        </w:tc>
        <w:tc>
          <w:tcPr>
            <w:tcW w:w="522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80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Location</w:t>
            </w:r>
          </w:p>
        </w:tc>
      </w:tr>
      <w:tr>
        <w:trPr>
          <w:trHeight w:val="249"/>
        </w:trPr>
        <w:tc>
          <w:tcPr>
            <w:tcW w:w="1600" w:type="dxa"/>
            <w:vAlign w:val="bottom"/>
            <w:gridSpan w:val="3"/>
          </w:tcPr>
          <w:p>
            <w:pPr>
              <w:ind w:left="700"/>
              <w:spacing w:after="0"/>
              <w:rPr>
                <w:sz w:val="20"/>
                <w:szCs w:val="20"/>
                <w:color w:val="auto"/>
              </w:rPr>
            </w:pPr>
            <w:r>
              <w:rPr>
                <w:rFonts w:ascii="Arial" w:cs="Arial" w:eastAsia="Arial" w:hAnsi="Arial"/>
                <w:sz w:val="18"/>
                <w:szCs w:val="18"/>
                <w:color w:val="auto"/>
              </w:rPr>
              <w:t>10(ee)</w:t>
            </w:r>
          </w:p>
        </w:tc>
        <w:tc>
          <w:tcPr>
            <w:tcW w:w="5220" w:type="dxa"/>
            <w:vAlign w:val="bottom"/>
          </w:tcPr>
          <w:p>
            <w:pPr>
              <w:ind w:left="200"/>
              <w:spacing w:after="0"/>
              <w:rPr>
                <w:sz w:val="20"/>
                <w:szCs w:val="20"/>
                <w:color w:val="auto"/>
              </w:rPr>
            </w:pPr>
            <w:r>
              <w:rPr>
                <w:rFonts w:ascii="Arial" w:cs="Arial" w:eastAsia="Arial" w:hAnsi="Arial"/>
                <w:sz w:val="18"/>
                <w:szCs w:val="18"/>
                <w:color w:val="auto"/>
              </w:rPr>
              <w:t>The Scotts Miracle-Gro Company 2006 Long-Term Incentive</w:t>
            </w:r>
          </w:p>
        </w:tc>
        <w:tc>
          <w:tcPr>
            <w:tcW w:w="3800" w:type="dxa"/>
            <w:vAlign w:val="bottom"/>
          </w:tcPr>
          <w:p>
            <w:pPr>
              <w:ind w:left="24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20" w:type="dxa"/>
            <w:vAlign w:val="bottom"/>
          </w:tcPr>
          <w:p>
            <w:pPr>
              <w:ind w:left="200"/>
              <w:spacing w:after="0" w:line="202" w:lineRule="exact"/>
              <w:rPr>
                <w:sz w:val="20"/>
                <w:szCs w:val="20"/>
                <w:color w:val="auto"/>
              </w:rPr>
            </w:pPr>
            <w:r>
              <w:rPr>
                <w:rFonts w:ascii="Arial" w:cs="Arial" w:eastAsia="Arial" w:hAnsi="Arial"/>
                <w:sz w:val="18"/>
                <w:szCs w:val="18"/>
                <w:color w:val="auto"/>
              </w:rPr>
              <w:t>Plan</w:t>
            </w:r>
          </w:p>
        </w:tc>
        <w:tc>
          <w:tcPr>
            <w:tcW w:w="3800" w:type="dxa"/>
            <w:vAlign w:val="bottom"/>
          </w:tcPr>
          <w:p>
            <w:pPr>
              <w:ind w:left="240"/>
              <w:spacing w:after="0" w:line="202" w:lineRule="exact"/>
              <w:rPr>
                <w:sz w:val="20"/>
                <w:szCs w:val="20"/>
                <w:color w:val="auto"/>
              </w:rPr>
            </w:pPr>
            <w:r>
              <w:rPr>
                <w:rFonts w:ascii="Arial" w:cs="Arial" w:eastAsia="Arial" w:hAnsi="Arial"/>
                <w:sz w:val="18"/>
                <w:szCs w:val="18"/>
                <w:color w:val="auto"/>
              </w:rPr>
              <w:t>Registrant’s Current Report on Form 8-K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800" w:type="dxa"/>
            <w:vAlign w:val="bottom"/>
          </w:tcPr>
          <w:p>
            <w:pPr>
              <w:ind w:left="240"/>
              <w:spacing w:after="0" w:line="202" w:lineRule="exact"/>
              <w:rPr>
                <w:sz w:val="20"/>
                <w:szCs w:val="20"/>
                <w:color w:val="auto"/>
              </w:rPr>
            </w:pPr>
            <w:r>
              <w:rPr>
                <w:rFonts w:ascii="Arial" w:cs="Arial" w:eastAsia="Arial" w:hAnsi="Arial"/>
                <w:sz w:val="18"/>
                <w:szCs w:val="18"/>
                <w:color w:val="auto"/>
              </w:rPr>
              <w:t>filed February 2, 2006 (File No. 1-13292)</w:t>
            </w: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[Exhibit 10.2]</w:t>
            </w:r>
          </w:p>
        </w:tc>
      </w:tr>
    </w:tbl>
    <w:p>
      <w:pPr>
        <w:spacing w:after="0" w:line="200" w:lineRule="exact"/>
        <w:rPr>
          <w:sz w:val="20"/>
          <w:szCs w:val="20"/>
          <w:color w:val="auto"/>
        </w:rPr>
      </w:pPr>
    </w:p>
    <w:p>
      <w:pPr>
        <w:sectPr>
          <w:pgSz w:w="11900" w:h="16838" w:orient="portrait"/>
          <w:cols w:equalWidth="0" w:num="1">
            <w:col w:w="10620"/>
          </w:cols>
          <w:pgMar w:left="240" w:top="405" w:right="1039" w:bottom="22" w:gutter="0" w:footer="0" w:header="0"/>
        </w:sectPr>
      </w:pP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10(ff)</w:t>
            </w:r>
          </w:p>
        </w:tc>
        <w:tc>
          <w:tcPr>
            <w:tcW w:w="5340" w:type="dxa"/>
            <w:vAlign w:val="bottom"/>
          </w:tcPr>
          <w:p>
            <w:pPr>
              <w:ind w:left="340"/>
              <w:spacing w:after="0"/>
              <w:rPr>
                <w:sz w:val="20"/>
                <w:szCs w:val="20"/>
                <w:color w:val="auto"/>
              </w:rPr>
            </w:pPr>
            <w:r>
              <w:rPr>
                <w:rFonts w:ascii="Arial" w:cs="Arial" w:eastAsia="Arial" w:hAnsi="Arial"/>
                <w:sz w:val="18"/>
                <w:szCs w:val="18"/>
                <w:color w:val="auto"/>
              </w:rPr>
              <w:t>Specimen form of Award Agreement used to evidence Time-</w:t>
            </w:r>
          </w:p>
        </w:tc>
      </w:tr>
      <w:tr>
        <w:trPr>
          <w:trHeight w:val="203"/>
        </w:trPr>
        <w:tc>
          <w:tcPr>
            <w:tcW w:w="760" w:type="dxa"/>
            <w:vAlign w:val="bottom"/>
          </w:tcPr>
          <w:p>
            <w:pPr>
              <w:spacing w:after="0"/>
              <w:rPr>
                <w:sz w:val="17"/>
                <w:szCs w:val="17"/>
                <w:color w:val="auto"/>
              </w:rPr>
            </w:pPr>
          </w:p>
        </w:tc>
        <w:tc>
          <w:tcPr>
            <w:tcW w:w="5340" w:type="dxa"/>
            <w:vAlign w:val="bottom"/>
          </w:tcPr>
          <w:p>
            <w:pPr>
              <w:ind w:left="340"/>
              <w:spacing w:after="0" w:line="202" w:lineRule="exact"/>
              <w:rPr>
                <w:sz w:val="20"/>
                <w:szCs w:val="20"/>
                <w:color w:val="auto"/>
              </w:rPr>
            </w:pPr>
            <w:r>
              <w:rPr>
                <w:rFonts w:ascii="Arial" w:cs="Arial" w:eastAsia="Arial" w:hAnsi="Arial"/>
                <w:sz w:val="18"/>
                <w:szCs w:val="18"/>
                <w:color w:val="auto"/>
                <w:w w:val="99"/>
              </w:rPr>
              <w:t>Based Nonqualified Stock Options for Non-Employee Directors</w:t>
            </w:r>
          </w:p>
        </w:tc>
      </w:tr>
      <w:tr>
        <w:trPr>
          <w:trHeight w:val="203"/>
        </w:trPr>
        <w:tc>
          <w:tcPr>
            <w:tcW w:w="760" w:type="dxa"/>
            <w:vAlign w:val="bottom"/>
          </w:tcPr>
          <w:p>
            <w:pPr>
              <w:spacing w:after="0"/>
              <w:rPr>
                <w:sz w:val="17"/>
                <w:szCs w:val="17"/>
                <w:color w:val="auto"/>
              </w:rPr>
            </w:pPr>
          </w:p>
        </w:tc>
        <w:tc>
          <w:tcPr>
            <w:tcW w:w="5340" w:type="dxa"/>
            <w:vAlign w:val="bottom"/>
          </w:tcPr>
          <w:p>
            <w:pPr>
              <w:ind w:left="340"/>
              <w:spacing w:after="0" w:line="202" w:lineRule="exact"/>
              <w:rPr>
                <w:sz w:val="20"/>
                <w:szCs w:val="20"/>
                <w:color w:val="auto"/>
              </w:rPr>
            </w:pPr>
            <w:r>
              <w:rPr>
                <w:rFonts w:ascii="Arial" w:cs="Arial" w:eastAsia="Arial" w:hAnsi="Arial"/>
                <w:sz w:val="18"/>
                <w:szCs w:val="18"/>
                <w:color w:val="auto"/>
              </w:rPr>
              <w:t>under The Scotts Miracle-Gro Company 2006 Long-Term</w:t>
            </w:r>
          </w:p>
        </w:tc>
      </w:tr>
      <w:tr>
        <w:trPr>
          <w:trHeight w:val="217"/>
        </w:trPr>
        <w:tc>
          <w:tcPr>
            <w:tcW w:w="76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Incentive Plan</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1-13292) [Exhibit 10.3]</w:t>
      </w:r>
    </w:p>
    <w:p>
      <w:pPr>
        <w:spacing w:after="0" w:line="200" w:lineRule="exact"/>
        <w:rPr>
          <w:sz w:val="20"/>
          <w:szCs w:val="20"/>
          <w:color w:val="auto"/>
        </w:rPr>
      </w:pPr>
    </w:p>
    <w:p>
      <w:pPr>
        <w:sectPr>
          <w:pgSz w:w="11900" w:h="16838" w:orient="portrait"/>
          <w:cols w:equalWidth="0" w:num="2">
            <w:col w:w="6800" w:space="260"/>
            <w:col w:w="3560"/>
          </w:cols>
          <w:pgMar w:left="240" w:top="405" w:right="1039" w:bottom="22" w:gutter="0" w:footer="0" w:header="0"/>
          <w:type w:val="continuous"/>
        </w:sectPr>
      </w:pPr>
    </w:p>
    <w:p>
      <w:pPr>
        <w:spacing w:after="0" w:line="164" w:lineRule="exact"/>
        <w:rPr>
          <w:sz w:val="20"/>
          <w:szCs w:val="20"/>
          <w:color w:val="auto"/>
        </w:rPr>
      </w:pPr>
    </w:p>
    <w:p>
      <w:pPr>
        <w:jc w:val="both"/>
        <w:ind w:left="1800" w:hanging="1099"/>
        <w:spacing w:after="0"/>
        <w:tabs>
          <w:tab w:leader="none" w:pos="1780" w:val="left"/>
        </w:tabs>
        <w:rPr>
          <w:sz w:val="20"/>
          <w:szCs w:val="20"/>
          <w:color w:val="auto"/>
        </w:rPr>
      </w:pPr>
      <w:r>
        <w:rPr>
          <w:rFonts w:ascii="Arial" w:cs="Arial" w:eastAsia="Arial" w:hAnsi="Arial"/>
          <w:sz w:val="18"/>
          <w:szCs w:val="18"/>
          <w:color w:val="auto"/>
        </w:rPr>
        <w:t>10(gg)</w:t>
      </w:r>
      <w:r>
        <w:rPr>
          <w:sz w:val="20"/>
          <w:szCs w:val="20"/>
          <w:color w:val="auto"/>
        </w:rPr>
        <w:tab/>
      </w:r>
      <w:r>
        <w:rPr>
          <w:rFonts w:ascii="Arial" w:cs="Arial" w:eastAsia="Arial" w:hAnsi="Arial"/>
          <w:sz w:val="18"/>
          <w:szCs w:val="18"/>
          <w:color w:val="auto"/>
        </w:rPr>
        <w:t>Specimen form of Award Agreement to evidence Time-Based Nonqualified Stock Options for Employees under The Scotts Miracle-Gro Company 2006 Long-Term Incentive Plan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2005 (File No. 1-13292) [Exhibit 10(b)]</w:t>
      </w:r>
    </w:p>
    <w:p>
      <w:pPr>
        <w:spacing w:after="0" w:line="200" w:lineRule="exact"/>
        <w:rPr>
          <w:sz w:val="20"/>
          <w:szCs w:val="20"/>
          <w:color w:val="auto"/>
        </w:rPr>
      </w:pPr>
    </w:p>
    <w:p>
      <w:pPr>
        <w:sectPr>
          <w:pgSz w:w="11900" w:h="16838" w:orient="portrait"/>
          <w:cols w:equalWidth="0" w:num="2">
            <w:col w:w="6680" w:space="380"/>
            <w:col w:w="3560"/>
          </w:cols>
          <w:pgMar w:left="240" w:top="405" w:right="1039" w:bottom="22" w:gutter="0" w:footer="0" w:header="0"/>
          <w:type w:val="continuous"/>
        </w:sectPr>
      </w:pPr>
    </w:p>
    <w:p>
      <w:pPr>
        <w:spacing w:after="0" w:line="164" w:lineRule="exact"/>
        <w:rPr>
          <w:sz w:val="20"/>
          <w:szCs w:val="20"/>
          <w:color w:val="auto"/>
        </w:rPr>
      </w:pPr>
    </w:p>
    <w:p>
      <w:pPr>
        <w:ind w:left="1800" w:hanging="1099"/>
        <w:spacing w:after="0" w:line="239" w:lineRule="auto"/>
        <w:tabs>
          <w:tab w:leader="none" w:pos="1780" w:val="left"/>
        </w:tabs>
        <w:rPr>
          <w:sz w:val="20"/>
          <w:szCs w:val="20"/>
          <w:color w:val="auto"/>
        </w:rPr>
      </w:pPr>
      <w:r>
        <w:rPr>
          <w:rFonts w:ascii="Arial" w:cs="Arial" w:eastAsia="Arial" w:hAnsi="Arial"/>
          <w:sz w:val="18"/>
          <w:szCs w:val="18"/>
          <w:color w:val="auto"/>
        </w:rPr>
        <w:t>10(hh)</w:t>
      </w:r>
      <w:r>
        <w:rPr>
          <w:sz w:val="20"/>
          <w:szCs w:val="20"/>
          <w:color w:val="auto"/>
        </w:rPr>
        <w:tab/>
      </w:r>
      <w:r>
        <w:rPr>
          <w:rFonts w:ascii="Arial" w:cs="Arial" w:eastAsia="Arial" w:hAnsi="Arial"/>
          <w:sz w:val="18"/>
          <w:szCs w:val="18"/>
          <w:color w:val="auto"/>
        </w:rPr>
        <w:t>Specimen form of Award Agreement for Third Party Service Providers to evidence awards under The Scotts Miracle-Gro Company 2006 Long-Term Incentive Plan to third party service providers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1-13292) [Exhibit 10.3]</w:t>
      </w:r>
    </w:p>
    <w:p>
      <w:pPr>
        <w:spacing w:after="0" w:line="200" w:lineRule="exact"/>
        <w:rPr>
          <w:sz w:val="20"/>
          <w:szCs w:val="20"/>
          <w:color w:val="auto"/>
        </w:rPr>
      </w:pPr>
    </w:p>
    <w:p>
      <w:pPr>
        <w:sectPr>
          <w:pgSz w:w="11900" w:h="16838" w:orient="portrait"/>
          <w:cols w:equalWidth="0" w:num="2">
            <w:col w:w="6780" w:space="280"/>
            <w:col w:w="3560"/>
          </w:cols>
          <w:pgMar w:left="240" w:top="405" w:right="1039" w:bottom="22"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10(ii)</w:t>
            </w:r>
          </w:p>
        </w:tc>
        <w:tc>
          <w:tcPr>
            <w:tcW w:w="5300" w:type="dxa"/>
            <w:vAlign w:val="bottom"/>
          </w:tcPr>
          <w:p>
            <w:pPr>
              <w:ind w:left="360"/>
              <w:spacing w:after="0"/>
              <w:rPr>
                <w:sz w:val="20"/>
                <w:szCs w:val="20"/>
                <w:color w:val="auto"/>
              </w:rPr>
            </w:pPr>
            <w:r>
              <w:rPr>
                <w:rFonts w:ascii="Arial" w:cs="Arial" w:eastAsia="Arial" w:hAnsi="Arial"/>
                <w:sz w:val="18"/>
                <w:szCs w:val="18"/>
                <w:color w:val="auto"/>
                <w:w w:val="99"/>
              </w:rPr>
              <w:t>The Scotts Miracle-Gro Company Discounted Stock Purchase</w:t>
            </w:r>
          </w:p>
        </w:tc>
      </w:tr>
      <w:tr>
        <w:trPr>
          <w:trHeight w:val="203"/>
        </w:trPr>
        <w:tc>
          <w:tcPr>
            <w:tcW w:w="740" w:type="dxa"/>
            <w:vAlign w:val="bottom"/>
          </w:tcPr>
          <w:p>
            <w:pPr>
              <w:spacing w:after="0"/>
              <w:rPr>
                <w:sz w:val="17"/>
                <w:szCs w:val="17"/>
                <w:color w:val="auto"/>
              </w:rPr>
            </w:pPr>
          </w:p>
        </w:tc>
        <w:tc>
          <w:tcPr>
            <w:tcW w:w="5300" w:type="dxa"/>
            <w:vAlign w:val="bottom"/>
          </w:tcPr>
          <w:p>
            <w:pPr>
              <w:ind w:left="360"/>
              <w:spacing w:after="0" w:line="202" w:lineRule="exact"/>
              <w:rPr>
                <w:sz w:val="20"/>
                <w:szCs w:val="20"/>
                <w:color w:val="auto"/>
              </w:rPr>
            </w:pPr>
            <w:r>
              <w:rPr>
                <w:rFonts w:ascii="Arial" w:cs="Arial" w:eastAsia="Arial" w:hAnsi="Arial"/>
                <w:sz w:val="18"/>
                <w:szCs w:val="18"/>
                <w:color w:val="auto"/>
              </w:rPr>
              <w:t>Plan (As Amended and Restated as of January 26, 2006;</w:t>
            </w:r>
          </w:p>
        </w:tc>
      </w:tr>
      <w:tr>
        <w:trPr>
          <w:trHeight w:val="217"/>
        </w:trPr>
        <w:tc>
          <w:tcPr>
            <w:tcW w:w="74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Reflects 2-for-1 Stock Split Distributed on November 9, 2005)</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1-13292) [Exhibit 10.1]</w:t>
      </w:r>
    </w:p>
    <w:p>
      <w:pPr>
        <w:spacing w:after="0" w:line="200" w:lineRule="exact"/>
        <w:rPr>
          <w:sz w:val="20"/>
          <w:szCs w:val="20"/>
          <w:color w:val="auto"/>
        </w:rPr>
      </w:pPr>
    </w:p>
    <w:p>
      <w:pPr>
        <w:sectPr>
          <w:pgSz w:w="11900" w:h="16838" w:orient="portrait"/>
          <w:cols w:equalWidth="0" w:num="2">
            <w:col w:w="6740" w:space="320"/>
            <w:col w:w="3560"/>
          </w:cols>
          <w:pgMar w:left="240" w:top="405" w:right="1039" w:bottom="22"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10(jj)</w:t>
            </w:r>
          </w:p>
        </w:tc>
        <w:tc>
          <w:tcPr>
            <w:tcW w:w="5380" w:type="dxa"/>
            <w:vAlign w:val="bottom"/>
          </w:tcPr>
          <w:p>
            <w:pPr>
              <w:ind w:left="360"/>
              <w:spacing w:after="0"/>
              <w:rPr>
                <w:sz w:val="20"/>
                <w:szCs w:val="20"/>
                <w:color w:val="auto"/>
              </w:rPr>
            </w:pPr>
            <w:r>
              <w:rPr>
                <w:rFonts w:ascii="Arial" w:cs="Arial" w:eastAsia="Arial" w:hAnsi="Arial"/>
                <w:sz w:val="18"/>
                <w:szCs w:val="18"/>
                <w:color w:val="auto"/>
                <w:w w:val="99"/>
              </w:rPr>
              <w:t>Summary of Compensation for Directors of The Scotts Miracle-</w:t>
            </w:r>
          </w:p>
        </w:tc>
      </w:tr>
      <w:tr>
        <w:trPr>
          <w:trHeight w:val="217"/>
        </w:trPr>
        <w:tc>
          <w:tcPr>
            <w:tcW w:w="74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Gro Company</w:t>
            </w:r>
          </w:p>
        </w:tc>
      </w:tr>
    </w:tbl>
    <w:p>
      <w:pPr>
        <w:spacing w:after="0" w:line="364" w:lineRule="exact"/>
        <w:rPr>
          <w:sz w:val="20"/>
          <w:szCs w:val="20"/>
          <w:color w:val="auto"/>
        </w:rPr>
      </w:pPr>
    </w:p>
    <w:p>
      <w:pPr>
        <w:jc w:val="both"/>
        <w:ind w:left="1800" w:hanging="1099"/>
        <w:spacing w:after="0"/>
        <w:tabs>
          <w:tab w:leader="none" w:pos="1780" w:val="left"/>
        </w:tabs>
        <w:rPr>
          <w:sz w:val="20"/>
          <w:szCs w:val="20"/>
          <w:color w:val="auto"/>
        </w:rPr>
      </w:pPr>
      <w:r>
        <w:rPr>
          <w:rFonts w:ascii="Arial" w:cs="Arial" w:eastAsia="Arial" w:hAnsi="Arial"/>
          <w:sz w:val="18"/>
          <w:szCs w:val="18"/>
          <w:color w:val="auto"/>
        </w:rPr>
        <w:t>10(kk)</w:t>
      </w:r>
      <w:r>
        <w:rPr>
          <w:sz w:val="20"/>
          <w:szCs w:val="20"/>
          <w:color w:val="auto"/>
        </w:rPr>
        <w:tab/>
      </w:r>
      <w:r>
        <w:rPr>
          <w:rFonts w:ascii="Arial" w:cs="Arial" w:eastAsia="Arial" w:hAnsi="Arial"/>
          <w:sz w:val="18"/>
          <w:szCs w:val="18"/>
          <w:color w:val="auto"/>
        </w:rPr>
        <w:t>Exclusive Distributor Agreement — Horticulture, effective as of June 22, 1998, between The Scotts Company and AgrEvo USA Company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1998 (File No. 1-11593) [Exhibit 10(v)]</w:t>
      </w:r>
    </w:p>
    <w:p>
      <w:pPr>
        <w:spacing w:after="0" w:line="200" w:lineRule="exact"/>
        <w:rPr>
          <w:sz w:val="20"/>
          <w:szCs w:val="20"/>
          <w:color w:val="auto"/>
        </w:rPr>
      </w:pPr>
    </w:p>
    <w:p>
      <w:pPr>
        <w:sectPr>
          <w:pgSz w:w="11900" w:h="16838" w:orient="portrait"/>
          <w:cols w:equalWidth="0" w:num="2">
            <w:col w:w="6860" w:space="200"/>
            <w:col w:w="3560"/>
          </w:cols>
          <w:pgMar w:left="240" w:top="405" w:right="1039" w:bottom="22"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10(ll)</w:t>
            </w:r>
          </w:p>
        </w:tc>
        <w:tc>
          <w:tcPr>
            <w:tcW w:w="5220" w:type="dxa"/>
            <w:vAlign w:val="bottom"/>
          </w:tcPr>
          <w:p>
            <w:pPr>
              <w:ind w:left="360"/>
              <w:spacing w:after="0"/>
              <w:rPr>
                <w:sz w:val="20"/>
                <w:szCs w:val="20"/>
                <w:color w:val="auto"/>
              </w:rPr>
            </w:pPr>
            <w:r>
              <w:rPr>
                <w:rFonts w:ascii="Arial" w:cs="Arial" w:eastAsia="Arial" w:hAnsi="Arial"/>
                <w:sz w:val="18"/>
                <w:szCs w:val="18"/>
                <w:color w:val="auto"/>
              </w:rPr>
              <w:t>Amended and Restated Exclusive Agency and Marketing</w:t>
            </w:r>
          </w:p>
        </w:tc>
      </w:tr>
      <w:tr>
        <w:trPr>
          <w:trHeight w:val="203"/>
        </w:trPr>
        <w:tc>
          <w:tcPr>
            <w:tcW w:w="740" w:type="dxa"/>
            <w:vAlign w:val="bottom"/>
          </w:tcPr>
          <w:p>
            <w:pPr>
              <w:spacing w:after="0"/>
              <w:rPr>
                <w:sz w:val="17"/>
                <w:szCs w:val="17"/>
                <w:color w:val="auto"/>
              </w:rPr>
            </w:pPr>
          </w:p>
        </w:tc>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Agreement, dated as of September 30, 1998, between</w:t>
            </w:r>
          </w:p>
        </w:tc>
      </w:tr>
      <w:tr>
        <w:trPr>
          <w:trHeight w:val="203"/>
        </w:trPr>
        <w:tc>
          <w:tcPr>
            <w:tcW w:w="740" w:type="dxa"/>
            <w:vAlign w:val="bottom"/>
          </w:tcPr>
          <w:p>
            <w:pPr>
              <w:spacing w:after="0"/>
              <w:rPr>
                <w:sz w:val="17"/>
                <w:szCs w:val="17"/>
                <w:color w:val="auto"/>
              </w:rPr>
            </w:pPr>
          </w:p>
        </w:tc>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Monsanto Company (now Pharmacia Corporation) and The</w:t>
            </w:r>
          </w:p>
        </w:tc>
      </w:tr>
      <w:tr>
        <w:trPr>
          <w:trHeight w:val="217"/>
        </w:trPr>
        <w:tc>
          <w:tcPr>
            <w:tcW w:w="740" w:type="dxa"/>
            <w:vAlign w:val="bottom"/>
          </w:tcPr>
          <w:p>
            <w:pPr>
              <w:spacing w:after="0"/>
              <w:rPr>
                <w:sz w:val="18"/>
                <w:szCs w:val="18"/>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w w:val="99"/>
              </w:rPr>
              <w:t>Scotts Company LLC (as successor to The Scotts Company)</w:t>
            </w:r>
          </w:p>
        </w:tc>
      </w:tr>
    </w:tbl>
    <w:p>
      <w:pPr>
        <w:spacing w:after="0" w:line="364" w:lineRule="exact"/>
        <w:rPr>
          <w:sz w:val="20"/>
          <w:szCs w:val="20"/>
          <w:color w:val="auto"/>
        </w:rPr>
      </w:pPr>
    </w:p>
    <w:p>
      <w:pPr>
        <w:ind w:left="1800" w:right="280" w:hanging="1107"/>
        <w:spacing w:after="0" w:line="246"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Code of Business Conduct and Ethics of the Registrant, as amended on November 2, 2006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5300" w:type="dxa"/>
            <w:vAlign w:val="bottom"/>
          </w:tcPr>
          <w:p>
            <w:pPr>
              <w:ind w:left="340"/>
              <w:spacing w:after="0"/>
              <w:rPr>
                <w:sz w:val="20"/>
                <w:szCs w:val="20"/>
                <w:color w:val="auto"/>
              </w:rPr>
            </w:pPr>
            <w:r>
              <w:rPr>
                <w:rFonts w:ascii="Arial" w:cs="Arial" w:eastAsia="Arial" w:hAnsi="Arial"/>
                <w:sz w:val="18"/>
                <w:szCs w:val="18"/>
                <w:color w:val="auto"/>
              </w:rPr>
              <w:t>Subsidiaries of The Scotts Miracle-Gro Company</w:t>
            </w:r>
          </w:p>
        </w:tc>
      </w:tr>
      <w:tr>
        <w:trPr>
          <w:trHeight w:val="566"/>
        </w:trPr>
        <w:tc>
          <w:tcPr>
            <w:tcW w:w="760" w:type="dxa"/>
            <w:vAlign w:val="bottom"/>
          </w:tcPr>
          <w:p>
            <w:pPr>
              <w:spacing w:after="0"/>
              <w:rPr>
                <w:sz w:val="20"/>
                <w:szCs w:val="20"/>
                <w:color w:val="auto"/>
              </w:rPr>
            </w:pPr>
            <w:r>
              <w:rPr>
                <w:rFonts w:ascii="Arial" w:cs="Arial" w:eastAsia="Arial" w:hAnsi="Arial"/>
                <w:sz w:val="18"/>
                <w:szCs w:val="18"/>
                <w:color w:val="auto"/>
              </w:rPr>
              <w:t>23(a)</w:t>
            </w:r>
          </w:p>
        </w:tc>
        <w:tc>
          <w:tcPr>
            <w:tcW w:w="5300" w:type="dxa"/>
            <w:vAlign w:val="bottom"/>
          </w:tcPr>
          <w:p>
            <w:pPr>
              <w:ind w:left="340"/>
              <w:spacing w:after="0"/>
              <w:rPr>
                <w:sz w:val="20"/>
                <w:szCs w:val="20"/>
                <w:color w:val="auto"/>
              </w:rPr>
            </w:pPr>
            <w:r>
              <w:rPr>
                <w:rFonts w:ascii="Arial" w:cs="Arial" w:eastAsia="Arial" w:hAnsi="Arial"/>
                <w:sz w:val="18"/>
                <w:szCs w:val="18"/>
                <w:color w:val="auto"/>
                <w:w w:val="99"/>
              </w:rPr>
              <w:t>Consent of Independent Registered Public Accounting Firm —</w:t>
            </w:r>
          </w:p>
        </w:tc>
      </w:tr>
      <w:tr>
        <w:trPr>
          <w:trHeight w:val="217"/>
        </w:trPr>
        <w:tc>
          <w:tcPr>
            <w:tcW w:w="76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Deloitte &amp; Touche LLP</w:t>
            </w:r>
          </w:p>
        </w:tc>
      </w:tr>
      <w:tr>
        <w:trPr>
          <w:trHeight w:val="566"/>
        </w:trPr>
        <w:tc>
          <w:tcPr>
            <w:tcW w:w="760" w:type="dxa"/>
            <w:vAlign w:val="bottom"/>
          </w:tcPr>
          <w:p>
            <w:pPr>
              <w:spacing w:after="0"/>
              <w:rPr>
                <w:sz w:val="20"/>
                <w:szCs w:val="20"/>
                <w:color w:val="auto"/>
              </w:rPr>
            </w:pPr>
            <w:r>
              <w:rPr>
                <w:rFonts w:ascii="Arial" w:cs="Arial" w:eastAsia="Arial" w:hAnsi="Arial"/>
                <w:sz w:val="18"/>
                <w:szCs w:val="18"/>
                <w:color w:val="auto"/>
              </w:rPr>
              <w:t>23(b)</w:t>
            </w:r>
          </w:p>
        </w:tc>
        <w:tc>
          <w:tcPr>
            <w:tcW w:w="5300" w:type="dxa"/>
            <w:vAlign w:val="bottom"/>
          </w:tcPr>
          <w:p>
            <w:pPr>
              <w:ind w:left="340"/>
              <w:spacing w:after="0"/>
              <w:rPr>
                <w:sz w:val="20"/>
                <w:szCs w:val="20"/>
                <w:color w:val="auto"/>
              </w:rPr>
            </w:pPr>
            <w:r>
              <w:rPr>
                <w:rFonts w:ascii="Arial" w:cs="Arial" w:eastAsia="Arial" w:hAnsi="Arial"/>
                <w:sz w:val="18"/>
                <w:szCs w:val="18"/>
                <w:color w:val="auto"/>
                <w:w w:val="99"/>
              </w:rPr>
              <w:t>Consent of Independent Registered Public Accounting Firm —</w:t>
            </w:r>
          </w:p>
        </w:tc>
      </w:tr>
      <w:tr>
        <w:trPr>
          <w:trHeight w:val="217"/>
        </w:trPr>
        <w:tc>
          <w:tcPr>
            <w:tcW w:w="76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PricewaterhouseCoopers LLP</w:t>
            </w:r>
          </w:p>
        </w:tc>
      </w:tr>
      <w:tr>
        <w:trPr>
          <w:trHeight w:val="566"/>
        </w:trPr>
        <w:tc>
          <w:tcPr>
            <w:tcW w:w="760" w:type="dxa"/>
            <w:vAlign w:val="bottom"/>
          </w:tcPr>
          <w:p>
            <w:pPr>
              <w:spacing w:after="0"/>
              <w:rPr>
                <w:sz w:val="20"/>
                <w:szCs w:val="20"/>
                <w:color w:val="auto"/>
              </w:rPr>
            </w:pPr>
            <w:r>
              <w:rPr>
                <w:rFonts w:ascii="Arial" w:cs="Arial" w:eastAsia="Arial" w:hAnsi="Arial"/>
                <w:sz w:val="18"/>
                <w:szCs w:val="18"/>
                <w:color w:val="auto"/>
              </w:rPr>
              <w:t>31(a)</w:t>
            </w:r>
          </w:p>
        </w:tc>
        <w:tc>
          <w:tcPr>
            <w:tcW w:w="5300" w:type="dxa"/>
            <w:vAlign w:val="bottom"/>
          </w:tcPr>
          <w:p>
            <w:pPr>
              <w:ind w:left="340"/>
              <w:spacing w:after="0"/>
              <w:rPr>
                <w:sz w:val="20"/>
                <w:szCs w:val="20"/>
                <w:color w:val="auto"/>
              </w:rPr>
            </w:pPr>
            <w:r>
              <w:rPr>
                <w:rFonts w:ascii="Arial" w:cs="Arial" w:eastAsia="Arial" w:hAnsi="Arial"/>
                <w:sz w:val="18"/>
                <w:szCs w:val="18"/>
                <w:color w:val="auto"/>
              </w:rPr>
              <w:t>Rule 13a-14(a)/15d-14(a) Certification (Principal Executive</w:t>
            </w:r>
          </w:p>
        </w:tc>
      </w:tr>
      <w:tr>
        <w:trPr>
          <w:trHeight w:val="217"/>
        </w:trPr>
        <w:tc>
          <w:tcPr>
            <w:tcW w:w="76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Officer)</w:t>
            </w:r>
          </w:p>
        </w:tc>
      </w:tr>
      <w:tr>
        <w:trPr>
          <w:trHeight w:val="566"/>
        </w:trPr>
        <w:tc>
          <w:tcPr>
            <w:tcW w:w="760" w:type="dxa"/>
            <w:vAlign w:val="bottom"/>
          </w:tcPr>
          <w:p>
            <w:pPr>
              <w:spacing w:after="0"/>
              <w:rPr>
                <w:sz w:val="20"/>
                <w:szCs w:val="20"/>
                <w:color w:val="auto"/>
              </w:rPr>
            </w:pPr>
            <w:r>
              <w:rPr>
                <w:rFonts w:ascii="Arial" w:cs="Arial" w:eastAsia="Arial" w:hAnsi="Arial"/>
                <w:sz w:val="18"/>
                <w:szCs w:val="18"/>
                <w:color w:val="auto"/>
              </w:rPr>
              <w:t>31(b)</w:t>
            </w:r>
          </w:p>
        </w:tc>
        <w:tc>
          <w:tcPr>
            <w:tcW w:w="5300" w:type="dxa"/>
            <w:vAlign w:val="bottom"/>
          </w:tcPr>
          <w:p>
            <w:pPr>
              <w:ind w:left="340"/>
              <w:spacing w:after="0"/>
              <w:rPr>
                <w:sz w:val="20"/>
                <w:szCs w:val="20"/>
                <w:color w:val="auto"/>
              </w:rPr>
            </w:pPr>
            <w:r>
              <w:rPr>
                <w:rFonts w:ascii="Arial" w:cs="Arial" w:eastAsia="Arial" w:hAnsi="Arial"/>
                <w:sz w:val="18"/>
                <w:szCs w:val="18"/>
                <w:color w:val="auto"/>
              </w:rPr>
              <w:t>Rule 13a-14(a)/15d-14(a) Certification (Principal Financial</w:t>
            </w:r>
          </w:p>
        </w:tc>
      </w:tr>
      <w:tr>
        <w:trPr>
          <w:trHeight w:val="217"/>
        </w:trPr>
        <w:tc>
          <w:tcPr>
            <w:tcW w:w="76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1-13292) [Exhibit 10(x)]</w:t>
      </w:r>
    </w:p>
    <w:p>
      <w:pPr>
        <w:spacing w:after="0" w:line="36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November 8, 2006 (File No. 1-13292)) [Exhibit 14]</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12" w:lineRule="exact"/>
        <w:rPr>
          <w:sz w:val="20"/>
          <w:szCs w:val="20"/>
          <w:color w:val="auto"/>
        </w:rPr>
      </w:pPr>
    </w:p>
    <w:p>
      <w:pPr>
        <w:sectPr>
          <w:pgSz w:w="11900" w:h="16838" w:orient="portrait"/>
          <w:cols w:equalWidth="0" w:num="2">
            <w:col w:w="6760" w:space="300"/>
            <w:col w:w="3560"/>
          </w:cols>
          <w:pgMar w:left="240" w:top="405" w:right="1039" w:bottom="22"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640" w:type="dxa"/>
            <w:vAlign w:val="bottom"/>
          </w:tcPr>
          <w:p>
            <w:pPr>
              <w:jc w:val="right"/>
              <w:ind w:right="350"/>
              <w:spacing w:after="0"/>
              <w:rPr>
                <w:sz w:val="20"/>
                <w:szCs w:val="20"/>
                <w:color w:val="auto"/>
              </w:rPr>
            </w:pPr>
            <w:r>
              <w:rPr>
                <w:rFonts w:ascii="Arial" w:cs="Arial" w:eastAsia="Arial" w:hAnsi="Arial"/>
                <w:sz w:val="18"/>
                <w:szCs w:val="18"/>
                <w:color w:val="auto"/>
                <w:w w:val="89"/>
              </w:rPr>
              <w:t>32</w:t>
            </w:r>
          </w:p>
        </w:tc>
        <w:tc>
          <w:tcPr>
            <w:tcW w:w="5400" w:type="dxa"/>
            <w:vAlign w:val="bottom"/>
          </w:tcPr>
          <w:p>
            <w:pPr>
              <w:ind w:left="460"/>
              <w:spacing w:after="0"/>
              <w:rPr>
                <w:sz w:val="20"/>
                <w:szCs w:val="20"/>
                <w:color w:val="auto"/>
              </w:rPr>
            </w:pPr>
            <w:r>
              <w:rPr>
                <w:rFonts w:ascii="Arial" w:cs="Arial" w:eastAsia="Arial" w:hAnsi="Arial"/>
                <w:sz w:val="18"/>
                <w:szCs w:val="18"/>
                <w:color w:val="auto"/>
              </w:rPr>
              <w:t>Section 1350 Certification (Principal Executive Officer and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40" w:type="dxa"/>
            <w:vAlign w:val="bottom"/>
          </w:tcPr>
          <w:p>
            <w:pPr>
              <w:spacing w:after="0"/>
              <w:rPr>
                <w:sz w:val="18"/>
                <w:szCs w:val="18"/>
                <w:color w:val="auto"/>
              </w:rPr>
            </w:pPr>
          </w:p>
        </w:tc>
        <w:tc>
          <w:tcPr>
            <w:tcW w:w="5400" w:type="dxa"/>
            <w:vAlign w:val="bottom"/>
          </w:tcPr>
          <w:p>
            <w:pPr>
              <w:ind w:left="460"/>
              <w:spacing w:after="0"/>
              <w:rPr>
                <w:sz w:val="20"/>
                <w:szCs w:val="20"/>
                <w:color w:val="auto"/>
              </w:rPr>
            </w:pPr>
            <w:r>
              <w:rPr>
                <w:rFonts w:ascii="Arial" w:cs="Arial" w:eastAsia="Arial" w:hAnsi="Arial"/>
                <w:sz w:val="18"/>
                <w:szCs w:val="18"/>
                <w:color w:val="auto"/>
              </w:rPr>
              <w:t>Principal Financial Officer)</w:t>
            </w:r>
          </w:p>
        </w:tc>
        <w:tc>
          <w:tcPr>
            <w:tcW w:w="380" w:type="dxa"/>
            <w:vAlign w:val="bottom"/>
          </w:tcPr>
          <w:p>
            <w:pPr>
              <w:spacing w:after="0"/>
              <w:rPr>
                <w:sz w:val="18"/>
                <w:szCs w:val="18"/>
                <w:color w:val="auto"/>
              </w:rPr>
            </w:pPr>
          </w:p>
        </w:tc>
      </w:tr>
    </w:tbl>
    <w:p>
      <w:pPr>
        <w:sectPr>
          <w:pgSz w:w="11900" w:h="16838" w:orient="portrait"/>
          <w:cols w:equalWidth="0" w:num="1">
            <w:col w:w="10620"/>
          </w:cols>
          <w:pgMar w:left="240" w:top="405" w:right="1039" w:bottom="22" w:gutter="0" w:footer="0" w:header="0"/>
          <w:type w:val="continuous"/>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jc w:val="right"/>
              <w:ind w:right="290"/>
              <w:spacing w:after="0"/>
              <w:rPr>
                <w:sz w:val="20"/>
                <w:szCs w:val="20"/>
                <w:color w:val="auto"/>
              </w:rPr>
            </w:pPr>
            <w:r>
              <w:rPr>
                <w:rFonts w:ascii="Arial" w:cs="Arial" w:eastAsia="Arial" w:hAnsi="Arial"/>
                <w:sz w:val="18"/>
                <w:szCs w:val="18"/>
                <w:color w:val="auto"/>
                <w:w w:val="91"/>
              </w:rPr>
              <w:t>99.1</w:t>
            </w:r>
          </w:p>
        </w:tc>
        <w:tc>
          <w:tcPr>
            <w:tcW w:w="5340" w:type="dxa"/>
            <w:vAlign w:val="bottom"/>
          </w:tcPr>
          <w:p>
            <w:pPr>
              <w:ind w:left="380"/>
              <w:spacing w:after="0"/>
              <w:rPr>
                <w:sz w:val="20"/>
                <w:szCs w:val="20"/>
                <w:color w:val="auto"/>
              </w:rPr>
            </w:pPr>
            <w:r>
              <w:rPr>
                <w:rFonts w:ascii="Arial" w:cs="Arial" w:eastAsia="Arial" w:hAnsi="Arial"/>
                <w:sz w:val="18"/>
                <w:szCs w:val="18"/>
                <w:color w:val="auto"/>
                <w:w w:val="99"/>
              </w:rPr>
              <w:t>Press Release issued by The Scotts Miracle-Gro Company on</w:t>
            </w:r>
          </w:p>
        </w:tc>
      </w:tr>
      <w:tr>
        <w:trPr>
          <w:trHeight w:val="217"/>
        </w:trPr>
        <w:tc>
          <w:tcPr>
            <w:tcW w:w="720" w:type="dxa"/>
            <w:vAlign w:val="bottom"/>
          </w:tcPr>
          <w:p>
            <w:pPr>
              <w:spacing w:after="0"/>
              <w:rPr>
                <w:sz w:val="18"/>
                <w:szCs w:val="18"/>
                <w:color w:val="auto"/>
              </w:rPr>
            </w:pPr>
          </w:p>
        </w:tc>
        <w:tc>
          <w:tcPr>
            <w:tcW w:w="5340" w:type="dxa"/>
            <w:vAlign w:val="bottom"/>
          </w:tcPr>
          <w:p>
            <w:pPr>
              <w:ind w:left="380"/>
              <w:spacing w:after="0"/>
              <w:rPr>
                <w:sz w:val="20"/>
                <w:szCs w:val="20"/>
                <w:color w:val="auto"/>
              </w:rPr>
            </w:pPr>
            <w:r>
              <w:rPr>
                <w:rFonts w:ascii="Arial" w:cs="Arial" w:eastAsia="Arial" w:hAnsi="Arial"/>
                <w:sz w:val="18"/>
                <w:szCs w:val="18"/>
                <w:color w:val="auto"/>
              </w:rPr>
              <w:t>December 12,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8147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-1905</wp:posOffset>
            </wp:positionV>
            <wp:extent cx="1885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1"/>
          <w:szCs w:val="11"/>
          <w:b w:val="1"/>
          <w:bCs w:val="1"/>
          <w:color w:val="auto"/>
        </w:rPr>
        <w:t>116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Incorporated herein by reference to the Registrant’s Form TO filed on December 12, 2006 (File No. 005-43851) [Exhibit 99.1]</w:t>
      </w:r>
    </w:p>
    <w:p>
      <w:pPr>
        <w:sectPr>
          <w:pgSz w:w="11900" w:h="16838" w:orient="portrait"/>
          <w:cols w:equalWidth="0" w:num="2">
            <w:col w:w="6060" w:space="300"/>
            <w:col w:w="3520"/>
          </w:cols>
          <w:pgMar w:left="940" w:top="134" w:right="107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4(c)(3)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SUPPLEMENTAL INDENTURE</w:t>
      </w:r>
    </w:p>
    <w:p>
      <w:pPr>
        <w:spacing w:after="0" w:line="121"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 xml:space="preserve">THIS THIRD SUPPLEMENTAL INDENTURE (this </w:t>
      </w:r>
      <w:r>
        <w:rPr>
          <w:rFonts w:ascii="Arial" w:cs="Arial" w:eastAsia="Arial" w:hAnsi="Arial"/>
          <w:sz w:val="18"/>
          <w:szCs w:val="18"/>
          <w:i w:val="1"/>
          <w:iCs w:val="1"/>
          <w:color w:val="auto"/>
        </w:rPr>
        <w:t>“Third Supplemental Indenture”</w:t>
      </w:r>
      <w:r>
        <w:rPr>
          <w:rFonts w:ascii="Arial" w:cs="Arial" w:eastAsia="Arial" w:hAnsi="Arial"/>
          <w:sz w:val="18"/>
          <w:szCs w:val="18"/>
          <w:color w:val="auto"/>
        </w:rPr>
        <w:t>) dated as of October 17, 2005, by and among Rod McLellan Company, a California corporation (</w:t>
      </w:r>
      <w:r>
        <w:rPr>
          <w:rFonts w:ascii="Arial" w:cs="Arial" w:eastAsia="Arial" w:hAnsi="Arial"/>
          <w:sz w:val="18"/>
          <w:szCs w:val="18"/>
          <w:i w:val="1"/>
          <w:iCs w:val="1"/>
          <w:color w:val="auto"/>
        </w:rPr>
        <w:t>“RMC”</w:t>
      </w:r>
      <w:r>
        <w:rPr>
          <w:rFonts w:ascii="Arial" w:cs="Arial" w:eastAsia="Arial" w:hAnsi="Arial"/>
          <w:sz w:val="18"/>
          <w:szCs w:val="18"/>
          <w:color w:val="auto"/>
        </w:rPr>
        <w:t>), SMG Growing Media, Inc., an Ohio corporation (</w:t>
      </w:r>
      <w:r>
        <w:rPr>
          <w:rFonts w:ascii="Arial" w:cs="Arial" w:eastAsia="Arial" w:hAnsi="Arial"/>
          <w:sz w:val="18"/>
          <w:szCs w:val="18"/>
          <w:i w:val="1"/>
          <w:iCs w:val="1"/>
          <w:color w:val="auto"/>
        </w:rPr>
        <w:t>“SMGGM”</w:t>
      </w:r>
      <w:r>
        <w:rPr>
          <w:rFonts w:ascii="Arial" w:cs="Arial" w:eastAsia="Arial" w:hAnsi="Arial"/>
          <w:sz w:val="18"/>
          <w:szCs w:val="18"/>
          <w:color w:val="auto"/>
        </w:rPr>
        <w:t xml:space="preserve">) (each of RMC and SMGGM shall be referred to herein as a </w:t>
      </w:r>
      <w:r>
        <w:rPr>
          <w:rFonts w:ascii="Arial" w:cs="Arial" w:eastAsia="Arial" w:hAnsi="Arial"/>
          <w:sz w:val="18"/>
          <w:szCs w:val="18"/>
          <w:i w:val="1"/>
          <w:iCs w:val="1"/>
          <w:color w:val="auto"/>
        </w:rPr>
        <w:t>“Guaranteeing Subsidiary”</w:t>
      </w:r>
      <w:r>
        <w:rPr>
          <w:rFonts w:ascii="Arial" w:cs="Arial" w:eastAsia="Arial" w:hAnsi="Arial"/>
          <w:sz w:val="18"/>
          <w:szCs w:val="18"/>
          <w:color w:val="auto"/>
        </w:rPr>
        <w:t xml:space="preserve"> and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xml:space="preserve">), and U.S. Bank National Association,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 xml:space="preserve">WHEREAS, on September 8, 2005, The Scotts Miracle-Gro Company (the </w:t>
      </w:r>
      <w:r>
        <w:rPr>
          <w:rFonts w:ascii="Arial" w:cs="Arial" w:eastAsia="Arial" w:hAnsi="Arial"/>
          <w:sz w:val="18"/>
          <w:szCs w:val="18"/>
          <w:i w:val="1"/>
          <w:iCs w:val="1"/>
          <w:color w:val="auto"/>
        </w:rPr>
        <w:t>“Company”</w:t>
      </w:r>
      <w:r>
        <w:rPr>
          <w:rFonts w:ascii="Arial" w:cs="Arial" w:eastAsia="Arial" w:hAnsi="Arial"/>
          <w:sz w:val="18"/>
          <w:szCs w:val="18"/>
          <w:color w:val="auto"/>
        </w:rPr>
        <w:t>) caused the formation of SMGGM, a wholly-owned subsidiary of the Company, and contributed capital to SMGGM in the amount of $10,000;</w:t>
      </w:r>
    </w:p>
    <w:p>
      <w:pPr>
        <w:spacing w:after="0" w:line="62"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 xml:space="preserve">WHEREAS, on October 3, 2005, RM Acquisition Corp., a merger subsidiary wholly-owned by SMGGM, merged with and into RMC, with RMC being the surviving corporation (the </w:t>
      </w:r>
      <w:r>
        <w:rPr>
          <w:rFonts w:ascii="Arial" w:cs="Arial" w:eastAsia="Arial" w:hAnsi="Arial"/>
          <w:sz w:val="18"/>
          <w:szCs w:val="18"/>
          <w:i w:val="1"/>
          <w:iCs w:val="1"/>
          <w:color w:val="auto"/>
        </w:rPr>
        <w:t>“Merger”</w:t>
      </w:r>
      <w:r>
        <w:rPr>
          <w:rFonts w:ascii="Arial" w:cs="Arial" w:eastAsia="Arial" w:hAnsi="Arial"/>
          <w:sz w:val="18"/>
          <w:szCs w:val="18"/>
          <w:color w:val="auto"/>
        </w:rPr>
        <w:t>);</w:t>
      </w:r>
    </w:p>
    <w:p>
      <w:pPr>
        <w:spacing w:after="0" w:line="62"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WHEREAS, pursuant to the Merger, all of the shares of RMC currently are owned by SMGGM, resulting in the tangible net worth of SMGGM exceeding $1,000,000;</w:t>
      </w:r>
    </w:p>
    <w:p>
      <w:pPr>
        <w:spacing w:after="0" w:line="62"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 xml:space="preserve">WHEREAS, the Company has heretofore executed and delivered to the Trustee an indenture (the </w:t>
      </w:r>
      <w:r>
        <w:rPr>
          <w:rFonts w:ascii="Arial" w:cs="Arial" w:eastAsia="Arial" w:hAnsi="Arial"/>
          <w:sz w:val="17"/>
          <w:szCs w:val="17"/>
          <w:i w:val="1"/>
          <w:iCs w:val="1"/>
          <w:color w:val="auto"/>
        </w:rPr>
        <w:t>“Indenture”</w:t>
      </w:r>
      <w:r>
        <w:rPr>
          <w:rFonts w:ascii="Arial" w:cs="Arial" w:eastAsia="Arial" w:hAnsi="Arial"/>
          <w:sz w:val="17"/>
          <w:szCs w:val="17"/>
          <w:color w:val="auto"/>
        </w:rPr>
        <w:t xml:space="preserve">), dated as of October 8, 2003, as amended by that certain Supplemental Indenture, dated as of October 15, 2004, and that certain Second Supplemental Indenture, dated as of March 18, 2005, providing for the issuance of an unlimited aggregate principal amount of 6.625% Senior Subordinated Notes due 2013 (the </w:t>
      </w:r>
      <w:r>
        <w:rPr>
          <w:rFonts w:ascii="Arial" w:cs="Arial" w:eastAsia="Arial" w:hAnsi="Arial"/>
          <w:sz w:val="17"/>
          <w:szCs w:val="17"/>
          <w:i w:val="1"/>
          <w:iCs w:val="1"/>
          <w:color w:val="auto"/>
        </w:rPr>
        <w:t>“Notes”</w:t>
      </w:r>
      <w:r>
        <w:rPr>
          <w:rFonts w:ascii="Arial" w:cs="Arial" w:eastAsia="Arial" w:hAnsi="Arial"/>
          <w:sz w:val="17"/>
          <w:szCs w:val="17"/>
          <w:color w:val="auto"/>
        </w:rPr>
        <w:t>);</w:t>
      </w:r>
    </w:p>
    <w:p>
      <w:pPr>
        <w:spacing w:after="0" w:line="5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 xml:space="preserve">WHEREAS, the Indenture provides that under certain circumstances the Guaranteeing Subsidiaries shall execute and deliver to the Trustee a supplemental indenture pursuant to which the Guaranteeing Subsidiaries shall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Guaranteeing Subsidiaries and the Trustee mutually covenant and agree for the equal and ratable benefit of the Holders of the Notes as follows: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Capitalized Terms.</w:t>
      </w:r>
      <w:r>
        <w:rPr>
          <w:rFonts w:ascii="Arial" w:cs="Arial" w:eastAsia="Arial" w:hAnsi="Arial"/>
          <w:sz w:val="18"/>
          <w:szCs w:val="18"/>
          <w:color w:val="auto"/>
        </w:rPr>
        <w:t xml:space="preserve"> Capitalized terms used herein without definition shall have the meanings assigned to them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9" w:name="page120"/>
    <w:bookmarkEnd w:id="119"/>
    <w:p>
      <w:pPr>
        <w:ind w:left="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Agreement to Guarantee.</w:t>
      </w:r>
      <w:r>
        <w:rPr>
          <w:rFonts w:ascii="Arial" w:cs="Arial" w:eastAsia="Arial" w:hAnsi="Arial"/>
          <w:sz w:val="18"/>
          <w:szCs w:val="18"/>
          <w:color w:val="auto"/>
        </w:rPr>
        <w:t xml:space="preserve"> The Guaranteeing Subsidiaries hereby agree as follows:</w:t>
      </w:r>
    </w:p>
    <w:p>
      <w:pPr>
        <w:spacing w:after="0" w:line="117" w:lineRule="exact"/>
        <w:rPr>
          <w:sz w:val="20"/>
          <w:szCs w:val="20"/>
          <w:color w:val="auto"/>
        </w:rPr>
      </w:pPr>
    </w:p>
    <w:p>
      <w:pPr>
        <w:ind w:left="440" w:right="40" w:hanging="436"/>
        <w:spacing w:after="0" w:line="264"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Along with all Guarantors named in the Indenture, to jointly and severally Guarantee to each Holder of a Note authenticated and delivered by the Trustee and to the Trustee and its successors and assigns, irrespective of the validity and enforceability of the Indenture, the Notes or the obligations of the Company hereunder or thereunder, that:</w:t>
      </w:r>
    </w:p>
    <w:p>
      <w:pPr>
        <w:spacing w:after="0" w:line="73" w:lineRule="exact"/>
        <w:rPr>
          <w:rFonts w:ascii="Arial" w:cs="Arial" w:eastAsia="Arial" w:hAnsi="Arial"/>
          <w:sz w:val="18"/>
          <w:szCs w:val="18"/>
          <w:color w:val="auto"/>
        </w:rPr>
      </w:pPr>
    </w:p>
    <w:p>
      <w:pPr>
        <w:ind w:left="680" w:right="120" w:hanging="446"/>
        <w:spacing w:after="0" w:line="259" w:lineRule="auto"/>
        <w:tabs>
          <w:tab w:leader="none" w:pos="6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principal of and interest on the Notes and Registration Default Damages, if any, will be promptly paid in full when due, whether at maturity, by acceleration, redemption or otherwise, and interest on the overdue principal of and interest on the Notes, if any, if lawful, and all other obligations of the Company to the Holders or the Trustees hereunder or thereunder will be promptly paid in full or performed, all in accordance with the terms hereof and thereof; and</w:t>
      </w:r>
    </w:p>
    <w:p>
      <w:pPr>
        <w:spacing w:after="0" w:line="92" w:lineRule="exact"/>
        <w:rPr>
          <w:rFonts w:ascii="Arial" w:cs="Arial" w:eastAsia="Arial" w:hAnsi="Arial"/>
          <w:sz w:val="18"/>
          <w:szCs w:val="18"/>
          <w:color w:val="auto"/>
        </w:rPr>
      </w:pPr>
    </w:p>
    <w:p>
      <w:pPr>
        <w:ind w:left="680" w:hanging="446"/>
        <w:spacing w:after="0" w:line="259" w:lineRule="auto"/>
        <w:tabs>
          <w:tab w:leader="none" w:pos="6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w:t>
      </w:r>
    </w:p>
    <w:p>
      <w:pPr>
        <w:spacing w:after="0" w:line="78" w:lineRule="exact"/>
        <w:rPr>
          <w:rFonts w:ascii="Arial" w:cs="Arial" w:eastAsia="Arial" w:hAnsi="Arial"/>
          <w:sz w:val="18"/>
          <w:szCs w:val="18"/>
          <w:color w:val="auto"/>
        </w:rPr>
      </w:pPr>
    </w:p>
    <w:p>
      <w:pPr>
        <w:ind w:left="440" w:hanging="436"/>
        <w:spacing w:after="0" w:line="259"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w:t>
      </w:r>
    </w:p>
    <w:p>
      <w:pPr>
        <w:spacing w:after="0" w:line="92" w:lineRule="exact"/>
        <w:rPr>
          <w:rFonts w:ascii="Arial" w:cs="Arial" w:eastAsia="Arial" w:hAnsi="Arial"/>
          <w:sz w:val="18"/>
          <w:szCs w:val="18"/>
          <w:color w:val="auto"/>
        </w:rPr>
      </w:pPr>
    </w:p>
    <w:p>
      <w:pPr>
        <w:ind w:left="440" w:right="120" w:hanging="436"/>
        <w:spacing w:after="0" w:line="308"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following is hereby waived: diligence, presentment, demand of payment, filing of claims with a court in the event of insolvency or bankruptcy of the Company, any right to require a proceeding first against the Company, protest, notice and all demands whatsoever.</w:t>
      </w:r>
    </w:p>
    <w:p>
      <w:pPr>
        <w:spacing w:after="0" w:line="51" w:lineRule="exact"/>
        <w:rPr>
          <w:rFonts w:ascii="Arial" w:cs="Arial" w:eastAsia="Arial" w:hAnsi="Arial"/>
          <w:sz w:val="17"/>
          <w:szCs w:val="17"/>
          <w:color w:val="auto"/>
        </w:rPr>
      </w:pPr>
    </w:p>
    <w:p>
      <w:pPr>
        <w:ind w:left="440" w:hanging="436"/>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Subsidiary Guarantee shall not be discharged except by complete performance of the obligations contained in the Notes and the Indenture.</w:t>
      </w:r>
    </w:p>
    <w:p>
      <w:pPr>
        <w:spacing w:after="0" w:line="153" w:lineRule="exact"/>
        <w:rPr>
          <w:rFonts w:ascii="Arial" w:cs="Arial" w:eastAsia="Arial" w:hAnsi="Arial"/>
          <w:sz w:val="16"/>
          <w:szCs w:val="16"/>
          <w:color w:val="auto"/>
        </w:rPr>
      </w:pPr>
    </w:p>
    <w:p>
      <w:pPr>
        <w:ind w:left="440" w:right="80" w:hanging="436"/>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6" w:right="279" w:bottom="1440" w:gutter="0" w:footer="0" w:header="0"/>
        </w:sectPr>
      </w:pPr>
    </w:p>
    <w:bookmarkStart w:id="120" w:name="page121"/>
    <w:bookmarkEnd w:id="120"/>
    <w:p>
      <w:pPr>
        <w:ind w:left="620" w:right="580"/>
        <w:spacing w:after="0" w:line="277" w:lineRule="auto"/>
        <w:rPr>
          <w:sz w:val="20"/>
          <w:szCs w:val="20"/>
          <w:color w:val="auto"/>
        </w:rPr>
      </w:pPr>
      <w:r>
        <w:rPr>
          <w:rFonts w:ascii="Arial" w:cs="Arial" w:eastAsia="Arial" w:hAnsi="Arial"/>
          <w:sz w:val="18"/>
          <w:szCs w:val="18"/>
          <w:color w:val="auto"/>
        </w:rPr>
        <w:t>Guarantors, any amount paid by either to the Trustee or such Holder, this Subsidiary Guarantee, to the extent theretofore discharged, shall be reinstated in full force and effect.</w:t>
      </w:r>
    </w:p>
    <w:p>
      <w:pPr>
        <w:spacing w:after="0" w:line="170" w:lineRule="exact"/>
        <w:rPr>
          <w:sz w:val="20"/>
          <w:szCs w:val="20"/>
          <w:color w:val="auto"/>
        </w:rPr>
      </w:pPr>
    </w:p>
    <w:p>
      <w:pPr>
        <w:ind w:left="620" w:right="300" w:hanging="436"/>
        <w:spacing w:after="0" w:line="277"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Guaranteeing Subsidiaries shall not be entitled to any right of subrogation in relation to the Holders in respect of any obligations guaranteed hereby until payment in full of all obligations guaranteed hereby.</w:t>
      </w:r>
    </w:p>
    <w:p>
      <w:pPr>
        <w:spacing w:after="0" w:line="75" w:lineRule="exact"/>
        <w:rPr>
          <w:rFonts w:ascii="Arial" w:cs="Arial" w:eastAsia="Arial" w:hAnsi="Arial"/>
          <w:sz w:val="18"/>
          <w:szCs w:val="18"/>
          <w:color w:val="auto"/>
        </w:rPr>
      </w:pPr>
    </w:p>
    <w:p>
      <w:pPr>
        <w:ind w:left="620" w:hanging="436"/>
        <w:spacing w:after="0" w:line="276"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between the Guarantors, on the one hand, and the Holders and the Trustee, on the other hand, (x) the maturity of the obligations guaranteed hereby may be accelerated as provided in Article 6 of the Indenture for the purposes of this Subsidiary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Subsidiary Guarantee.</w:t>
      </w:r>
    </w:p>
    <w:p>
      <w:pPr>
        <w:spacing w:after="0" w:line="77" w:lineRule="exact"/>
        <w:rPr>
          <w:rFonts w:ascii="Arial" w:cs="Arial" w:eastAsia="Arial" w:hAnsi="Arial"/>
          <w:sz w:val="17"/>
          <w:szCs w:val="17"/>
          <w:color w:val="auto"/>
        </w:rPr>
      </w:pPr>
    </w:p>
    <w:p>
      <w:pPr>
        <w:ind w:left="620" w:right="300" w:hanging="436"/>
        <w:spacing w:after="0" w:line="277"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Guarantors shall have the right to seek contribution from any non-paying Guarantor so long as the exercise of such right does not impair the rights of the Holders under the Guarantee.</w:t>
      </w:r>
    </w:p>
    <w:p>
      <w:pPr>
        <w:spacing w:after="0" w:line="75" w:lineRule="exact"/>
        <w:rPr>
          <w:rFonts w:ascii="Arial" w:cs="Arial" w:eastAsia="Arial" w:hAnsi="Arial"/>
          <w:sz w:val="18"/>
          <w:szCs w:val="18"/>
          <w:color w:val="auto"/>
        </w:rPr>
      </w:pPr>
    </w:p>
    <w:p>
      <w:pPr>
        <w:ind w:left="620" w:hanging="436"/>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obligations hereunder shall be subject to the subordination provisions of the Indenture.</w:t>
      </w:r>
    </w:p>
    <w:p>
      <w:pPr>
        <w:spacing w:after="0" w:line="117" w:lineRule="exact"/>
        <w:rPr>
          <w:rFonts w:ascii="Arial" w:cs="Arial" w:eastAsia="Arial" w:hAnsi="Arial"/>
          <w:sz w:val="18"/>
          <w:szCs w:val="18"/>
          <w:color w:val="auto"/>
        </w:rPr>
      </w:pPr>
    </w:p>
    <w:p>
      <w:pPr>
        <w:ind w:left="-40" w:right="160" w:firstLine="233"/>
        <w:spacing w:after="0" w:line="277" w:lineRule="auto"/>
        <w:tabs>
          <w:tab w:leader="none" w:pos="36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Execution and Delivery. </w:t>
      </w:r>
      <w:r>
        <w:rPr>
          <w:rFonts w:ascii="Arial" w:cs="Arial" w:eastAsia="Arial" w:hAnsi="Arial"/>
          <w:sz w:val="18"/>
          <w:szCs w:val="18"/>
          <w:color w:val="auto"/>
        </w:rPr>
        <w:t>Each Guaranteeing Subsidiary agrees that the Subsidiary Guarantees shall remain in full force and effect notwithstanding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to endorse on each Note a notation of such Subsidiary Guarantee.</w:t>
      </w:r>
    </w:p>
    <w:p>
      <w:pPr>
        <w:spacing w:after="0" w:line="62" w:lineRule="exact"/>
        <w:rPr>
          <w:rFonts w:ascii="Arial" w:cs="Arial" w:eastAsia="Arial" w:hAnsi="Arial"/>
          <w:sz w:val="18"/>
          <w:szCs w:val="18"/>
          <w:color w:val="auto"/>
        </w:rPr>
      </w:pPr>
    </w:p>
    <w:p>
      <w:pPr>
        <w:ind w:left="380" w:hanging="187"/>
        <w:spacing w:after="0"/>
        <w:tabs>
          <w:tab w:leader="none" w:pos="38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Guaranteeing Subsidiaries May Consolidate, Etc. on Certain Terms.</w:t>
      </w:r>
    </w:p>
    <w:p>
      <w:pPr>
        <w:spacing w:after="0" w:line="117" w:lineRule="exact"/>
        <w:rPr>
          <w:sz w:val="20"/>
          <w:szCs w:val="20"/>
          <w:color w:val="auto"/>
        </w:rPr>
      </w:pPr>
    </w:p>
    <w:p>
      <w:pPr>
        <w:ind w:left="620" w:right="420" w:hanging="436"/>
        <w:spacing w:after="0" w:line="277"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Guaranteeing Subsidiaries may not consolidate with or merge with or into (whether or not such Guarantor is the surviving Person) another corporation, Person or entity whether or not affiliated with such Guarantor unless:</w:t>
      </w:r>
    </w:p>
    <w:p>
      <w:pPr>
        <w:spacing w:after="0" w:line="62" w:lineRule="exact"/>
        <w:rPr>
          <w:rFonts w:ascii="Arial" w:cs="Arial" w:eastAsia="Arial" w:hAnsi="Arial"/>
          <w:sz w:val="18"/>
          <w:szCs w:val="18"/>
          <w:color w:val="auto"/>
        </w:rPr>
      </w:pPr>
    </w:p>
    <w:p>
      <w:pPr>
        <w:ind w:left="860" w:hanging="446"/>
        <w:spacing w:after="0" w:line="259" w:lineRule="auto"/>
        <w:tabs>
          <w:tab w:leader="none" w:pos="8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subject to Section 11.05 of the Indenture, the Person formed by or surviving any such consolidation or merger (if other than a Guarantor) unconditionally assumes all the obligations of such Guarantor, pursuant to a supplemental indenture in form and substance reasonably satisfactory to the Trustee, under the Notes, the Indenture, the Registration Rights Agreement and the Subsidiary Guarantee on the terms set forth herein or therein;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21" w:name="page122"/>
    <w:bookmarkEnd w:id="121"/>
    <w:p>
      <w:pPr>
        <w:ind w:left="680" w:hanging="446"/>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w:t>
      </w:r>
    </w:p>
    <w:p>
      <w:pPr>
        <w:spacing w:after="0" w:line="117" w:lineRule="exact"/>
        <w:rPr>
          <w:rFonts w:ascii="Arial" w:cs="Arial" w:eastAsia="Arial" w:hAnsi="Arial"/>
          <w:sz w:val="18"/>
          <w:szCs w:val="18"/>
          <w:color w:val="auto"/>
        </w:rPr>
      </w:pPr>
    </w:p>
    <w:p>
      <w:pPr>
        <w:ind w:left="440" w:hanging="436"/>
        <w:spacing w:after="0" w:line="290"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case of any such consolidation, merger, sale or conveyance and upon the assumption by the successor Person, by supplemental indenture, executed and delivered to the Trustee and satisfactory in form to the Trustee, of the Subsidiary Guarantee endorsed upon the Notes and the due and punctual performance of all of the covenants and conditions of the Indenture to be performed by the Guarantor, such successor Person shall succeed to and be substituted for the Guarantor with the same effect as if it had been named herein as a Guarantor. Such successor Person thereupon may cause to be signed any or all of the Subsidiary Guarantees to be endorsed upon all of the Notes issuable hereunder which theretofore shall not have been signed by the Company and delivered to the Trustee. All the Subsidiary Guarantees so issued shall in all respects have the same legal rank and benefit under the Indenture as the Subsidiary Guarantees theretofore and thereafter issued in accordance with the terms of the Indenture as though all of such Subsidiary Guarantees had been issued at the date of the execution hereof.</w:t>
      </w:r>
    </w:p>
    <w:p>
      <w:pPr>
        <w:spacing w:after="0" w:line="71" w:lineRule="exact"/>
        <w:rPr>
          <w:rFonts w:ascii="Arial" w:cs="Arial" w:eastAsia="Arial" w:hAnsi="Arial"/>
          <w:sz w:val="16"/>
          <w:szCs w:val="16"/>
          <w:color w:val="auto"/>
        </w:rPr>
      </w:pPr>
    </w:p>
    <w:p>
      <w:pPr>
        <w:ind w:left="440" w:right="180" w:hanging="436"/>
        <w:spacing w:after="0" w:line="286" w:lineRule="auto"/>
        <w:tabs>
          <w:tab w:leader="none" w:pos="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Except as set forth in Articles 4 and 5 of the Indenture, and notwithstanding clauses (a) and (b) above, nothing contained in the Indenture or in any of the Notes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57" w:lineRule="exact"/>
        <w:rPr>
          <w:sz w:val="20"/>
          <w:szCs w:val="20"/>
          <w:color w:val="auto"/>
        </w:rPr>
      </w:pPr>
    </w:p>
    <w:p>
      <w:pPr>
        <w:ind w:left="200" w:hanging="187"/>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Releases.</w:t>
      </w:r>
    </w:p>
    <w:p>
      <w:pPr>
        <w:spacing w:after="0" w:line="117" w:lineRule="exact"/>
        <w:rPr>
          <w:sz w:val="20"/>
          <w:szCs w:val="20"/>
          <w:color w:val="auto"/>
        </w:rPr>
      </w:pPr>
    </w:p>
    <w:p>
      <w:pPr>
        <w:ind w:left="440" w:right="20" w:hanging="436"/>
        <w:spacing w:after="0" w:line="271" w:lineRule="auto"/>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In the event of a sale or other disposition of all of the assets of any Guarantor, by way of merger, consolidation or otherwise, or a sale or other disposition of all to the capital stock of any Guarantor,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released and relieved of any obligations under its Subsidiary Guarantee;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Net Proceeds of such sale or other disposition are applied in accordance with the applicable provisions of the Indenture,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limitation Section 4.10 of the Indenture. Upon delivery by the Company to the Trustee of an Officers’ Certificate and an Opinion of Counsel to the effect that such sale or other disposition was made by the Company in accordance with the provisions of the Indenture, including without limitation Section 4.10 of the Indenture, the Trustee shall execute</w:t>
      </w:r>
    </w:p>
    <w:p>
      <w:pPr>
        <w:spacing w:after="0" w:line="15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6" w:right="259" w:bottom="1440" w:gutter="0" w:footer="0" w:header="0"/>
        </w:sectPr>
      </w:pPr>
    </w:p>
    <w:bookmarkStart w:id="122" w:name="page123"/>
    <w:bookmarkEnd w:id="122"/>
    <w:p>
      <w:pPr>
        <w:ind w:left="620"/>
        <w:spacing w:after="0"/>
        <w:rPr>
          <w:sz w:val="20"/>
          <w:szCs w:val="20"/>
          <w:color w:val="auto"/>
        </w:rPr>
      </w:pPr>
      <w:r>
        <w:rPr>
          <w:rFonts w:ascii="Arial" w:cs="Arial" w:eastAsia="Arial" w:hAnsi="Arial"/>
          <w:sz w:val="17"/>
          <w:szCs w:val="17"/>
          <w:color w:val="auto"/>
        </w:rPr>
        <w:t>any documents reasonably required in order to evidence the release of any Guarantor from its obligations under its Subsidiary Guarantee.</w:t>
      </w:r>
    </w:p>
    <w:p>
      <w:pPr>
        <w:spacing w:after="0" w:line="237" w:lineRule="exact"/>
        <w:rPr>
          <w:sz w:val="20"/>
          <w:szCs w:val="20"/>
          <w:color w:val="auto"/>
        </w:rPr>
      </w:pPr>
    </w:p>
    <w:p>
      <w:pPr>
        <w:ind w:left="620" w:right="60" w:hanging="436"/>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Guarantor not released from its obligations under its Subsidiary Guarantee shall remain liable for the full amount of principal of and interest on the Notes and for the other obligations of any Guarantor under the Indenture as provided in Article 11 of the Indenture.</w:t>
      </w:r>
    </w:p>
    <w:p>
      <w:pPr>
        <w:spacing w:after="0" w:line="62" w:lineRule="exact"/>
        <w:rPr>
          <w:sz w:val="20"/>
          <w:szCs w:val="20"/>
          <w:color w:val="auto"/>
        </w:rPr>
      </w:pPr>
    </w:p>
    <w:p>
      <w:pPr>
        <w:ind w:left="-40" w:right="300" w:firstLine="233"/>
        <w:spacing w:after="0" w:line="257" w:lineRule="auto"/>
        <w:tabs>
          <w:tab w:leader="none" w:pos="36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 Recourse Against Others. </w:t>
      </w:r>
      <w:r>
        <w:rPr>
          <w:rFonts w:ascii="Arial" w:cs="Arial" w:eastAsia="Arial" w:hAnsi="Arial"/>
          <w:sz w:val="18"/>
          <w:szCs w:val="18"/>
          <w:color w:val="auto"/>
        </w:rPr>
        <w:t>No past, present or future director, officer, employee, incorporator or stockholder of the Guaranteeing Subsidiaries,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shall have any liability for any obligations of the Company or any Guaranteeing Subsidiary under the Notes, any Subsidiary Guarantees, the Registration Rights Agreement,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80" w:lineRule="exact"/>
        <w:rPr>
          <w:rFonts w:ascii="Arial" w:cs="Arial" w:eastAsia="Arial" w:hAnsi="Arial"/>
          <w:sz w:val="18"/>
          <w:szCs w:val="18"/>
          <w:color w:val="auto"/>
        </w:rPr>
      </w:pPr>
    </w:p>
    <w:p>
      <w:pPr>
        <w:ind w:left="-40" w:right="120" w:firstLine="233"/>
        <w:spacing w:after="0" w:line="277" w:lineRule="auto"/>
        <w:tabs>
          <w:tab w:leader="none" w:pos="3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YORK LAW TO GOVERN. SHALL BE GOVERNED BY, AND CONSTRUED IN ACCORDANCE WITH, THE LAWS OF THE STATE OF NEW YORK.</w:t>
      </w:r>
    </w:p>
    <w:p>
      <w:pPr>
        <w:spacing w:after="0" w:line="62" w:lineRule="exact"/>
        <w:rPr>
          <w:rFonts w:ascii="Arial" w:cs="Arial" w:eastAsia="Arial" w:hAnsi="Arial"/>
          <w:sz w:val="18"/>
          <w:szCs w:val="18"/>
          <w:color w:val="auto"/>
        </w:rPr>
      </w:pPr>
    </w:p>
    <w:p>
      <w:pPr>
        <w:ind w:left="-40" w:firstLine="233"/>
        <w:spacing w:after="0" w:line="277" w:lineRule="auto"/>
        <w:tabs>
          <w:tab w:leader="none" w:pos="36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The parties may sign any number of copies of this Supplemental Indenture. Each signed copy shall be an original, but all of them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the same agreement.</w:t>
      </w:r>
    </w:p>
    <w:p>
      <w:pPr>
        <w:spacing w:after="0" w:line="62" w:lineRule="exact"/>
        <w:rPr>
          <w:rFonts w:ascii="Arial" w:cs="Arial" w:eastAsia="Arial" w:hAnsi="Arial"/>
          <w:sz w:val="18"/>
          <w:szCs w:val="18"/>
          <w:color w:val="auto"/>
        </w:rPr>
      </w:pPr>
    </w:p>
    <w:p>
      <w:pPr>
        <w:ind w:left="380" w:hanging="187"/>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Effect of Headings. </w:t>
      </w:r>
      <w:r>
        <w:rPr>
          <w:rFonts w:ascii="Arial" w:cs="Arial" w:eastAsia="Arial" w:hAnsi="Arial"/>
          <w:sz w:val="18"/>
          <w:szCs w:val="18"/>
          <w:color w:val="auto"/>
        </w:rPr>
        <w:t>The Section headings herein are for convenience only and shall not affect the construction thereof.</w:t>
      </w:r>
    </w:p>
    <w:p>
      <w:pPr>
        <w:spacing w:after="0" w:line="117" w:lineRule="exact"/>
        <w:rPr>
          <w:rFonts w:ascii="Arial" w:cs="Arial" w:eastAsia="Arial" w:hAnsi="Arial"/>
          <w:sz w:val="18"/>
          <w:szCs w:val="18"/>
          <w:color w:val="auto"/>
        </w:rPr>
      </w:pPr>
    </w:p>
    <w:p>
      <w:pPr>
        <w:ind w:left="-40" w:right="160" w:firstLine="233"/>
        <w:spacing w:after="0" w:line="308" w:lineRule="auto"/>
        <w:tabs>
          <w:tab w:leader="none" w:pos="455"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The Trustee. </w:t>
      </w:r>
      <w:r>
        <w:rPr>
          <w:rFonts w:ascii="Arial" w:cs="Arial" w:eastAsia="Arial" w:hAnsi="Arial"/>
          <w:sz w:val="17"/>
          <w:szCs w:val="17"/>
          <w:color w:val="auto"/>
        </w:rPr>
        <w:t>The Trustee shall not be responsible in any manner whatsoever for or in respect of the validity or sufficiency of this Third Supplemental</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or for or in respect of the recitals contained herein, all of which recitals are made solely by the Guaranteeing Subsidiaries.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23" w:name="page124"/>
    <w:bookmarkEnd w:id="123"/>
    <w:p>
      <w:pPr>
        <w:ind w:right="80" w:firstLine="225"/>
        <w:spacing w:after="0" w:line="277" w:lineRule="auto"/>
        <w:rPr>
          <w:sz w:val="20"/>
          <w:szCs w:val="20"/>
          <w:color w:val="auto"/>
        </w:rPr>
      </w:pPr>
      <w:r>
        <w:rPr>
          <w:rFonts w:ascii="Arial" w:cs="Arial" w:eastAsia="Arial" w:hAnsi="Arial"/>
          <w:sz w:val="18"/>
          <w:szCs w:val="18"/>
          <w:color w:val="auto"/>
        </w:rPr>
        <w:t>IN WITNESS WHEREOF, the parties hereto have caused this Third Supplemental Indenture to be duly executed and attested, all as of the date first above written.</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SMG GROWING MEDIA, INC.</w:t>
      </w:r>
    </w:p>
    <w:p>
      <w:pPr>
        <w:spacing w:after="0" w:line="225"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R. Claggett</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Edward R. Claggett</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and Assistant Secretary</w:t>
            </w:r>
          </w:p>
        </w:tc>
      </w:tr>
      <w:tr>
        <w:trPr>
          <w:trHeight w:val="439"/>
        </w:trPr>
        <w:tc>
          <w:tcPr>
            <w:tcW w:w="5840" w:type="dxa"/>
            <w:vAlign w:val="bottom"/>
            <w:gridSpan w:val="2"/>
          </w:tcPr>
          <w:p>
            <w:pPr>
              <w:spacing w:after="0"/>
              <w:rPr>
                <w:sz w:val="20"/>
                <w:szCs w:val="20"/>
                <w:color w:val="auto"/>
              </w:rPr>
            </w:pPr>
            <w:r>
              <w:rPr>
                <w:rFonts w:ascii="Arial" w:cs="Arial" w:eastAsia="Arial" w:hAnsi="Arial"/>
                <w:sz w:val="18"/>
                <w:szCs w:val="18"/>
                <w:color w:val="auto"/>
              </w:rPr>
              <w:t>ROD McLELLAN COMPANY</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R. Claggett</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Edward R. Claggett</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and Assistant Secretary</w:t>
            </w:r>
          </w:p>
        </w:tc>
      </w:tr>
    </w:tbl>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Cauna M. Silva</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Cauna M. Silva</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412"/>
        </w:trPr>
        <w:tc>
          <w:tcPr>
            <w:tcW w:w="700" w:type="dxa"/>
            <w:vAlign w:val="bottom"/>
          </w:tcPr>
          <w:p>
            <w:pPr>
              <w:jc w:val="right"/>
              <w:ind w:right="430"/>
              <w:spacing w:after="0"/>
              <w:rPr>
                <w:sz w:val="20"/>
                <w:szCs w:val="20"/>
                <w:color w:val="auto"/>
              </w:rPr>
            </w:pPr>
            <w:r>
              <w:rPr>
                <w:rFonts w:ascii="Arial" w:cs="Arial" w:eastAsia="Arial" w:hAnsi="Arial"/>
                <w:sz w:val="18"/>
                <w:szCs w:val="18"/>
                <w:color w:val="auto"/>
              </w:rPr>
              <w:t>6</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93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4(c)(4)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SUPPLEMENTAL INDENTURE</w:t>
      </w:r>
    </w:p>
    <w:p>
      <w:pPr>
        <w:spacing w:after="0" w:line="121"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 xml:space="preserve">THIS FOURTH SUPPLEMENTAL INDENTURE (this </w:t>
      </w:r>
      <w:r>
        <w:rPr>
          <w:rFonts w:ascii="Arial" w:cs="Arial" w:eastAsia="Arial" w:hAnsi="Arial"/>
          <w:sz w:val="18"/>
          <w:szCs w:val="18"/>
          <w:i w:val="1"/>
          <w:iCs w:val="1"/>
          <w:color w:val="auto"/>
        </w:rPr>
        <w:t>“Fourth Supplemental Indenture”</w:t>
      </w:r>
      <w:r>
        <w:rPr>
          <w:rFonts w:ascii="Arial" w:cs="Arial" w:eastAsia="Arial" w:hAnsi="Arial"/>
          <w:sz w:val="18"/>
          <w:szCs w:val="18"/>
          <w:color w:val="auto"/>
        </w:rPr>
        <w:t xml:space="preserve">) dated as of December 5, 2005, by and among Gutwein &amp; Co., Inc., an Indiana corporation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xml:space="preserve">), a subsidiary of The Scotts Miracle-Gro Company, an Ohio corporation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and U.S. Bank National Association,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 xml:space="preserve">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xml:space="preserve">), dated as of October 8, 2003, as amended by that certain Supplemental Indenture, dated as of October 15, 2004, that certain Second Supplemental Indenture, dated as of March 18, 2005, and that certain Third Supplemental Indenture, dated as of October 17, 2005, providing for the issuance of an unlimited aggregate principal amount of 6.625% Senior Subordinated Notes due 2013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on November 18, 2005, the Company acquired all of the common stock of the Guaranteeing Subsidiary;</w:t>
      </w:r>
    </w:p>
    <w:p>
      <w:pPr>
        <w:spacing w:after="0" w:line="117" w:lineRule="exact"/>
        <w:rPr>
          <w:sz w:val="20"/>
          <w:szCs w:val="20"/>
          <w:color w:val="auto"/>
        </w:rPr>
      </w:pPr>
    </w:p>
    <w:p>
      <w:pPr>
        <w:jc w:val="both"/>
        <w:ind w:right="80" w:firstLine="222"/>
        <w:spacing w:after="0" w:line="264" w:lineRule="auto"/>
        <w:rPr>
          <w:sz w:val="20"/>
          <w:szCs w:val="20"/>
          <w:color w:val="auto"/>
        </w:rPr>
      </w:pPr>
      <w:r>
        <w:rPr>
          <w:rFonts w:ascii="Arial" w:cs="Arial" w:eastAsia="Arial" w:hAnsi="Arial"/>
          <w:sz w:val="18"/>
          <w:szCs w:val="18"/>
          <w:color w:val="auto"/>
        </w:rPr>
        <w:t xml:space="preserve">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Guaranteeing Subsidiary and the Trustee mutually covenant and agree for the equal and ratable benefit of the Holders of the Notes as follows:</w:t>
      </w:r>
    </w:p>
    <w:p>
      <w:pPr>
        <w:spacing w:after="0" w:line="103" w:lineRule="exact"/>
        <w:rPr>
          <w:sz w:val="20"/>
          <w:szCs w:val="20"/>
          <w:color w:val="auto"/>
        </w:rPr>
      </w:pPr>
    </w:p>
    <w:p>
      <w:pPr>
        <w:ind w:left="420" w:hanging="187"/>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Capitalized Terms. </w:t>
      </w:r>
      <w:r>
        <w:rPr>
          <w:rFonts w:ascii="Arial" w:cs="Arial" w:eastAsia="Arial" w:hAnsi="Arial"/>
          <w:sz w:val="18"/>
          <w:szCs w:val="18"/>
          <w:color w:val="auto"/>
        </w:rPr>
        <w:t>Capitalized terms used herein without definition shall have the meanings assigned to them in the Indenture.</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Agreement to Guarantee. </w:t>
      </w:r>
      <w:r>
        <w:rPr>
          <w:rFonts w:ascii="Arial" w:cs="Arial" w:eastAsia="Arial" w:hAnsi="Arial"/>
          <w:sz w:val="18"/>
          <w:szCs w:val="18"/>
          <w:color w:val="auto"/>
        </w:rPr>
        <w:t>The Guaranteeing Subsidiary hereby agree as follows:</w:t>
      </w:r>
    </w:p>
    <w:p>
      <w:pPr>
        <w:spacing w:after="0" w:line="117" w:lineRule="exact"/>
        <w:rPr>
          <w:sz w:val="20"/>
          <w:szCs w:val="20"/>
          <w:color w:val="auto"/>
        </w:rPr>
      </w:pPr>
    </w:p>
    <w:p>
      <w:pPr>
        <w:ind w:left="660" w:right="80" w:hanging="436"/>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Along with all Guarantors named in the Indenture, to jointly and severally Guarantee to each Holder of a Note authenticated and delivered by the Trustee and to the Trustee and its successors and assigns, irrespective of the validity and enforceability of the Indenture, the Notes or the obligations of the Company hereunder or thereunder,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5" w:name="page126"/>
    <w:bookmarkEnd w:id="125"/>
    <w:p>
      <w:pPr>
        <w:ind w:left="680" w:right="120" w:hanging="446"/>
        <w:spacing w:after="0" w:line="259" w:lineRule="auto"/>
        <w:tabs>
          <w:tab w:leader="none" w:pos="6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principal of and interest on the Notes and Registration Default Damages, if any, will be promptly paid in full when due, whether at maturity, by acceleration, redemption or otherwise, and interest on the overdue principal of and interest on the Notes, if any, if lawful, and all other obligations of the Company to the Holders or the Trustees hereunder or thereunder will be promptly paid in full or performed, all in accordance with the terms hereof and thereof; and</w:t>
      </w:r>
    </w:p>
    <w:p>
      <w:pPr>
        <w:spacing w:after="0" w:line="92" w:lineRule="exact"/>
        <w:rPr>
          <w:rFonts w:ascii="Arial" w:cs="Arial" w:eastAsia="Arial" w:hAnsi="Arial"/>
          <w:sz w:val="18"/>
          <w:szCs w:val="18"/>
          <w:color w:val="auto"/>
        </w:rPr>
      </w:pPr>
    </w:p>
    <w:p>
      <w:pPr>
        <w:ind w:left="680" w:hanging="446"/>
        <w:spacing w:after="0" w:line="259" w:lineRule="auto"/>
        <w:tabs>
          <w:tab w:leader="none" w:pos="6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w:t>
      </w:r>
    </w:p>
    <w:p>
      <w:pPr>
        <w:spacing w:after="0" w:line="78" w:lineRule="exact"/>
        <w:rPr>
          <w:rFonts w:ascii="Arial" w:cs="Arial" w:eastAsia="Arial" w:hAnsi="Arial"/>
          <w:sz w:val="18"/>
          <w:szCs w:val="18"/>
          <w:color w:val="auto"/>
        </w:rPr>
      </w:pPr>
    </w:p>
    <w:p>
      <w:pPr>
        <w:ind w:left="440" w:hanging="436"/>
        <w:spacing w:after="0" w:line="259"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w:t>
      </w:r>
    </w:p>
    <w:p>
      <w:pPr>
        <w:spacing w:after="0" w:line="92" w:lineRule="exact"/>
        <w:rPr>
          <w:rFonts w:ascii="Arial" w:cs="Arial" w:eastAsia="Arial" w:hAnsi="Arial"/>
          <w:sz w:val="18"/>
          <w:szCs w:val="18"/>
          <w:color w:val="auto"/>
        </w:rPr>
      </w:pPr>
    </w:p>
    <w:p>
      <w:pPr>
        <w:ind w:left="440" w:right="120" w:hanging="436"/>
        <w:spacing w:after="0" w:line="308" w:lineRule="auto"/>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following is hereby waived: diligence, presentment, demand of payment, filing of claims with a court in the event of insolvency or bankruptcy of the Company, any right to require a proceeding first against the Company, protest, notice and all demands whatsoever.</w:t>
      </w:r>
    </w:p>
    <w:p>
      <w:pPr>
        <w:spacing w:after="0" w:line="51" w:lineRule="exact"/>
        <w:rPr>
          <w:rFonts w:ascii="Arial" w:cs="Arial" w:eastAsia="Arial" w:hAnsi="Arial"/>
          <w:sz w:val="17"/>
          <w:szCs w:val="17"/>
          <w:color w:val="auto"/>
        </w:rPr>
      </w:pPr>
    </w:p>
    <w:p>
      <w:pPr>
        <w:ind w:left="440" w:hanging="436"/>
        <w:spacing w:after="0"/>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Subsidiary Guarantee shall not be discharged except by complete performance of the obligations contained in the Notes and the Indenture.</w:t>
      </w:r>
    </w:p>
    <w:p>
      <w:pPr>
        <w:spacing w:after="0" w:line="153" w:lineRule="exact"/>
        <w:rPr>
          <w:rFonts w:ascii="Arial" w:cs="Arial" w:eastAsia="Arial" w:hAnsi="Arial"/>
          <w:sz w:val="16"/>
          <w:szCs w:val="16"/>
          <w:color w:val="auto"/>
        </w:rPr>
      </w:pPr>
    </w:p>
    <w:p>
      <w:pPr>
        <w:ind w:left="440" w:right="80" w:hanging="436"/>
        <w:spacing w:after="0" w:line="264"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Subsidiary Guarantee, to the extent theretofore discharged, shall be reinstated in full force and effect.</w:t>
      </w:r>
    </w:p>
    <w:p>
      <w:pPr>
        <w:spacing w:after="0" w:line="86" w:lineRule="exact"/>
        <w:rPr>
          <w:rFonts w:ascii="Arial" w:cs="Arial" w:eastAsia="Arial" w:hAnsi="Arial"/>
          <w:sz w:val="18"/>
          <w:szCs w:val="18"/>
          <w:color w:val="auto"/>
        </w:rPr>
      </w:pPr>
    </w:p>
    <w:p>
      <w:pPr>
        <w:ind w:left="440" w:right="420" w:hanging="436"/>
        <w:spacing w:after="0" w:line="27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Guaranteeing Subsidiary shall not be entitled to any right of subrogation in relation to the Holders in respect of any obligations guaranteed hereby until payment in full of all obligations guaranteed hereby.</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1043" w:right="279" w:bottom="1440" w:gutter="0" w:footer="0" w:header="0"/>
        </w:sectPr>
      </w:pPr>
    </w:p>
    <w:bookmarkStart w:id="126" w:name="page127"/>
    <w:bookmarkEnd w:id="126"/>
    <w:p>
      <w:pPr>
        <w:ind w:left="620" w:hanging="436"/>
        <w:spacing w:after="0" w:line="276"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As between the Guarantors, on the one hand, and the Holders and the Trustee, on the other hand, (x) the maturity of the obligations guaranteed hereby may be accelerated as provided in Article 6 of the Indenture for the purposes of this Subsidiary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Subsidiary Guarantee.</w:t>
      </w:r>
    </w:p>
    <w:p>
      <w:pPr>
        <w:spacing w:after="0" w:line="77" w:lineRule="exact"/>
        <w:rPr>
          <w:rFonts w:ascii="Arial" w:cs="Arial" w:eastAsia="Arial" w:hAnsi="Arial"/>
          <w:sz w:val="17"/>
          <w:szCs w:val="17"/>
          <w:color w:val="auto"/>
        </w:rPr>
      </w:pPr>
    </w:p>
    <w:p>
      <w:pPr>
        <w:ind w:left="620" w:right="300" w:hanging="436"/>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Guarantors shall have the right to seek contribution from any non-paying Guarantor so long as the exercise of such right does not impair the rights of the Holders under the Guarantee.</w:t>
      </w:r>
    </w:p>
    <w:p>
      <w:pPr>
        <w:spacing w:after="0" w:line="75" w:lineRule="exact"/>
        <w:rPr>
          <w:rFonts w:ascii="Arial" w:cs="Arial" w:eastAsia="Arial" w:hAnsi="Arial"/>
          <w:sz w:val="18"/>
          <w:szCs w:val="18"/>
          <w:color w:val="auto"/>
        </w:rPr>
      </w:pPr>
    </w:p>
    <w:p>
      <w:pPr>
        <w:ind w:left="620" w:hanging="436"/>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obligations hereunder shall be subject to the subordination provisions of the Indenture.</w:t>
      </w:r>
    </w:p>
    <w:p>
      <w:pPr>
        <w:spacing w:after="0" w:line="117" w:lineRule="exact"/>
        <w:rPr>
          <w:rFonts w:ascii="Arial" w:cs="Arial" w:eastAsia="Arial" w:hAnsi="Arial"/>
          <w:sz w:val="18"/>
          <w:szCs w:val="18"/>
          <w:color w:val="auto"/>
        </w:rPr>
      </w:pPr>
    </w:p>
    <w:p>
      <w:pPr>
        <w:ind w:left="-40" w:right="160" w:firstLine="233"/>
        <w:spacing w:after="0" w:line="277" w:lineRule="auto"/>
        <w:tabs>
          <w:tab w:leader="none" w:pos="365"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Execution and Delivery. </w:t>
      </w:r>
      <w:r>
        <w:rPr>
          <w:rFonts w:ascii="Arial" w:cs="Arial" w:eastAsia="Arial" w:hAnsi="Arial"/>
          <w:sz w:val="18"/>
          <w:szCs w:val="18"/>
          <w:color w:val="auto"/>
        </w:rPr>
        <w:t>Each Guaranteeing Subsidiary agrees that the Subsidiary Guarantees shall remain in full force and effect notwithstanding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to endorse on each Note a notation of such Subsidiary Guarantee.</w:t>
      </w:r>
    </w:p>
    <w:p>
      <w:pPr>
        <w:spacing w:after="0" w:line="62" w:lineRule="exact"/>
        <w:rPr>
          <w:rFonts w:ascii="Arial" w:cs="Arial" w:eastAsia="Arial" w:hAnsi="Arial"/>
          <w:sz w:val="18"/>
          <w:szCs w:val="18"/>
          <w:color w:val="auto"/>
        </w:rPr>
      </w:pPr>
    </w:p>
    <w:p>
      <w:pPr>
        <w:ind w:left="380" w:hanging="187"/>
        <w:spacing w:after="0"/>
        <w:tabs>
          <w:tab w:leader="none" w:pos="38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Guaranteeing Subsidiary May Consolidate, Etc. on Certain Terms.</w:t>
      </w:r>
    </w:p>
    <w:p>
      <w:pPr>
        <w:spacing w:after="0" w:line="117" w:lineRule="exact"/>
        <w:rPr>
          <w:sz w:val="20"/>
          <w:szCs w:val="20"/>
          <w:color w:val="auto"/>
        </w:rPr>
      </w:pPr>
    </w:p>
    <w:p>
      <w:pPr>
        <w:ind w:left="620" w:right="540" w:hanging="436"/>
        <w:spacing w:after="0" w:line="277"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Guaranteeing Subsidiary may not consolidate with or merge with or into (whether or not such Guarantor is the surviving Person) another corporation, Person or entity whether or not affiliated with such Guarantor unless:</w:t>
      </w:r>
    </w:p>
    <w:p>
      <w:pPr>
        <w:spacing w:after="0" w:line="62" w:lineRule="exact"/>
        <w:rPr>
          <w:rFonts w:ascii="Arial" w:cs="Arial" w:eastAsia="Arial" w:hAnsi="Arial"/>
          <w:sz w:val="18"/>
          <w:szCs w:val="18"/>
          <w:color w:val="auto"/>
        </w:rPr>
      </w:pPr>
    </w:p>
    <w:p>
      <w:pPr>
        <w:ind w:left="860" w:hanging="446"/>
        <w:spacing w:after="0" w:line="259"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subject to Section 11.05 of the Indenture, the Person formed by or surviving any such consolidation or merger (if other than a Guarantor) unconditionally assumes all the obligations of such Guarantor, pursuant to a supplemental indenture in form and substance reasonably satisfactory to the Trustee, under the Notes, the Indenture, the Registration Rights Agreement and the Subsidiary Guarantee on the terms set forth herein or therein; and</w:t>
      </w:r>
    </w:p>
    <w:p>
      <w:pPr>
        <w:spacing w:after="0" w:line="92" w:lineRule="exact"/>
        <w:rPr>
          <w:rFonts w:ascii="Arial" w:cs="Arial" w:eastAsia="Arial" w:hAnsi="Arial"/>
          <w:sz w:val="18"/>
          <w:szCs w:val="18"/>
          <w:color w:val="auto"/>
        </w:rPr>
      </w:pPr>
    </w:p>
    <w:p>
      <w:pPr>
        <w:ind w:left="860" w:hanging="446"/>
        <w:spacing w:after="0"/>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w:t>
      </w:r>
    </w:p>
    <w:p>
      <w:pPr>
        <w:spacing w:after="0" w:line="117" w:lineRule="exact"/>
        <w:rPr>
          <w:rFonts w:ascii="Arial" w:cs="Arial" w:eastAsia="Arial" w:hAnsi="Arial"/>
          <w:sz w:val="18"/>
          <w:szCs w:val="18"/>
          <w:color w:val="auto"/>
        </w:rPr>
      </w:pPr>
    </w:p>
    <w:p>
      <w:pPr>
        <w:ind w:left="620" w:right="120" w:hanging="436"/>
        <w:spacing w:after="0" w:line="264"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case of any such consolidation, merger, sale or conveyance and upon the assumption by the successor Person, by supplemental indenture, executed and delivered to the Trustee and satisfactory in form to the Trustee, of the Subsidiary Guarantee endorsed upon the Notes and the due and punctual performance of all of the covenants and conditions of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6" w:right="279" w:bottom="1440" w:gutter="0" w:footer="0" w:header="0"/>
        </w:sectPr>
      </w:pPr>
    </w:p>
    <w:bookmarkStart w:id="127" w:name="page128"/>
    <w:bookmarkEnd w:id="127"/>
    <w:p>
      <w:pPr>
        <w:ind w:left="440"/>
        <w:spacing w:after="0" w:line="255" w:lineRule="auto"/>
        <w:rPr>
          <w:sz w:val="20"/>
          <w:szCs w:val="20"/>
          <w:color w:val="auto"/>
        </w:rPr>
      </w:pPr>
      <w:r>
        <w:rPr>
          <w:rFonts w:ascii="Arial" w:cs="Arial" w:eastAsia="Arial" w:hAnsi="Arial"/>
          <w:sz w:val="18"/>
          <w:szCs w:val="18"/>
          <w:color w:val="auto"/>
        </w:rPr>
        <w:t>Indenture to be performed by the Guarantor, such successor Person shall succeed to and be substituted for the Guarantor with the same effect as if it had been named herein as a Guarantor. Such successor Person thereupon may cause to be signed any or all of the Subsidiary Guarantees to be endorsed upon all of the Notes issuable hereunder which theretofore shall not have been signed by the Company and delivered to the Trustee. All the Subsidiary Guarantees so issued shall in all respects have the same legal rank and benefit under the Indenture as the Subsidiary Guarantees theretofore and thereafter issued in accordance with the terms of the Indenture as though all of such Subsidiary Guarantees had been issued at the date of the execution hereof.</w:t>
      </w:r>
    </w:p>
    <w:p>
      <w:pPr>
        <w:spacing w:after="0" w:line="193" w:lineRule="exact"/>
        <w:rPr>
          <w:sz w:val="20"/>
          <w:szCs w:val="20"/>
          <w:color w:val="auto"/>
        </w:rPr>
      </w:pPr>
    </w:p>
    <w:p>
      <w:pPr>
        <w:ind w:left="440" w:right="180" w:hanging="436"/>
        <w:spacing w:after="0" w:line="286" w:lineRule="auto"/>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Except as set forth in Articles 4 and 5 of the Indenture, and notwithstanding clauses (a) and (b) above, nothing contained in the Indenture or in any of the Notes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57" w:lineRule="exact"/>
        <w:rPr>
          <w:sz w:val="20"/>
          <w:szCs w:val="20"/>
          <w:color w:val="auto"/>
        </w:rPr>
      </w:pPr>
    </w:p>
    <w:p>
      <w:pPr>
        <w:ind w:left="200" w:hanging="187"/>
        <w:spacing w:after="0"/>
        <w:tabs>
          <w:tab w:leader="none" w:pos="2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Releases.</w:t>
      </w:r>
    </w:p>
    <w:p>
      <w:pPr>
        <w:spacing w:after="0" w:line="117" w:lineRule="exact"/>
        <w:rPr>
          <w:sz w:val="20"/>
          <w:szCs w:val="20"/>
          <w:color w:val="auto"/>
        </w:rPr>
      </w:pPr>
    </w:p>
    <w:p>
      <w:pPr>
        <w:ind w:left="440" w:right="20" w:hanging="436"/>
        <w:spacing w:after="0" w:line="270"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In the event of a sale or other disposition of all of the assets of any Guarantor, by way of merger, consolidation or otherwise, or a sale or other disposition of all to the capital stock of any Guarantor,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released and relieved of any obligations under its Subsidiary Guarantee;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Net Proceeds of such sale or other disposition are applied in accordance with the applicable provisions of the Indenture,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limitation Section 4.10 of the Indenture. Upon delivery by the Company to the Trustee of an Officers’ Certificate and an Opinion of Counsel to the effect that such sale or other disposition was made by the Company in accordance with the provisions of the Indenture, including without limitation Section 4.10 of the Indenture, the Trustee shall execute any documents reasonably required in order to evidence the release of any Guarantor from its obligations under its Subsidiary Guarantee.</w:t>
      </w:r>
    </w:p>
    <w:p>
      <w:pPr>
        <w:spacing w:after="0" w:line="87" w:lineRule="exact"/>
        <w:rPr>
          <w:rFonts w:ascii="Arial" w:cs="Arial" w:eastAsia="Arial" w:hAnsi="Arial"/>
          <w:sz w:val="17"/>
          <w:szCs w:val="17"/>
          <w:color w:val="auto"/>
        </w:rPr>
      </w:pPr>
    </w:p>
    <w:p>
      <w:pPr>
        <w:ind w:left="440" w:right="60" w:hanging="436"/>
        <w:spacing w:after="0" w:line="27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Guarantor not released from its obligations under its Subsidiary Guarantee shall remain liable for the full amount of principal of and interest on the Notes and for the other obligations of any Guarantor under the Indenture as provided in Article 11 of the Indenture.</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128" w:name="page129"/>
    <w:bookmarkEnd w:id="128"/>
    <w:p>
      <w:pPr>
        <w:ind w:left="-100" w:firstLine="233"/>
        <w:spacing w:after="0" w:line="257"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No Recourse Against Others. </w:t>
      </w:r>
      <w:r>
        <w:rPr>
          <w:rFonts w:ascii="Arial" w:cs="Arial" w:eastAsia="Arial" w:hAnsi="Arial"/>
          <w:sz w:val="18"/>
          <w:szCs w:val="18"/>
          <w:color w:val="auto"/>
        </w:rPr>
        <w:t>No past, present or future director, officer, employee, incorporator or stockholder of the Guaranteeing Subsidiary,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any liability for any obligations of the Company or any Guaranteeing Subsidiary under the Notes, any Subsidiary Guarantees, the Registration Rights Agreement,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80" w:lineRule="exact"/>
        <w:rPr>
          <w:rFonts w:ascii="Arial" w:cs="Arial" w:eastAsia="Arial" w:hAnsi="Arial"/>
          <w:sz w:val="18"/>
          <w:szCs w:val="18"/>
          <w:color w:val="auto"/>
        </w:rPr>
      </w:pPr>
    </w:p>
    <w:p>
      <w:pPr>
        <w:ind w:left="-100" w:right="60" w:firstLine="233"/>
        <w:spacing w:after="0" w:line="277"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 YORK LAW TO GOVERN. SHALL BE GOVERNED BY, AND CONSTRUED IN ACCORDANCE WITH, THE LAWS OF THE STATE OF NEW YORK.</w:t>
      </w:r>
    </w:p>
    <w:p>
      <w:pPr>
        <w:spacing w:after="0" w:line="62" w:lineRule="exact"/>
        <w:rPr>
          <w:rFonts w:ascii="Arial" w:cs="Arial" w:eastAsia="Arial" w:hAnsi="Arial"/>
          <w:sz w:val="18"/>
          <w:szCs w:val="18"/>
          <w:color w:val="auto"/>
        </w:rPr>
      </w:pPr>
    </w:p>
    <w:p>
      <w:pPr>
        <w:ind w:left="-100" w:right="60" w:firstLine="233"/>
        <w:spacing w:after="0" w:line="277"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The parties may sign any number of copies of this Fourth Supplemental Indenture. Each signed copy shall be an original, but all of them</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represent the same agreement.</w:t>
      </w:r>
    </w:p>
    <w:p>
      <w:pPr>
        <w:spacing w:after="0" w:line="62" w:lineRule="exact"/>
        <w:rPr>
          <w:rFonts w:ascii="Arial" w:cs="Arial" w:eastAsia="Arial" w:hAnsi="Arial"/>
          <w:sz w:val="18"/>
          <w:szCs w:val="18"/>
          <w:color w:val="auto"/>
        </w:rPr>
      </w:pPr>
    </w:p>
    <w:p>
      <w:pPr>
        <w:ind w:left="320" w:hanging="187"/>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Effect of Headings. </w:t>
      </w:r>
      <w:r>
        <w:rPr>
          <w:rFonts w:ascii="Arial" w:cs="Arial" w:eastAsia="Arial" w:hAnsi="Arial"/>
          <w:sz w:val="18"/>
          <w:szCs w:val="18"/>
          <w:color w:val="auto"/>
        </w:rPr>
        <w:t>The Section headings herein are for convenience only and shall not affect the construction thereof.</w:t>
      </w:r>
    </w:p>
    <w:p>
      <w:pPr>
        <w:spacing w:after="0" w:line="117" w:lineRule="exact"/>
        <w:rPr>
          <w:rFonts w:ascii="Arial" w:cs="Arial" w:eastAsia="Arial" w:hAnsi="Arial"/>
          <w:sz w:val="18"/>
          <w:szCs w:val="18"/>
          <w:color w:val="auto"/>
        </w:rPr>
      </w:pPr>
    </w:p>
    <w:p>
      <w:pPr>
        <w:ind w:left="-100" w:right="20" w:firstLine="233"/>
        <w:spacing w:after="0" w:line="308" w:lineRule="auto"/>
        <w:tabs>
          <w:tab w:leader="none" w:pos="395"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The Trustee. </w:t>
      </w:r>
      <w:r>
        <w:rPr>
          <w:rFonts w:ascii="Arial" w:cs="Arial" w:eastAsia="Arial" w:hAnsi="Arial"/>
          <w:sz w:val="17"/>
          <w:szCs w:val="17"/>
          <w:color w:val="auto"/>
        </w:rPr>
        <w:t>The Trustee shall not be responsible in any manner whatsoever for or in respect of the validity or sufficiency of this Fourth Supplemental</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or for or in respect of the recitals contained herein, all of which recitals are made solely by the Guaranteeing Subsidiary.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1043" w:right="319" w:bottom="1440" w:gutter="0" w:footer="0" w:header="0"/>
        </w:sectPr>
      </w:pPr>
    </w:p>
    <w:bookmarkStart w:id="129" w:name="page130"/>
    <w:bookmarkEnd w:id="129"/>
    <w:p>
      <w:pPr>
        <w:ind w:right="460" w:firstLine="225"/>
        <w:spacing w:after="0" w:line="277" w:lineRule="auto"/>
        <w:rPr>
          <w:sz w:val="20"/>
          <w:szCs w:val="20"/>
          <w:color w:val="auto"/>
        </w:rPr>
      </w:pPr>
      <w:r>
        <w:rPr>
          <w:rFonts w:ascii="Arial" w:cs="Arial" w:eastAsia="Arial" w:hAnsi="Arial"/>
          <w:sz w:val="18"/>
          <w:szCs w:val="18"/>
          <w:color w:val="auto"/>
        </w:rPr>
        <w:t>IN WITNESS WHEREOF, the parties hereto have caused this Fourth Supplemental Indenture to be duly executed and attested, all as of the date first above written.</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GUTWEIN &amp; CO., INC.</w:t>
      </w:r>
    </w:p>
    <w:p>
      <w:pPr>
        <w:spacing w:after="0" w:line="225"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R. Claggett</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Edward R. Claggett</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and Assistant Secretary</w:t>
            </w:r>
          </w:p>
        </w:tc>
      </w:tr>
    </w:tbl>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Cauna M. Silva</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Cauna M. Silva</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412"/>
        </w:trPr>
        <w:tc>
          <w:tcPr>
            <w:tcW w:w="700" w:type="dxa"/>
            <w:vAlign w:val="bottom"/>
          </w:tcPr>
          <w:p>
            <w:pPr>
              <w:jc w:val="right"/>
              <w:ind w:right="430"/>
              <w:spacing w:after="0"/>
              <w:rPr>
                <w:sz w:val="20"/>
                <w:szCs w:val="20"/>
                <w:color w:val="auto"/>
              </w:rPr>
            </w:pPr>
            <w:r>
              <w:rPr>
                <w:rFonts w:ascii="Arial" w:cs="Arial" w:eastAsia="Arial" w:hAnsi="Arial"/>
                <w:sz w:val="18"/>
                <w:szCs w:val="18"/>
                <w:color w:val="auto"/>
              </w:rPr>
              <w:t>6</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936"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4(o)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509395" cy="3257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093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14,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left="800"/>
        <w:spacing w:after="0"/>
        <w:tabs>
          <w:tab w:leader="none" w:pos="1240" w:val="left"/>
        </w:tabs>
        <w:rPr>
          <w:sz w:val="20"/>
          <w:szCs w:val="20"/>
          <w:color w:val="auto"/>
        </w:rPr>
      </w:pPr>
      <w:r>
        <w:rPr>
          <w:rFonts w:ascii="Arial" w:cs="Arial" w:eastAsia="Arial" w:hAnsi="Arial"/>
          <w:sz w:val="18"/>
          <w:szCs w:val="18"/>
          <w:color w:val="auto"/>
        </w:rPr>
        <w:t>Re:</w:t>
        <w:tab/>
        <w:t>The Scotts Miracle-Gro Company — Annual Report on Form 10-K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the fiscal year ended September 30, 2006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Scotts Miracle-Gro Company, an Ohio corporation (“Scotts Miracle-Gro”), is today filing its Annual Report on Form 10-K for the fiscal year ended September 30, 2006 (the “Form 10-K”).</w:t>
      </w:r>
    </w:p>
    <w:p>
      <w:pPr>
        <w:spacing w:after="0" w:line="62" w:lineRule="exact"/>
        <w:rPr>
          <w:sz w:val="20"/>
          <w:szCs w:val="20"/>
          <w:color w:val="auto"/>
        </w:rPr>
      </w:pPr>
    </w:p>
    <w:p>
      <w:pPr>
        <w:ind w:right="200" w:firstLine="225"/>
        <w:spacing w:after="0" w:line="273" w:lineRule="auto"/>
        <w:rPr>
          <w:sz w:val="20"/>
          <w:szCs w:val="20"/>
          <w:color w:val="auto"/>
        </w:rPr>
      </w:pPr>
      <w:r>
        <w:rPr>
          <w:rFonts w:ascii="Arial" w:cs="Arial" w:eastAsia="Arial" w:hAnsi="Arial"/>
          <w:sz w:val="17"/>
          <w:szCs w:val="17"/>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Regulation S-K, Scotts Miracle-Gro hereby agrees to furnish to the Commission, upon request, a copy of each such instrument or agreement defining the rights of holders of long-term debt of Scotts Miracle-Gro or of holders of long-term debt of one of Scotts Miracle-Gro’s consolidated subsidiaries, which is not being filed or incorporated by reference as an exhibit to the Form 10-K.</w:t>
      </w:r>
    </w:p>
    <w:p>
      <w:pPr>
        <w:spacing w:after="0" w:line="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SCOTTS MIRACLE-GRO COMPANY</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David C. Evans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C. Evans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14111 Scottslawn Road Marysville, OH 43041 937-644-0011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420"/>
          </w:cols>
          <w:pgMar w:left="240" w:top="935" w:right="239" w:bottom="1440" w:gutter="0" w:footer="0" w:header="0"/>
        </w:sectPr>
      </w:pPr>
    </w:p>
    <w:bookmarkStart w:id="131" w:name="page132"/>
    <w:bookmarkEnd w:id="131"/>
    <w:p>
      <w:pPr>
        <w:ind w:left="10460"/>
        <w:spacing w:after="0"/>
        <w:rPr>
          <w:sz w:val="20"/>
          <w:szCs w:val="20"/>
          <w:color w:val="auto"/>
        </w:rPr>
      </w:pPr>
      <w:r>
        <w:rPr>
          <w:rFonts w:ascii="Arial" w:cs="Arial" w:eastAsia="Arial" w:hAnsi="Arial"/>
          <w:sz w:val="17"/>
          <w:szCs w:val="17"/>
          <w:color w:val="auto"/>
        </w:rPr>
        <w:t>Exhibit 10(k)</w:t>
      </w:r>
    </w:p>
    <w:p>
      <w:pPr>
        <w:spacing w:after="0" w:line="1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Compensation and Organization Committee of the Board of Directors of The Scotts Miracle-Gro Company (the “Company”) has approved certain employment, severance and change in control terms applicable to David M. Aronowitz and Denise S. Stump. Pursuant to these terms, if the employment of either of these executive officers is terminated by the Company, other than for cause, within 18 months following a change in control of the Company (as defined in each of the 1996 Plan, the 2003 Plan and the 2006 Plan), such executive officer will be entitled to receive a lump sum payment within 90 days after termination equal to two times the executive officer’s base salary plus two times the executive officer’s target incentive under the Executive Incentive Plan or any successor incentive compensation plan, in each case as in effect at the date of termination. If the employment of either of these executive officers is terminated by the Company prior to a change in control, other than for cause, such executive officer will be entitled to receive two times the executive officer’s base salary in effect at the date of termination in a lump sum within 90 days after termination.</w:t>
      </w:r>
    </w:p>
    <w:p>
      <w:pPr>
        <w:sectPr>
          <w:pgSz w:w="11900" w:h="16838" w:orient="portrait"/>
          <w:cols w:equalWidth="0" w:num="1">
            <w:col w:w="11420"/>
          </w:cols>
          <w:pgMar w:left="240" w:top="93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10(jj)</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Compensation for Directors of The Scotts Miracle-Gro Company</w:t>
      </w:r>
    </w:p>
    <w:p>
      <w:pPr>
        <w:spacing w:after="0" w:line="12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Each director of The Scotts Miracle-Gro Company (“Scotts Miracle-Gro”) who is not an employee of Scotts Miracle-Gro or its subsidiaries (a “non-employee director”) receives a $40,000 annual retainer for Board of Directors and Board committee meetings plus reimbursement of all reasonable travel and other expenses of attending such meetings. Members of the Audit Committee receive an additional $5,000 annually. However, Thomas N. Kelly Jr.’s annual cash retainer for the 2006 calendar year was paid on a pro-rated basis for the period of his service on the Board of Directors and Board committees during the 2006 calendar year following his appointment on August 11, 2006.</w:t>
      </w:r>
    </w:p>
    <w:p>
      <w:pPr>
        <w:spacing w:after="0" w:line="80"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color w:val="auto"/>
        </w:rPr>
        <w:t>Prior to January 26, 2006, non-employee directors were able to elect, under The Scotts Miracle-Gro Company 1996 Stock Option Plan (the “1996 Plan”) and The Scotts Miracle-Gro Company 2003 Stock Option and Incentive Equity Plan (the “2003 Plan”), to receive all or a portion, in 25% increments, of their annual cash retainer and other fees paid for service as a director in cash or in stock units. If stock units were elected, the non-employee director received a number of stock units determined by dividing the chosen dollar amount by the closing price of Scotts Miracle-Gro’s common shares on the New York Stock Exchange (“NYSE”) on the first trading day following the date of the annual meeting of shareholders of Scotts Miracle-Gro for which the deferred amount otherwise would have been paid. Final distributions are to be made in cash or common shares, as elected by the non-employee director, upon the date that the non-employee director ceases to be a member of the Board of Directors, upon the date the non-employee director has specified in his or her deferral form or upon a “change in control” (as defined in each of the 1996 Plan and the 2003 Plan), whichever is earliest. If stock units are to be settled in cash, the amount distributed will be calculated by multiplying the number of stock units to be settled in cash by the fair market value of Scotts Miracle-Gro’s common shares. If stock units are to be settled in common shares, the number of common shares distributed will equal the whole number of stock units to be settled in common shares, with the fair market value of any fractional stock units distributed in cash. Distributions may be made either in a lump sum or in installments over a period of up to ten years, as elected by the non-employee director. However, upon a change in control, each outstanding stock unit held by a non-employee director will be settled for a lump sum cash payment equal to (1) the highest price per share offered in conjunction with the transaction resulting in the change in control or (2) in the event of a change in control not related to a transfer of common shares, the highest closing price of a common share of Scotts Miracle-Gro as reported on NYSE on any of the 30 consecutive trading days ending on the last trading day before the change in control occurs (the “change in control price per common share”). Following the approval of The Scotts Miracle-Gro Company 2006 Long-Term Incentive Plan (the “2006 Plan”) at the 2006 Annual Meeting of Shareholders of Scotts Miracle-Gro on January 26, 2006, non-employee directors may no longer elect to receive stock units under the 1996 Plan or the 2003 Plan.</w:t>
      </w:r>
    </w:p>
    <w:p>
      <w:pPr>
        <w:spacing w:after="0" w:line="283"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non-employee directors may elect, under the 2006 Plan, to receive all or a portion (in 25% increments) of their annual cash retainer and other fees paid for service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3" w:name="page134"/>
    <w:bookmarkEnd w:id="133"/>
    <w:p>
      <w:pPr>
        <w:ind w:right="80"/>
        <w:spacing w:after="0" w:line="288" w:lineRule="auto"/>
        <w:rPr>
          <w:sz w:val="20"/>
          <w:szCs w:val="20"/>
          <w:color w:val="auto"/>
        </w:rPr>
      </w:pPr>
      <w:r>
        <w:rPr>
          <w:rFonts w:ascii="Arial" w:cs="Arial" w:eastAsia="Arial" w:hAnsi="Arial"/>
          <w:sz w:val="16"/>
          <w:szCs w:val="16"/>
          <w:color w:val="auto"/>
        </w:rPr>
        <w:t>director in cash or in stock units. If stock units are elected, the non-employee director receive a number of stock units determined by dividing the chosen dollar amount by the closing price of Scotts Miracle-Gro’s common shares on NYSE on the first trading day following the date of the annual meeting of shareholders of Scotts Miracle-Gro for which the deferred amount otherwise would have been paid. Final distributions are to be made in cash or common shares, as elected by the non-employee director, upon the date that the non-employee director ceases to be a member of the Board of Directors, upon the date the non-employee director has specified in his or her deferral form or upon a “change in control” (as defined in the 2006 Plan), whichever is earliest. If stock units are to be settled in cash, the amount distributed will be calculated by multiplying the number of stock units to be settled in cash by the fair market value of Scotts Miracle-Gro’s common shares. If stock units are to be settled in common shares, the number of common shares distributed will equal the whole number of stock units to be settled in common shares, with the fair market value of any fractional stock units distributed in cash. Distributions may be made either in a lump sum or in installments over a period of up to ten years, as elected by the non-employee director. However, upon a change in control, each outstanding stock unit held by a non-employee director will be settled for a lump sum cash payment equal to the change in control price per common share.</w:t>
      </w:r>
    </w:p>
    <w:p>
      <w:pPr>
        <w:spacing w:after="0" w:line="6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Prior to January 26, 2006, non-employee directors automatically received an annual grant, on the first business day following the date of each annual meeting of shareholders, of options to purchase 10,000 common shares at an exercise price equal to the fair market value of the common shares on the grant date. Non-employee directors who were members of one or more committees of the Board of Directors received options to purchase an additional 1,000 common shares for each committee on which they served. Additionally, non-employee directors who chaired a committee received options to purchase an additional 2,000 common shares for each committee they chaired. These options were granted under the 1996 Plan or the 2003 Plan. Since the approval of the 2006 Plan, no further automatic grants have been or will be made under the 1996 Plan or the 2003 Plan.</w:t>
      </w:r>
    </w:p>
    <w:p>
      <w:pPr>
        <w:spacing w:after="0" w:line="70"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Grants of options to directors under the 2006 Plan are discretionary. On January 27, 2006, consistent with the automatic grants which had previously been made under the 1996 Plan and the 2003 Plan, the individuals then serving as non-employee directors received options to purchase 10,000 common shares. Non-employee directors who were members of one or more committees of the Board of Directors received options to purchase an additional 1,000 common shares for each committee on which they served. Additionally, non-employee directors who chaired a committee received options to purchase an additional 2,000 common shares for each committee they chaired. Each of the options granted on January 27, 2006 has an exercise price of $49.55, the closing price of Scotts Miracle-Gro’s common shares on NYSE on the grant date.</w:t>
      </w:r>
    </w:p>
    <w:p>
      <w:pPr>
        <w:spacing w:after="0" w:line="70"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On May 3, 2006, the date he was re-appointed to the Board of Directors, John M. Sullivan received options to purchase 11,000 common shares at an exercise price of $44.04, the closing price of Scotts Miracle-Gro’s common shares on NYSE on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4" w:name="page135"/>
    <w:bookmarkEnd w:id="134"/>
    <w:p>
      <w:pPr>
        <w:spacing w:after="0" w:line="259" w:lineRule="auto"/>
        <w:rPr>
          <w:sz w:val="20"/>
          <w:szCs w:val="20"/>
          <w:color w:val="auto"/>
        </w:rPr>
      </w:pPr>
      <w:r>
        <w:rPr>
          <w:rFonts w:ascii="Arial" w:cs="Arial" w:eastAsia="Arial" w:hAnsi="Arial"/>
          <w:sz w:val="18"/>
          <w:szCs w:val="18"/>
          <w:color w:val="auto"/>
        </w:rPr>
        <w:t>date. This number of common shares was the same as he would have received had he not retired following the 2006 Annual Meeting of Shareholders. On October 11, 2006, Thomas N. Kelly Jr. received an option to purchase 6,000 common shares at an exercise price of $45.88, the closing price of Scotts Miracle-Gro’s common shares on NYSE on the grant date. This number of common shares was based on the period he would serve on the Board of Directors and Board committees during the 2006 calendar year following his appointment.</w:t>
      </w:r>
    </w:p>
    <w:p>
      <w:pPr>
        <w:spacing w:after="0" w:line="7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Options granted to non-employee directors under the 1996 Plan became exercisable six months after the grant date and options granted to non-employee directors under the 2003 Plan became exercisable either six months or twelve months after the grant date. The options granted to non-employee directors under the 2006 Plan, as described above, will become exercisable on January 27, 2007. Once vested, the options remain exercisable until the earlier to occur of the tenth anniversary of the grant date or the first anniversary of the date the non-employee director ceases to be a member of Scotts Miracle-Gro’s Board of Directors. However, if the non-employee director ceases to be a member of the Board of Directors after having been convicted of, or pled guilty or nolo contendere to, a felony, his or her options granted under the 1996 Plan, the 2003 Plan or the 2006 Plan will be cancelled on the date he or she ceases to be a director. If the non-employee director ceases to be a member of the Board of Directors after having retired after serving at least one full term, any outstanding options granted under the 1996 Plan, the 2003 Plan or the 2006 Plan will remain exercisable for a period of five years following retirement subject to the stated terms of the options.</w:t>
      </w:r>
    </w:p>
    <w:p>
      <w:pPr>
        <w:spacing w:after="0" w:line="74"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Upon a change in control of Scotts Miracle-Gro, each non-employee director’s outstanding options granted under the 2003 Plan or the 2006 Plan will be cancelled, unless (a) Scotts Miracle-Gro’s common shares remain publicly traded, (b) the non-employee director remains a director of Scotts Miracle-Gro after the change in control or (c) the non-employee director exercises, with the permission of the Compensation and Organization Committee, the non-employee director’s outstanding options within 15 days of the date of the change in control. In addition, each non-employee director’s outstanding options granted under the 1996 Plan will be cancelled unless the non-employee director exercises, with the permission of the Compensation and Organization Committee, the non-employee director’s outstanding options within 15 days of the date of the change in control. For each cancelled option, a non-employee director will receive cash in the amount of, or common shares having a value equal to, the difference between the change in control price per common share and the exercise price per share associated with the cancelled option.</w:t>
      </w:r>
    </w:p>
    <w:p>
      <w:pPr>
        <w:sectPr>
          <w:pgSz w:w="11900" w:h="16838" w:orient="portrait"/>
          <w:cols w:equalWidth="0" w:num="1">
            <w:col w:w="11360"/>
          </w:cols>
          <w:pgMar w:left="240" w:top="935" w:right="299" w:bottom="1440" w:gutter="0" w:footer="0" w:header="0"/>
        </w:sectPr>
      </w:pPr>
    </w:p>
    <w:bookmarkStart w:id="135" w:name="page136"/>
    <w:bookmarkEnd w:id="135"/>
    <w:p>
      <w:pPr>
        <w:jc w:val="center"/>
        <w:ind w:right="-1200"/>
        <w:spacing w:after="0"/>
        <w:rPr>
          <w:sz w:val="20"/>
          <w:szCs w:val="20"/>
          <w:color w:val="auto"/>
        </w:rPr>
      </w:pPr>
      <w:r>
        <w:rPr>
          <w:rFonts w:ascii="Arial" w:cs="Arial" w:eastAsia="Arial" w:hAnsi="Arial"/>
          <w:sz w:val="18"/>
          <w:szCs w:val="18"/>
          <w:b w:val="1"/>
          <w:bCs w:val="1"/>
          <w:color w:val="auto"/>
        </w:rPr>
        <w:t>Exhibit 21</w:t>
      </w:r>
    </w:p>
    <w:p>
      <w:pPr>
        <w:spacing w:after="0" w:line="1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SUBSIDIARIES OF THE SCOTTS MIRACLE-GRO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Gutwein &amp; Co., Inc., an Indiana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SMG Brands,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SMG Growing Media, Inc., an Ohio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Rod McLellan Company, a California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SMGM LLC, an Ohio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 an Ohio limited liability company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EG Systems, Inc., dba Scotts LawnService, an Indiana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Hyponex Corporation, a Delaware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OMS Investments, Inc., a Delaware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Temecula Operations, LLC, a Delaware limited liability company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Sanford Scientific, Inc., a New York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Global Services, Inc., an Ohio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Manufacturing Company, a Delaware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Miracle-Gro Lawn Products, Inc., a New York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Products Co., an Ohio corporation</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Servicios, S.A. de C.V. (Mexico)</w:t>
      </w:r>
      <w:r>
        <w:rPr>
          <w:rFonts w:ascii="Arial" w:cs="Arial" w:eastAsia="Arial" w:hAnsi="Arial"/>
          <w:sz w:val="15"/>
          <w:szCs w:val="15"/>
          <w:color w:val="auto"/>
        </w:rPr>
        <w:t>1</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Professional Products Co., an Ohio corporation</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Servicios, S.A. de C.V. (Mexico)</w:t>
      </w:r>
      <w:r>
        <w:rPr>
          <w:rFonts w:ascii="Arial" w:cs="Arial" w:eastAsia="Arial" w:hAnsi="Arial"/>
          <w:sz w:val="15"/>
          <w:szCs w:val="15"/>
          <w:color w:val="auto"/>
        </w:rPr>
        <w:t>2</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Scotts-Sierra Horticultural Products Company, a California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Scotts-Sierra Crop Protection Company, a California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Scotts-Sierra Investments, Inc., a Delaware corporation</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ASEF BV (Netherlands)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Australia Pty Ltd. (Australia)</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Benelux BVBA (Belgium)</w:t>
      </w:r>
      <w:r>
        <w:rPr>
          <w:rFonts w:ascii="Arial" w:cs="Arial" w:eastAsia="Arial" w:hAnsi="Arial"/>
          <w:sz w:val="15"/>
          <w:szCs w:val="15"/>
          <w:color w:val="auto"/>
        </w:rPr>
        <w:t>3</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Canada Ltd. (Canada)</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Czech s.r.o. (Czech Republic)</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de Mexico SA de CV (Mexico)</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France Holdings SARL (France)</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France SARL (France)</w:t>
      </w:r>
      <w:r>
        <w:rPr>
          <w:rFonts w:ascii="Arial" w:cs="Arial" w:eastAsia="Arial" w:hAnsi="Arial"/>
          <w:sz w:val="15"/>
          <w:szCs w:val="15"/>
          <w:color w:val="auto"/>
        </w:rPr>
        <w:t>4</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France SAS (France)</w:t>
      </w:r>
      <w:r>
        <w:rPr>
          <w:rFonts w:ascii="Arial" w:cs="Arial" w:eastAsia="Arial" w:hAnsi="Arial"/>
          <w:sz w:val="15"/>
          <w:szCs w:val="15"/>
          <w:color w:val="auto"/>
        </w:rPr>
        <w:t>5</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Holding GmbH (Germany)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Celaflor GmbH &amp; Co. KG (Germany)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Celaflor HGmbH (Austria)</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Holdings Limited (United Kingdom)</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Levington Group Ltd. (United Kingdom)</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Scotts Company (UK) Ltd. (United Kingdom)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Scotts Company (Manufacturing) Ltd. (United Kingdom)</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OM Scott International Investments Ltd. (United Kingdom)</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Corwen Home and Garden Limited (United Kingdom)</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Scotts International B.V. (Netherlands)</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Scotts Deutschland GmbH (Germany)</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Scott O.M. España, S.A. (Spain)</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Scotts Profi HGmbH (Austria)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3036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5"/>
          <w:szCs w:val="15"/>
          <w:color w:val="auto"/>
        </w:rPr>
      </w:pPr>
      <w:r>
        <w:rPr>
          <w:rFonts w:ascii="Arial" w:cs="Arial" w:eastAsia="Arial" w:hAnsi="Arial"/>
          <w:sz w:val="18"/>
          <w:szCs w:val="18"/>
          <w:color w:val="auto"/>
        </w:rPr>
        <w:t>Not wholly-owned, Scotts Professional Products Co. owns 50%</w:t>
      </w:r>
    </w:p>
    <w:p>
      <w:pPr>
        <w:spacing w:after="0" w:line="77"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5"/>
          <w:szCs w:val="15"/>
          <w:color w:val="auto"/>
        </w:rPr>
      </w:pPr>
      <w:r>
        <w:rPr>
          <w:rFonts w:ascii="Arial" w:cs="Arial" w:eastAsia="Arial" w:hAnsi="Arial"/>
          <w:sz w:val="18"/>
          <w:szCs w:val="18"/>
          <w:color w:val="auto"/>
        </w:rPr>
        <w:t>Not wholly-owned, Scotts Products Co. owns 50%</w:t>
      </w:r>
    </w:p>
    <w:p>
      <w:pPr>
        <w:spacing w:after="0" w:line="77"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5"/>
          <w:szCs w:val="15"/>
          <w:color w:val="auto"/>
        </w:rPr>
      </w:pPr>
      <w:r>
        <w:rPr>
          <w:rFonts w:ascii="Arial" w:cs="Arial" w:eastAsia="Arial" w:hAnsi="Arial"/>
          <w:sz w:val="18"/>
          <w:szCs w:val="18"/>
          <w:color w:val="auto"/>
        </w:rPr>
        <w:t>Not wholly-owned, OMS Investments, Inc. owns .01%</w:t>
      </w:r>
    </w:p>
    <w:p>
      <w:pPr>
        <w:spacing w:after="0" w:line="77"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5"/>
          <w:szCs w:val="15"/>
          <w:color w:val="auto"/>
        </w:rPr>
      </w:pPr>
      <w:r>
        <w:rPr>
          <w:rFonts w:ascii="Arial" w:cs="Arial" w:eastAsia="Arial" w:hAnsi="Arial"/>
          <w:sz w:val="18"/>
          <w:szCs w:val="18"/>
          <w:color w:val="auto"/>
        </w:rPr>
        <w:t>Not wholly-owned, Scotts Holdings Ltd. owns .01%</w:t>
      </w:r>
    </w:p>
    <w:p>
      <w:pPr>
        <w:spacing w:after="0" w:line="77"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5"/>
          <w:szCs w:val="15"/>
          <w:color w:val="auto"/>
        </w:rPr>
      </w:pPr>
      <w:r>
        <w:rPr>
          <w:rFonts w:ascii="Arial" w:cs="Arial" w:eastAsia="Arial" w:hAnsi="Arial"/>
          <w:sz w:val="18"/>
          <w:szCs w:val="18"/>
          <w:color w:val="auto"/>
        </w:rPr>
        <w:t>Not wholly-owned, Scotts France SARL owns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136" w:name="page137"/>
    <w:bookmarkEnd w:id="136"/>
    <w:p>
      <w:pPr>
        <w:ind w:left="1212"/>
        <w:spacing w:after="0"/>
        <w:rPr>
          <w:sz w:val="20"/>
          <w:szCs w:val="20"/>
          <w:color w:val="auto"/>
        </w:rPr>
      </w:pPr>
      <w:r>
        <w:rPr>
          <w:rFonts w:ascii="Arial" w:cs="Arial" w:eastAsia="Arial" w:hAnsi="Arial"/>
          <w:sz w:val="18"/>
          <w:szCs w:val="18"/>
          <w:color w:val="auto"/>
        </w:rPr>
        <w:t>Scotts Italia S.r.l. (Italy)</w:t>
      </w:r>
      <w:r>
        <w:rPr>
          <w:rFonts w:ascii="Arial" w:cs="Arial" w:eastAsia="Arial" w:hAnsi="Arial"/>
          <w:sz w:val="15"/>
          <w:szCs w:val="15"/>
          <w:color w:val="auto"/>
        </w:rPr>
        <w:t>1</w:t>
      </w:r>
    </w:p>
    <w:p>
      <w:pPr>
        <w:spacing w:after="0" w:line="23"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Scotts Horticulture Ltd. (Ireland)</w:t>
      </w:r>
    </w:p>
    <w:p>
      <w:pPr>
        <w:spacing w:after="0" w:line="8" w:lineRule="exact"/>
        <w:rPr>
          <w:sz w:val="20"/>
          <w:szCs w:val="20"/>
          <w:color w:val="auto"/>
        </w:rPr>
      </w:pPr>
    </w:p>
    <w:p>
      <w:pPr>
        <w:ind w:left="812"/>
        <w:spacing w:after="0"/>
        <w:rPr>
          <w:sz w:val="20"/>
          <w:szCs w:val="20"/>
          <w:color w:val="auto"/>
        </w:rPr>
      </w:pPr>
      <w:r>
        <w:rPr>
          <w:rFonts w:ascii="Arial" w:cs="Arial" w:eastAsia="Arial" w:hAnsi="Arial"/>
          <w:sz w:val="18"/>
          <w:szCs w:val="18"/>
          <w:color w:val="auto"/>
        </w:rPr>
        <w:t>Scotts Hungary KFT (Hungary)</w:t>
      </w:r>
      <w:r>
        <w:rPr>
          <w:rFonts w:ascii="Arial" w:cs="Arial" w:eastAsia="Arial" w:hAnsi="Arial"/>
          <w:sz w:val="15"/>
          <w:szCs w:val="15"/>
          <w:color w:val="auto"/>
        </w:rPr>
        <w:t>2</w:t>
      </w:r>
    </w:p>
    <w:p>
      <w:pPr>
        <w:spacing w:after="0" w:line="9" w:lineRule="exact"/>
        <w:rPr>
          <w:sz w:val="20"/>
          <w:szCs w:val="20"/>
          <w:color w:val="auto"/>
        </w:rPr>
      </w:pPr>
    </w:p>
    <w:p>
      <w:pPr>
        <w:ind w:left="812"/>
        <w:spacing w:after="0"/>
        <w:rPr>
          <w:sz w:val="20"/>
          <w:szCs w:val="20"/>
          <w:color w:val="auto"/>
        </w:rPr>
      </w:pPr>
      <w:r>
        <w:rPr>
          <w:rFonts w:ascii="Arial" w:cs="Arial" w:eastAsia="Arial" w:hAnsi="Arial"/>
          <w:sz w:val="18"/>
          <w:szCs w:val="18"/>
          <w:color w:val="auto"/>
        </w:rPr>
        <w:t>Scotts Japan, Ltd. (Japan)</w:t>
      </w:r>
      <w:r>
        <w:rPr>
          <w:rFonts w:ascii="Arial" w:cs="Arial" w:eastAsia="Arial" w:hAnsi="Arial"/>
          <w:sz w:val="15"/>
          <w:szCs w:val="15"/>
          <w:color w:val="auto"/>
        </w:rPr>
        <w:t>3</w:t>
      </w:r>
    </w:p>
    <w:p>
      <w:pPr>
        <w:spacing w:after="0" w:line="10" w:lineRule="exact"/>
        <w:rPr>
          <w:sz w:val="20"/>
          <w:szCs w:val="20"/>
          <w:color w:val="auto"/>
        </w:rPr>
      </w:pPr>
    </w:p>
    <w:p>
      <w:pPr>
        <w:ind w:left="812"/>
        <w:spacing w:after="0"/>
        <w:rPr>
          <w:sz w:val="20"/>
          <w:szCs w:val="20"/>
          <w:color w:val="auto"/>
        </w:rPr>
      </w:pPr>
      <w:r>
        <w:rPr>
          <w:rFonts w:ascii="Arial" w:cs="Arial" w:eastAsia="Arial" w:hAnsi="Arial"/>
          <w:sz w:val="18"/>
          <w:szCs w:val="18"/>
          <w:color w:val="auto"/>
        </w:rPr>
        <w:t>Scotts PBG Malaysia Sdn. Bhd. (Malaysia)</w:t>
      </w:r>
    </w:p>
    <w:p>
      <w:pPr>
        <w:spacing w:after="0" w:line="9" w:lineRule="exact"/>
        <w:rPr>
          <w:sz w:val="20"/>
          <w:szCs w:val="20"/>
          <w:color w:val="auto"/>
        </w:rPr>
      </w:pPr>
    </w:p>
    <w:p>
      <w:pPr>
        <w:ind w:left="812"/>
        <w:spacing w:after="0"/>
        <w:rPr>
          <w:sz w:val="20"/>
          <w:szCs w:val="20"/>
          <w:color w:val="auto"/>
        </w:rPr>
      </w:pPr>
      <w:r>
        <w:rPr>
          <w:rFonts w:ascii="Arial" w:cs="Arial" w:eastAsia="Arial" w:hAnsi="Arial"/>
          <w:sz w:val="18"/>
          <w:szCs w:val="18"/>
          <w:color w:val="auto"/>
        </w:rPr>
        <w:t>Scotts Poland Sp.z.o.o. (Poland)</w:t>
      </w:r>
    </w:p>
    <w:p>
      <w:pPr>
        <w:spacing w:after="0" w:line="9" w:lineRule="exact"/>
        <w:rPr>
          <w:sz w:val="20"/>
          <w:szCs w:val="20"/>
          <w:color w:val="auto"/>
        </w:rPr>
      </w:pPr>
    </w:p>
    <w:p>
      <w:pPr>
        <w:ind w:left="812"/>
        <w:spacing w:after="0"/>
        <w:rPr>
          <w:sz w:val="20"/>
          <w:szCs w:val="20"/>
          <w:color w:val="auto"/>
        </w:rPr>
      </w:pPr>
      <w:r>
        <w:rPr>
          <w:rFonts w:ascii="Arial" w:cs="Arial" w:eastAsia="Arial" w:hAnsi="Arial"/>
          <w:sz w:val="18"/>
          <w:szCs w:val="18"/>
          <w:color w:val="auto"/>
        </w:rPr>
        <w:t>Scotts Sweden AB (Sweden)</w:t>
      </w:r>
    </w:p>
    <w:p>
      <w:pPr>
        <w:spacing w:after="0" w:line="9" w:lineRule="exact"/>
        <w:rPr>
          <w:sz w:val="20"/>
          <w:szCs w:val="20"/>
          <w:color w:val="auto"/>
        </w:rPr>
      </w:pPr>
    </w:p>
    <w:p>
      <w:pPr>
        <w:ind w:left="812"/>
        <w:spacing w:after="0"/>
        <w:rPr>
          <w:sz w:val="20"/>
          <w:szCs w:val="20"/>
          <w:color w:val="auto"/>
        </w:rPr>
      </w:pPr>
      <w:r>
        <w:rPr>
          <w:rFonts w:ascii="Arial" w:cs="Arial" w:eastAsia="Arial" w:hAnsi="Arial"/>
          <w:sz w:val="18"/>
          <w:szCs w:val="18"/>
          <w:color w:val="auto"/>
        </w:rPr>
        <w:t>The Scotts Company (Nordic) A/S (Denmark)</w:t>
      </w:r>
    </w:p>
    <w:p>
      <w:pPr>
        <w:spacing w:after="0" w:line="9" w:lineRule="exact"/>
        <w:rPr>
          <w:sz w:val="20"/>
          <w:szCs w:val="20"/>
          <w:color w:val="auto"/>
        </w:rPr>
      </w:pPr>
    </w:p>
    <w:p>
      <w:pPr>
        <w:ind w:left="812"/>
        <w:spacing w:after="0"/>
        <w:rPr>
          <w:sz w:val="20"/>
          <w:szCs w:val="20"/>
          <w:color w:val="auto"/>
        </w:rPr>
      </w:pPr>
      <w:r>
        <w:rPr>
          <w:rFonts w:ascii="Arial" w:cs="Arial" w:eastAsia="Arial" w:hAnsi="Arial"/>
          <w:sz w:val="18"/>
          <w:szCs w:val="18"/>
          <w:color w:val="auto"/>
        </w:rPr>
        <w:t>The Scotts Company Italia S.r.l. (Italy)</w:t>
      </w:r>
    </w:p>
    <w:p>
      <w:pPr>
        <w:spacing w:after="0" w:line="9" w:lineRule="exact"/>
        <w:rPr>
          <w:sz w:val="20"/>
          <w:szCs w:val="20"/>
          <w:color w:val="auto"/>
        </w:rPr>
      </w:pPr>
    </w:p>
    <w:p>
      <w:pPr>
        <w:ind w:left="812"/>
        <w:spacing w:after="0"/>
        <w:rPr>
          <w:sz w:val="20"/>
          <w:szCs w:val="20"/>
          <w:color w:val="auto"/>
        </w:rPr>
      </w:pPr>
      <w:r>
        <w:rPr>
          <w:rFonts w:ascii="Arial" w:cs="Arial" w:eastAsia="Arial" w:hAnsi="Arial"/>
          <w:sz w:val="18"/>
          <w:szCs w:val="18"/>
          <w:color w:val="auto"/>
        </w:rPr>
        <w:t>The Scotts Company Kenya Ltd. (Kenya)</w:t>
      </w:r>
    </w:p>
    <w:p>
      <w:pPr>
        <w:spacing w:after="0" w:line="8" w:lineRule="exact"/>
        <w:rPr>
          <w:sz w:val="20"/>
          <w:szCs w:val="20"/>
          <w:color w:val="auto"/>
        </w:rPr>
      </w:pPr>
    </w:p>
    <w:p>
      <w:pPr>
        <w:ind w:left="812"/>
        <w:spacing w:after="0"/>
        <w:rPr>
          <w:sz w:val="20"/>
          <w:szCs w:val="20"/>
          <w:color w:val="auto"/>
        </w:rPr>
      </w:pPr>
      <w:r>
        <w:rPr>
          <w:rFonts w:ascii="Arial" w:cs="Arial" w:eastAsia="Arial" w:hAnsi="Arial"/>
          <w:sz w:val="18"/>
          <w:szCs w:val="18"/>
          <w:color w:val="auto"/>
        </w:rPr>
        <w:t>Turf-Seed Europe (Ireland)</w:t>
      </w:r>
      <w:r>
        <w:rPr>
          <w:rFonts w:ascii="Arial" w:cs="Arial" w:eastAsia="Arial" w:hAnsi="Arial"/>
          <w:sz w:val="15"/>
          <w:szCs w:val="15"/>
          <w:color w:val="auto"/>
        </w:rPr>
        <w:t>4</w:t>
      </w:r>
    </w:p>
    <w:p>
      <w:pPr>
        <w:spacing w:after="0" w:line="10" w:lineRule="exact"/>
        <w:rPr>
          <w:sz w:val="20"/>
          <w:szCs w:val="20"/>
          <w:color w:val="auto"/>
        </w:rPr>
      </w:pPr>
    </w:p>
    <w:p>
      <w:pPr>
        <w:ind w:left="272"/>
        <w:spacing w:after="0"/>
        <w:rPr>
          <w:sz w:val="20"/>
          <w:szCs w:val="20"/>
          <w:color w:val="auto"/>
        </w:rPr>
      </w:pPr>
      <w:r>
        <w:rPr>
          <w:rFonts w:ascii="Arial" w:cs="Arial" w:eastAsia="Arial" w:hAnsi="Arial"/>
          <w:sz w:val="18"/>
          <w:szCs w:val="18"/>
          <w:color w:val="auto"/>
        </w:rPr>
        <w:t>Smith &amp; Hawken, Ltd., a Delaware corporation</w:t>
      </w:r>
    </w:p>
    <w:p>
      <w:pPr>
        <w:spacing w:after="0" w:line="9" w:lineRule="exact"/>
        <w:rPr>
          <w:sz w:val="20"/>
          <w:szCs w:val="20"/>
          <w:color w:val="auto"/>
        </w:rPr>
      </w:pPr>
    </w:p>
    <w:p>
      <w:pPr>
        <w:ind w:left="272"/>
        <w:spacing w:after="0"/>
        <w:rPr>
          <w:sz w:val="20"/>
          <w:szCs w:val="20"/>
          <w:color w:val="auto"/>
        </w:rPr>
      </w:pPr>
      <w:r>
        <w:rPr>
          <w:rFonts w:ascii="Arial" w:cs="Arial" w:eastAsia="Arial" w:hAnsi="Arial"/>
          <w:sz w:val="18"/>
          <w:szCs w:val="18"/>
          <w:color w:val="auto"/>
        </w:rPr>
        <w:t>Swiss Farms Products,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13036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212" w:hanging="212"/>
        <w:spacing w:after="0"/>
        <w:tabs>
          <w:tab w:leader="none" w:pos="212" w:val="left"/>
        </w:tabs>
        <w:numPr>
          <w:ilvl w:val="0"/>
          <w:numId w:val="47"/>
        </w:numPr>
        <w:rPr>
          <w:rFonts w:ascii="Arial" w:cs="Arial" w:eastAsia="Arial" w:hAnsi="Arial"/>
          <w:sz w:val="15"/>
          <w:szCs w:val="15"/>
          <w:color w:val="auto"/>
        </w:rPr>
      </w:pPr>
      <w:r>
        <w:rPr>
          <w:rFonts w:ascii="Arial" w:cs="Arial" w:eastAsia="Arial" w:hAnsi="Arial"/>
          <w:sz w:val="18"/>
          <w:szCs w:val="18"/>
          <w:color w:val="auto"/>
        </w:rPr>
        <w:t>Not wholly-owned, James Hagedorn owns .05%</w:t>
      </w:r>
    </w:p>
    <w:p>
      <w:pPr>
        <w:spacing w:after="0" w:line="77" w:lineRule="exact"/>
        <w:rPr>
          <w:sz w:val="20"/>
          <w:szCs w:val="20"/>
          <w:color w:val="auto"/>
        </w:rPr>
      </w:pPr>
    </w:p>
    <w:p>
      <w:pPr>
        <w:ind w:left="212" w:hanging="212"/>
        <w:spacing w:after="0"/>
        <w:tabs>
          <w:tab w:leader="none" w:pos="212" w:val="left"/>
        </w:tabs>
        <w:numPr>
          <w:ilvl w:val="0"/>
          <w:numId w:val="48"/>
        </w:numPr>
        <w:rPr>
          <w:rFonts w:ascii="Arial" w:cs="Arial" w:eastAsia="Arial" w:hAnsi="Arial"/>
          <w:sz w:val="15"/>
          <w:szCs w:val="15"/>
          <w:color w:val="auto"/>
        </w:rPr>
      </w:pPr>
      <w:r>
        <w:rPr>
          <w:rFonts w:ascii="Arial" w:cs="Arial" w:eastAsia="Arial" w:hAnsi="Arial"/>
          <w:sz w:val="18"/>
          <w:szCs w:val="18"/>
          <w:color w:val="auto"/>
        </w:rPr>
        <w:t>Not wholly-owned, OMS Investments, Inc. owns 3%</w:t>
      </w:r>
    </w:p>
    <w:p>
      <w:pPr>
        <w:spacing w:after="0" w:line="77" w:lineRule="exact"/>
        <w:rPr>
          <w:sz w:val="20"/>
          <w:szCs w:val="20"/>
          <w:color w:val="auto"/>
        </w:rPr>
      </w:pPr>
    </w:p>
    <w:p>
      <w:pPr>
        <w:ind w:left="212" w:hanging="212"/>
        <w:spacing w:after="0"/>
        <w:tabs>
          <w:tab w:leader="none" w:pos="212" w:val="left"/>
        </w:tabs>
        <w:numPr>
          <w:ilvl w:val="0"/>
          <w:numId w:val="49"/>
        </w:numPr>
        <w:rPr>
          <w:rFonts w:ascii="Arial" w:cs="Arial" w:eastAsia="Arial" w:hAnsi="Arial"/>
          <w:sz w:val="14"/>
          <w:szCs w:val="14"/>
          <w:color w:val="auto"/>
        </w:rPr>
      </w:pPr>
      <w:r>
        <w:rPr>
          <w:rFonts w:ascii="Arial" w:cs="Arial" w:eastAsia="Arial" w:hAnsi="Arial"/>
          <w:sz w:val="16"/>
          <w:szCs w:val="16"/>
          <w:color w:val="auto"/>
        </w:rPr>
        <w:t>Not wholly-owned, Mitsui owns 39% and Ishihara Sangyo Kaisha, Ltd. Owns 10%</w:t>
      </w:r>
    </w:p>
    <w:p>
      <w:pPr>
        <w:spacing w:after="0" w:line="100" w:lineRule="exact"/>
        <w:rPr>
          <w:sz w:val="20"/>
          <w:szCs w:val="20"/>
          <w:color w:val="auto"/>
        </w:rPr>
      </w:pPr>
    </w:p>
    <w:p>
      <w:pPr>
        <w:ind w:left="212" w:hanging="212"/>
        <w:spacing w:after="0"/>
        <w:tabs>
          <w:tab w:leader="none" w:pos="212" w:val="left"/>
        </w:tabs>
        <w:numPr>
          <w:ilvl w:val="0"/>
          <w:numId w:val="50"/>
        </w:numPr>
        <w:rPr>
          <w:rFonts w:ascii="Arial" w:cs="Arial" w:eastAsia="Arial" w:hAnsi="Arial"/>
          <w:sz w:val="15"/>
          <w:szCs w:val="15"/>
          <w:color w:val="auto"/>
        </w:rPr>
      </w:pPr>
      <w:r>
        <w:rPr>
          <w:rFonts w:ascii="Arial" w:cs="Arial" w:eastAsia="Arial" w:hAnsi="Arial"/>
          <w:sz w:val="18"/>
          <w:szCs w:val="18"/>
          <w:color w:val="auto"/>
        </w:rPr>
        <w:t>Not wholly-owned, Owned 51% by Tempoverde, Srl. — Agostino Gaude</w:t>
      </w:r>
    </w:p>
    <w:p>
      <w:pPr>
        <w:spacing w:after="0" w:line="185"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211"/>
          </w:cols>
          <w:pgMar w:left="248" w:top="1152"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23(a)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S-3 (No. 333-98239) and the Registration Statements on Form S-8 (File Nos. 033-47073, 333-06061, 333-27561, 333-72715, 333-76697, 333-104490, 333-124503 and 333-131466) of our reports dated December 13, 2006, relating to the financial statements and financial statement schedules of The Scotts Miracle-Gro Company, and management’s report on the effectiveness of internal control over financial reporting appearing in the Annual Report on Form 10-K of The Scotts Miracle-Gro Company for the fiscal year ended September 30,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2006</w:t>
      </w:r>
    </w:p>
    <w:p>
      <w:pPr>
        <w:sectPr>
          <w:pgSz w:w="11900" w:h="16838" w:orient="portrait"/>
          <w:cols w:equalWidth="0" w:num="1">
            <w:col w:w="11420"/>
          </w:cols>
          <w:pgMar w:left="240" w:top="93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23(b)</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333-98239) and Form S-8 (File Nos. 033-47073, 333-06061, 333-27561, 333-72715, 333-76697, 333-104490, 333-124503 and 333-131466) of The Scotts Miracle-Gro Company of our report dated November 22, 2004 relating to the financial statements and financial statement schedule, which appears in this Annual Report on Form 10-K for the fiscal year ended September 30,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12, 2006</w:t>
      </w:r>
    </w:p>
    <w:p>
      <w:pPr>
        <w:sectPr>
          <w:pgSz w:w="11900" w:h="16838" w:orient="portrait"/>
          <w:cols w:equalWidth="0" w:num="1">
            <w:col w:w="11420"/>
          </w:cols>
          <w:pgMar w:left="240" w:top="93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660" w:hanging="43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September 30, 2006 of The Scotts Miracle-Gro Company;</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40" w:hanging="437"/>
        <w:spacing w:after="0" w:line="342" w:lineRule="auto"/>
        <w:tabs>
          <w:tab w:leader="none" w:pos="11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0" w:name="page141"/>
    <w:bookmarkEnd w:id="140"/>
    <w:p>
      <w:pPr>
        <w:ind w:left="660" w:hanging="436"/>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640" w:hanging="437"/>
        <w:spacing w:after="0" w:line="342" w:lineRule="auto"/>
        <w:tabs>
          <w:tab w:leader="none" w:pos="11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340" w:hanging="437"/>
        <w:spacing w:after="0" w:line="277" w:lineRule="auto"/>
        <w:tabs>
          <w:tab w:leader="none" w:pos="1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80" w:val="left"/>
          <w:tab w:leader="none" w:pos="7220" w:val="left"/>
        </w:tabs>
        <w:rPr>
          <w:sz w:val="20"/>
          <w:szCs w:val="20"/>
          <w:color w:val="auto"/>
        </w:rPr>
      </w:pPr>
      <w:r>
        <w:rPr>
          <w:rFonts w:ascii="Arial" w:cs="Arial" w:eastAsia="Arial" w:hAnsi="Arial"/>
          <w:sz w:val="18"/>
          <w:szCs w:val="18"/>
          <w:color w:val="auto"/>
        </w:rPr>
        <w:t>Dated: December 14,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14605</wp:posOffset>
            </wp:positionV>
            <wp:extent cx="2735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Printed Name: James Hagedorn</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Title: President, Chief Executive Officer and Chairman of the</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Board</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043" w:right="39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17" w:lineRule="exact"/>
        <w:rPr>
          <w:sz w:val="20"/>
          <w:szCs w:val="20"/>
          <w:color w:val="auto"/>
        </w:rPr>
      </w:pPr>
    </w:p>
    <w:p>
      <w:pPr>
        <w:ind w:left="660" w:hanging="43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September 30, 2006 of The Scotts Miracle-Gro Company;</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40" w:hanging="437"/>
        <w:spacing w:after="0" w:line="342" w:lineRule="auto"/>
        <w:tabs>
          <w:tab w:leader="none" w:pos="11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660" w:right="160" w:hanging="436"/>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42" w:name="page143"/>
    <w:bookmarkEnd w:id="142"/>
    <w:p>
      <w:pPr>
        <w:ind w:left="660"/>
        <w:spacing w:after="0"/>
        <w:rPr>
          <w:sz w:val="20"/>
          <w:szCs w:val="20"/>
          <w:color w:val="auto"/>
        </w:rPr>
      </w:pPr>
      <w:r>
        <w:rPr>
          <w:rFonts w:ascii="Arial" w:cs="Arial" w:eastAsia="Arial" w:hAnsi="Arial"/>
          <w:sz w:val="18"/>
          <w:szCs w:val="18"/>
          <w:color w:val="auto"/>
        </w:rPr>
        <w:t>auditors and the audit committee of the registrant’s board of directors (or persons performing the equivalent functions):</w:t>
      </w:r>
    </w:p>
    <w:p>
      <w:pPr>
        <w:spacing w:after="0" w:line="117" w:lineRule="exact"/>
        <w:rPr>
          <w:sz w:val="20"/>
          <w:szCs w:val="20"/>
          <w:color w:val="auto"/>
        </w:rPr>
      </w:pPr>
    </w:p>
    <w:p>
      <w:pPr>
        <w:ind w:left="1120" w:right="460" w:hanging="437"/>
        <w:spacing w:after="0" w:line="342" w:lineRule="auto"/>
        <w:tabs>
          <w:tab w:leader="none" w:pos="11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160" w:hanging="437"/>
        <w:spacing w:after="0" w:line="277" w:lineRule="auto"/>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80" w:val="left"/>
          <w:tab w:leader="none" w:pos="7220" w:val="left"/>
        </w:tabs>
        <w:rPr>
          <w:sz w:val="20"/>
          <w:szCs w:val="20"/>
          <w:color w:val="auto"/>
        </w:rPr>
      </w:pPr>
      <w:r>
        <w:rPr>
          <w:rFonts w:ascii="Arial" w:cs="Arial" w:eastAsia="Arial" w:hAnsi="Arial"/>
          <w:sz w:val="18"/>
          <w:szCs w:val="18"/>
          <w:color w:val="auto"/>
        </w:rPr>
        <w:t>Dated: December 14,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14605</wp:posOffset>
            </wp:positionV>
            <wp:extent cx="2735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Printed Name: David C. Evans</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240" w:top="935" w:right="57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1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connection with the Annual Report of The Scotts Miracle-Gro Company (the “Company”) on Form 10-K for the fiscal year ended September 30, 2006 as filed with the Securities and Exchange Commission on the date hereof (the “Report”), the undersigned, James Hagedorn, President,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80" w:lineRule="exact"/>
        <w:rPr>
          <w:sz w:val="20"/>
          <w:szCs w:val="20"/>
          <w:color w:val="auto"/>
        </w:rPr>
      </w:pPr>
    </w:p>
    <w:p>
      <w:pPr>
        <w:ind w:left="660" w:hanging="43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30" w:lineRule="exact"/>
        <w:rPr>
          <w:rFonts w:ascii="Arial" w:cs="Arial" w:eastAsia="Arial" w:hAnsi="Arial"/>
          <w:sz w:val="18"/>
          <w:szCs w:val="18"/>
          <w:color w:val="auto"/>
        </w:rPr>
      </w:pPr>
    </w:p>
    <w:p>
      <w:pPr>
        <w:ind w:left="660" w:right="120" w:hanging="436"/>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00" w:lineRule="exact"/>
        <w:rPr>
          <w:sz w:val="20"/>
          <w:szCs w:val="20"/>
          <w:color w:val="auto"/>
        </w:rPr>
      </w:pP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318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James Hagedorn</w:t>
            </w:r>
          </w:p>
        </w:tc>
        <w:tc>
          <w:tcPr>
            <w:tcW w:w="31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31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and Chairman of the Board</w:t>
            </w:r>
          </w:p>
        </w:tc>
        <w:tc>
          <w:tcPr>
            <w:tcW w:w="31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December 14, 2006</w:t>
            </w:r>
          </w:p>
        </w:tc>
        <w:tc>
          <w:tcPr>
            <w:tcW w:w="31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Date: December 14,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THIS CERTIFICATION IS BEING FURNISHED AS REQUIRED BY RULE 13a-14(b) UNDER THE SECURITIES EXCHANGE ACT OF 1934 (THE</w:t>
      </w:r>
    </w:p>
    <w:p>
      <w:pPr>
        <w:spacing w:after="0" w:line="34" w:lineRule="exact"/>
        <w:rPr>
          <w:rFonts w:ascii="Arial" w:cs="Arial" w:eastAsia="Arial" w:hAnsi="Arial"/>
          <w:sz w:val="17"/>
          <w:szCs w:val="17"/>
          <w:color w:val="auto"/>
        </w:rPr>
      </w:pPr>
    </w:p>
    <w:p>
      <w:pPr>
        <w:ind w:left="220" w:right="300"/>
        <w:spacing w:after="0" w:line="253" w:lineRule="auto"/>
        <w:rPr>
          <w:rFonts w:ascii="Arial" w:cs="Arial" w:eastAsia="Arial" w:hAnsi="Arial"/>
          <w:sz w:val="17"/>
          <w:szCs w:val="17"/>
          <w:color w:val="auto"/>
        </w:rPr>
      </w:pPr>
      <w:r>
        <w:rPr>
          <w:rFonts w:ascii="Arial" w:cs="Arial" w:eastAsia="Arial" w:hAnsi="Arial"/>
          <w:sz w:val="18"/>
          <w:szCs w:val="18"/>
          <w:color w:val="auto"/>
        </w:rPr>
        <w:t>“EXCHANGE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THIS CERTIFICATION BY REFERENCE.</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
      <w:numFmt w:val="bullet"/>
      <w:start w:val="1"/>
    </w:lvl>
    <w:lvl w:ilvl="1">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2"/>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3"/>
    </w:lvl>
  </w:abstractNum>
  <w:abstractNum w:abstractNumId="12">
    <w:nsid w:val="419AC241"/>
    <w:multiLevelType w:val="hybridMultilevel"/>
    <w:lvl w:ilvl="0">
      <w:lvlJc w:val="left"/>
      <w:lvlText w:val="(%1)"/>
      <w:numFmt w:val="decimal"/>
      <w:start w:val="5"/>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
      <w:numFmt w:val="bullet"/>
      <w:start w:val="1"/>
    </w:lvl>
    <w:lvl w:ilvl="1">
      <w:lvlJc w:val="left"/>
      <w:lvlText w:val="(%2)"/>
      <w:numFmt w:val="lowerLetter"/>
      <w:start w:val="2"/>
    </w:lvl>
  </w:abstractNum>
  <w:abstractNum w:abstractNumId="18">
    <w:nsid w:val="7724C67E"/>
    <w:multiLevelType w:val="hybridMultilevel"/>
    <w:lvl w:ilvl="0">
      <w:lvlJc w:val="left"/>
      <w:lvlText w:val="(%1)"/>
      <w:numFmt w:val="decimal"/>
      <w:start w:val="3"/>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4"/>
    </w:lvl>
  </w:abstractNum>
  <w:abstractNum w:abstractNumId="22">
    <w:nsid w:val="51EAD36B"/>
    <w:multiLevelType w:val="hybridMultilevel"/>
    <w:lvl w:ilvl="0">
      <w:lvlJc w:val="left"/>
      <w:lvlText w:val="(%1)"/>
      <w:numFmt w:val="lowerLetter"/>
      <w:start w:val="1"/>
    </w:lvl>
    <w:lvl w:ilvl="1">
      <w:lvlJc w:val="left"/>
      <w:lvlText w:val="(%2)"/>
      <w:numFmt w:val="lowerRoman"/>
      <w:start w:val="1"/>
    </w:lvl>
  </w:abstractNum>
  <w:abstractNum w:abstractNumId="23">
    <w:nsid w:val="2D517796"/>
    <w:multiLevelType w:val="hybridMultilevel"/>
    <w:lvl w:ilvl="0">
      <w:lvlJc w:val="left"/>
      <w:lvlText w:val="(%1)"/>
      <w:numFmt w:val="lowerLetter"/>
      <w:start w:val="6"/>
    </w:lvl>
    <w:lvl w:ilvl="1">
      <w:lvlJc w:val="left"/>
      <w:lvlText w:val="%2."/>
      <w:numFmt w:val="decimal"/>
      <w:start w:val="3"/>
    </w:lvl>
  </w:abstractNum>
  <w:abstractNum w:abstractNumId="24">
    <w:nsid w:val="580BD78F"/>
    <w:multiLevelType w:val="hybridMultilevel"/>
    <w:lvl w:ilvl="0">
      <w:lvlJc w:val="left"/>
      <w:lvlText w:val="(%1)"/>
      <w:numFmt w:val="lowerLetter"/>
      <w:start w:val="1"/>
    </w:lvl>
    <w:lvl w:ilvl="1">
      <w:lvlJc w:val="left"/>
      <w:lvlText w:val="(%2)"/>
      <w:numFmt w:val="lowerRoman"/>
      <w:start w:val="1"/>
    </w:lvl>
  </w:abstractNum>
  <w:abstractNum w:abstractNumId="25">
    <w:nsid w:val="153EA438"/>
    <w:multiLevelType w:val="hybridMultilevel"/>
    <w:lvl w:ilvl="0">
      <w:lvlJc w:val="left"/>
      <w:lvlText w:val="%1"/>
      <w:numFmt w:val="lowerLetter"/>
      <w:start w:val="1"/>
    </w:lvl>
    <w:lvl w:ilvl="1">
      <w:lvlJc w:val="left"/>
      <w:lvlText w:val="(%2)"/>
      <w:numFmt w:val="lowerLetter"/>
      <w:start w:val="35"/>
    </w:lvl>
  </w:abstractNum>
  <w:abstractNum w:abstractNumId="26">
    <w:nsid w:val="3855585C"/>
    <w:multiLevelType w:val="hybridMultilevel"/>
    <w:lvl w:ilvl="0">
      <w:lvlJc w:val="left"/>
      <w:lvlText w:val="(%1)"/>
      <w:numFmt w:val="lowerLetter"/>
      <w:start w:val="2"/>
    </w:lvl>
    <w:lvl w:ilvl="1">
      <w:lvlJc w:val="left"/>
      <w:lvlText w:val="%2"/>
      <w:numFmt w:val="lowerLetter"/>
      <w:start w:val="1"/>
    </w:lvl>
  </w:abstractNum>
  <w:abstractNum w:abstractNumId="27">
    <w:nsid w:val="70A64E2A"/>
    <w:multiLevelType w:val="hybridMultilevel"/>
    <w:lvl w:ilvl="0">
      <w:lvlJc w:val="left"/>
      <w:lvlText w:val="%1."/>
      <w:numFmt w:val="decimal"/>
      <w:start w:val="5"/>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lowerLetter"/>
      <w:start w:val="2"/>
    </w:lvl>
  </w:abstractNum>
  <w:abstractNum w:abstractNumId="30">
    <w:nsid w:val="1D4ED43B"/>
    <w:multiLevelType w:val="hybridMultilevel"/>
    <w:lvl w:ilvl="0">
      <w:lvlJc w:val="left"/>
      <w:lvlText w:val="%1."/>
      <w:numFmt w:val="decimal"/>
      <w:start w:val="6"/>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Letter"/>
      <w:start w:val="1"/>
    </w:lvl>
    <w:lvl w:ilvl="1">
      <w:lvlJc w:val="left"/>
      <w:lvlText w:val="(%2)"/>
      <w:numFmt w:val="lowerRoman"/>
      <w:start w:val="1"/>
    </w:lvl>
  </w:abstractNum>
  <w:abstractNum w:abstractNumId="34">
    <w:nsid w:val="7A6D8D3C"/>
    <w:multiLevelType w:val="hybridMultilevel"/>
    <w:lvl w:ilvl="0">
      <w:lvlJc w:val="left"/>
      <w:lvlText w:val="(%1)"/>
      <w:numFmt w:val="lowerLetter"/>
      <w:start w:val="2"/>
    </w:lvl>
    <w:lvl w:ilvl="1">
      <w:lvlJc w:val="left"/>
      <w:lvlText w:val="%2"/>
      <w:numFmt w:val="lowerRoman"/>
      <w:start w:val="1"/>
    </w:lvl>
  </w:abstractNum>
  <w:abstractNum w:abstractNumId="35">
    <w:nsid w:val="4B588F54"/>
    <w:multiLevelType w:val="hybridMultilevel"/>
    <w:lvl w:ilvl="0">
      <w:lvlJc w:val="left"/>
      <w:lvlText w:val="(%1)"/>
      <w:numFmt w:val="lowerLetter"/>
      <w:start w:val="7"/>
    </w:lvl>
    <w:lvl w:ilvl="1">
      <w:lvlJc w:val="left"/>
      <w:lvlText w:val="%2."/>
      <w:numFmt w:val="decimal"/>
      <w:start w:val="3"/>
    </w:lvl>
  </w:abstractNum>
  <w:abstractNum w:abstractNumId="36">
    <w:nsid w:val="542289EC"/>
    <w:multiLevelType w:val="hybridMultilevel"/>
    <w:lvl w:ilvl="0">
      <w:lvlJc w:val="left"/>
      <w:lvlText w:val="(%1)"/>
      <w:numFmt w:val="lowerLetter"/>
      <w:start w:val="1"/>
    </w:lvl>
    <w:lvl w:ilvl="1">
      <w:lvlJc w:val="left"/>
      <w:lvlText w:val="(%2)"/>
      <w:numFmt w:val="lowerRoman"/>
      <w:start w:val="1"/>
    </w:lvl>
  </w:abstractNum>
  <w:abstractNum w:abstractNumId="37">
    <w:nsid w:val="6DE91B18"/>
    <w:multiLevelType w:val="hybridMultilevel"/>
    <w:lvl w:ilvl="0">
      <w:lvlJc w:val="left"/>
      <w:lvlText w:val="(%1)"/>
      <w:numFmt w:val="lowerLetter"/>
      <w:start w:val="3"/>
    </w:lvl>
  </w:abstractNum>
  <w:abstractNum w:abstractNumId="38">
    <w:nsid w:val="38437FDB"/>
    <w:multiLevelType w:val="hybridMultilevel"/>
    <w:lvl w:ilvl="0">
      <w:lvlJc w:val="left"/>
      <w:lvlText w:val="%1."/>
      <w:numFmt w:val="decimal"/>
      <w:start w:val="5"/>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decimal"/>
      <w:start w:val="6"/>
    </w:lvl>
  </w:abstractNum>
  <w:abstractNum w:abstractNumId="41">
    <w:nsid w:val="684A481A"/>
    <w:multiLevelType w:val="hybridMultilevel"/>
    <w:lvl w:ilvl="0">
      <w:lvlJc w:val="left"/>
      <w:lvlText w:val="1"/>
      <w:numFmt w:val="bullet"/>
      <w:start w:val="1"/>
    </w:lvl>
  </w:abstractNum>
  <w:abstractNum w:abstractNumId="42">
    <w:nsid w:val="579478FE"/>
    <w:multiLevelType w:val="hybridMultilevel"/>
    <w:lvl w:ilvl="0">
      <w:lvlJc w:val="left"/>
      <w:lvlText w:val="2"/>
      <w:numFmt w:val="bullet"/>
      <w:start w:val="1"/>
    </w:lvl>
  </w:abstractNum>
  <w:abstractNum w:abstractNumId="43">
    <w:nsid w:val="749ABB43"/>
    <w:multiLevelType w:val="hybridMultilevel"/>
    <w:lvl w:ilvl="0">
      <w:lvlJc w:val="left"/>
      <w:lvlText w:val="3"/>
      <w:numFmt w:val="bullet"/>
      <w:start w:val="1"/>
    </w:lvl>
  </w:abstractNum>
  <w:abstractNum w:abstractNumId="44">
    <w:nsid w:val="3DC240FB"/>
    <w:multiLevelType w:val="hybridMultilevel"/>
    <w:lvl w:ilvl="0">
      <w:lvlJc w:val="left"/>
      <w:lvlText w:val="4"/>
      <w:numFmt w:val="bullet"/>
      <w:start w:val="1"/>
    </w:lvl>
  </w:abstractNum>
  <w:abstractNum w:abstractNumId="45">
    <w:nsid w:val="1BA026FA"/>
    <w:multiLevelType w:val="hybridMultilevel"/>
    <w:lvl w:ilvl="0">
      <w:lvlJc w:val="left"/>
      <w:lvlText w:val="5"/>
      <w:numFmt w:val="bullet"/>
      <w:start w:val="1"/>
    </w:lvl>
  </w:abstractNum>
  <w:abstractNum w:abstractNumId="46">
    <w:nsid w:val="79A1DEAA"/>
    <w:multiLevelType w:val="hybridMultilevel"/>
    <w:lvl w:ilvl="0">
      <w:lvlJc w:val="left"/>
      <w:lvlText w:val="1"/>
      <w:numFmt w:val="bullet"/>
      <w:start w:val="1"/>
    </w:lvl>
  </w:abstractNum>
  <w:abstractNum w:abstractNumId="47">
    <w:nsid w:val="75C6C33A"/>
    <w:multiLevelType w:val="hybridMultilevel"/>
    <w:lvl w:ilvl="0">
      <w:lvlJc w:val="left"/>
      <w:lvlText w:val="2"/>
      <w:numFmt w:val="bullet"/>
      <w:start w:val="1"/>
    </w:lvl>
  </w:abstractNum>
  <w:abstractNum w:abstractNumId="48">
    <w:nsid w:val="12E685FB"/>
    <w:multiLevelType w:val="hybridMultilevel"/>
    <w:lvl w:ilvl="0">
      <w:lvlJc w:val="left"/>
      <w:lvlText w:val="3"/>
      <w:numFmt w:val="bullet"/>
      <w:start w:val="1"/>
    </w:lvl>
  </w:abstractNum>
  <w:abstractNum w:abstractNumId="49">
    <w:nsid w:val="70C6A529"/>
    <w:multiLevelType w:val="hybridMultilevel"/>
    <w:lvl w:ilvl="0">
      <w:lvlJc w:val="left"/>
      <w:lvlText w:val="4"/>
      <w:numFmt w:val="bullet"/>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5"/>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2019-12-20T06:26:28Z</dcterms:created>
  <dcterms:modified xsi:type="dcterms:W3CDTF">2019-12-20T06:26:28Z</dcterms:modified>
</cp:coreProperties>
</file>