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21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4"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WASHINGTON, D. C. 20549</w:t>
      </w:r>
    </w:p>
    <w:p>
      <w:pPr>
        <w:sectPr>
          <w:pgSz w:w="11900" w:h="16838" w:orient="portrait"/>
          <w:cols w:equalWidth="0" w:num="1">
            <w:col w:w="10219"/>
          </w:cols>
          <w:pgMar w:left="240" w:top="231" w:right="1440" w:bottom="1440" w:gutter="0" w:footer="0" w:header="0"/>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3" w:lineRule="exact"/>
        <w:rPr>
          <w:sz w:val="24"/>
          <w:szCs w:val="24"/>
          <w:color w:val="auto"/>
        </w:rPr>
      </w:pPr>
    </w:p>
    <w:p>
      <w:pPr>
        <w:sectPr>
          <w:pgSz w:w="11900" w:h="16838" w:orient="portrait"/>
          <w:cols w:equalWidth="0" w:num="2">
            <w:col w:w="280" w:space="460"/>
            <w:col w:w="9479"/>
          </w:cols>
          <w:pgMar w:left="240" w:top="231" w:right="1440" w:bottom="1440" w:gutter="0" w:footer="0" w:header="0"/>
          <w:type w:val="continuous"/>
        </w:sectPr>
      </w:pPr>
    </w:p>
    <w:p>
      <w:pPr>
        <w:jc w:val="center"/>
        <w:ind w:right="2879"/>
        <w:spacing w:after="0"/>
        <w:rPr>
          <w:sz w:val="20"/>
          <w:szCs w:val="20"/>
          <w:color w:val="auto"/>
        </w:rPr>
      </w:pPr>
      <w:r>
        <w:rPr>
          <w:rFonts w:ascii="Courier New" w:cs="Courier New" w:eastAsia="Courier New" w:hAnsi="Courier New"/>
          <w:sz w:val="14"/>
          <w:szCs w:val="14"/>
          <w:color w:val="auto"/>
        </w:rPr>
        <w:t>FOR THE QUARTERLY PERIOD ENDED MARCH 31, 2001</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31" w:right="1440"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3" w:lineRule="exact"/>
        <w:rPr>
          <w:sz w:val="24"/>
          <w:szCs w:val="24"/>
          <w:color w:val="auto"/>
        </w:rPr>
      </w:pPr>
    </w:p>
    <w:p>
      <w:pPr>
        <w:sectPr>
          <w:pgSz w:w="11900" w:h="16838" w:orient="portrait"/>
          <w:cols w:equalWidth="0" w:num="2">
            <w:col w:w="280" w:space="460"/>
            <w:col w:w="9479"/>
          </w:cols>
          <w:pgMar w:left="240" w:top="23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9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COMMISSION FILE NUMBER 1-13292</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1" w:right="1440" w:bottom="1440" w:gutter="0" w:footer="0" w:header="0"/>
          <w:type w:val="continuous"/>
        </w:sectPr>
      </w:pPr>
    </w:p>
    <w:p>
      <w:pPr>
        <w:spacing w:after="0" w:line="193"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31-1414921</w:t>
      </w:r>
    </w:p>
    <w:p>
      <w:pPr>
        <w:spacing w:after="0" w:line="4"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3360" w:space="720"/>
            <w:col w:w="6139"/>
          </w:cols>
          <w:pgMar w:left="240" w:top="231" w:right="1440" w:bottom="1440" w:gutter="0" w:footer="0" w:header="0"/>
          <w:type w:val="continuous"/>
        </w:sectPr>
      </w:pPr>
    </w:p>
    <w:p>
      <w:pPr>
        <w:ind w:left="1200"/>
        <w:spacing w:after="0"/>
        <w:rPr>
          <w:sz w:val="20"/>
          <w:szCs w:val="20"/>
          <w:color w:val="auto"/>
        </w:rPr>
      </w:pPr>
      <w:r>
        <w:rPr>
          <w:rFonts w:ascii="Courier New" w:cs="Courier New" w:eastAsia="Courier New" w:hAnsi="Courier New"/>
          <w:sz w:val="16"/>
          <w:szCs w:val="16"/>
          <w:color w:val="auto"/>
        </w:rPr>
        <w:t>41 SOUTH HIGH STREET, SUITE 3500, COLUMBUS, OHIO 43215</w:t>
      </w:r>
    </w:p>
    <w:p>
      <w:pPr>
        <w:ind w:left="1300"/>
        <w:spacing w:after="0" w:line="236" w:lineRule="auto"/>
        <w:rPr>
          <w:sz w:val="20"/>
          <w:szCs w:val="20"/>
          <w:color w:val="auto"/>
        </w:rPr>
      </w:pPr>
      <w:r>
        <w:rPr>
          <w:rFonts w:ascii="Courier New" w:cs="Courier New" w:eastAsia="Courier New" w:hAnsi="Courier New"/>
          <w:sz w:val="16"/>
          <w:szCs w:val="16"/>
          <w:color w:val="auto"/>
        </w:rPr>
        <w:t>(ADDRESS OF PRINCIPAL EXECUTIVE OFFICES) (ZIP CODE)</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(614) 719-5500</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No change</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(former name, former address and former fiscal year, if</w:t>
      </w:r>
    </w:p>
    <w:p>
      <w:pPr>
        <w:jc w:val="center"/>
        <w:ind w:right="2879"/>
        <w:spacing w:after="0" w:line="237" w:lineRule="auto"/>
        <w:rPr>
          <w:sz w:val="20"/>
          <w:szCs w:val="20"/>
          <w:color w:val="auto"/>
        </w:rPr>
      </w:pPr>
      <w:r>
        <w:rPr>
          <w:rFonts w:ascii="Courier New" w:cs="Courier New" w:eastAsia="Courier New" w:hAnsi="Courier New"/>
          <w:sz w:val="16"/>
          <w:szCs w:val="16"/>
          <w:color w:val="auto"/>
        </w:rPr>
        <w:t>changed since last report.)</w:t>
      </w:r>
    </w:p>
    <w:p>
      <w:pPr>
        <w:spacing w:after="0" w:line="183" w:lineRule="exact"/>
        <w:rPr>
          <w:sz w:val="24"/>
          <w:szCs w:val="24"/>
          <w:color w:val="auto"/>
        </w:rPr>
      </w:pPr>
    </w:p>
    <w:p>
      <w:pPr>
        <w:ind w:left="840"/>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ectPr>
          <w:pgSz w:w="11900" w:h="16838" w:orient="portrait"/>
          <w:cols w:equalWidth="0" w:num="1">
            <w:col w:w="10219"/>
          </w:cols>
          <w:pgMar w:left="240" w:top="231" w:right="1440" w:bottom="1440" w:gutter="0" w:footer="0" w:header="0"/>
          <w:type w:val="continuous"/>
        </w:sectPr>
      </w:pPr>
    </w:p>
    <w:p>
      <w:pPr>
        <w:spacing w:after="0" w:line="20" w:lineRule="exact"/>
        <w:rPr>
          <w:sz w:val="24"/>
          <w:szCs w:val="24"/>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5" w:lineRule="exact"/>
        <w:rPr>
          <w:sz w:val="24"/>
          <w:szCs w:val="24"/>
          <w:color w:val="auto"/>
        </w:rPr>
      </w:pPr>
    </w:p>
    <w:p>
      <w:pPr>
        <w:ind w:right="3339" w:firstLine="837"/>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1" w:right="1440" w:bottom="1440" w:gutter="0" w:footer="0" w:header="0"/>
          <w:type w:val="continuous"/>
        </w:sectPr>
      </w:pPr>
    </w:p>
    <w:p>
      <w:pPr>
        <w:spacing w:after="0" w:line="177" w:lineRule="exact"/>
        <w:rPr>
          <w:sz w:val="24"/>
          <w:szCs w:val="24"/>
          <w:color w:val="auto"/>
        </w:rPr>
      </w:pPr>
    </w:p>
    <w:p>
      <w:pPr>
        <w:ind w:left="1020"/>
        <w:spacing w:after="0"/>
        <w:rPr>
          <w:sz w:val="20"/>
          <w:szCs w:val="20"/>
          <w:color w:val="auto"/>
        </w:rPr>
      </w:pPr>
      <w:r>
        <w:rPr>
          <w:rFonts w:ascii="Courier New" w:cs="Courier New" w:eastAsia="Courier New" w:hAnsi="Courier New"/>
          <w:sz w:val="16"/>
          <w:szCs w:val="16"/>
          <w:color w:val="auto"/>
        </w:rPr>
        <w:t>28,597,387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May 7, 2001</w:t>
      </w:r>
    </w:p>
    <w:p>
      <w:pPr>
        <w:sectPr>
          <w:pgSz w:w="11900" w:h="16838" w:orient="portrait"/>
          <w:cols w:equalWidth="0" w:num="2">
            <w:col w:w="3840" w:space="720"/>
            <w:col w:w="5659"/>
          </w:cols>
          <w:pgMar w:left="240" w:top="231"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8640" w:type="dxa"/>
            <w:vAlign w:val="bottom"/>
          </w:tcPr>
          <w:p>
            <w:pPr>
              <w:ind w:left="840"/>
              <w:spacing w:after="0"/>
              <w:rPr>
                <w:sz w:val="20"/>
                <w:szCs w:val="20"/>
                <w:color w:val="auto"/>
              </w:rPr>
            </w:pPr>
            <w:r>
              <w:rPr>
                <w:rFonts w:ascii="Courier New" w:cs="Courier New" w:eastAsia="Courier New" w:hAnsi="Courier New"/>
                <w:sz w:val="16"/>
                <w:szCs w:val="16"/>
                <w:color w:val="auto"/>
              </w:rPr>
              <w:t>THE SCOTTS COMPANY AND SUBSIDIARIES</w:t>
            </w:r>
          </w:p>
        </w:tc>
        <w:tc>
          <w:tcPr>
            <w:tcW w:w="1040" w:type="dxa"/>
            <w:vAlign w:val="bottom"/>
          </w:tcPr>
          <w:p>
            <w:pPr>
              <w:spacing w:after="0"/>
              <w:rPr>
                <w:sz w:val="15"/>
                <w:szCs w:val="15"/>
                <w:color w:val="auto"/>
              </w:rPr>
            </w:pPr>
          </w:p>
        </w:tc>
      </w:tr>
      <w:tr>
        <w:trPr>
          <w:trHeight w:val="358"/>
        </w:trPr>
        <w:tc>
          <w:tcPr>
            <w:tcW w:w="1300" w:type="dxa"/>
            <w:vAlign w:val="bottom"/>
          </w:tcPr>
          <w:p>
            <w:pPr>
              <w:spacing w:after="0"/>
              <w:rPr>
                <w:sz w:val="24"/>
                <w:szCs w:val="24"/>
                <w:color w:val="auto"/>
              </w:rPr>
            </w:pPr>
          </w:p>
        </w:tc>
        <w:tc>
          <w:tcPr>
            <w:tcW w:w="8640" w:type="dxa"/>
            <w:vAlign w:val="bottom"/>
          </w:tcPr>
          <w:p>
            <w:pPr>
              <w:ind w:left="2240"/>
              <w:spacing w:after="0"/>
              <w:rPr>
                <w:sz w:val="20"/>
                <w:szCs w:val="20"/>
                <w:color w:val="auto"/>
              </w:rPr>
            </w:pPr>
            <w:r>
              <w:rPr>
                <w:rFonts w:ascii="Courier New" w:cs="Courier New" w:eastAsia="Courier New" w:hAnsi="Courier New"/>
                <w:sz w:val="16"/>
                <w:szCs w:val="16"/>
                <w:color w:val="auto"/>
              </w:rPr>
              <w:t>INDEX</w:t>
            </w:r>
          </w:p>
        </w:tc>
        <w:tc>
          <w:tcPr>
            <w:tcW w:w="1040" w:type="dxa"/>
            <w:vAlign w:val="bottom"/>
          </w:tcPr>
          <w:p>
            <w:pPr>
              <w:spacing w:after="0"/>
              <w:rPr>
                <w:sz w:val="24"/>
                <w:szCs w:val="24"/>
                <w:color w:val="auto"/>
              </w:rPr>
            </w:pPr>
          </w:p>
        </w:tc>
      </w:tr>
      <w:tr>
        <w:trPr>
          <w:trHeight w:val="716"/>
        </w:trPr>
        <w:tc>
          <w:tcPr>
            <w:tcW w:w="130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79"/>
        </w:trPr>
        <w:tc>
          <w:tcPr>
            <w:tcW w:w="130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994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040" w:type="dxa"/>
            <w:vAlign w:val="bottom"/>
          </w:tcPr>
          <w:p>
            <w:pPr>
              <w:spacing w:after="0"/>
              <w:rPr>
                <w:sz w:val="24"/>
                <w:szCs w:val="24"/>
                <w:color w:val="auto"/>
              </w:rPr>
            </w:pP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1040" w:type="dxa"/>
            <w:vAlign w:val="bottom"/>
          </w:tcPr>
          <w:p>
            <w:pPr>
              <w:spacing w:after="0"/>
              <w:rPr>
                <w:sz w:val="24"/>
                <w:szCs w:val="24"/>
                <w:color w:val="auto"/>
              </w:rPr>
            </w:pPr>
          </w:p>
        </w:tc>
      </w:tr>
      <w:tr>
        <w:trPr>
          <w:trHeight w:val="358"/>
        </w:trPr>
        <w:tc>
          <w:tcPr>
            <w:tcW w:w="1300" w:type="dxa"/>
            <w:vAlign w:val="bottom"/>
          </w:tcPr>
          <w:p>
            <w:pPr>
              <w:spacing w:after="0"/>
              <w:rPr>
                <w:sz w:val="24"/>
                <w:szCs w:val="24"/>
                <w:color w:val="auto"/>
              </w:rPr>
            </w:pP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Statements of Operations - Three and six month</w:t>
            </w:r>
          </w:p>
        </w:tc>
        <w:tc>
          <w:tcPr>
            <w:tcW w:w="104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8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periods ended March 31, 2001 and April 1, 2000...........................................</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1300" w:type="dxa"/>
            <w:vAlign w:val="bottom"/>
          </w:tcPr>
          <w:p>
            <w:pPr>
              <w:spacing w:after="0"/>
              <w:rPr>
                <w:sz w:val="24"/>
                <w:szCs w:val="24"/>
                <w:color w:val="auto"/>
              </w:rPr>
            </w:pP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Statements of Cash Flows - Six month periods</w:t>
            </w:r>
          </w:p>
        </w:tc>
        <w:tc>
          <w:tcPr>
            <w:tcW w:w="104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8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ended March 31, 2001 and April 1, 2000...................................................</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w:t>
            </w:r>
          </w:p>
        </w:tc>
      </w:tr>
      <w:tr>
        <w:trPr>
          <w:trHeight w:val="358"/>
        </w:trPr>
        <w:tc>
          <w:tcPr>
            <w:tcW w:w="1300" w:type="dxa"/>
            <w:vAlign w:val="bottom"/>
          </w:tcPr>
          <w:p>
            <w:pPr>
              <w:spacing w:after="0"/>
              <w:rPr>
                <w:sz w:val="24"/>
                <w:szCs w:val="24"/>
                <w:color w:val="auto"/>
              </w:rPr>
            </w:pP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Balance Sheets - March 31, 2001,</w:t>
            </w:r>
          </w:p>
        </w:tc>
        <w:tc>
          <w:tcPr>
            <w:tcW w:w="104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8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April 1, 2000 and September 30, 2000.....................................................</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w:t>
            </w:r>
          </w:p>
        </w:tc>
      </w:tr>
      <w:tr>
        <w:trPr>
          <w:trHeight w:val="358"/>
        </w:trPr>
        <w:tc>
          <w:tcPr>
            <w:tcW w:w="1300" w:type="dxa"/>
            <w:vAlign w:val="bottom"/>
          </w:tcPr>
          <w:p>
            <w:pPr>
              <w:spacing w:after="0"/>
              <w:rPr>
                <w:sz w:val="24"/>
                <w:szCs w:val="24"/>
                <w:color w:val="auto"/>
              </w:rPr>
            </w:pP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w w:val="99"/>
              </w:rPr>
              <w:t>Notes to Condensed, Consolidated Financial Statements ...................................</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 Analysis of Financial Condition and</w:t>
            </w:r>
          </w:p>
        </w:tc>
        <w:tc>
          <w:tcPr>
            <w:tcW w:w="104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8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Results of Operations....................................................................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w:t>
            </w:r>
          </w:p>
        </w:tc>
      </w:tr>
      <w:tr>
        <w:trPr>
          <w:trHeight w:val="358"/>
        </w:trPr>
        <w:tc>
          <w:tcPr>
            <w:tcW w:w="994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1040" w:type="dxa"/>
            <w:vAlign w:val="bottom"/>
          </w:tcPr>
          <w:p>
            <w:pPr>
              <w:spacing w:after="0"/>
              <w:rPr>
                <w:sz w:val="24"/>
                <w:szCs w:val="24"/>
                <w:color w:val="auto"/>
              </w:rPr>
            </w:pP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w w:val="99"/>
              </w:rPr>
              <w:t>Legal Proceedings........................................................................</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w w:val="99"/>
              </w:rPr>
              <w:t>Other Information........................................................................</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w w:val="99"/>
              </w:rPr>
              <w:t>Exhibits and Reports on Form 8-K.........................................................</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w:t>
            </w: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 Index</w:t>
            </w:r>
          </w:p>
        </w:tc>
        <w:tc>
          <w:tcPr>
            <w:tcW w:w="864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w:t>
            </w:r>
          </w:p>
        </w:tc>
      </w:tr>
      <w:tr>
        <w:trPr>
          <w:trHeight w:val="537"/>
        </w:trPr>
        <w:tc>
          <w:tcPr>
            <w:tcW w:w="1300" w:type="dxa"/>
            <w:vAlign w:val="bottom"/>
          </w:tcPr>
          <w:p>
            <w:pPr>
              <w:spacing w:after="0"/>
              <w:rPr>
                <w:sz w:val="24"/>
                <w:szCs w:val="24"/>
                <w:color w:val="auto"/>
              </w:rPr>
            </w:pPr>
          </w:p>
        </w:tc>
        <w:tc>
          <w:tcPr>
            <w:tcW w:w="8640" w:type="dxa"/>
            <w:vAlign w:val="bottom"/>
          </w:tcPr>
          <w:p>
            <w:pPr>
              <w:ind w:left="2320"/>
              <w:spacing w:after="0"/>
              <w:rPr>
                <w:sz w:val="20"/>
                <w:szCs w:val="20"/>
                <w:color w:val="auto"/>
              </w:rPr>
            </w:pPr>
            <w:r>
              <w:rPr>
                <w:rFonts w:ascii="Courier New" w:cs="Courier New" w:eastAsia="Courier New" w:hAnsi="Courier New"/>
                <w:sz w:val="16"/>
                <w:szCs w:val="16"/>
                <w:color w:val="auto"/>
              </w:rPr>
              <w:t>2</w:t>
            </w:r>
          </w:p>
        </w:tc>
        <w:tc>
          <w:tcPr>
            <w:tcW w:w="1040" w:type="dxa"/>
            <w:vAlign w:val="bottom"/>
          </w:tcPr>
          <w:p>
            <w:pPr>
              <w:spacing w:after="0"/>
              <w:rPr>
                <w:sz w:val="24"/>
                <w:szCs w:val="24"/>
                <w:color w:val="auto"/>
              </w:rPr>
            </w:pPr>
          </w:p>
        </w:tc>
      </w:tr>
    </w:tbl>
    <w:p>
      <w:pPr>
        <w:sectPr>
          <w:pgSz w:w="11900" w:h="16838" w:orient="portrait"/>
          <w:cols w:equalWidth="0" w:num="1">
            <w:col w:w="10980"/>
          </w:cols>
          <w:pgMar w:left="240" w:top="290" w:right="6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80" w:type="dxa"/>
            <w:vAlign w:val="bottom"/>
          </w:tcPr>
          <w:p>
            <w:pPr>
              <w:jc w:val="right"/>
              <w:ind w:right="6342"/>
              <w:spacing w:after="0"/>
              <w:rPr>
                <w:sz w:val="20"/>
                <w:szCs w:val="20"/>
                <w:color w:val="auto"/>
              </w:rPr>
            </w:pPr>
            <w:r>
              <w:rPr>
                <w:rFonts w:ascii="Courier New" w:cs="Courier New" w:eastAsia="Courier New" w:hAnsi="Courier New"/>
                <w:sz w:val="16"/>
                <w:szCs w:val="16"/>
                <w:color w:val="auto"/>
              </w:rPr>
              <w:t>3</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37"/>
        </w:trPr>
        <w:tc>
          <w:tcPr>
            <w:tcW w:w="67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7"/>
              </w:rPr>
              <w:t>PART I - FINANCIAL INFORMATION</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9"/>
        </w:trPr>
        <w:tc>
          <w:tcPr>
            <w:tcW w:w="6780" w:type="dxa"/>
            <w:vAlign w:val="bottom"/>
          </w:tcPr>
          <w:p>
            <w:pPr>
              <w:jc w:val="center"/>
              <w:ind w:left="582"/>
              <w:spacing w:after="0" w:line="179" w:lineRule="exact"/>
              <w:rPr>
                <w:sz w:val="20"/>
                <w:szCs w:val="20"/>
                <w:color w:val="auto"/>
              </w:rPr>
            </w:pPr>
            <w:r>
              <w:rPr>
                <w:rFonts w:ascii="Courier New" w:cs="Courier New" w:eastAsia="Courier New" w:hAnsi="Courier New"/>
                <w:sz w:val="16"/>
                <w:szCs w:val="16"/>
                <w:color w:val="auto"/>
                <w:w w:val="96"/>
              </w:rPr>
              <w:t>ITEM 1. FINANCIAL STATEMENTS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6780" w:type="dxa"/>
            <w:vAlign w:val="bottom"/>
          </w:tcPr>
          <w:p>
            <w:pPr>
              <w:jc w:val="center"/>
              <w:ind w:left="582"/>
              <w:spacing w:after="0" w:line="179" w:lineRule="exact"/>
              <w:rPr>
                <w:sz w:val="20"/>
                <w:szCs w:val="20"/>
                <w:color w:val="auto"/>
              </w:rPr>
            </w:pPr>
            <w:r>
              <w:rPr>
                <w:rFonts w:ascii="Courier New" w:cs="Courier New" w:eastAsia="Courier New" w:hAnsi="Courier New"/>
                <w:sz w:val="16"/>
                <w:szCs w:val="16"/>
                <w:color w:val="auto"/>
                <w:w w:val="97"/>
              </w:rPr>
              <w:t>THE SCOTTS COMPANY</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6780" w:type="dxa"/>
            <w:vAlign w:val="bottom"/>
          </w:tcPr>
          <w:p>
            <w:pPr>
              <w:jc w:val="center"/>
              <w:ind w:left="562"/>
              <w:spacing w:after="0" w:line="179" w:lineRule="exact"/>
              <w:rPr>
                <w:sz w:val="20"/>
                <w:szCs w:val="20"/>
                <w:color w:val="auto"/>
              </w:rPr>
            </w:pPr>
            <w:r>
              <w:rPr>
                <w:rFonts w:ascii="Courier New" w:cs="Courier New" w:eastAsia="Courier New" w:hAnsi="Courier New"/>
                <w:sz w:val="16"/>
                <w:szCs w:val="16"/>
                <w:color w:val="auto"/>
                <w:w w:val="96"/>
              </w:rPr>
              <w:t>CONDENSED, CONSOLIDATED STATEMENTS OF OPERATIONS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6780" w:type="dxa"/>
            <w:vAlign w:val="bottom"/>
          </w:tcPr>
          <w:p>
            <w:pPr>
              <w:jc w:val="right"/>
              <w:ind w:right="2422"/>
              <w:spacing w:after="0" w:line="179" w:lineRule="exact"/>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6780" w:type="dxa"/>
            <w:vAlign w:val="bottom"/>
          </w:tcPr>
          <w:p>
            <w:pPr>
              <w:jc w:val="center"/>
              <w:ind w:left="562"/>
              <w:spacing w:after="0" w:line="179" w:lineRule="exact"/>
              <w:rPr>
                <w:sz w:val="20"/>
                <w:szCs w:val="20"/>
                <w:color w:val="auto"/>
              </w:rPr>
            </w:pPr>
            <w:r>
              <w:rPr>
                <w:rFonts w:ascii="Courier New" w:cs="Courier New" w:eastAsia="Courier New" w:hAnsi="Courier New"/>
                <w:sz w:val="16"/>
                <w:szCs w:val="16"/>
                <w:color w:val="auto"/>
                <w:w w:val="97"/>
              </w:rPr>
              <w:t>(IN MILLIONS EXCEPT PER SHARE AMOUNTS)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16"/>
        </w:trPr>
        <w:tc>
          <w:tcPr>
            <w:tcW w:w="6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w:t>
            </w:r>
          </w:p>
        </w:tc>
        <w:tc>
          <w:tcPr>
            <w:tcW w:w="220" w:type="dxa"/>
            <w:vAlign w:val="bottom"/>
          </w:tcPr>
          <w:p>
            <w:pPr>
              <w:spacing w:after="0"/>
              <w:rPr>
                <w:sz w:val="24"/>
                <w:szCs w:val="24"/>
                <w:color w:val="auto"/>
              </w:rPr>
            </w:pPr>
          </w:p>
        </w:tc>
        <w:tc>
          <w:tcPr>
            <w:tcW w:w="204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6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w w:val="75"/>
              </w:rPr>
              <w:t>------------------</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3"/>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MARCH 31,</w:t>
            </w:r>
          </w:p>
        </w:tc>
        <w:tc>
          <w:tcPr>
            <w:tcW w:w="14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APRIL 1,</w:t>
            </w:r>
          </w:p>
        </w:tc>
        <w:tc>
          <w:tcPr>
            <w:tcW w:w="2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MARCH 31,</w:t>
            </w:r>
          </w:p>
        </w:tc>
        <w:tc>
          <w:tcPr>
            <w:tcW w:w="34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APRIL 1</w:t>
            </w:r>
          </w:p>
        </w:tc>
      </w:tr>
      <w:tr>
        <w:trPr>
          <w:trHeight w:val="179"/>
        </w:trPr>
        <w:tc>
          <w:tcPr>
            <w:tcW w:w="6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6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67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sales..............................................................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740.0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693.9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889.1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880.0</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420.9</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407.3</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535.4</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524.5</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Gross profit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319.1</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286.6</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353.7</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355.5</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16.6</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9.0</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16.5</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Costs associated with agency agreement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4.6</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9.1</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commission earned from agency agreement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12.0</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6.9</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68.2</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71.4</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80.8</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89.6</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89.0</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84.4</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164.7</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153.1</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Amortization of goodwill and other intangibles......................</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7.4</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14.2</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13.8</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Other expense (income), net ...........................................</w:t>
            </w:r>
          </w:p>
        </w:tc>
        <w:tc>
          <w:tcPr>
            <w:tcW w:w="38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(1.4)</w:t>
            </w:r>
          </w:p>
        </w:tc>
        <w:tc>
          <w:tcPr>
            <w:tcW w:w="14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w:t>
            </w:r>
          </w:p>
        </w:tc>
        <w:tc>
          <w:tcPr>
            <w:tcW w:w="2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from operations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167.9</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132.5</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103.9</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104.4</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26.1</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25.9</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47.4</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49.6</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before income taxes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141.8</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106.6</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56.5</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54.8</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57.0</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43.2</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22.9</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22.2</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84.8</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63.4</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33.6</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Payments to preferred shareholders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applicable to common shareholders...............................</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84.8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33.6</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26.2</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Basic earnings per share...............................................</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3.01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2.27</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1.19</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0.94</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Diluted earnings per share.............................................</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2.80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1.12</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0.88</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Common shares used in basic earnings per share calculation ............</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28.2</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27.9</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28.2</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28.0</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and potential common shares used in diluted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earnings per share calculation......................................</w:t>
            </w:r>
          </w:p>
        </w:tc>
        <w:tc>
          <w:tcPr>
            <w:tcW w:w="38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30.3</w:t>
            </w:r>
          </w:p>
        </w:tc>
        <w:tc>
          <w:tcPr>
            <w:tcW w:w="14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29.5</w:t>
            </w: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w:t>
            </w:r>
          </w:p>
        </w:tc>
        <w:tc>
          <w:tcPr>
            <w:tcW w:w="34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29.8</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290" w:right="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8180" w:type="dxa"/>
            <w:vAlign w:val="bottom"/>
          </w:tcPr>
          <w:p>
            <w:pPr>
              <w:jc w:val="right"/>
              <w:ind w:right="7742"/>
              <w:spacing w:after="0"/>
              <w:rPr>
                <w:sz w:val="20"/>
                <w:szCs w:val="20"/>
                <w:color w:val="auto"/>
              </w:rPr>
            </w:pPr>
            <w:r>
              <w:rPr>
                <w:rFonts w:ascii="Courier New" w:cs="Courier New" w:eastAsia="Courier New" w:hAnsi="Courier New"/>
                <w:sz w:val="16"/>
                <w:szCs w:val="16"/>
                <w:color w:val="auto"/>
              </w:rPr>
              <w:t>4</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7"/>
        </w:trPr>
        <w:tc>
          <w:tcPr>
            <w:tcW w:w="8180" w:type="dxa"/>
            <w:vAlign w:val="bottom"/>
          </w:tcPr>
          <w:p>
            <w:pPr>
              <w:jc w:val="right"/>
              <w:ind w:right="3542"/>
              <w:spacing w:after="0"/>
              <w:rPr>
                <w:sz w:val="20"/>
                <w:szCs w:val="20"/>
                <w:color w:val="auto"/>
              </w:rPr>
            </w:pPr>
            <w:r>
              <w:rPr>
                <w:rFonts w:ascii="Courier New" w:cs="Courier New" w:eastAsia="Courier New" w:hAnsi="Courier New"/>
                <w:sz w:val="16"/>
                <w:szCs w:val="16"/>
                <w:color w:val="auto"/>
              </w:rPr>
              <w:t>THE SCOTTS COMPANY</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8180" w:type="dxa"/>
            <w:vAlign w:val="bottom"/>
          </w:tcPr>
          <w:p>
            <w:pPr>
              <w:jc w:val="right"/>
              <w:ind w:right="2162"/>
              <w:spacing w:after="0" w:line="179" w:lineRule="exact"/>
              <w:rPr>
                <w:sz w:val="20"/>
                <w:szCs w:val="20"/>
                <w:color w:val="auto"/>
              </w:rPr>
            </w:pPr>
            <w:r>
              <w:rPr>
                <w:rFonts w:ascii="Courier New" w:cs="Courier New" w:eastAsia="Courier New" w:hAnsi="Courier New"/>
                <w:sz w:val="16"/>
                <w:szCs w:val="16"/>
                <w:color w:val="auto"/>
              </w:rPr>
              <w:t>CONDENSED, CONSOLIDATED STATEMENTS OF CASH FLOWS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180" w:type="dxa"/>
            <w:vAlign w:val="bottom"/>
          </w:tcPr>
          <w:p>
            <w:pPr>
              <w:jc w:val="right"/>
              <w:ind w:right="3822"/>
              <w:spacing w:after="0" w:line="179" w:lineRule="exact"/>
              <w:rPr>
                <w:sz w:val="20"/>
                <w:szCs w:val="20"/>
                <w:color w:val="auto"/>
              </w:rPr>
            </w:pPr>
            <w:r>
              <w:rPr>
                <w:rFonts w:ascii="Courier New" w:cs="Courier New" w:eastAsia="Courier New" w:hAnsi="Courier New"/>
                <w:sz w:val="16"/>
                <w:szCs w:val="16"/>
                <w:color w:val="auto"/>
              </w:rPr>
              <w:t>(UNAUDITED)</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180" w:type="dxa"/>
            <w:vAlign w:val="bottom"/>
          </w:tcPr>
          <w:p>
            <w:pPr>
              <w:jc w:val="right"/>
              <w:ind w:right="3742"/>
              <w:spacing w:after="0" w:line="179" w:lineRule="exact"/>
              <w:rPr>
                <w:sz w:val="20"/>
                <w:szCs w:val="20"/>
                <w:color w:val="auto"/>
              </w:rPr>
            </w:pPr>
            <w:r>
              <w:rPr>
                <w:rFonts w:ascii="Courier New" w:cs="Courier New" w:eastAsia="Courier New" w:hAnsi="Courier New"/>
                <w:sz w:val="16"/>
                <w:szCs w:val="16"/>
                <w:color w:val="auto"/>
              </w:rPr>
              <w:t>(IN MILLIONS)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6"/>
        </w:trPr>
        <w:tc>
          <w:tcPr>
            <w:tcW w:w="8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8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20" w:type="dxa"/>
            <w:vAlign w:val="bottom"/>
            <w:gridSpan w:val="3"/>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MARCH 31,</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APRIL 1,</w:t>
            </w:r>
          </w:p>
        </w:tc>
      </w:tr>
      <w:tr>
        <w:trPr>
          <w:trHeight w:val="179"/>
        </w:trPr>
        <w:tc>
          <w:tcPr>
            <w:tcW w:w="8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8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1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81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33.6</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w:t>
            </w:r>
          </w:p>
        </w:tc>
      </w:tr>
      <w:tr>
        <w:trPr>
          <w:trHeight w:val="179"/>
        </w:trPr>
        <w:tc>
          <w:tcPr>
            <w:tcW w:w="818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reconcile net income to net cash used in operating activities: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31.9</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change in certain components of working capital...............................</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(364.4)</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(271.4)</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change in other assets and liabilities and other adjustments..................</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cash used in operating activities..........................................</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(306.8)</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(214.3)</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(20.1)</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Investment in acquired businesses, net of cash acquired ..........................</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Other, net........................................................................</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(38.9)</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borrowings under revolving and bank lines of credit ..........................</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376.3</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286.5</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260.0</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(304.3)</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(23.9)</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Cash received from the exercise of stock options..................................</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Other, net .......................................................................</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330.6</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234.4</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Net decrease in cash.................................................................</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(15.2)</w:t>
            </w:r>
          </w:p>
        </w:tc>
        <w:tc>
          <w:tcPr>
            <w:tcW w:w="3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period ....................................</w:t>
            </w:r>
          </w:p>
        </w:tc>
        <w:tc>
          <w:tcPr>
            <w:tcW w:w="4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33.0</w:t>
            </w:r>
          </w:p>
        </w:tc>
        <w:tc>
          <w:tcPr>
            <w:tcW w:w="3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Cash and cash equivalents at end of period...........................................</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17.8</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29.7</w:t>
            </w:r>
          </w:p>
        </w:tc>
      </w:tr>
      <w:tr>
        <w:trPr>
          <w:trHeight w:val="179"/>
        </w:trPr>
        <w:tc>
          <w:tcPr>
            <w:tcW w:w="8180" w:type="dxa"/>
            <w:vAlign w:val="bottom"/>
          </w:tcPr>
          <w:p>
            <w:pPr>
              <w:spacing w:after="0"/>
              <w:rPr>
                <w:sz w:val="15"/>
                <w:szCs w:val="15"/>
                <w:color w:val="auto"/>
              </w:rPr>
            </w:pPr>
          </w:p>
        </w:tc>
        <w:tc>
          <w:tcPr>
            <w:tcW w:w="15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290"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77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7"/>
        </w:trPr>
        <w:tc>
          <w:tcPr>
            <w:tcW w:w="7760" w:type="dxa"/>
            <w:vAlign w:val="bottom"/>
          </w:tcPr>
          <w:p>
            <w:pPr>
              <w:jc w:val="right"/>
              <w:ind w:right="3122"/>
              <w:spacing w:after="0"/>
              <w:rPr>
                <w:sz w:val="20"/>
                <w:szCs w:val="20"/>
                <w:color w:val="auto"/>
              </w:rPr>
            </w:pPr>
            <w:r>
              <w:rPr>
                <w:rFonts w:ascii="Courier New" w:cs="Courier New" w:eastAsia="Courier New" w:hAnsi="Courier New"/>
                <w:sz w:val="16"/>
                <w:szCs w:val="16"/>
                <w:color w:val="auto"/>
              </w:rPr>
              <w:t>THE SCOTTS COMPANY</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760" w:type="dxa"/>
            <w:vAlign w:val="bottom"/>
          </w:tcPr>
          <w:p>
            <w:pPr>
              <w:jc w:val="right"/>
              <w:ind w:right="2202"/>
              <w:spacing w:after="0" w:line="179" w:lineRule="exact"/>
              <w:rPr>
                <w:sz w:val="20"/>
                <w:szCs w:val="20"/>
                <w:color w:val="auto"/>
              </w:rPr>
            </w:pPr>
            <w:r>
              <w:rPr>
                <w:rFonts w:ascii="Courier New" w:cs="Courier New" w:eastAsia="Courier New" w:hAnsi="Courier New"/>
                <w:sz w:val="16"/>
                <w:szCs w:val="16"/>
                <w:color w:val="auto"/>
              </w:rPr>
              <w:t>CONDENSED, CONSOLIDATED BALANCE SHEETS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jc w:val="right"/>
              <w:ind w:right="2202"/>
              <w:spacing w:after="0" w:line="179" w:lineRule="exact"/>
              <w:rPr>
                <w:sz w:val="20"/>
                <w:szCs w:val="20"/>
                <w:color w:val="auto"/>
              </w:rPr>
            </w:pPr>
            <w:r>
              <w:rPr>
                <w:rFonts w:ascii="Courier New" w:cs="Courier New" w:eastAsia="Courier New" w:hAnsi="Courier New"/>
                <w:sz w:val="16"/>
                <w:szCs w:val="16"/>
                <w:color w:val="auto"/>
              </w:rPr>
              <w:t>(IN MILLIONS, EXCEPT PER SHARE AMOUNTS)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6"/>
        </w:trPr>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UNAUDITED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MARCH 31,</w:t>
            </w:r>
          </w:p>
        </w:tc>
        <w:tc>
          <w:tcPr>
            <w:tcW w:w="2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APRIL 1,</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SEPTEMBER 30,</w:t>
            </w:r>
          </w:p>
        </w:tc>
      </w:tr>
      <w:tr>
        <w:trPr>
          <w:trHeight w:val="179"/>
        </w:trPr>
        <w:tc>
          <w:tcPr>
            <w:tcW w:w="7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2001</w:t>
            </w:r>
          </w:p>
        </w:tc>
        <w:tc>
          <w:tcPr>
            <w:tcW w:w="20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7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17.8</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29.7</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33.0</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less allowances of $18.9,</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$14.7 and $11.7, respectively.............................................</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693.0</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649.3</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216.0</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Inventories, net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402.0</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366.3</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307.5</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Current deferred tax asset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25.1</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Prepaid and other assets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67.1</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63.6</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62.3</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Total current assets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1,207.5</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1,135.4</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643.9</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Property, plant and equipment, net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297.0</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258.1</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290.5</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Intangible assets, net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770.0</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796.2</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743.1</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Other assets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72.4</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80.2</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83.9</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Total assets .............................................................</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2,346.9</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2,269.9</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1,761.4</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Short-term debt .............................................................</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132.5</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183.2</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49.4</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Accounts payable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303.7</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281.7</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153.0</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Accrued liabilities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266.0</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287.6</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207.4</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Total current liabilities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702.2</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752.5</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409.8</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Long-term debt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1,075.7</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1,014.7</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813.4</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Other liabilities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61.6</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60.3</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Total liabilities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1,827.7</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1,828.8</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1,283.5</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Class A Convertible Preferred Stock, no par value ...........................</w:t>
            </w:r>
          </w:p>
        </w:tc>
        <w:tc>
          <w:tcPr>
            <w:tcW w:w="140" w:type="dxa"/>
            <w:vAlign w:val="bottom"/>
          </w:tcPr>
          <w:p>
            <w:pPr>
              <w:spacing w:after="0"/>
              <w:rPr>
                <w:sz w:val="15"/>
                <w:szCs w:val="15"/>
                <w:color w:val="auto"/>
              </w:rPr>
            </w:pP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7"/>
              </w:rPr>
              <w:t>Common shares, no par value per share, $.01 stated value per share, issued 31.3,</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31.4 and 31.3, respectively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Capital in excess of par value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390.6</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388.1</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389.3</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Retained earnings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230.4</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156.3</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196.8</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Treasury stock, 2.9, 3.5, and 3.4 shares, respectively, at cost .............</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(74.6)</w:t>
            </w:r>
          </w:p>
        </w:tc>
        <w:tc>
          <w:tcPr>
            <w:tcW w:w="20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(85.1)</w:t>
            </w:r>
          </w:p>
        </w:tc>
        <w:tc>
          <w:tcPr>
            <w:tcW w:w="3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(83.5)</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Accumulated other comprehensive expense .....................................</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(27.5)</w:t>
            </w:r>
          </w:p>
        </w:tc>
        <w:tc>
          <w:tcPr>
            <w:tcW w:w="20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(18.5)</w:t>
            </w:r>
          </w:p>
        </w:tc>
        <w:tc>
          <w:tcPr>
            <w:tcW w:w="3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Total shareholders' equity .............................................</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519.2</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441.1</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477.9</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Total liabilities and shareholders' equity .....................................</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2,346.9</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2,269.9</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1,761.4</w:t>
            </w:r>
          </w:p>
        </w:tc>
      </w:tr>
      <w:tr>
        <w:trPr>
          <w:trHeight w:val="179"/>
        </w:trPr>
        <w:tc>
          <w:tcPr>
            <w:tcW w:w="776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340"/>
          </w:cols>
          <w:pgMar w:left="240" w:top="290" w:right="319"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spacing w:after="0" w:line="355"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83" w:lineRule="exact"/>
        <w:rPr>
          <w:sz w:val="20"/>
          <w:szCs w:val="20"/>
          <w:color w:val="auto"/>
        </w:rPr>
      </w:pPr>
    </w:p>
    <w:p>
      <w:pPr>
        <w:ind w:left="745" w:right="5579" w:hanging="745"/>
        <w:spacing w:after="0" w:line="465" w:lineRule="auto"/>
        <w:tabs>
          <w:tab w:leader="none" w:pos="74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13" w:lineRule="exact"/>
        <w:rPr>
          <w:rFonts w:ascii="Courier New" w:cs="Courier New" w:eastAsia="Courier New" w:hAnsi="Courier New"/>
          <w:sz w:val="16"/>
          <w:szCs w:val="16"/>
          <w:color w:val="auto"/>
        </w:rPr>
      </w:pPr>
    </w:p>
    <w:p>
      <w:pPr>
        <w:ind w:left="7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33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82" w:lineRule="exact"/>
        <w:rPr>
          <w:rFonts w:ascii="Courier New" w:cs="Courier New" w:eastAsia="Courier New" w:hAnsi="Courier New"/>
          <w:sz w:val="16"/>
          <w:szCs w:val="16"/>
          <w:color w:val="auto"/>
        </w:rPr>
      </w:pPr>
    </w:p>
    <w:p>
      <w:pPr>
        <w:ind w:left="745" w:right="277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condensed, consolidated financial statements include the accounts of The Scotts Company and its subsidiaries, (collectively, the "Company"). All material intercompany transactions have been eliminated.</w:t>
      </w:r>
    </w:p>
    <w:p>
      <w:pPr>
        <w:spacing w:after="0" w:line="154" w:lineRule="exact"/>
        <w:rPr>
          <w:rFonts w:ascii="Courier New" w:cs="Courier New" w:eastAsia="Courier New" w:hAnsi="Courier New"/>
          <w:sz w:val="16"/>
          <w:szCs w:val="16"/>
          <w:color w:val="auto"/>
        </w:rPr>
      </w:pPr>
    </w:p>
    <w:p>
      <w:pPr>
        <w:ind w:left="745"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condensed, consolidated balance sheets as of March 31, 2001 and April 1, 2000, and the related condensed, consolidated statements of operations for the three and six month periods then ended and of cash flows for the six month period then ended,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2000 Annual Report on Form 10-K.</w:t>
      </w:r>
    </w:p>
    <w:p>
      <w:pPr>
        <w:spacing w:after="0" w:line="333"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82" w:lineRule="exact"/>
        <w:rPr>
          <w:rFonts w:ascii="Courier New" w:cs="Courier New" w:eastAsia="Courier New" w:hAnsi="Courier New"/>
          <w:sz w:val="16"/>
          <w:szCs w:val="16"/>
          <w:color w:val="auto"/>
        </w:rPr>
      </w:pPr>
    </w:p>
    <w:p>
      <w:pPr>
        <w:ind w:left="7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157"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82" w:lineRule="exact"/>
        <w:rPr>
          <w:rFonts w:ascii="Courier New" w:cs="Courier New" w:eastAsia="Courier New" w:hAnsi="Courier New"/>
          <w:sz w:val="16"/>
          <w:szCs w:val="16"/>
          <w:color w:val="auto"/>
        </w:rPr>
      </w:pPr>
    </w:p>
    <w:p>
      <w:pPr>
        <w:ind w:left="7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180"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INSTRUMENTS</w:t>
      </w:r>
    </w:p>
    <w:p>
      <w:pPr>
        <w:spacing w:after="0" w:line="182" w:lineRule="exact"/>
        <w:rPr>
          <w:rFonts w:ascii="Courier New" w:cs="Courier New" w:eastAsia="Courier New" w:hAnsi="Courier New"/>
          <w:sz w:val="16"/>
          <w:szCs w:val="16"/>
          <w:color w:val="auto"/>
        </w:rPr>
      </w:pPr>
    </w:p>
    <w:p>
      <w:pPr>
        <w:ind w:left="745"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290" w:right="1440"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745" w:right="2779"/>
        <w:spacing w:after="0" w:line="271" w:lineRule="auto"/>
        <w:rPr>
          <w:sz w:val="20"/>
          <w:szCs w:val="20"/>
          <w:color w:val="auto"/>
        </w:rPr>
      </w:pPr>
      <w:r>
        <w:rPr>
          <w:rFonts w:ascii="Courier New" w:cs="Courier New" w:eastAsia="Courier New" w:hAnsi="Courier New"/>
          <w:sz w:val="14"/>
          <w:szCs w:val="14"/>
          <w:color w:val="auto"/>
        </w:rPr>
        <w:t>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200" w:lineRule="exact"/>
        <w:rPr>
          <w:sz w:val="20"/>
          <w:szCs w:val="20"/>
          <w:color w:val="auto"/>
        </w:rPr>
      </w:pPr>
    </w:p>
    <w:p>
      <w:pPr>
        <w:spacing w:after="0" w:line="332" w:lineRule="exact"/>
        <w:rPr>
          <w:sz w:val="20"/>
          <w:szCs w:val="20"/>
          <w:color w:val="auto"/>
        </w:rPr>
      </w:pPr>
    </w:p>
    <w:p>
      <w:pPr>
        <w:ind w:left="745" w:right="2779"/>
        <w:spacing w:after="0" w:line="273" w:lineRule="auto"/>
        <w:rPr>
          <w:sz w:val="20"/>
          <w:szCs w:val="20"/>
          <w:color w:val="auto"/>
        </w:rPr>
      </w:pPr>
      <w:r>
        <w:rPr>
          <w:rFonts w:ascii="Courier New" w:cs="Courier New" w:eastAsia="Courier New" w:hAnsi="Courier New"/>
          <w:sz w:val="14"/>
          <w:szCs w:val="14"/>
          <w:color w:val="auto"/>
        </w:rPr>
        <w:t>To manage certain of its cash flow exposures, the Company has entered into forward exchange contacts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Gains or losses resulting from valuing these swaps at fair value are recorded in other comprehensive income.</w:t>
      </w:r>
    </w:p>
    <w:p>
      <w:pPr>
        <w:spacing w:after="0" w:line="343" w:lineRule="exact"/>
        <w:rPr>
          <w:sz w:val="20"/>
          <w:szCs w:val="20"/>
          <w:color w:val="auto"/>
        </w:rPr>
      </w:pPr>
    </w:p>
    <w:p>
      <w:pPr>
        <w:ind w:left="745" w:right="2779"/>
        <w:spacing w:after="0" w:line="283" w:lineRule="auto"/>
        <w:rPr>
          <w:sz w:val="20"/>
          <w:szCs w:val="20"/>
          <w:color w:val="auto"/>
        </w:rPr>
      </w:pPr>
      <w:r>
        <w:rPr>
          <w:rFonts w:ascii="Courier New" w:cs="Courier New" w:eastAsia="Courier New" w:hAnsi="Courier New"/>
          <w:sz w:val="14"/>
          <w:szCs w:val="14"/>
          <w:color w:val="auto"/>
        </w:rPr>
        <w:t>The Company adopted FAS 133 as of October 2000. Since adoption, there were no gains or losses recognized in earnings for hedge ineffectiveness or due to excluding a portion of the value from measuring effectiveness.</w:t>
      </w:r>
    </w:p>
    <w:p>
      <w:pPr>
        <w:spacing w:after="0" w:line="148"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left="745" w:right="2779"/>
        <w:spacing w:after="0" w:line="27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335"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745" w:right="3159"/>
        <w:spacing w:after="0" w:line="234"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2001 classifications.</w:t>
      </w:r>
    </w:p>
    <w:p>
      <w:pPr>
        <w:spacing w:after="0" w:line="177" w:lineRule="exact"/>
        <w:rPr>
          <w:sz w:val="20"/>
          <w:szCs w:val="20"/>
          <w:color w:val="auto"/>
        </w:rPr>
      </w:pPr>
    </w:p>
    <w:p>
      <w:pPr>
        <w:ind w:left="745" w:hanging="745"/>
        <w:spacing w:after="0"/>
        <w:tabs>
          <w:tab w:leader="none" w:pos="74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182" w:lineRule="exact"/>
        <w:rPr>
          <w:rFonts w:ascii="Courier New" w:cs="Courier New" w:eastAsia="Courier New" w:hAnsi="Courier New"/>
          <w:sz w:val="16"/>
          <w:szCs w:val="16"/>
          <w:color w:val="auto"/>
        </w:rPr>
      </w:pPr>
    </w:p>
    <w:p>
      <w:pPr>
        <w:ind w:left="7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w:t>
      </w:r>
    </w:p>
    <w:p>
      <w:pPr>
        <w:sectPr>
          <w:pgSz w:w="11900" w:h="16838" w:orient="portrait"/>
          <w:cols w:equalWidth="0" w:num="1">
            <w:col w:w="10224"/>
          </w:cols>
          <w:pgMar w:left="235" w:top="290" w:right="1440" w:bottom="1440" w:gutter="0" w:footer="0" w:header="0"/>
        </w:sectPr>
      </w:pPr>
    </w:p>
    <w:p>
      <w:pPr>
        <w:spacing w:after="0" w:line="18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290"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90"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86" w:lineRule="exact"/>
        <w:rPr>
          <w:sz w:val="20"/>
          <w:szCs w:val="20"/>
          <w:color w:val="auto"/>
        </w:rPr>
      </w:pPr>
    </w:p>
    <w:p>
      <w:pPr>
        <w:ind w:left="460" w:right="2779"/>
        <w:spacing w:after="0" w:line="272"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management's assessment and consultations with the Company's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economic penalty, and avoid paying the unpaid deferred amounts. The Company has concluded that, should the Company elect to terminate the agreement at any balance sheet date, it will not incur significant economic consequences as a result of such action.</w:t>
      </w:r>
    </w:p>
    <w:p>
      <w:pPr>
        <w:spacing w:after="0" w:line="343" w:lineRule="exact"/>
        <w:rPr>
          <w:sz w:val="20"/>
          <w:szCs w:val="20"/>
          <w:color w:val="auto"/>
        </w:rPr>
      </w:pPr>
    </w:p>
    <w:p>
      <w:pPr>
        <w:ind w:left="460" w:right="2779"/>
        <w:spacing w:after="0" w:line="274" w:lineRule="auto"/>
        <w:rPr>
          <w:sz w:val="20"/>
          <w:szCs w:val="20"/>
          <w:color w:val="auto"/>
        </w:rPr>
      </w:pPr>
      <w:r>
        <w:rPr>
          <w:rFonts w:ascii="Courier New" w:cs="Courier New" w:eastAsia="Courier New" w:hAnsi="Courier New"/>
          <w:sz w:val="14"/>
          <w:szCs w:val="14"/>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64" w:lineRule="exact"/>
        <w:rPr>
          <w:sz w:val="20"/>
          <w:szCs w:val="20"/>
          <w:color w:val="auto"/>
        </w:rPr>
      </w:pPr>
    </w:p>
    <w:p>
      <w:pPr>
        <w:ind w:left="460" w:right="2879"/>
        <w:spacing w:after="0" w:line="236" w:lineRule="auto"/>
        <w:rPr>
          <w:sz w:val="20"/>
          <w:szCs w:val="20"/>
          <w:color w:val="auto"/>
        </w:rPr>
      </w:pPr>
      <w:r>
        <w:rPr>
          <w:rFonts w:ascii="Courier New" w:cs="Courier New" w:eastAsia="Courier New" w:hAnsi="Courier New"/>
          <w:sz w:val="16"/>
          <w:szCs w:val="16"/>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March 31, 2001, contribution payments and related per annum charges of approximately $42.1 million had been deferred under the agreement. This amount is considered a contingent obligation and has not been reflected in the financial statements as of and for the three and six months then ended.</w:t>
      </w:r>
    </w:p>
    <w:p>
      <w:pPr>
        <w:spacing w:after="0" w:line="186" w:lineRule="exact"/>
        <w:rPr>
          <w:sz w:val="20"/>
          <w:szCs w:val="20"/>
          <w:color w:val="auto"/>
        </w:rPr>
      </w:pPr>
    </w:p>
    <w:p>
      <w:pPr>
        <w:ind w:left="460" w:right="2879"/>
        <w:spacing w:after="0" w:line="235"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183" w:lineRule="exact"/>
        <w:rPr>
          <w:sz w:val="20"/>
          <w:szCs w:val="20"/>
          <w:color w:val="auto"/>
        </w:rPr>
      </w:pPr>
    </w:p>
    <w:p>
      <w:pPr>
        <w:ind w:left="460" w:right="2959"/>
        <w:spacing w:after="0" w:line="273"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Roundup(R) business. The agreement provides the Company with the right to terminate the agreement in certain circumstances including an event of default by Monsanto or the sale of the Roundup(R) business. Unless Monsanto terminates the</w:t>
      </w:r>
    </w:p>
    <w:p>
      <w:pPr>
        <w:sectPr>
          <w:pgSz w:w="11900" w:h="16838" w:orient="portrait"/>
          <w:cols w:equalWidth="0" w:num="1">
            <w:col w:w="9939"/>
          </w:cols>
          <w:pgMar w:left="520" w:top="290" w:right="1440" w:bottom="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90" w:right="1440" w:bottom="59"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745" w:right="4080"/>
        <w:spacing w:after="0" w:line="236" w:lineRule="auto"/>
        <w:rPr>
          <w:sz w:val="20"/>
          <w:szCs w:val="20"/>
          <w:color w:val="auto"/>
        </w:rPr>
      </w:pPr>
      <w:r>
        <w:rPr>
          <w:rFonts w:ascii="Courier New" w:cs="Courier New" w:eastAsia="Courier New" w:hAnsi="Courier New"/>
          <w:sz w:val="16"/>
          <w:szCs w:val="16"/>
          <w:color w:val="auto"/>
        </w:rPr>
        <w:t>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83" w:lineRule="exact"/>
        <w:rPr>
          <w:sz w:val="20"/>
          <w:szCs w:val="20"/>
          <w:color w:val="auto"/>
        </w:rPr>
      </w:pPr>
    </w:p>
    <w:p>
      <w:pPr>
        <w:ind w:left="745" w:right="3900"/>
        <w:spacing w:after="0" w:line="236"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84" w:lineRule="exact"/>
        <w:rPr>
          <w:sz w:val="20"/>
          <w:szCs w:val="20"/>
          <w:color w:val="auto"/>
        </w:rPr>
      </w:pPr>
    </w:p>
    <w:p>
      <w:pPr>
        <w:ind w:left="745" w:right="3900"/>
        <w:spacing w:after="0" w:line="235" w:lineRule="auto"/>
        <w:rPr>
          <w:sz w:val="20"/>
          <w:szCs w:val="20"/>
          <w:color w:val="auto"/>
        </w:rPr>
      </w:pPr>
      <w:r>
        <w:rPr>
          <w:rFonts w:ascii="Courier New" w:cs="Courier New" w:eastAsia="Courier New" w:hAnsi="Courier New"/>
          <w:sz w:val="16"/>
          <w:szCs w:val="16"/>
          <w:color w:val="auto"/>
        </w:rPr>
        <w:t>In accordance with SEC Staff Accounting Bulletin No. 101, "Revenue Recognition in Financial Statements", the Company will not recognize commission income until actual Roundup EBIT reaches the first commission threshold for that year. The annual contribution payment, if any, is recognized ratably throughout the year.</w:t>
      </w:r>
    </w:p>
    <w:p>
      <w:pPr>
        <w:spacing w:after="0" w:line="180" w:lineRule="exact"/>
        <w:rPr>
          <w:sz w:val="20"/>
          <w:szCs w:val="20"/>
          <w:color w:val="auto"/>
        </w:rPr>
      </w:pPr>
    </w:p>
    <w:p>
      <w:pPr>
        <w:ind w:left="745" w:hanging="745"/>
        <w:spacing w:after="0"/>
        <w:tabs>
          <w:tab w:leader="none" w:pos="7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82" w:lineRule="exact"/>
        <w:rPr>
          <w:rFonts w:ascii="Courier New" w:cs="Courier New" w:eastAsia="Courier New" w:hAnsi="Courier New"/>
          <w:sz w:val="16"/>
          <w:szCs w:val="16"/>
          <w:color w:val="auto"/>
        </w:rPr>
      </w:pPr>
    </w:p>
    <w:p>
      <w:pPr>
        <w:ind w:left="745" w:right="4000"/>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On January 1, 2001, the Company acquired the Substral(R) brand and consumer plant care business from Henkel KgaA. Substral is a leading consumer fertilizer brand in many European countries including Germany, Austria, Belgium, France and the Nordics. Under the terms of the Asset Purchase Agreement, the Company acquired specified working capital and intangible assets associated with the Substral business. The purchase price will be determined based on the value of the working capital assets acquired and the performance of the business for the period from June 15, 2000 to December 31, 2000. Management estimates that the final purchase price will be approximately $40-$45 million. On December 29, 2000 the Company advanced $6.9 million to Henkel KgaA toward the Substral purchase price.</w:t>
      </w: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ind w:left="745" w:hanging="745"/>
        <w:spacing w:after="0"/>
        <w:tabs>
          <w:tab w:leader="none" w:pos="7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ind w:left="5" w:right="4080"/>
        <w:spacing w:after="0" w:line="295" w:lineRule="auto"/>
        <w:rPr>
          <w:sz w:val="20"/>
          <w:szCs w:val="20"/>
          <w:color w:val="auto"/>
        </w:rPr>
      </w:pPr>
      <w:r>
        <w:rPr>
          <w:rFonts w:ascii="Courier New" w:cs="Courier New" w:eastAsia="Courier New" w:hAnsi="Courier New"/>
          <w:sz w:val="14"/>
          <w:szCs w:val="14"/>
          <w:color w:val="auto"/>
        </w:rPr>
        <w:t>Inventories, net of provisions for slow moving and obsolete inventory of $21.6 million, $27.8 million, and $20.1 million, respectively, consisted of:</w:t>
      </w:r>
    </w:p>
    <w:p>
      <w:pPr>
        <w:spacing w:after="0" w:line="200" w:lineRule="exact"/>
        <w:rPr>
          <w:sz w:val="20"/>
          <w:szCs w:val="20"/>
          <w:color w:val="auto"/>
        </w:rPr>
      </w:pPr>
    </w:p>
    <w:p>
      <w:pPr>
        <w:spacing w:after="0" w:line="29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4"/>
              </w:rPr>
              <w:t>MARCH 31,</w:t>
            </w:r>
          </w:p>
        </w:tc>
        <w:tc>
          <w:tcPr>
            <w:tcW w:w="280" w:type="dxa"/>
            <w:vAlign w:val="bottom"/>
          </w:tcPr>
          <w:p>
            <w:pPr>
              <w:spacing w:after="0"/>
              <w:rPr>
                <w:sz w:val="15"/>
                <w:szCs w:val="15"/>
                <w:color w:val="auto"/>
              </w:rPr>
            </w:pP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APRIL 1,</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120" w:type="dxa"/>
            <w:vAlign w:val="bottom"/>
          </w:tcPr>
          <w:p>
            <w:pPr>
              <w:spacing w:after="0"/>
              <w:rPr>
                <w:sz w:val="20"/>
                <w:szCs w:val="20"/>
                <w:color w:val="auto"/>
              </w:rPr>
            </w:pPr>
            <w:r>
              <w:rPr>
                <w:rFonts w:ascii="Courier New" w:cs="Courier New" w:eastAsia="Courier New" w:hAnsi="Courier New"/>
                <w:sz w:val="16"/>
                <w:szCs w:val="16"/>
                <w:color w:val="auto"/>
                <w:w w:val="99"/>
              </w:rPr>
              <w:t>Finished goods............................................................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312.2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281.7</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232.9</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Raw materials.............................................................</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89.1</w:t>
            </w:r>
          </w:p>
        </w:tc>
        <w:tc>
          <w:tcPr>
            <w:tcW w:w="2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83.6</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73.7</w:t>
            </w:r>
          </w:p>
        </w:tc>
      </w:tr>
      <w:tr>
        <w:trPr>
          <w:trHeight w:val="179"/>
        </w:trPr>
        <w:tc>
          <w:tcPr>
            <w:tcW w:w="712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FIFO cost.................................................................</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401.3</w:t>
            </w:r>
          </w:p>
        </w:tc>
        <w:tc>
          <w:tcPr>
            <w:tcW w:w="2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365.3</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306.6</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LIFO reserve..............................................................</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0.7</w:t>
            </w:r>
          </w:p>
        </w:tc>
        <w:tc>
          <w:tcPr>
            <w:tcW w:w="2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712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Total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402.0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366.3</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307.5</w:t>
            </w:r>
          </w:p>
        </w:tc>
      </w:tr>
      <w:tr>
        <w:trPr>
          <w:trHeight w:val="179"/>
        </w:trPr>
        <w:tc>
          <w:tcPr>
            <w:tcW w:w="712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745" w:hanging="745"/>
        <w:spacing w:after="0"/>
        <w:tabs>
          <w:tab w:leader="none" w:pos="7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NET</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4"/>
              </w:rPr>
              <w:t>MARCH 31,</w:t>
            </w:r>
          </w:p>
        </w:tc>
        <w:tc>
          <w:tcPr>
            <w:tcW w:w="280" w:type="dxa"/>
            <w:vAlign w:val="bottom"/>
          </w:tcPr>
          <w:p>
            <w:pPr>
              <w:spacing w:after="0"/>
              <w:rPr>
                <w:sz w:val="15"/>
                <w:szCs w:val="15"/>
                <w:color w:val="auto"/>
              </w:rPr>
            </w:pP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APRIL 1,</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120" w:type="dxa"/>
            <w:vAlign w:val="bottom"/>
          </w:tcPr>
          <w:p>
            <w:pPr>
              <w:spacing w:after="0"/>
              <w:rPr>
                <w:sz w:val="20"/>
                <w:szCs w:val="20"/>
                <w:color w:val="auto"/>
              </w:rPr>
            </w:pPr>
            <w:r>
              <w:rPr>
                <w:rFonts w:ascii="Courier New" w:cs="Courier New" w:eastAsia="Courier New" w:hAnsi="Courier New"/>
                <w:sz w:val="16"/>
                <w:szCs w:val="16"/>
                <w:color w:val="auto"/>
                <w:w w:val="99"/>
              </w:rPr>
              <w:t>Goodwill..................................................................</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526.2</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280.4</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Trademarks................................................................</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323.8</w:t>
            </w:r>
          </w:p>
        </w:tc>
        <w:tc>
          <w:tcPr>
            <w:tcW w:w="2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192.8</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331.1</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 ....................................................................</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164.2</w:t>
            </w:r>
          </w:p>
        </w:tc>
        <w:tc>
          <w:tcPr>
            <w:tcW w:w="2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77.2</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131.6</w:t>
            </w:r>
          </w:p>
        </w:tc>
      </w:tr>
      <w:tr>
        <w:trPr>
          <w:trHeight w:val="179"/>
        </w:trPr>
        <w:tc>
          <w:tcPr>
            <w:tcW w:w="712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Total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770.0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796.2</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743.1</w:t>
            </w:r>
          </w:p>
        </w:tc>
      </w:tr>
      <w:tr>
        <w:trPr>
          <w:trHeight w:val="179"/>
        </w:trPr>
        <w:tc>
          <w:tcPr>
            <w:tcW w:w="712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345"/>
          </w:cols>
          <w:pgMar w:left="235" w:top="290" w:right="319" w:bottom="1440" w:gutter="0" w:footer="0" w:header="0"/>
        </w:sectPr>
      </w:pPr>
    </w:p>
    <w:p>
      <w:pPr>
        <w:spacing w:after="0" w:line="1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345"/>
          </w:cols>
          <w:pgMar w:left="235" w:top="290" w:right="31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6900" w:type="dxa"/>
            <w:vAlign w:val="bottom"/>
          </w:tcPr>
          <w:p>
            <w:pPr>
              <w:jc w:val="right"/>
              <w:ind w:right="6582"/>
              <w:spacing w:after="0"/>
              <w:rPr>
                <w:sz w:val="20"/>
                <w:szCs w:val="20"/>
                <w:color w:val="auto"/>
              </w:rPr>
            </w:pPr>
            <w:r>
              <w:rPr>
                <w:rFonts w:ascii="Courier New" w:cs="Courier New" w:eastAsia="Courier New" w:hAnsi="Courier New"/>
                <w:sz w:val="16"/>
                <w:szCs w:val="16"/>
                <w:color w:val="auto"/>
              </w:rPr>
              <w:t>10</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37"/>
        </w:trPr>
        <w:tc>
          <w:tcPr>
            <w:tcW w:w="22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6900" w:type="dxa"/>
            <w:vAlign w:val="bottom"/>
          </w:tcPr>
          <w:p>
            <w:pPr>
              <w:jc w:val="right"/>
              <w:ind w:right="4902"/>
              <w:spacing w:after="0"/>
              <w:rPr>
                <w:sz w:val="20"/>
                <w:szCs w:val="20"/>
                <w:color w:val="auto"/>
              </w:rPr>
            </w:pPr>
            <w:r>
              <w:rPr>
                <w:rFonts w:ascii="Courier New" w:cs="Courier New" w:eastAsia="Courier New" w:hAnsi="Courier New"/>
                <w:sz w:val="16"/>
                <w:szCs w:val="16"/>
                <w:color w:val="auto"/>
              </w:rPr>
              <w:t>LONG-TERM DEBT</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16"/>
        </w:trPr>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MARCH 31,</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2001</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12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Revolving loans under credit facility.....................................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402.8</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Term loans under credit facility..........................................</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404.7</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Senior Subordinated Notes.................................................</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319.9</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Notes due to sellers .....................................................</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59.5</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Amounts due to the State of Ohio..........................................</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Foreign bank borrowings and term loans....................................</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Capital lease obligations and other ......................................</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1,208.2</w:t>
            </w:r>
          </w:p>
        </w:tc>
      </w:tr>
      <w:tr>
        <w:trPr>
          <w:trHeight w:val="179"/>
        </w:trPr>
        <w:tc>
          <w:tcPr>
            <w:tcW w:w="7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Less current portions.....................................................</w:t>
            </w: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132.5</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1,075.7</w:t>
            </w:r>
          </w:p>
        </w:tc>
      </w:tr>
      <w:tr>
        <w:trPr>
          <w:trHeight w:val="179"/>
        </w:trPr>
        <w:tc>
          <w:tcPr>
            <w:tcW w:w="2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740" w:right="1020"/>
        <w:spacing w:after="0" w:line="236" w:lineRule="auto"/>
        <w:rPr>
          <w:sz w:val="20"/>
          <w:szCs w:val="20"/>
          <w:color w:val="auto"/>
        </w:rPr>
      </w:pPr>
      <w:r>
        <w:rPr>
          <w:rFonts w:ascii="Courier New" w:cs="Courier New" w:eastAsia="Courier New" w:hAnsi="Courier New"/>
          <w:sz w:val="16"/>
          <w:szCs w:val="16"/>
          <w:color w:val="auto"/>
        </w:rPr>
        <w:t>The Company's credit facility provides for borrowings in the aggregate principal amount of $1.1 billion and consists of term loan facilities in the aggregate amount of $525 million and a revolving credit facility in the amount of $575 million. Financial covenants included as part of the facility include, amongst others, minimum net worth, interest coverage and net leverage ratios.</w:t>
      </w:r>
    </w:p>
    <w:p>
      <w:pPr>
        <w:spacing w:after="0" w:line="183" w:lineRule="exact"/>
        <w:rPr>
          <w:sz w:val="20"/>
          <w:szCs w:val="20"/>
          <w:color w:val="auto"/>
        </w:rPr>
      </w:pPr>
    </w:p>
    <w:p>
      <w:pPr>
        <w:ind w:left="740" w:right="1020"/>
        <w:spacing w:after="0" w:line="236" w:lineRule="auto"/>
        <w:rPr>
          <w:sz w:val="20"/>
          <w:szCs w:val="20"/>
          <w:color w:val="auto"/>
        </w:rPr>
      </w:pPr>
      <w:r>
        <w:rPr>
          <w:rFonts w:ascii="Courier New" w:cs="Courier New" w:eastAsia="Courier New" w:hAnsi="Courier New"/>
          <w:sz w:val="16"/>
          <w:szCs w:val="16"/>
          <w:color w:val="auto"/>
        </w:rPr>
        <w:t>In December 2000, the Company entered into an Amended and Restated Credit Agreement (the "Amended Agreement"). Under the terms of the Amended Agreement, the Company entered into a new Tranche B Term Loan Facility with an aggregate principal amount of $260 million, the proceeds of which repaid the then outstanding principal amount of the original Tranche B and C facilities. The new Tranche B Term Loan Facility will be repaid in quarterly installments of $0.25 million beginning June 30, 2001 through December 31, 2006, quarterly installments of $63.5 million beginning March 31, 2007 through September 30, 2007 and a final quarterly installment of $63.8 million on December 31, 2007. The new Tranche B Term Loan Facility bears interest at a variable rate that is less than the rates on the original Tranche B and C facilities. Under the terms of the Amended Agreement, the Revolving Credit Facility was increased from $500 million to $575 million and the net worth covenant under the original credit facility was amended to be measured only during the Company's second through fourth fiscal quarters. At the time the Company entered into the Amended Agreement, the amounts outstanding under the original Tranche B and C facilities were prepayable without penalty.</w:t>
      </w:r>
    </w:p>
    <w:p>
      <w:pPr>
        <w:spacing w:after="0" w:line="191" w:lineRule="exact"/>
        <w:rPr>
          <w:sz w:val="20"/>
          <w:szCs w:val="20"/>
          <w:color w:val="auto"/>
        </w:rPr>
      </w:pPr>
    </w:p>
    <w:p>
      <w:pPr>
        <w:ind w:left="740" w:right="1020"/>
        <w:spacing w:after="0" w:line="236" w:lineRule="auto"/>
        <w:rPr>
          <w:sz w:val="20"/>
          <w:szCs w:val="20"/>
          <w:color w:val="auto"/>
        </w:rPr>
      </w:pPr>
      <w:r>
        <w:rPr>
          <w:rFonts w:ascii="Courier New" w:cs="Courier New" w:eastAsia="Courier New" w:hAnsi="Courier New"/>
          <w:sz w:val="16"/>
          <w:szCs w:val="16"/>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84" w:lineRule="exact"/>
        <w:rPr>
          <w:sz w:val="20"/>
          <w:szCs w:val="20"/>
          <w:color w:val="auto"/>
        </w:rPr>
      </w:pPr>
    </w:p>
    <w:p>
      <w:pPr>
        <w:ind w:left="740" w:right="1020"/>
        <w:spacing w:after="0" w:line="235"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In conjunction with the acquisitions of the Substral business,</w:t>
      </w:r>
    </w:p>
    <w:p>
      <w:pPr>
        <w:ind w:left="740"/>
        <w:spacing w:after="0" w:line="236" w:lineRule="auto"/>
        <w:rPr>
          <w:sz w:val="20"/>
          <w:szCs w:val="20"/>
          <w:color w:val="auto"/>
        </w:rPr>
      </w:pPr>
      <w:r>
        <w:rPr>
          <w:rFonts w:ascii="Courier New" w:cs="Courier New" w:eastAsia="Courier New" w:hAnsi="Courier New"/>
          <w:sz w:val="16"/>
          <w:szCs w:val="16"/>
          <w:color w:val="auto"/>
        </w:rPr>
        <w:t>Rhone-Poulenc Jardin and Sanford Scientific, Inc., notes were issued for</w:t>
      </w:r>
    </w:p>
    <w:p>
      <w:pPr>
        <w:ind w:left="740"/>
        <w:spacing w:after="0" w:line="237" w:lineRule="auto"/>
        <w:rPr>
          <w:sz w:val="20"/>
          <w:szCs w:val="20"/>
          <w:color w:val="auto"/>
        </w:rPr>
      </w:pPr>
      <w:r>
        <w:rPr>
          <w:rFonts w:ascii="Courier New" w:cs="Courier New" w:eastAsia="Courier New" w:hAnsi="Courier New"/>
          <w:sz w:val="16"/>
          <w:szCs w:val="16"/>
          <w:color w:val="auto"/>
        </w:rPr>
        <w:t>certain portions of the total purchase price or other consideration that</w:t>
      </w:r>
    </w:p>
    <w:p>
      <w:pPr>
        <w:ind w:left="740"/>
        <w:spacing w:after="0" w:line="237" w:lineRule="auto"/>
        <w:rPr>
          <w:sz w:val="20"/>
          <w:szCs w:val="20"/>
          <w:color w:val="auto"/>
        </w:rPr>
      </w:pPr>
      <w:r>
        <w:rPr>
          <w:rFonts w:ascii="Courier New" w:cs="Courier New" w:eastAsia="Courier New" w:hAnsi="Courier New"/>
          <w:sz w:val="16"/>
          <w:szCs w:val="16"/>
          <w:color w:val="auto"/>
        </w:rPr>
        <w:t>are to be paid in annual installments over a two to four-year period.</w:t>
      </w:r>
    </w:p>
    <w:p>
      <w:pPr>
        <w:ind w:left="740"/>
        <w:spacing w:after="0" w:line="237" w:lineRule="auto"/>
        <w:rPr>
          <w:sz w:val="20"/>
          <w:szCs w:val="20"/>
          <w:color w:val="auto"/>
        </w:rPr>
      </w:pPr>
      <w:r>
        <w:rPr>
          <w:rFonts w:ascii="Courier New" w:cs="Courier New" w:eastAsia="Courier New" w:hAnsi="Courier New"/>
          <w:sz w:val="16"/>
          <w:szCs w:val="16"/>
          <w:color w:val="auto"/>
        </w:rPr>
        <w:t>The present value of the remaining note payments at March 31, 2001 is</w:t>
      </w:r>
    </w:p>
    <w:p>
      <w:pPr>
        <w:ind w:left="740"/>
        <w:spacing w:after="0" w:line="237" w:lineRule="auto"/>
        <w:rPr>
          <w:sz w:val="20"/>
          <w:szCs w:val="20"/>
          <w:color w:val="auto"/>
        </w:rPr>
      </w:pPr>
      <w:r>
        <w:rPr>
          <w:rFonts w:ascii="Courier New" w:cs="Courier New" w:eastAsia="Courier New" w:hAnsi="Courier New"/>
          <w:sz w:val="16"/>
          <w:szCs w:val="16"/>
          <w:color w:val="auto"/>
        </w:rPr>
        <w:t>$30.4 million, $16.6 million and $4.3 million, respectively. The Company</w:t>
      </w:r>
    </w:p>
    <w:p>
      <w:pPr>
        <w:ind w:left="740"/>
        <w:spacing w:after="0" w:line="237" w:lineRule="auto"/>
        <w:rPr>
          <w:sz w:val="20"/>
          <w:szCs w:val="20"/>
          <w:color w:val="auto"/>
        </w:rPr>
      </w:pPr>
      <w:r>
        <w:rPr>
          <w:rFonts w:ascii="Courier New" w:cs="Courier New" w:eastAsia="Courier New" w:hAnsi="Courier New"/>
          <w:sz w:val="16"/>
          <w:szCs w:val="16"/>
          <w:color w:val="auto"/>
        </w:rPr>
        <w:t>is imputing interest on the non-interest bearing notes using an interest</w:t>
      </w:r>
    </w:p>
    <w:p>
      <w:pPr>
        <w:ind w:left="740"/>
        <w:spacing w:after="0" w:line="237" w:lineRule="auto"/>
        <w:rPr>
          <w:sz w:val="20"/>
          <w:szCs w:val="20"/>
          <w:color w:val="auto"/>
        </w:rPr>
      </w:pPr>
      <w:r>
        <w:rPr>
          <w:rFonts w:ascii="Courier New" w:cs="Courier New" w:eastAsia="Courier New" w:hAnsi="Courier New"/>
          <w:sz w:val="16"/>
          <w:szCs w:val="16"/>
          <w:color w:val="auto"/>
        </w:rPr>
        <w:t>rate prevalent for similar instruments at the time of acquisition</w:t>
      </w:r>
    </w:p>
    <w:p>
      <w:pPr>
        <w:ind w:left="740"/>
        <w:spacing w:after="0" w:line="237" w:lineRule="auto"/>
        <w:rPr>
          <w:sz w:val="20"/>
          <w:szCs w:val="20"/>
          <w:color w:val="auto"/>
        </w:rPr>
      </w:pPr>
      <w:r>
        <w:rPr>
          <w:rFonts w:ascii="Courier New" w:cs="Courier New" w:eastAsia="Courier New" w:hAnsi="Courier New"/>
          <w:sz w:val="16"/>
          <w:szCs w:val="16"/>
          <w:color w:val="auto"/>
        </w:rPr>
        <w:t>(approximately 5.5%, 9% and 8%, respectively).</w:t>
      </w:r>
    </w:p>
    <w:p>
      <w:pPr>
        <w:spacing w:after="0" w:line="183" w:lineRule="exact"/>
        <w:rPr>
          <w:sz w:val="20"/>
          <w:szCs w:val="20"/>
          <w:color w:val="auto"/>
        </w:rPr>
      </w:pPr>
    </w:p>
    <w:p>
      <w:pPr>
        <w:ind w:left="740" w:right="1300"/>
        <w:spacing w:after="0" w:line="235" w:lineRule="auto"/>
        <w:rPr>
          <w:sz w:val="20"/>
          <w:szCs w:val="20"/>
          <w:color w:val="auto"/>
        </w:rPr>
      </w:pPr>
      <w:r>
        <w:rPr>
          <w:rFonts w:ascii="Courier New" w:cs="Courier New" w:eastAsia="Courier New" w:hAnsi="Courier New"/>
          <w:sz w:val="16"/>
          <w:szCs w:val="16"/>
          <w:color w:val="auto"/>
        </w:rPr>
        <w:t>In conjunction with other recent acquisitions, notes were issued for certain portions of the total purchase price that are to be paid in annual installments over periods ranging from four to five years. The present value of the remaining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APRIL 1,</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349.5</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481.4</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452.2</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318.6</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319.2</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36.6</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36.4</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1,197.9</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862.8</w:t>
            </w:r>
          </w:p>
        </w:tc>
      </w:tr>
      <w:tr>
        <w:trPr>
          <w:trHeight w:val="179"/>
        </w:trPr>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183.2</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49.4</w:t>
            </w:r>
          </w:p>
        </w:tc>
      </w:tr>
      <w:tr>
        <w:trPr>
          <w:trHeight w:val="179"/>
        </w:trPr>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1,014.7</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813.4</w:t>
            </w:r>
          </w:p>
        </w:tc>
      </w:tr>
      <w:tr>
        <w:trPr>
          <w:trHeight w:val="179"/>
        </w:trPr>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0573" w:lineRule="exact"/>
        <w:rPr>
          <w:sz w:val="20"/>
          <w:szCs w:val="20"/>
          <w:color w:val="auto"/>
        </w:rPr>
      </w:pPr>
    </w:p>
    <w:p>
      <w:pPr>
        <w:sectPr>
          <w:pgSz w:w="11900" w:h="16838" w:orient="portrait"/>
          <w:cols w:equalWidth="0" w:num="2">
            <w:col w:w="8460" w:space="280"/>
            <w:col w:w="2600"/>
          </w:cols>
          <w:pgMar w:left="240" w:top="290" w:right="319" w:bottom="433" w:gutter="0" w:footer="0" w:header="0"/>
        </w:sectPr>
      </w:pP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40"/>
          </w:cols>
          <w:pgMar w:left="240" w:top="290" w:right="319" w:bottom="433" w:gutter="0" w:footer="0" w:header="0"/>
          <w:type w:val="continuous"/>
        </w:sectPr>
      </w:pPr>
    </w:p>
    <w:bookmarkStart w:id="10" w:name="page11"/>
    <w:bookmarkEnd w:id="10"/>
    <w:p>
      <w:pPr>
        <w:ind w:left="285"/>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left="745" w:right="4360"/>
        <w:spacing w:after="0" w:line="235" w:lineRule="auto"/>
        <w:rPr>
          <w:sz w:val="20"/>
          <w:szCs w:val="20"/>
          <w:color w:val="auto"/>
        </w:rPr>
      </w:pPr>
      <w:r>
        <w:rPr>
          <w:rFonts w:ascii="Courier New" w:cs="Courier New" w:eastAsia="Courier New" w:hAnsi="Courier New"/>
          <w:sz w:val="16"/>
          <w:szCs w:val="16"/>
          <w:color w:val="auto"/>
        </w:rPr>
        <w:t>payments is $8.2 million at March 31, 2001. The Company is imputing interest on the non-interest bearing notes using an interest rate prevalent for similar instruments at the time of the acquisitions (approximating 8%).</w:t>
      </w:r>
    </w:p>
    <w:p>
      <w:pPr>
        <w:spacing w:after="0" w:line="185" w:lineRule="exact"/>
        <w:rPr>
          <w:sz w:val="20"/>
          <w:szCs w:val="20"/>
          <w:color w:val="auto"/>
        </w:rPr>
      </w:pPr>
    </w:p>
    <w:p>
      <w:pPr>
        <w:ind w:left="745" w:right="4000"/>
        <w:spacing w:after="0" w:line="276" w:lineRule="auto"/>
        <w:rPr>
          <w:sz w:val="20"/>
          <w:szCs w:val="20"/>
          <w:color w:val="auto"/>
        </w:rPr>
      </w:pPr>
      <w:r>
        <w:rPr>
          <w:rFonts w:ascii="Courier New" w:cs="Courier New" w:eastAsia="Courier New" w:hAnsi="Courier New"/>
          <w:sz w:val="14"/>
          <w:szCs w:val="14"/>
          <w:color w:val="auto"/>
        </w:rPr>
        <w:t>In May 2000, the Company sold its North American headquarters and research facilities to the State of Ohio for approximately $8.0 million and leased these facilities back from the State of Ohio through lease agreements extending through June 2020. The proceeds of the sale were used to fund the expansion of the North American headquarters facility.</w:t>
      </w:r>
    </w:p>
    <w:p>
      <w:pPr>
        <w:spacing w:after="0" w:line="161" w:lineRule="exact"/>
        <w:rPr>
          <w:sz w:val="20"/>
          <w:szCs w:val="20"/>
          <w:color w:val="auto"/>
        </w:rPr>
      </w:pPr>
    </w:p>
    <w:p>
      <w:pPr>
        <w:ind w:left="745" w:right="3900"/>
        <w:spacing w:after="0" w:line="236" w:lineRule="auto"/>
        <w:rPr>
          <w:sz w:val="20"/>
          <w:szCs w:val="20"/>
          <w:color w:val="auto"/>
        </w:rPr>
      </w:pPr>
      <w:r>
        <w:rPr>
          <w:rFonts w:ascii="Courier New" w:cs="Courier New" w:eastAsia="Courier New" w:hAnsi="Courier New"/>
          <w:sz w:val="16"/>
          <w:szCs w:val="16"/>
          <w:color w:val="auto"/>
        </w:rPr>
        <w:t>The foreign term loans of $3.0 million issued on December 12, 1997, have an 8-year term and bear interest at 1% below LIBOR. The loans are denominated in Pounds Sterling and can be redeemed, on demand, by the note holder. The foreign bank borrowings of $9.0 million at March 31, 2001 represent lines of credit for foreign operations and are primarily denominated in French Francs.</w:t>
      </w:r>
    </w:p>
    <w:p>
      <w:pPr>
        <w:spacing w:after="0" w:line="177" w:lineRule="exact"/>
        <w:rPr>
          <w:sz w:val="20"/>
          <w:szCs w:val="20"/>
          <w:color w:val="auto"/>
        </w:rPr>
      </w:pPr>
    </w:p>
    <w:p>
      <w:pPr>
        <w:ind w:left="845" w:hanging="845"/>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83" w:lineRule="exact"/>
        <w:rPr>
          <w:sz w:val="20"/>
          <w:szCs w:val="20"/>
          <w:color w:val="auto"/>
        </w:rPr>
      </w:pPr>
    </w:p>
    <w:p>
      <w:pPr>
        <w:ind w:left="745" w:right="4180"/>
        <w:spacing w:after="0" w:line="234" w:lineRule="auto"/>
        <w:rPr>
          <w:sz w:val="20"/>
          <w:szCs w:val="20"/>
          <w:color w:val="auto"/>
        </w:rPr>
      </w:pPr>
      <w:r>
        <w:rPr>
          <w:rFonts w:ascii="Courier New" w:cs="Courier New" w:eastAsia="Courier New" w:hAnsi="Courier New"/>
          <w:sz w:val="16"/>
          <w:szCs w:val="16"/>
          <w:color w:val="auto"/>
        </w:rPr>
        <w:t>The following table presents information necessary to calculate basic and diluted earnings per common share ("EPS").</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740" w:type="dxa"/>
            <w:vAlign w:val="bottom"/>
          </w:tcPr>
          <w:p>
            <w:pPr>
              <w:spacing w:after="0"/>
              <w:rPr>
                <w:sz w:val="15"/>
                <w:szCs w:val="15"/>
                <w:color w:val="auto"/>
              </w:rPr>
            </w:pP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THREE MONTHS</w:t>
            </w:r>
          </w:p>
        </w:tc>
        <w:tc>
          <w:tcPr>
            <w:tcW w:w="9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w w:val="91"/>
              </w:rPr>
              <w:t>ENDED</w:t>
            </w:r>
          </w:p>
        </w:tc>
        <w:tc>
          <w:tcPr>
            <w:tcW w:w="360" w:type="dxa"/>
            <w:vAlign w:val="bottom"/>
          </w:tcPr>
          <w:p>
            <w:pPr>
              <w:spacing w:after="0"/>
              <w:rPr>
                <w:sz w:val="15"/>
                <w:szCs w:val="15"/>
                <w:color w:val="auto"/>
              </w:rPr>
            </w:pP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SIX MONTHS ENDED</w:t>
            </w:r>
          </w:p>
        </w:tc>
      </w:tr>
      <w:tr>
        <w:trPr>
          <w:trHeight w:val="179"/>
        </w:trPr>
        <w:tc>
          <w:tcPr>
            <w:tcW w:w="6780" w:type="dxa"/>
            <w:vAlign w:val="bottom"/>
          </w:tcPr>
          <w:p>
            <w:pPr>
              <w:spacing w:after="0"/>
              <w:rPr>
                <w:sz w:val="15"/>
                <w:szCs w:val="15"/>
                <w:color w:val="auto"/>
              </w:rPr>
            </w:pPr>
          </w:p>
        </w:tc>
        <w:tc>
          <w:tcPr>
            <w:tcW w:w="140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78"/>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w w:val="96"/>
              </w:rPr>
              <w:t>MARCH 31, APRIL 1,</w:t>
            </w:r>
          </w:p>
        </w:tc>
        <w:tc>
          <w:tcPr>
            <w:tcW w:w="1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MARCH 31,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APRIL 1,</w:t>
            </w:r>
          </w:p>
        </w:tc>
      </w:tr>
      <w:tr>
        <w:trPr>
          <w:trHeight w:val="179"/>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2001</w:t>
            </w:r>
          </w:p>
        </w:tc>
        <w:tc>
          <w:tcPr>
            <w:tcW w:w="9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2001</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678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84.8</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33.6</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$ 32.6</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Payments to preferred shareholders ....................................</w:t>
            </w: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applicable to common shareholders...............................</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84.8</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33.6</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$ 26.2</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Weighted-average common shares outstanding during the period ..........</w:t>
            </w: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28.2</w:t>
            </w:r>
          </w:p>
        </w:tc>
        <w:tc>
          <w:tcPr>
            <w:tcW w:w="18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27.9</w:t>
            </w:r>
          </w:p>
        </w:tc>
        <w:tc>
          <w:tcPr>
            <w:tcW w:w="3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28.2</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28.0</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Basic earnings per common share........................................</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3.01</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1.19</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$ 0.94</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Weighted-average common shares outstanding and potential</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common shares.......................................................</w:t>
            </w: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30.3</w:t>
            </w:r>
          </w:p>
        </w:tc>
        <w:tc>
          <w:tcPr>
            <w:tcW w:w="18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29.5</w:t>
            </w:r>
          </w:p>
        </w:tc>
        <w:tc>
          <w:tcPr>
            <w:tcW w:w="3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30.0</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29.8</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earnings per common share......................................</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2.80</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1.12</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$ 0.88</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845" w:hanging="845"/>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82" w:lineRule="exact"/>
        <w:rPr>
          <w:rFonts w:ascii="Courier New" w:cs="Courier New" w:eastAsia="Courier New" w:hAnsi="Courier New"/>
          <w:sz w:val="16"/>
          <w:szCs w:val="16"/>
          <w:color w:val="auto"/>
        </w:rPr>
      </w:pPr>
    </w:p>
    <w:p>
      <w:pPr>
        <w:ind w:left="925" w:right="4000" w:hanging="9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components of other comprehensive income and total comprehensive income for the three and six months ended March 31, 2001 and April 1,</w:t>
      </w:r>
    </w:p>
    <w:p>
      <w:pPr>
        <w:ind w:left="9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2000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740" w:type="dxa"/>
            <w:vAlign w:val="bottom"/>
          </w:tcPr>
          <w:p>
            <w:pPr>
              <w:spacing w:after="0"/>
              <w:rPr>
                <w:sz w:val="15"/>
                <w:szCs w:val="15"/>
                <w:color w:val="auto"/>
              </w:rPr>
            </w:pP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THREE MONTHS</w:t>
            </w:r>
          </w:p>
        </w:tc>
        <w:tc>
          <w:tcPr>
            <w:tcW w:w="9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w w:val="91"/>
              </w:rPr>
              <w:t>ENDED</w:t>
            </w:r>
          </w:p>
        </w:tc>
        <w:tc>
          <w:tcPr>
            <w:tcW w:w="360" w:type="dxa"/>
            <w:vAlign w:val="bottom"/>
          </w:tcPr>
          <w:p>
            <w:pPr>
              <w:spacing w:after="0"/>
              <w:rPr>
                <w:sz w:val="15"/>
                <w:szCs w:val="15"/>
                <w:color w:val="auto"/>
              </w:rPr>
            </w:pP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SIX MONTHS ENDED</w:t>
            </w:r>
          </w:p>
        </w:tc>
      </w:tr>
      <w:tr>
        <w:trPr>
          <w:trHeight w:val="179"/>
        </w:trPr>
        <w:tc>
          <w:tcPr>
            <w:tcW w:w="6780" w:type="dxa"/>
            <w:vAlign w:val="bottom"/>
          </w:tcPr>
          <w:p>
            <w:pPr>
              <w:spacing w:after="0"/>
              <w:rPr>
                <w:sz w:val="15"/>
                <w:szCs w:val="15"/>
                <w:color w:val="auto"/>
              </w:rPr>
            </w:pPr>
          </w:p>
        </w:tc>
        <w:tc>
          <w:tcPr>
            <w:tcW w:w="140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78"/>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w w:val="96"/>
              </w:rPr>
              <w:t>MARCH 31, APRIL 1,</w:t>
            </w:r>
          </w:p>
        </w:tc>
        <w:tc>
          <w:tcPr>
            <w:tcW w:w="1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MARCH 31,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APRIL 1,</w:t>
            </w:r>
          </w:p>
        </w:tc>
      </w:tr>
      <w:tr>
        <w:trPr>
          <w:trHeight w:val="179"/>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2001</w:t>
            </w:r>
          </w:p>
        </w:tc>
        <w:tc>
          <w:tcPr>
            <w:tcW w:w="9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2001</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67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income.............................................................</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84.8</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33.6</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$ 32.6</w:t>
            </w:r>
          </w:p>
        </w:tc>
      </w:tr>
      <w:tr>
        <w:trPr>
          <w:trHeight w:val="179"/>
        </w:trPr>
        <w:tc>
          <w:tcPr>
            <w:tcW w:w="6780" w:type="dxa"/>
            <w:vAlign w:val="bottom"/>
          </w:tcPr>
          <w:p>
            <w:pPr>
              <w:jc w:val="right"/>
              <w:ind w:right="3262"/>
              <w:spacing w:after="0" w:line="179" w:lineRule="exact"/>
              <w:rPr>
                <w:sz w:val="20"/>
                <w:szCs w:val="20"/>
                <w:color w:val="auto"/>
              </w:rPr>
            </w:pPr>
            <w:r>
              <w:rPr>
                <w:rFonts w:ascii="Courier New" w:cs="Courier New" w:eastAsia="Courier New" w:hAnsi="Courier New"/>
                <w:sz w:val="16"/>
                <w:szCs w:val="16"/>
                <w:color w:val="auto"/>
                <w:w w:val="96"/>
              </w:rPr>
              <w:t>Other comprehensive income (expense):</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Foreign currency translation adjustments ............................</w:t>
            </w: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(0.2)</w:t>
            </w:r>
          </w:p>
        </w:tc>
        <w:tc>
          <w:tcPr>
            <w:tcW w:w="140" w:type="dxa"/>
            <w:vAlign w:val="bottom"/>
          </w:tcPr>
          <w:p>
            <w:pPr>
              <w:spacing w:after="0"/>
              <w:rPr>
                <w:sz w:val="15"/>
                <w:szCs w:val="15"/>
                <w:color w:val="auto"/>
              </w:rPr>
            </w:pPr>
          </w:p>
        </w:tc>
        <w:tc>
          <w:tcPr>
            <w:tcW w:w="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w:t>
            </w:r>
          </w:p>
        </w:tc>
        <w:tc>
          <w:tcPr>
            <w:tcW w:w="3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3.2</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Change in valuation of derivative instruments........................</w:t>
            </w: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w:t>
            </w:r>
          </w:p>
        </w:tc>
        <w:tc>
          <w:tcPr>
            <w:tcW w:w="140" w:type="dxa"/>
            <w:vAlign w:val="bottom"/>
          </w:tcPr>
          <w:p>
            <w:pPr>
              <w:spacing w:after="0"/>
              <w:rPr>
                <w:sz w:val="15"/>
                <w:szCs w:val="15"/>
                <w:color w:val="auto"/>
              </w:rPr>
            </w:pPr>
          </w:p>
        </w:tc>
        <w:tc>
          <w:tcPr>
            <w:tcW w:w="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(0.7)</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Comprehensive income ..................................................</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83.4</w:t>
            </w:r>
          </w:p>
        </w:tc>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36.1</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$ 27.0</w:t>
            </w:r>
          </w:p>
        </w:tc>
      </w:tr>
      <w:tr>
        <w:trPr>
          <w:trHeight w:val="179"/>
        </w:trPr>
        <w:tc>
          <w:tcPr>
            <w:tcW w:w="6780" w:type="dxa"/>
            <w:vAlign w:val="bottom"/>
          </w:tcPr>
          <w:p>
            <w:pPr>
              <w:spacing w:after="0"/>
              <w:rPr>
                <w:sz w:val="15"/>
                <w:szCs w:val="15"/>
                <w:color w:val="auto"/>
              </w:rPr>
            </w:pPr>
          </w:p>
        </w:tc>
        <w:tc>
          <w:tcPr>
            <w:tcW w:w="14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345"/>
          </w:cols>
          <w:pgMar w:left="235" w:top="291" w:right="319" w:bottom="1440" w:gutter="0" w:footer="0" w:header="0"/>
        </w:sectPr>
      </w:pPr>
    </w:p>
    <w:p>
      <w:pPr>
        <w:spacing w:after="0" w:line="162"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345"/>
          </w:cols>
          <w:pgMar w:left="235" w:top="291" w:right="319" w:bottom="1440" w:gutter="0" w:footer="0" w:header="0"/>
          <w:type w:val="continuous"/>
        </w:sectPr>
      </w:pPr>
    </w:p>
    <w:bookmarkStart w:id="11" w:name="page12"/>
    <w:bookmarkEnd w:id="11"/>
    <w:p>
      <w:pPr>
        <w:ind w:left="285"/>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ind w:left="745" w:hanging="745"/>
        <w:spacing w:after="0"/>
        <w:tabs>
          <w:tab w:leader="none" w:pos="7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2" w:lineRule="exact"/>
        <w:rPr>
          <w:rFonts w:ascii="Courier New" w:cs="Courier New" w:eastAsia="Courier New" w:hAnsi="Courier New"/>
          <w:sz w:val="16"/>
          <w:szCs w:val="16"/>
          <w:color w:val="auto"/>
        </w:rPr>
      </w:pPr>
    </w:p>
    <w:p>
      <w:pPr>
        <w:ind w:left="7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9"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82" w:lineRule="exact"/>
        <w:rPr>
          <w:rFonts w:ascii="Courier New" w:cs="Courier New" w:eastAsia="Courier New" w:hAnsi="Courier New"/>
          <w:sz w:val="16"/>
          <w:szCs w:val="16"/>
          <w:color w:val="auto"/>
        </w:rPr>
      </w:pPr>
    </w:p>
    <w:p>
      <w:pPr>
        <w:ind w:left="7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61" w:lineRule="exact"/>
        <w:rPr>
          <w:rFonts w:ascii="Courier New" w:cs="Courier New" w:eastAsia="Courier New" w:hAnsi="Courier New"/>
          <w:sz w:val="16"/>
          <w:szCs w:val="16"/>
          <w:color w:val="auto"/>
        </w:rPr>
      </w:pPr>
    </w:p>
    <w:p>
      <w:pPr>
        <w:ind w:left="745" w:right="28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February 1997, the Company learned that the Ohio Environmental Protection Agency was referring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63" w:lineRule="exact"/>
        <w:rPr>
          <w:rFonts w:ascii="Courier New" w:cs="Courier New" w:eastAsia="Courier New" w:hAnsi="Courier New"/>
          <w:sz w:val="16"/>
          <w:szCs w:val="16"/>
          <w:color w:val="auto"/>
        </w:rPr>
      </w:pPr>
    </w:p>
    <w:p>
      <w:pPr>
        <w:ind w:left="74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the Company replied with another revised draft in March 2000. Since July 2000, the parties have been engaged in settlement discussions resulting in various revisions to the March 2000 draft, as they seek to resolve this matter.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0" w:lineRule="exact"/>
        <w:rPr>
          <w:rFonts w:ascii="Courier New" w:cs="Courier New" w:eastAsia="Courier New" w:hAnsi="Courier New"/>
          <w:sz w:val="16"/>
          <w:szCs w:val="16"/>
          <w:color w:val="auto"/>
        </w:rPr>
      </w:pPr>
    </w:p>
    <w:p>
      <w:pPr>
        <w:ind w:left="7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is continuing to meet with the Ohio Attorney General and the Ohio Environmental Protection Agency in an effort to complete negotiations of an amicable resolution of these issues. Negotiations have narrowed the unresolved issues between the Company and the Ohio Attorney General/Ohio Environmental Protection Agency, and the parties anticipate concluding negotiations on an agreed Consent Order, shortly. The parties have agreed to a civil penalty cash payment subject to the successful completion of negotiations on the remaining provisions of a judicial consent order. The Company believes that it has viable defenses to the State's enforcement action, including that it had been proceeding under VAP to address specified environmental issues, and will assert those defenses should an amicable resolution of the State's enforcement action not be reached.</w:t>
      </w:r>
    </w:p>
    <w:p>
      <w:pPr>
        <w:spacing w:after="0" w:line="339" w:lineRule="exact"/>
        <w:rPr>
          <w:rFonts w:ascii="Courier New" w:cs="Courier New" w:eastAsia="Courier New" w:hAnsi="Courier New"/>
          <w:sz w:val="16"/>
          <w:szCs w:val="16"/>
          <w:color w:val="auto"/>
        </w:rPr>
      </w:pPr>
    </w:p>
    <w:p>
      <w:pPr>
        <w:ind w:left="745"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w:t>
      </w:r>
    </w:p>
    <w:p>
      <w:pPr>
        <w:sectPr>
          <w:pgSz w:w="11900" w:h="16838" w:orient="portrait"/>
          <w:cols w:equalWidth="0" w:num="1">
            <w:col w:w="10224"/>
          </w:cols>
          <w:pgMar w:left="235" w:top="290" w:right="1440"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24"/>
          </w:cols>
          <w:pgMar w:left="235" w:top="290" w:right="1440" w:bottom="612"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left="460" w:right="2779"/>
        <w:spacing w:after="0" w:line="273" w:lineRule="auto"/>
        <w:rPr>
          <w:sz w:val="20"/>
          <w:szCs w:val="20"/>
          <w:color w:val="auto"/>
        </w:rPr>
      </w:pPr>
      <w:r>
        <w:rPr>
          <w:rFonts w:ascii="Courier New" w:cs="Courier New" w:eastAsia="Courier New" w:hAnsi="Courier New"/>
          <w:sz w:val="14"/>
          <w:szCs w:val="14"/>
          <w:color w:val="auto"/>
        </w:rPr>
        <w:t>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have been implemented, which consist of capping two on-site waste disposal areas, closing of several ponds, and partial removal of sediment from a small, adjacent watercourse.</w:t>
      </w:r>
    </w:p>
    <w:p>
      <w:pPr>
        <w:spacing w:after="0" w:line="344" w:lineRule="exact"/>
        <w:rPr>
          <w:sz w:val="20"/>
          <w:szCs w:val="20"/>
          <w:color w:val="auto"/>
        </w:rPr>
      </w:pPr>
    </w:p>
    <w:p>
      <w:pPr>
        <w:ind w:left="460" w:right="2879"/>
        <w:spacing w:after="0" w:line="272" w:lineRule="auto"/>
        <w:rPr>
          <w:sz w:val="20"/>
          <w:szCs w:val="20"/>
          <w:color w:val="auto"/>
        </w:rPr>
      </w:pPr>
      <w:r>
        <w:rPr>
          <w:rFonts w:ascii="Courier New" w:cs="Courier New" w:eastAsia="Courier New" w:hAnsi="Courier New"/>
          <w:sz w:val="14"/>
          <w:szCs w:val="14"/>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March 31, 2001, management estimates that the range of possible loss that could be incurred in connection with this matter is $6 million to $10 million. The Company has accrued for the amount it considers to be the most probable within that range and believes the outcome will not differ materially from the amount reserved. Many of the issues raised by the State of Ohio are already being investigated and addressed by the Company during the normal course of conducting business.</w:t>
      </w:r>
    </w:p>
    <w:p>
      <w:pPr>
        <w:spacing w:after="0" w:line="33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left="460" w:right="2779"/>
        <w:spacing w:after="0" w:line="271"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The Company is defending this suit and is asserting a right to recover its economic losses resulting from the government's actions. The suit was placed in administrative suspension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and other terms of the consent order proposed by the government in April 2001. The Company has reserved for its estimate of the probable loss to be incurred under this proceeding as of March 31, 2001. Furthermore, management believes the Company has sufficient raw material supplies available such that service to customers will not be materially adversely affected by the planned permanent closure of this facility.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left="460" w:right="2779"/>
        <w:spacing w:after="0" w:line="272" w:lineRule="auto"/>
        <w:rPr>
          <w:sz w:val="20"/>
          <w:szCs w:val="20"/>
          <w:color w:val="auto"/>
        </w:rPr>
      </w:pPr>
      <w:r>
        <w:rPr>
          <w:rFonts w:ascii="Courier New" w:cs="Courier New" w:eastAsia="Courier New" w:hAnsi="Courier New"/>
          <w:sz w:val="14"/>
          <w:szCs w:val="14"/>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reduce emissions to both air and ground water. Additional work is being undertaken to further reduce emissions to groundwater and surface water. The Company believes that it has adequately addressed the environmental</w:t>
      </w:r>
    </w:p>
    <w:p>
      <w:pPr>
        <w:sectPr>
          <w:pgSz w:w="11900" w:h="16838" w:orient="portrait"/>
          <w:cols w:equalWidth="0" w:num="1">
            <w:col w:w="9939"/>
          </w:cols>
          <w:pgMar w:left="520" w:top="290" w:right="1440" w:bottom="4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939"/>
          </w:cols>
          <w:pgMar w:left="520" w:top="290" w:right="1440" w:bottom="433"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concerns of the Environment Agency regarding emissions to air and groundwater. The Scotts Company (UK) Ltd. has retained an environmental consulting firm to research remediation designs. The Company and the Environment Agency are in discussions over the final plan for remediating the lagoon and the landfill. The Company has reserved for its estimate of the probable loss to be incurred in connection with this matter as of March 31, 2001.</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ENVIRONMENTAL MATTERS</w:t>
      </w:r>
    </w:p>
    <w:p>
      <w:pPr>
        <w:spacing w:after="0" w:line="183" w:lineRule="exact"/>
        <w:rPr>
          <w:sz w:val="20"/>
          <w:szCs w:val="20"/>
          <w:color w:val="auto"/>
        </w:rPr>
      </w:pPr>
    </w:p>
    <w:p>
      <w:pPr>
        <w:ind w:left="460" w:right="2779"/>
        <w:spacing w:after="0" w:line="235"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 as of March 31, 2001.</w:t>
      </w:r>
    </w:p>
    <w:p>
      <w:pPr>
        <w:spacing w:after="0" w:line="185"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Company has accrued $6.3 million at March 31, 2001 for the environmental matters described in Note 9. The significant components of the accrual are: (i) costs for site remediation of $4.0 million; (ii) costs for asbestos abatement of $1.8 million; and (iii) fines and penalties of $0.5 million. The significant portion of the costs accrued as of March 31, 2001 are expected to be paid in fiscal 2001 and 2002; however, payments are expected to be made through fiscal 2003 and possibly for a period thereafter.</w:t>
      </w:r>
    </w:p>
    <w:p>
      <w:pPr>
        <w:spacing w:after="0" w:line="184" w:lineRule="exact"/>
        <w:rPr>
          <w:sz w:val="20"/>
          <w:szCs w:val="20"/>
          <w:color w:val="auto"/>
        </w:rPr>
      </w:pPr>
    </w:p>
    <w:p>
      <w:pPr>
        <w:ind w:left="460" w:right="2959"/>
        <w:spacing w:after="0" w:line="279" w:lineRule="auto"/>
        <w:rPr>
          <w:sz w:val="20"/>
          <w:szCs w:val="20"/>
          <w:color w:val="auto"/>
        </w:rPr>
      </w:pPr>
      <w:r>
        <w:rPr>
          <w:rFonts w:ascii="Courier New" w:cs="Courier New" w:eastAsia="Courier New" w:hAnsi="Courier New"/>
          <w:sz w:val="14"/>
          <w:szCs w:val="14"/>
          <w:color w:val="auto"/>
        </w:rPr>
        <w:t>The Company believes that the amounts accrued as of March 31, 2001 are adequate to cover its known environmental expenses based on current facts and estimates of likely outcome. However, the adequacy of these accruals is based on several significant assumptions:</w:t>
      </w:r>
    </w:p>
    <w:p>
      <w:pPr>
        <w:spacing w:after="0" w:line="157" w:lineRule="exact"/>
        <w:rPr>
          <w:sz w:val="20"/>
          <w:szCs w:val="20"/>
          <w:color w:val="auto"/>
        </w:rPr>
      </w:pPr>
    </w:p>
    <w:p>
      <w:pPr>
        <w:ind w:left="1200" w:right="3159" w:hanging="740"/>
        <w:spacing w:after="0" w:line="234" w:lineRule="auto"/>
        <w:tabs>
          <w:tab w:leader="none" w:pos="1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has identified all of the significant sites that must be remediated;</w:t>
      </w:r>
    </w:p>
    <w:p>
      <w:pPr>
        <w:spacing w:after="0" w:line="183" w:lineRule="exact"/>
        <w:rPr>
          <w:rFonts w:ascii="Courier New" w:cs="Courier New" w:eastAsia="Courier New" w:hAnsi="Courier New"/>
          <w:sz w:val="16"/>
          <w:szCs w:val="16"/>
          <w:color w:val="auto"/>
        </w:rPr>
      </w:pPr>
    </w:p>
    <w:p>
      <w:pPr>
        <w:ind w:left="1200" w:right="3799" w:hanging="740"/>
        <w:spacing w:after="0" w:line="295" w:lineRule="auto"/>
        <w:tabs>
          <w:tab w:leader="none" w:pos="12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w:t>
      </w:r>
    </w:p>
    <w:p>
      <w:pPr>
        <w:spacing w:after="0" w:line="146" w:lineRule="exact"/>
        <w:rPr>
          <w:rFonts w:ascii="Courier New" w:cs="Courier New" w:eastAsia="Courier New" w:hAnsi="Courier New"/>
          <w:sz w:val="14"/>
          <w:szCs w:val="14"/>
          <w:color w:val="auto"/>
        </w:rPr>
      </w:pPr>
    </w:p>
    <w:p>
      <w:pPr>
        <w:ind w:left="1200" w:right="3059" w:hanging="740"/>
        <w:spacing w:after="0" w:line="234" w:lineRule="auto"/>
        <w:tabs>
          <w:tab w:leader="none" w:pos="1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potentially contaminated soil can be remediated in place rather than having to be removed; and</w:t>
      </w:r>
    </w:p>
    <w:p>
      <w:pPr>
        <w:spacing w:after="0" w:line="183" w:lineRule="exact"/>
        <w:rPr>
          <w:rFonts w:ascii="Courier New" w:cs="Courier New" w:eastAsia="Courier New" w:hAnsi="Courier New"/>
          <w:sz w:val="16"/>
          <w:szCs w:val="16"/>
          <w:color w:val="auto"/>
        </w:rPr>
      </w:pPr>
    </w:p>
    <w:p>
      <w:pPr>
        <w:ind w:left="1200" w:right="3339" w:hanging="740"/>
        <w:spacing w:after="0" w:line="295" w:lineRule="auto"/>
        <w:tabs>
          <w:tab w:leader="none" w:pos="12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only specific stream sediment sites with unacceptable levels of potential contaminant will be remediated.</w:t>
      </w:r>
    </w:p>
    <w:p>
      <w:pPr>
        <w:spacing w:after="0" w:line="147" w:lineRule="exact"/>
        <w:rPr>
          <w:sz w:val="20"/>
          <w:szCs w:val="20"/>
          <w:color w:val="auto"/>
        </w:rPr>
      </w:pPr>
    </w:p>
    <w:p>
      <w:pPr>
        <w:ind w:left="460" w:right="3059"/>
        <w:spacing w:after="0" w:line="235"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35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939"/>
          </w:cols>
          <w:pgMar w:left="520" w:top="29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AGREVO ENVIRONMENTAL HEALTH, INC.</w:t>
      </w:r>
    </w:p>
    <w:p>
      <w:pPr>
        <w:spacing w:after="0" w:line="183" w:lineRule="exact"/>
        <w:rPr>
          <w:sz w:val="20"/>
          <w:szCs w:val="20"/>
          <w:color w:val="auto"/>
        </w:rPr>
      </w:pPr>
    </w:p>
    <w:p>
      <w:pPr>
        <w:ind w:left="460" w:right="2779"/>
        <w:spacing w:after="0" w:line="272"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contract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342" w:lineRule="exact"/>
        <w:rPr>
          <w:sz w:val="20"/>
          <w:szCs w:val="20"/>
          <w:color w:val="auto"/>
        </w:rPr>
      </w:pPr>
    </w:p>
    <w:p>
      <w:pPr>
        <w:ind w:left="460" w:right="2779"/>
        <w:spacing w:after="0" w:line="271"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the Company moved to dismiss the antitrust allegations against it on the ground that the claims fail to state claims for which relief may be granted. On October 12, 1999, AgrEvo moved to dismiss the Company's counterclaims. On May 5, 2000, AgrEvo amended its complaint to add a claim for fraud and to incorporate the Delaware Action described below. Thereafter, the Company moved to dismiss the new claims, and the defendants renewed their pending motions to dismiss. On June 2, 2000, the court (i) granted the Company's motion to dismiss the fraud claim AgrEvo had added to its complaint; (ii) granted AgrEvo's motion to dismiss the Company's fraudulent-inducement counterclaim; (iii) denied AgrEvo's motion to dismiss the Company's counterclaims related to breach of representations and warranties; and (iv) denied defendants' motion to dismiss the antitrust claims. On July 14, 2000, the Company served an answer to AgrEvo's amended complaint and re-pleaded its fraud counterclaim. Under the indemnification provisions of the Roundup(R) marketing agreement, Monsanto and the Company each have requested that the other indemnify against any losses arising from this lawsuit.</w:t>
      </w:r>
    </w:p>
    <w:p>
      <w:pPr>
        <w:spacing w:after="0" w:line="200" w:lineRule="exact"/>
        <w:rPr>
          <w:sz w:val="20"/>
          <w:szCs w:val="20"/>
          <w:color w:val="auto"/>
        </w:rPr>
      </w:pPr>
    </w:p>
    <w:p>
      <w:pPr>
        <w:spacing w:after="0" w:line="332"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88" w:lineRule="exact"/>
        <w:rPr>
          <w:sz w:val="20"/>
          <w:szCs w:val="20"/>
          <w:color w:val="auto"/>
        </w:rPr>
      </w:pPr>
    </w:p>
    <w:p>
      <w:pPr>
        <w:ind w:left="460" w:right="2779"/>
        <w:spacing w:after="0" w:line="235" w:lineRule="auto"/>
        <w:rPr>
          <w:sz w:val="20"/>
          <w:szCs w:val="20"/>
          <w:color w:val="auto"/>
        </w:rPr>
      </w:pPr>
      <w:r>
        <w:rPr>
          <w:rFonts w:ascii="Courier New" w:cs="Courier New" w:eastAsia="Courier New" w:hAnsi="Courier New"/>
          <w:sz w:val="16"/>
          <w:szCs w:val="16"/>
          <w:color w:val="auto"/>
        </w:rPr>
        <w:t>If the above actions are determined adversely to the Company, the result could have a material adverse effect on the Company's results of operations, financial position and cash flows.</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939"/>
          </w:cols>
          <w:pgMar w:left="520" w:top="29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CENTRAL GARDEN &amp; PET COMPANY</w:t>
      </w:r>
    </w:p>
    <w:p>
      <w:pPr>
        <w:spacing w:after="0" w:line="183" w:lineRule="exact"/>
        <w:rPr>
          <w:sz w:val="20"/>
          <w:szCs w:val="20"/>
          <w:color w:val="auto"/>
        </w:rPr>
      </w:pPr>
    </w:p>
    <w:p>
      <w:pPr>
        <w:ind w:left="560" w:right="3159"/>
        <w:spacing w:after="0" w:line="235" w:lineRule="auto"/>
        <w:rPr>
          <w:sz w:val="20"/>
          <w:szCs w:val="20"/>
          <w:color w:val="auto"/>
        </w:rPr>
      </w:pPr>
      <w:r>
        <w:rPr>
          <w:rFonts w:ascii="Courier New" w:cs="Courier New" w:eastAsia="Courier New" w:hAnsi="Courier New"/>
          <w:sz w:val="16"/>
          <w:szCs w:val="16"/>
          <w:color w:val="auto"/>
        </w:rPr>
        <w:t>The Company is currently engaged in several litigation matters with Central Garden &amp; Pet Company ("Central Garden"). These cases are summarized below.</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Scotts v. Central Garden, Southern District of Ohio</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On June 30, 2000, the Company filed suit against Central Garden in the U.S. District Court for the Southern District of Ohio to recover approximately $17 million in its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184" w:lineRule="exact"/>
        <w:rPr>
          <w:sz w:val="20"/>
          <w:szCs w:val="20"/>
          <w:color w:val="auto"/>
        </w:rPr>
      </w:pPr>
    </w:p>
    <w:p>
      <w:pPr>
        <w:ind w:left="560" w:right="2879"/>
        <w:spacing w:after="0" w:line="273" w:lineRule="auto"/>
        <w:rPr>
          <w:sz w:val="20"/>
          <w:szCs w:val="20"/>
          <w:color w:val="auto"/>
        </w:rPr>
      </w:pPr>
      <w:r>
        <w:rPr>
          <w:rFonts w:ascii="Courier New" w:cs="Courier New" w:eastAsia="Courier New" w:hAnsi="Courier New"/>
          <w:sz w:val="14"/>
          <w:szCs w:val="14"/>
          <w:color w:val="auto"/>
        </w:rPr>
        <w:t>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the Monsanto Company). Based on these allegations, Central Garden has asserted several causes of action, including breach of oral contract and fraudulent misrepresentation, and seeks damages in excess of $900 million. In addition, Central Garden asserts various other causes of action, including breach of written contract and quantum valebant, and seeks damages in excess of $76 million for those claims.</w:t>
      </w:r>
    </w:p>
    <w:p>
      <w:pPr>
        <w:spacing w:after="0" w:line="340" w:lineRule="exact"/>
        <w:rPr>
          <w:sz w:val="20"/>
          <w:szCs w:val="20"/>
          <w:color w:val="auto"/>
        </w:rPr>
      </w:pPr>
    </w:p>
    <w:p>
      <w:pPr>
        <w:ind w:left="560" w:right="3059"/>
        <w:spacing w:after="0" w:line="234" w:lineRule="auto"/>
        <w:rPr>
          <w:sz w:val="20"/>
          <w:szCs w:val="20"/>
          <w:color w:val="auto"/>
        </w:rPr>
      </w:pPr>
      <w:r>
        <w:rPr>
          <w:rFonts w:ascii="Courier New" w:cs="Courier New" w:eastAsia="Courier New" w:hAnsi="Courier New"/>
          <w:sz w:val="16"/>
          <w:szCs w:val="16"/>
          <w:color w:val="auto"/>
        </w:rPr>
        <w:t>Pharmacia Corporation v. Central Garden, Circuit Court of St. Louis, Missouri</w:t>
      </w:r>
    </w:p>
    <w:p>
      <w:pPr>
        <w:spacing w:after="0" w:line="183" w:lineRule="exact"/>
        <w:rPr>
          <w:sz w:val="20"/>
          <w:szCs w:val="20"/>
          <w:color w:val="auto"/>
        </w:rPr>
      </w:pPr>
    </w:p>
    <w:p>
      <w:pPr>
        <w:ind w:left="560" w:right="2879"/>
        <w:spacing w:after="0" w:line="236" w:lineRule="auto"/>
        <w:rPr>
          <w:sz w:val="20"/>
          <w:szCs w:val="20"/>
          <w:color w:val="auto"/>
        </w:rPr>
      </w:pPr>
      <w:r>
        <w:rPr>
          <w:rFonts w:ascii="Courier New" w:cs="Courier New" w:eastAsia="Courier New" w:hAnsi="Courier New"/>
          <w:sz w:val="16"/>
          <w:szCs w:val="16"/>
          <w:color w:val="auto"/>
        </w:rPr>
        <w:t>On June 30, 2000, Pharmacia Corporation filed suit against Central Garden in Missouri state court, seeking unspecified damages allegedly due Pharmacia under a four-year Alliance Agreement between Pharmacia and Central. The Company was, for a short time, an assignee of this Alliance Agreement, which it has reassigned to Pharmacia. Accordingly, on January 18, 2001, Pharmacia joined the Company as a nominal defendant in the Missouri state court action.</w:t>
      </w:r>
    </w:p>
    <w:p>
      <w:pPr>
        <w:spacing w:after="0" w:line="184"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On January 29, 2001, Central Garden filed its answer and cross-claims and counterclaims in the Missouri action. In its cross-claims, Central Garden seeks an unspecified amount of damages for alleged contractual breaches by the Company with respect to the agreements which are the subject of the Missouri and Ohio actions described above. In addition, Central Garden has included cross-claims under Section 17200 of the California Business and Professions Code on behalf of the general public and/or third party purchasers of the Company's products. Central Garden seeks injunctive and restitutionary relief pursuant to this newly added purported consumer representative action. On February 8, 2001, the Company filed a motion to stay Central Garden's cross-claims based on the pendency of the prior filed actions in the Ohio and California federal courts that involve the same subject matter. At a hearing on March 20, 2001, the Missouri state court stayed all cross-claims pending before it against the Company. The trial date for the Missouri state action has been set for December 2001.</w:t>
      </w:r>
    </w:p>
    <w:p>
      <w:pPr>
        <w:spacing w:after="0" w:line="345"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Central Garden v. Scotts &amp; Pharmacia, Northern District of California</w:t>
      </w:r>
    </w:p>
    <w:p>
      <w:pPr>
        <w:spacing w:after="0" w:line="199" w:lineRule="exact"/>
        <w:rPr>
          <w:sz w:val="20"/>
          <w:szCs w:val="20"/>
          <w:color w:val="auto"/>
        </w:rPr>
      </w:pPr>
    </w:p>
    <w:p>
      <w:pPr>
        <w:ind w:left="560" w:right="2779"/>
        <w:spacing w:after="0" w:line="273" w:lineRule="auto"/>
        <w:rPr>
          <w:sz w:val="20"/>
          <w:szCs w:val="20"/>
          <w:color w:val="auto"/>
        </w:rPr>
      </w:pPr>
      <w:r>
        <w:rPr>
          <w:rFonts w:ascii="Courier New" w:cs="Courier New" w:eastAsia="Courier New" w:hAnsi="Courier New"/>
          <w:sz w:val="14"/>
          <w:szCs w:val="14"/>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after a noticed hearing, the District Court dismissed all of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The trial date for the California federal action has been set for July 2002.</w:t>
      </w:r>
    </w:p>
    <w:p>
      <w:pPr>
        <w:sectPr>
          <w:pgSz w:w="11900" w:h="16838" w:orient="portrait"/>
          <w:cols w:equalWidth="0" w:num="1">
            <w:col w:w="9939"/>
          </w:cols>
          <w:pgMar w:left="520" w:top="290"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939"/>
          </w:cols>
          <w:pgMar w:left="520" w:top="290" w:right="1440" w:bottom="1440" w:gutter="0" w:footer="0" w:header="0"/>
          <w:type w:val="continuous"/>
        </w:sectPr>
      </w:pPr>
    </w:p>
    <w:bookmarkStart w:id="16" w:name="page17"/>
    <w:bookmarkEnd w:id="16"/>
    <w:p>
      <w:pPr>
        <w:ind w:left="285"/>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Central Garden v. Scotts &amp; Pharmacia, Contra Costa Superior Court</w:t>
      </w:r>
    </w:p>
    <w:p>
      <w:pPr>
        <w:spacing w:after="0" w:line="183"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On October 31, 2000, Central Garden filed a complaint against the Company and Pharmacia in the California Superior Court for Contra Costa County. That complaint seeks to assert the breach of contract claims previously dismissed by the District Court and additional claims under Section 17200 of the California Business and Professions Code. On December 4, 2000, the Company and Pharmacia jointly filed a motion to stay this action based on the pendency of prior lawsuits (including the two described above) that involve the same subject matter. By order dated February 23, 2001, the Superior Court stayed the action pending before it.</w:t>
      </w:r>
    </w:p>
    <w:p>
      <w:pPr>
        <w:spacing w:after="0" w:line="186"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On April 6, 2001, Central Garden filed a motion to lift the stay of the Contra Costa County action. The Company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remain stayed.</w:t>
      </w:r>
    </w:p>
    <w:p>
      <w:pPr>
        <w:spacing w:after="0" w:line="184" w:lineRule="exact"/>
        <w:rPr>
          <w:sz w:val="20"/>
          <w:szCs w:val="20"/>
          <w:color w:val="auto"/>
        </w:rPr>
      </w:pPr>
    </w:p>
    <w:p>
      <w:pPr>
        <w:ind w:left="845" w:right="2959"/>
        <w:spacing w:after="0" w:line="235" w:lineRule="auto"/>
        <w:rPr>
          <w:sz w:val="20"/>
          <w:szCs w:val="20"/>
          <w:color w:val="auto"/>
        </w:rPr>
      </w:pPr>
      <w:r>
        <w:rPr>
          <w:rFonts w:ascii="Courier New" w:cs="Courier New" w:eastAsia="Courier New" w:hAnsi="Courier New"/>
          <w:sz w:val="16"/>
          <w:szCs w:val="16"/>
          <w:color w:val="auto"/>
        </w:rPr>
        <w:t>The Company believes that all of Central Garden's federal and state claims are entirely without merit and it intends to vigorously defend against them.</w:t>
      </w:r>
    </w:p>
    <w:p>
      <w:pPr>
        <w:spacing w:after="0" w:line="177" w:lineRule="exact"/>
        <w:rPr>
          <w:sz w:val="20"/>
          <w:szCs w:val="20"/>
          <w:color w:val="auto"/>
        </w:rPr>
      </w:pPr>
    </w:p>
    <w:p>
      <w:pPr>
        <w:ind w:left="845" w:hanging="845"/>
        <w:spacing w:after="0"/>
        <w:tabs>
          <w:tab w:leader="none" w:pos="8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has adopted the guidance for the first quarter of fiscal 2001 and does not anticipate that the new accounting policy will impact fiscal 2001 results of operations.</w:t>
      </w:r>
    </w:p>
    <w:p>
      <w:pPr>
        <w:spacing w:after="0" w:line="185"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costs as advertising, promotion, or selling expenses. The Company adopted this guidance for the second quarter of fiscal 2001. The Company does not anticipate that the new accounting policy will impact fiscal 2001 results of operations.</w:t>
      </w:r>
    </w:p>
    <w:p>
      <w:pPr>
        <w:spacing w:after="0" w:line="185"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guidance is effective for the Company's first quarter of fiscal 2002. The Company does not anticipate that the new accounting policy will impact fiscal 2001 results of operations.</w:t>
      </w:r>
    </w:p>
    <w:p>
      <w:pPr>
        <w:spacing w:after="0" w:line="179"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divided into three reportable segments - North American Consumer, Global Professional and International Consumer. The North American Consumer segment consists of the Lawns, Gardens, Growing Media, Ortho, Lawn Service and Canadian business units. These segments differ from those used in the prior year due to the sale of the Company's professional turfgrass business in May 2000 and the resulting change in management reporting structure.</w:t>
      </w:r>
    </w:p>
    <w:p>
      <w:pPr>
        <w:spacing w:after="0" w:line="183" w:lineRule="exact"/>
        <w:rPr>
          <w:rFonts w:ascii="Courier New" w:cs="Courier New" w:eastAsia="Courier New" w:hAnsi="Courier New"/>
          <w:sz w:val="16"/>
          <w:szCs w:val="16"/>
          <w:color w:val="auto"/>
        </w:rPr>
      </w:pPr>
    </w:p>
    <w:p>
      <w:pPr>
        <w:ind w:left="845"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24"/>
          </w:cols>
          <w:pgMar w:left="235" w:top="29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left="840" w:right="3900"/>
        <w:spacing w:after="0" w:line="235" w:lineRule="auto"/>
        <w:rPr>
          <w:sz w:val="20"/>
          <w:szCs w:val="20"/>
          <w:color w:val="auto"/>
        </w:rPr>
      </w:pPr>
      <w:r>
        <w:rPr>
          <w:rFonts w:ascii="Courier New" w:cs="Courier New" w:eastAsia="Courier New" w:hAnsi="Courier New"/>
          <w:sz w:val="16"/>
          <w:szCs w:val="16"/>
          <w:color w:val="auto"/>
        </w:rPr>
        <w:t>plant foods, plant care products, and potting soils, barks, mulches and other growing media products, and pesticide products. Products are marketed to mass merchandisers, home improvement centers, large hardware chains, nurseries and garden centers.</w:t>
      </w:r>
    </w:p>
    <w:p>
      <w:pPr>
        <w:spacing w:after="0" w:line="185" w:lineRule="exact"/>
        <w:rPr>
          <w:sz w:val="20"/>
          <w:szCs w:val="20"/>
          <w:color w:val="auto"/>
        </w:rPr>
      </w:pPr>
    </w:p>
    <w:p>
      <w:pPr>
        <w:ind w:left="840" w:right="4180"/>
        <w:spacing w:after="0" w:line="275" w:lineRule="auto"/>
        <w:rPr>
          <w:sz w:val="20"/>
          <w:szCs w:val="20"/>
          <w:color w:val="auto"/>
        </w:rPr>
      </w:pPr>
      <w:r>
        <w:rPr>
          <w:rFonts w:ascii="Courier New" w:cs="Courier New" w:eastAsia="Courier New" w:hAnsi="Courier New"/>
          <w:sz w:val="14"/>
          <w:szCs w:val="14"/>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 Prior to June 2000, this segment also included the Company's North American professional turf business, which was sold in May 2000.</w:t>
      </w:r>
    </w:p>
    <w:p>
      <w:pPr>
        <w:spacing w:after="0" w:line="338" w:lineRule="exact"/>
        <w:rPr>
          <w:sz w:val="20"/>
          <w:szCs w:val="20"/>
          <w:color w:val="auto"/>
        </w:rPr>
      </w:pPr>
    </w:p>
    <w:p>
      <w:pPr>
        <w:ind w:left="840" w:right="3900"/>
        <w:spacing w:after="0" w:line="235" w:lineRule="auto"/>
        <w:rPr>
          <w:sz w:val="20"/>
          <w:szCs w:val="20"/>
          <w:color w:val="auto"/>
        </w:rPr>
      </w:pPr>
      <w:r>
        <w:rPr>
          <w:rFonts w:ascii="Courier New" w:cs="Courier New" w:eastAsia="Courier New" w:hAnsi="Courier New"/>
          <w:sz w:val="16"/>
          <w:szCs w:val="16"/>
          <w:color w:val="auto"/>
        </w:rPr>
        <w:t>The International Consumer segment provides products similar to those described above for the North American Consumer segment to consumers in countries other than the United States and Canada.</w:t>
      </w:r>
    </w:p>
    <w:p>
      <w:pPr>
        <w:spacing w:after="0" w:line="183" w:lineRule="exact"/>
        <w:rPr>
          <w:sz w:val="20"/>
          <w:szCs w:val="20"/>
          <w:color w:val="auto"/>
        </w:rPr>
      </w:pPr>
    </w:p>
    <w:p>
      <w:pPr>
        <w:ind w:left="840" w:right="4180"/>
        <w:spacing w:after="0" w:line="236"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Certain prior year amounts have been restated to conform with the Company's current segment presentation.</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72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North American</w:t>
            </w:r>
          </w:p>
        </w:tc>
        <w:tc>
          <w:tcPr>
            <w:tcW w:w="24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Global</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9"/>
              </w:rPr>
              <w:t>International</w:t>
            </w:r>
          </w:p>
        </w:tc>
        <w:tc>
          <w:tcPr>
            <w:tcW w:w="180" w:type="dxa"/>
            <w:vAlign w:val="bottom"/>
          </w:tcPr>
          <w:p>
            <w:pPr>
              <w:spacing w:after="0"/>
              <w:rPr>
                <w:sz w:val="15"/>
                <w:szCs w:val="15"/>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 Millions)</w:t>
            </w:r>
          </w:p>
        </w:tc>
        <w:tc>
          <w:tcPr>
            <w:tcW w:w="480" w:type="dxa"/>
            <w:vAlign w:val="bottom"/>
          </w:tcPr>
          <w:p>
            <w:pPr>
              <w:spacing w:after="0"/>
              <w:rPr>
                <w:sz w:val="15"/>
                <w:szCs w:val="15"/>
                <w:color w:val="auto"/>
              </w:rPr>
            </w:pPr>
          </w:p>
        </w:tc>
        <w:tc>
          <w:tcPr>
            <w:tcW w:w="12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3"/>
              </w:rPr>
              <w:t>Consumer</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Professional</w:t>
            </w:r>
          </w:p>
        </w:tc>
        <w:tc>
          <w:tcPr>
            <w:tcW w:w="240" w:type="dxa"/>
            <w:vAlign w:val="bottom"/>
          </w:tcPr>
          <w:p>
            <w:pPr>
              <w:spacing w:after="0"/>
              <w:rPr>
                <w:sz w:val="15"/>
                <w:szCs w:val="15"/>
                <w:color w:val="auto"/>
              </w:rPr>
            </w:pPr>
          </w:p>
        </w:tc>
        <w:tc>
          <w:tcPr>
            <w:tcW w:w="1260" w:type="dxa"/>
            <w:vAlign w:val="bottom"/>
          </w:tcPr>
          <w:p>
            <w:pPr>
              <w:spacing w:after="0" w:line="179" w:lineRule="exact"/>
              <w:rPr>
                <w:sz w:val="20"/>
                <w:szCs w:val="20"/>
                <w:color w:val="auto"/>
              </w:rPr>
            </w:pPr>
            <w:r>
              <w:rPr>
                <w:rFonts w:ascii="Courier New" w:cs="Courier New" w:eastAsia="Courier New" w:hAnsi="Courier New"/>
                <w:sz w:val="16"/>
                <w:szCs w:val="16"/>
                <w:color w:val="auto"/>
              </w:rPr>
              <w:t>Consumer</w:t>
            </w:r>
          </w:p>
        </w:tc>
        <w:tc>
          <w:tcPr>
            <w:tcW w:w="180" w:type="dxa"/>
            <w:vAlign w:val="bottom"/>
          </w:tcPr>
          <w:p>
            <w:pPr>
              <w:spacing w:after="0"/>
              <w:rPr>
                <w:sz w:val="15"/>
                <w:szCs w:val="15"/>
                <w:color w:val="auto"/>
              </w:rPr>
            </w:pPr>
          </w:p>
        </w:tc>
        <w:tc>
          <w:tcPr>
            <w:tcW w:w="12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Corporate</w:t>
            </w:r>
          </w:p>
        </w:tc>
        <w:tc>
          <w:tcPr>
            <w:tcW w:w="3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4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172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240" w:type="dxa"/>
            <w:vAlign w:val="bottom"/>
          </w:tcPr>
          <w:p>
            <w:pPr>
              <w:spacing w:after="0"/>
              <w:rPr>
                <w:sz w:val="15"/>
                <w:szCs w:val="15"/>
                <w:color w:val="auto"/>
              </w:rPr>
            </w:pPr>
          </w:p>
        </w:tc>
        <w:tc>
          <w:tcPr>
            <w:tcW w:w="1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2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SALES: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648.0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92.7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148.4</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889.1</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640.5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89.8</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149.7</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880.0</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Q2...................................</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574.1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57.5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108.4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740.0</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Q2...................................</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537.6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54.4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101.9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693.9</w:t>
            </w:r>
          </w:p>
        </w:tc>
      </w:tr>
      <w:tr>
        <w:trPr>
          <w:trHeight w:val="358"/>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123.4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11.8</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(43.8)</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103.9</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126.8</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(49.2)</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104.4</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Q2...................................</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(23.3)</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167.9</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Q2...................................</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130.4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17.6</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(25.4)</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132.5</w:t>
            </w:r>
          </w:p>
        </w:tc>
      </w:tr>
      <w:tr>
        <w:trPr>
          <w:trHeight w:val="358"/>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OPERATING MARGIN:</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19.0%</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13.5%</w:t>
            </w:r>
          </w:p>
        </w:tc>
        <w:tc>
          <w:tcPr>
            <w:tcW w:w="24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w:t>
            </w:r>
          </w:p>
        </w:tc>
        <w:tc>
          <w:tcPr>
            <w:tcW w:w="180" w:type="dxa"/>
            <w:vAlign w:val="bottom"/>
          </w:tcPr>
          <w:p>
            <w:pPr>
              <w:spacing w:after="0"/>
              <w:rPr>
                <w:sz w:val="15"/>
                <w:szCs w:val="15"/>
                <w:color w:val="auto"/>
              </w:rPr>
            </w:pP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nm</w:t>
            </w:r>
          </w:p>
        </w:tc>
        <w:tc>
          <w:tcPr>
            <w:tcW w:w="3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19.8%</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14.4%</w:t>
            </w:r>
          </w:p>
        </w:tc>
        <w:tc>
          <w:tcPr>
            <w:tcW w:w="24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9.3%</w:t>
            </w:r>
          </w:p>
        </w:tc>
        <w:tc>
          <w:tcPr>
            <w:tcW w:w="180" w:type="dxa"/>
            <w:vAlign w:val="bottom"/>
          </w:tcPr>
          <w:p>
            <w:pPr>
              <w:spacing w:after="0"/>
              <w:rPr>
                <w:sz w:val="15"/>
                <w:szCs w:val="15"/>
                <w:color w:val="auto"/>
              </w:rPr>
            </w:pP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nm</w:t>
            </w:r>
          </w:p>
        </w:tc>
        <w:tc>
          <w:tcPr>
            <w:tcW w:w="3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Q2...................................</w:t>
            </w:r>
          </w:p>
        </w:tc>
        <w:tc>
          <w:tcPr>
            <w:tcW w:w="480" w:type="dxa"/>
            <w:vAlign w:val="bottom"/>
          </w:tcPr>
          <w:p>
            <w:pPr>
              <w:spacing w:after="0"/>
              <w:rPr>
                <w:sz w:val="24"/>
                <w:szCs w:val="24"/>
                <w:color w:val="auto"/>
              </w:rPr>
            </w:pPr>
          </w:p>
        </w:tc>
        <w:tc>
          <w:tcPr>
            <w:tcW w:w="12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27.7%</w:t>
            </w:r>
          </w:p>
        </w:tc>
        <w:tc>
          <w:tcPr>
            <w:tcW w:w="24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20.7%</w:t>
            </w:r>
          </w:p>
        </w:tc>
        <w:tc>
          <w:tcPr>
            <w:tcW w:w="24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18.9%</w:t>
            </w:r>
          </w:p>
        </w:tc>
        <w:tc>
          <w:tcPr>
            <w:tcW w:w="18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Courier New" w:cs="Courier New" w:eastAsia="Courier New" w:hAnsi="Courier New"/>
                <w:sz w:val="16"/>
                <w:szCs w:val="16"/>
                <w:color w:val="auto"/>
              </w:rPr>
              <w:t>nm</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Q2...................................</w:t>
            </w:r>
          </w:p>
        </w:tc>
        <w:tc>
          <w:tcPr>
            <w:tcW w:w="48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24.3%</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18.2%</w:t>
            </w:r>
          </w:p>
        </w:tc>
        <w:tc>
          <w:tcPr>
            <w:tcW w:w="24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17.3%</w:t>
            </w:r>
          </w:p>
        </w:tc>
        <w:tc>
          <w:tcPr>
            <w:tcW w:w="180" w:type="dxa"/>
            <w:vAlign w:val="bottom"/>
          </w:tcPr>
          <w:p>
            <w:pPr>
              <w:spacing w:after="0"/>
              <w:rPr>
                <w:sz w:val="15"/>
                <w:szCs w:val="15"/>
                <w:color w:val="auto"/>
              </w:rPr>
            </w:pPr>
          </w:p>
        </w:tc>
        <w:tc>
          <w:tcPr>
            <w:tcW w:w="12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nm</w:t>
            </w:r>
          </w:p>
        </w:tc>
        <w:tc>
          <w:tcPr>
            <w:tcW w:w="3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w:t>
            </w:r>
          </w:p>
        </w:tc>
      </w:tr>
      <w:tr>
        <w:trPr>
          <w:trHeight w:val="358"/>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TYD..................................</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1,526.4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166.6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539.6</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114.3</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2,346.9</w:t>
            </w: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YTD..................................</w:t>
            </w:r>
          </w:p>
        </w:tc>
        <w:tc>
          <w:tcPr>
            <w:tcW w:w="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1,519.3</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132.5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514.8</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103.3</w:t>
            </w:r>
          </w:p>
        </w:tc>
        <w:tc>
          <w:tcPr>
            <w:tcW w:w="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2,269.9</w:t>
            </w:r>
          </w:p>
        </w:tc>
      </w:tr>
      <w:tr>
        <w:trPr>
          <w:trHeight w:val="537"/>
        </w:trPr>
        <w:tc>
          <w:tcPr>
            <w:tcW w:w="460" w:type="dxa"/>
            <w:vAlign w:val="bottom"/>
          </w:tcPr>
          <w:p>
            <w:pPr>
              <w:spacing w:after="0"/>
              <w:rPr>
                <w:sz w:val="20"/>
                <w:szCs w:val="20"/>
                <w:color w:val="auto"/>
              </w:rPr>
            </w:pPr>
            <w:r>
              <w:rPr>
                <w:rFonts w:ascii="Courier New" w:cs="Courier New" w:eastAsia="Courier New" w:hAnsi="Courier New"/>
                <w:sz w:val="16"/>
                <w:szCs w:val="16"/>
                <w:color w:val="auto"/>
              </w:rPr>
              <w:t>nm</w:t>
            </w:r>
          </w:p>
        </w:tc>
        <w:tc>
          <w:tcPr>
            <w:tcW w:w="3620" w:type="dxa"/>
            <w:vAlign w:val="bottom"/>
          </w:tcPr>
          <w:p>
            <w:pPr>
              <w:ind w:left="380"/>
              <w:spacing w:after="0"/>
              <w:rPr>
                <w:sz w:val="20"/>
                <w:szCs w:val="20"/>
                <w:color w:val="auto"/>
              </w:rPr>
            </w:pPr>
            <w:r>
              <w:rPr>
                <w:rFonts w:ascii="Courier New" w:cs="Courier New" w:eastAsia="Courier New" w:hAnsi="Courier New"/>
                <w:sz w:val="16"/>
                <w:szCs w:val="16"/>
                <w:color w:val="auto"/>
              </w:rPr>
              <w:t>Not meaningful.</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83" w:lineRule="exact"/>
        <w:rPr>
          <w:sz w:val="20"/>
          <w:szCs w:val="20"/>
          <w:color w:val="auto"/>
        </w:rPr>
      </w:pPr>
    </w:p>
    <w:p>
      <w:pPr>
        <w:ind w:left="840" w:right="3900"/>
        <w:spacing w:after="0" w:line="236" w:lineRule="auto"/>
        <w:rPr>
          <w:sz w:val="20"/>
          <w:szCs w:val="20"/>
          <w:color w:val="auto"/>
        </w:rPr>
      </w:pPr>
      <w:r>
        <w:rPr>
          <w:rFonts w:ascii="Courier New" w:cs="Courier New" w:eastAsia="Courier New" w:hAnsi="Courier New"/>
          <w:sz w:val="16"/>
          <w:szCs w:val="16"/>
          <w:color w:val="auto"/>
        </w:rPr>
        <w:t>Operating income reported for the Company's three operating segments represents earnings before amortization of intangible assets, interest and taxes, since this is the measure of profitability used by management. Accordingly, corporate operating income for the three and six months ended March 31, 2001 and April 1, 2000 includes amortization of certain intangible assets, corporate general and administrative expenses, and certain "other" income/expense not allocated to the business segments.</w:t>
      </w:r>
    </w:p>
    <w:p>
      <w:pPr>
        <w:spacing w:after="0" w:line="184" w:lineRule="exact"/>
        <w:rPr>
          <w:sz w:val="20"/>
          <w:szCs w:val="20"/>
          <w:color w:val="auto"/>
        </w:rPr>
      </w:pPr>
    </w:p>
    <w:p>
      <w:pPr>
        <w:ind w:left="840" w:right="3900"/>
        <w:spacing w:after="0" w:line="279"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ectPr>
          <w:pgSz w:w="11900" w:h="16838" w:orient="portrait"/>
          <w:cols w:equalWidth="0" w:num="1">
            <w:col w:w="11340"/>
          </w:cols>
          <w:pgMar w:left="240" w:top="29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340"/>
          </w:cols>
          <w:pgMar w:left="240" w:top="290" w:right="319" w:bottom="1440" w:gutter="0" w:footer="0" w:header="0"/>
          <w:type w:val="continuous"/>
        </w:sectPr>
      </w:pPr>
    </w:p>
    <w:bookmarkStart w:id="18" w:name="page19"/>
    <w:bookmarkEnd w:id="18"/>
    <w:p>
      <w:pPr>
        <w:ind w:left="285"/>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left="845" w:hanging="845"/>
        <w:spacing w:after="0"/>
        <w:tabs>
          <w:tab w:leader="none" w:pos="84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FOR SUBSIDIARY GUARANTORS AND NON-GUARANTORS</w:t>
      </w:r>
    </w:p>
    <w:p>
      <w:pPr>
        <w:spacing w:after="0" w:line="182" w:lineRule="exact"/>
        <w:rPr>
          <w:rFonts w:ascii="Courier New" w:cs="Courier New" w:eastAsia="Courier New" w:hAnsi="Courier New"/>
          <w:sz w:val="16"/>
          <w:szCs w:val="16"/>
          <w:color w:val="auto"/>
        </w:rPr>
      </w:pPr>
    </w:p>
    <w:p>
      <w:pPr>
        <w:ind w:left="845" w:right="27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January 1999, the Company issued $330 million of 8 5/8% Senior Subordinated Notes due 2009 to qualified institutional buyers under the provisions of Rule 144A of the Securities Act of 1933. During the first quarter of fiscal 2001, the Company completed the registration of an exchange offer for these Notes under the Securities Act.</w:t>
      </w:r>
    </w:p>
    <w:p>
      <w:pPr>
        <w:spacing w:after="0" w:line="161"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rFonts w:ascii="Courier New" w:cs="Courier New" w:eastAsia="Courier New" w:hAnsi="Courier New"/>
          <w:sz w:val="16"/>
          <w:szCs w:val="16"/>
          <w:color w:val="auto"/>
        </w:rPr>
      </w:pPr>
    </w:p>
    <w:p>
      <w:pPr>
        <w:ind w:left="845" w:right="295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following unaudited information presents consolidating statements of operations, statements of cash flows and balance sheets for the three and six-month periods ended March 31, 2001 and April 1, 2000.</w:t>
      </w:r>
    </w:p>
    <w:p>
      <w:pPr>
        <w:spacing w:after="0" w:line="154" w:lineRule="exact"/>
        <w:rPr>
          <w:rFonts w:ascii="Courier New" w:cs="Courier New" w:eastAsia="Courier New" w:hAnsi="Courier New"/>
          <w:sz w:val="16"/>
          <w:szCs w:val="16"/>
          <w:color w:val="auto"/>
        </w:rPr>
      </w:pPr>
    </w:p>
    <w:p>
      <w:pPr>
        <w:ind w:left="84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unaudited financial statements of the individual guarantor subsidiaries have not been provided because management does not believe they would be meaningful to investors.</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4"/>
          </w:cols>
          <w:pgMar w:left="235" w:top="29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36" w:lineRule="auto"/>
        <w:rPr>
          <w:sz w:val="20"/>
          <w:szCs w:val="20"/>
          <w:color w:val="auto"/>
        </w:rPr>
      </w:pPr>
      <w:r>
        <w:rPr>
          <w:rFonts w:ascii="Courier New" w:cs="Courier New" w:eastAsia="Courier New" w:hAnsi="Courier New"/>
          <w:sz w:val="16"/>
          <w:szCs w:val="16"/>
          <w:color w:val="auto"/>
        </w:rPr>
        <w:t>STATEMENT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MARCH 31, 2001 (IN MILLIONS)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320" w:type="dxa"/>
            <w:vAlign w:val="bottom"/>
          </w:tcPr>
          <w:p>
            <w:pPr>
              <w:spacing w:after="0"/>
              <w:rPr>
                <w:sz w:val="15"/>
                <w:szCs w:val="15"/>
                <w:color w:val="auto"/>
              </w:rPr>
            </w:pPr>
          </w:p>
        </w:tc>
        <w:tc>
          <w:tcPr>
            <w:tcW w:w="9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NON-</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0"/>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GUARANTORS</w:t>
            </w:r>
          </w:p>
        </w:tc>
        <w:tc>
          <w:tcPr>
            <w:tcW w:w="13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0"/>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Net sales..........................................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467.7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122.3</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740.0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289.4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44.6</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86.9</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420.9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178.3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77.7</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63.1</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319.1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Costs associated with agency agreement.............</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commission..................................</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w:t>
            </w:r>
          </w:p>
        </w:tc>
      </w:tr>
      <w:tr>
        <w:trPr>
          <w:trHeight w:val="179"/>
        </w:trPr>
        <w:tc>
          <w:tcPr>
            <w:tcW w:w="4840" w:type="dxa"/>
            <w:vAlign w:val="bottom"/>
          </w:tcPr>
          <w:p>
            <w:pPr>
              <w:jc w:val="right"/>
              <w:ind w:right="3002"/>
              <w:spacing w:after="0" w:line="179" w:lineRule="exact"/>
              <w:rPr>
                <w:sz w:val="20"/>
                <w:szCs w:val="20"/>
                <w:color w:val="auto"/>
              </w:rPr>
            </w:pPr>
            <w:r>
              <w:rPr>
                <w:rFonts w:ascii="Courier New" w:cs="Courier New" w:eastAsia="Courier New" w:hAnsi="Courier New"/>
                <w:sz w:val="16"/>
                <w:szCs w:val="16"/>
                <w:color w:val="auto"/>
                <w:w w:val="95"/>
              </w:rPr>
              <w:t>Operating 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15.1</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54.2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7.4</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27.4</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89.0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 and other intangibles..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Equity income in subsidiaries......................</w:t>
            </w: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49.4</w:t>
            </w: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allocations...........................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(income) expense, net .......................</w:t>
            </w: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131.5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68.4</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17.4</w:t>
            </w:r>
          </w:p>
        </w:tc>
        <w:tc>
          <w:tcPr>
            <w:tcW w:w="4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w:t>
            </w: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167.9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Interest (income) expense..........................</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22.8</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26.1</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108.7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72.1</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10.4</w:t>
            </w:r>
          </w:p>
        </w:tc>
        <w:tc>
          <w:tcPr>
            <w:tcW w:w="4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w:t>
            </w: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28.9</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84.8</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43.2</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84.8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SIX MONTHS ENDED MARCH 31, 2001 (IN MILLIONS)</w:t>
      </w:r>
    </w:p>
    <w:p>
      <w:pPr>
        <w:spacing w:after="0" w:line="236"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32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NON-</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0"/>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13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0"/>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3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Net sales..........................................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517.9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162.8</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208.4</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889.1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316.6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95.6</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123.2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535.4</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201.3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67.2</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85.2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353.7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Costs associated with agency agreement.............</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commission..................................</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w:t>
            </w:r>
          </w:p>
        </w:tc>
      </w:tr>
      <w:tr>
        <w:trPr>
          <w:trHeight w:val="179"/>
        </w:trPr>
        <w:tc>
          <w:tcPr>
            <w:tcW w:w="4840" w:type="dxa"/>
            <w:vAlign w:val="bottom"/>
          </w:tcPr>
          <w:p>
            <w:pPr>
              <w:jc w:val="right"/>
              <w:ind w:right="3002"/>
              <w:spacing w:after="0" w:line="179" w:lineRule="exact"/>
              <w:rPr>
                <w:sz w:val="20"/>
                <w:szCs w:val="20"/>
                <w:color w:val="auto"/>
              </w:rPr>
            </w:pPr>
            <w:r>
              <w:rPr>
                <w:rFonts w:ascii="Courier New" w:cs="Courier New" w:eastAsia="Courier New" w:hAnsi="Courier New"/>
                <w:sz w:val="16"/>
                <w:szCs w:val="16"/>
                <w:color w:val="auto"/>
                <w:w w:val="95"/>
              </w:rPr>
              <w:t>Operating 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56.7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98.2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12.9</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53.6</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164.7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 and other intangibles..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7.1</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Equity income in subsidiaries......................</w:t>
            </w: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27.7</w:t>
            </w: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allocations...........................</w:t>
            </w: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(income) expense, net .......................</w:t>
            </w: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47.8</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(27.7)</w:t>
            </w: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Interest (income) expense..........................</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42.6</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w:t>
            </w:r>
          </w:p>
        </w:tc>
        <w:tc>
          <w:tcPr>
            <w:tcW w:w="32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47.4</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55.2</w:t>
            </w:r>
          </w:p>
        </w:tc>
        <w:tc>
          <w:tcPr>
            <w:tcW w:w="32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(27.7)</w:t>
            </w: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22.4</w:t>
            </w:r>
          </w:p>
        </w:tc>
        <w:tc>
          <w:tcPr>
            <w:tcW w:w="32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33.6</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32.8</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(27.7)</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340"/>
          </w:cols>
          <w:pgMar w:left="240" w:top="290" w:right="319" w:bottom="1440" w:gutter="0" w:footer="0" w:header="0"/>
        </w:sectPr>
      </w:pP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340"/>
          </w:cols>
          <w:pgMar w:left="240" w:top="290" w:right="319"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237" w:lineRule="auto"/>
        <w:rPr>
          <w:sz w:val="20"/>
          <w:szCs w:val="20"/>
          <w:color w:val="auto"/>
        </w:rPr>
      </w:pPr>
      <w:r>
        <w:rPr>
          <w:rFonts w:ascii="Courier New" w:cs="Courier New" w:eastAsia="Courier New" w:hAnsi="Courier New"/>
          <w:sz w:val="16"/>
          <w:szCs w:val="16"/>
          <w:color w:val="auto"/>
        </w:rPr>
        <w:t>FOR THE SIX MONTH PERIOD ENDED MARCH 31, 2001 (IN MILLIONS)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NON-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GUARANTORS</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ELIMINATIONS</w:t>
            </w:r>
          </w:p>
        </w:tc>
        <w:tc>
          <w:tcPr>
            <w:tcW w:w="1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50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(loss)....................................</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33.6</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32.8</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(27.7)</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33.6</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Adjustments to reconcile net income (loss) to net cash</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used in operating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w:t>
            </w:r>
          </w:p>
        </w:tc>
        <w:tc>
          <w:tcPr>
            <w:tcW w:w="38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13.0</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8.3</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31.9</w:t>
            </w: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Equity income in subsidiaries.....................</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(27.7)</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27.7</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working capital................................</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(177.5)</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(102.2)</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(84.7)</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(364.4)</w:t>
            </w: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liabilities and other adjustments..............</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(11.7)</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0.8</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cash used in operating activities................</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(158.0)</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(68.1)</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(80.7)</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(306.8)</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Investment in property, plant and equipment..........</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(20.4)</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(26.7)</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in acquired businesses, net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of cash acquired..................................</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(0.1)</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(11.7)</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(12.2)</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cash used in investing activities................</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(38.9)</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borrowings and repayments under</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revolving and bank lines of credit................</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228.5</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147.8</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376.3</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Gross borrowings under term loans....................</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260.0</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260.0</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Gross repayments under term loans....................</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(257.5)</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(46.8)</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(304.3)</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Financing and issuance fees..........................</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Cash received from exercise of stock options.........</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Intracompany financing...............................</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(66.6)</w:t>
            </w:r>
          </w:p>
        </w:tc>
        <w:tc>
          <w:tcPr>
            <w:tcW w:w="38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68.7</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 net...........................................</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(8.6)</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cash provided by financing activities............</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173.4</w:t>
            </w:r>
          </w:p>
        </w:tc>
        <w:tc>
          <w:tcPr>
            <w:tcW w:w="38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66.9</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90.3</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330.6</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Effect of exchange rate changes on cash..............</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decrease in cash ................................</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w:t>
            </w:r>
          </w:p>
        </w:tc>
        <w:tc>
          <w:tcPr>
            <w:tcW w:w="3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(15.2)</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Cash and cash equivalents, beginning of period.......</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16.0</w:t>
            </w:r>
          </w:p>
        </w:tc>
        <w:tc>
          <w:tcPr>
            <w:tcW w:w="38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12.3</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33.0</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Cash and cash equivalents, end of period.............</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17.8</w:t>
            </w:r>
          </w:p>
        </w:tc>
      </w:tr>
      <w:tr>
        <w:trPr>
          <w:trHeight w:val="179"/>
        </w:trPr>
        <w:tc>
          <w:tcPr>
            <w:tcW w:w="5060" w:type="dxa"/>
            <w:vAlign w:val="bottom"/>
          </w:tcPr>
          <w:p>
            <w:pPr>
              <w:spacing w:after="0"/>
              <w:rPr>
                <w:sz w:val="15"/>
                <w:szCs w:val="15"/>
                <w:color w:val="auto"/>
              </w:rPr>
            </w:pP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716"/>
        </w:trPr>
        <w:tc>
          <w:tcPr>
            <w:tcW w:w="5060" w:type="dxa"/>
            <w:vAlign w:val="bottom"/>
          </w:tcPr>
          <w:p>
            <w:pPr>
              <w:ind w:left="3620"/>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22</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37"/>
        </w:trPr>
        <w:tc>
          <w:tcPr>
            <w:tcW w:w="5020" w:type="dxa"/>
            <w:vAlign w:val="bottom"/>
          </w:tcPr>
          <w:p>
            <w:pPr>
              <w:spacing w:after="0"/>
              <w:rPr>
                <w:sz w:val="20"/>
                <w:szCs w:val="20"/>
                <w:color w:val="auto"/>
              </w:rPr>
            </w:pPr>
            <w:r>
              <w:rPr>
                <w:rFonts w:ascii="Courier New" w:cs="Courier New" w:eastAsia="Courier New" w:hAnsi="Courier New"/>
                <w:sz w:val="16"/>
                <w:szCs w:val="16"/>
                <w:color w:val="auto"/>
              </w:rPr>
              <w:t>THE SCOTTS COMPANY</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AS OF MARCH 31, 2001 (IN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16"/>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24"/>
                <w:szCs w:val="24"/>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NON-</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GUARANTORS</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ELIMINATIONS</w:t>
            </w:r>
          </w:p>
        </w:tc>
        <w:tc>
          <w:tcPr>
            <w:tcW w:w="1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50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w:t>
            </w:r>
          </w:p>
        </w:tc>
        <w:tc>
          <w:tcPr>
            <w:tcW w:w="140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Accounts receivable, net.............................</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367.8</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112.8</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212.4</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693.0</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Inventories, net.....................................</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241.0</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78.6</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82.4</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402.0</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Current deferred tax asset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(0.9)</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27.6</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Prepaid and other assets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18.7</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67.1</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5"/>
                <w:szCs w:val="15"/>
                <w:color w:val="auto"/>
              </w:rPr>
            </w:pP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current assets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693.6</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194.2</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319.7</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1,207.5</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Property, plant and equipment,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185.4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73.7</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37.9</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297.0</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Intangible assets,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462.7</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277.1</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770.0</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 assets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72.4</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Investment in affiliates.............................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868.1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(868.1)</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Intracompany assets..................................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121.9</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(121.9)</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$ 1,833.5</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858.8</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644.6</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(990.0)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2,346.9</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Short-term debt...................................</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104.9</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25.2</w:t>
            </w:r>
          </w:p>
        </w:tc>
        <w:tc>
          <w:tcPr>
            <w:tcW w:w="140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132.5</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Accounts payable.....................................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147.3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57.5</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98.9</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303.7</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Accrued liabilities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187.7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24.6</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53.7</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266.0</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5"/>
                <w:szCs w:val="15"/>
                <w:color w:val="auto"/>
              </w:rPr>
            </w:pP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current liabilities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439.9</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84.5</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177.8</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702.2</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Long-term debt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711.2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360.4</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1,075.7</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 liabilities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34.5</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15.3</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49.8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Intracompany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107.9</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14.0</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(121.9)</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1,293.5</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88.6</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567.5</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(121.9)</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1,827.7</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Investment 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488.4</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60.1</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(548.5)</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no par value per share, $.01 stated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value per share...................................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Capital in excess of par value.......................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390.6</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390.6</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Retained earnings....................................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230.4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284.8</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34.8</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(319.6)</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230.4</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Treasury stock, 3.4 shares at cost...................</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(74.6)</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(74.6)</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Accumulated other comprehensive expense..............</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(17.8)</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(27.5)</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shareholders' equity...........................</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540.0</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770.2</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77.1</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(868.1)</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519.2</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liabilities and shareholders' equity...........</w:t>
            </w: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$ 1,833.5</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858.8</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644.6</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(990.0)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2,346.9</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894"/>
        </w:trPr>
        <w:tc>
          <w:tcPr>
            <w:tcW w:w="5020" w:type="dxa"/>
            <w:vAlign w:val="bottom"/>
          </w:tcPr>
          <w:p>
            <w:pPr>
              <w:ind w:left="3620"/>
              <w:spacing w:after="0"/>
              <w:rPr>
                <w:sz w:val="20"/>
                <w:szCs w:val="20"/>
                <w:color w:val="auto"/>
              </w:rPr>
            </w:pPr>
            <w:r>
              <w:rPr>
                <w:rFonts w:ascii="Courier New" w:cs="Courier New" w:eastAsia="Courier New" w:hAnsi="Courier New"/>
                <w:sz w:val="16"/>
                <w:szCs w:val="16"/>
                <w:color w:val="auto"/>
              </w:rPr>
              <w:t>22</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520"/>
          </w:cols>
          <w:pgMar w:left="240" w:top="290" w:right="1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36" w:lineRule="auto"/>
        <w:rPr>
          <w:sz w:val="20"/>
          <w:szCs w:val="20"/>
          <w:color w:val="auto"/>
        </w:rPr>
      </w:pPr>
      <w:r>
        <w:rPr>
          <w:rFonts w:ascii="Courier New" w:cs="Courier New" w:eastAsia="Courier New" w:hAnsi="Courier New"/>
          <w:sz w:val="16"/>
          <w:szCs w:val="16"/>
          <w:color w:val="auto"/>
        </w:rPr>
        <w:t>STATEMENT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APRIL 1, 2000 (IN MILLIONS)</w:t>
      </w:r>
    </w:p>
    <w:p>
      <w:pPr>
        <w:spacing w:after="0" w:line="236"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3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GUARANTORS</w:t>
            </w:r>
          </w:p>
        </w:tc>
        <w:tc>
          <w:tcPr>
            <w:tcW w:w="28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ELIMINATIONS</w:t>
            </w:r>
          </w:p>
        </w:tc>
        <w:tc>
          <w:tcPr>
            <w:tcW w:w="20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20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w w:val="98"/>
              </w:rPr>
              <w:t>Net sales............................................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421.5</w:t>
            </w:r>
          </w:p>
        </w:tc>
        <w:tc>
          <w:tcPr>
            <w:tcW w:w="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133.2</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139.2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693.9</w:t>
            </w:r>
          </w:p>
        </w:tc>
      </w:tr>
      <w:tr>
        <w:trPr>
          <w:trHeight w:val="179"/>
        </w:trPr>
        <w:tc>
          <w:tcPr>
            <w:tcW w:w="50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Cost of sales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252.8</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80.9</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407.3</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Gross profit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168.7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58.3</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286.6</w:t>
            </w:r>
          </w:p>
        </w:tc>
      </w:tr>
      <w:tr>
        <w:trPr>
          <w:trHeight w:val="179"/>
        </w:trPr>
        <w:tc>
          <w:tcPr>
            <w:tcW w:w="50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Gross commission earned from agency agreement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9.0</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associated with</w:t>
            </w:r>
          </w:p>
        </w:tc>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agency agreement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Net commission....................................</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28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6.9</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44.6</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15.2</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71.4</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53.9</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24.0</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84.4</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 and other intangibles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7.7</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Equity income in subsidiaries........................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(28.2)</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28.2</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allocations.............................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4.8</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(income) expense,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111.1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37.3</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12.3</w:t>
            </w:r>
          </w:p>
        </w:tc>
        <w:tc>
          <w:tcPr>
            <w:tcW w:w="2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(28.2)</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132.5</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Interest (income) expense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23.7</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5.8</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25.9</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87.4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40.9</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w:t>
            </w:r>
          </w:p>
        </w:tc>
        <w:tc>
          <w:tcPr>
            <w:tcW w:w="2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(28.2)</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106.6</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24.0</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43.2</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63.4</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24.3</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(28.2)</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63.4</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FOR THE SIX MONTHS ENDED APRIL 1, 2000 (IN MILLIONS)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16"/>
        </w:trPr>
        <w:tc>
          <w:tcPr>
            <w:tcW w:w="2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24"/>
                <w:szCs w:val="24"/>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3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GUARANTORS</w:t>
            </w:r>
          </w:p>
        </w:tc>
        <w:tc>
          <w:tcPr>
            <w:tcW w:w="13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ELIMINATIONS</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CONSOLIDATED</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50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6"/>
              </w:rPr>
              <w:t>Net sales............................................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499.5</w:t>
            </w:r>
          </w:p>
        </w:tc>
        <w:tc>
          <w:tcPr>
            <w:tcW w:w="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174.2</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206.3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880.0</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Cost of sales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303.8</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101.6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119.1</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524.5</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profit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195.7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87.2</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355.5</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associated with</w:t>
            </w:r>
          </w:p>
        </w:tc>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agency agreement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Net commission....................................</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280" w:type="dxa"/>
            <w:vAlign w:val="bottom"/>
          </w:tcPr>
          <w:p>
            <w:pPr>
              <w:spacing w:after="0"/>
              <w:rPr>
                <w:sz w:val="15"/>
                <w:szCs w:val="15"/>
                <w:color w:val="auto"/>
              </w:rPr>
            </w:pP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13.9</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23.4</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89.6</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47.2</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153.1</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 and other intangibles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13.8</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Equity income in subsidiaries........................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(22.7)</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22.7</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allocations.............................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(income) expense,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(3.6)</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80.6</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40.0</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w:t>
            </w:r>
          </w:p>
        </w:tc>
        <w:tc>
          <w:tcPr>
            <w:tcW w:w="2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(22.7)</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104.4</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Interest (income) expense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41.3</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49.6</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43.7</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w:t>
            </w:r>
          </w:p>
        </w:tc>
        <w:tc>
          <w:tcPr>
            <w:tcW w:w="2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(22.7)</w:t>
            </w:r>
          </w:p>
        </w:tc>
        <w:tc>
          <w:tcPr>
            <w:tcW w:w="20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54.8</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17.7</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22.2</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32.6</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26.0</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(22.7)</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32.6</w:t>
            </w:r>
          </w:p>
        </w:tc>
      </w:tr>
      <w:tr>
        <w:trPr>
          <w:trHeight w:val="179"/>
        </w:trPr>
        <w:tc>
          <w:tcPr>
            <w:tcW w:w="2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520"/>
          </w:cols>
          <w:pgMar w:left="240" w:top="290" w:right="1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20"/>
          </w:cols>
          <w:pgMar w:left="240" w:top="290" w:right="139"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237" w:lineRule="auto"/>
        <w:rPr>
          <w:sz w:val="20"/>
          <w:szCs w:val="20"/>
          <w:color w:val="auto"/>
        </w:rPr>
      </w:pPr>
      <w:r>
        <w:rPr>
          <w:rFonts w:ascii="Courier New" w:cs="Courier New" w:eastAsia="Courier New" w:hAnsi="Courier New"/>
          <w:sz w:val="16"/>
          <w:szCs w:val="16"/>
          <w:color w:val="auto"/>
        </w:rPr>
        <w:t>FOR THE SIX MONTH PERIOD ENDED APRIL 1, 2000 (IN MILLIONS)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NON-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GUARANTORS</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ELIMINATIONS</w:t>
            </w:r>
          </w:p>
        </w:tc>
        <w:tc>
          <w:tcPr>
            <w:tcW w:w="1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502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32.6</w:t>
            </w:r>
          </w:p>
        </w:tc>
        <w:tc>
          <w:tcPr>
            <w:tcW w:w="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26.0</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32.6</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reconcile net loss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cash used in operating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32.6</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Loss on sale of property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Equity income.....................................</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(22.7)</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22.7</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change in certain components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of working capital ...............................</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(155.3)</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(79.9)</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(36.2)</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(271.4)</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liabilities and other adjustments.................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cash used in operating activities................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(132.6)</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(50.8)</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(30.9)</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(214.3)</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Investment in property, plant and equipment..........</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(20.1)</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acquired businesses, net of 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acquired..........................................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cash used in investing activities................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borrowings under revolving</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8"/>
              </w:rPr>
              <w:t>and bank lines of credit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248.4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36.9</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286.5</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Gross repayments under term loans.................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(11.4)</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Payments to preferred shareholders................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Repurchase of treasury shares.....................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(23.9)</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(23.9)</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Intracompany financing ...........................</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49.3</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9.1</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Cash received from the exercise of stock options..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5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Other, net........................................</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cash provided by financing activities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155.3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50.5</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28.6</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234.4</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Effect of exchange rate changes on cash..............</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increase (decrease) in cash......................</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Cash and cash equivalents, beginning of period.......</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w:t>
            </w:r>
          </w:p>
        </w:tc>
        <w:tc>
          <w:tcPr>
            <w:tcW w:w="3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18.7</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Cash and cash equivalents, end of period.............</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19.1</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29.7</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716"/>
        </w:trPr>
        <w:tc>
          <w:tcPr>
            <w:tcW w:w="5020" w:type="dxa"/>
            <w:vAlign w:val="bottom"/>
          </w:tcPr>
          <w:p>
            <w:pPr>
              <w:ind w:left="3620"/>
              <w:spacing w:after="0"/>
              <w:rPr>
                <w:sz w:val="20"/>
                <w:szCs w:val="20"/>
                <w:color w:val="auto"/>
              </w:rPr>
            </w:pPr>
            <w:r>
              <w:rPr>
                <w:rFonts w:ascii="Courier New" w:cs="Courier New" w:eastAsia="Courier New" w:hAnsi="Courier New"/>
                <w:sz w:val="16"/>
                <w:szCs w:val="16"/>
                <w:color w:val="auto"/>
              </w:rPr>
              <w:t>24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520"/>
          </w:cols>
          <w:pgMar w:left="240" w:top="290" w:right="13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36" w:lineRule="auto"/>
        <w:rPr>
          <w:sz w:val="20"/>
          <w:szCs w:val="20"/>
          <w:color w:val="auto"/>
        </w:rPr>
      </w:pPr>
      <w:r>
        <w:rPr>
          <w:rFonts w:ascii="Courier New" w:cs="Courier New" w:eastAsia="Courier New" w:hAnsi="Courier New"/>
          <w:sz w:val="16"/>
          <w:szCs w:val="16"/>
          <w:color w:val="auto"/>
        </w:rPr>
        <w:t>BALANCE SHEET</w:t>
      </w:r>
    </w:p>
    <w:p>
      <w:pPr>
        <w:spacing w:after="0" w:line="237" w:lineRule="auto"/>
        <w:rPr>
          <w:sz w:val="20"/>
          <w:szCs w:val="20"/>
          <w:color w:val="auto"/>
        </w:rPr>
      </w:pPr>
      <w:r>
        <w:rPr>
          <w:rFonts w:ascii="Courier New" w:cs="Courier New" w:eastAsia="Courier New" w:hAnsi="Courier New"/>
          <w:sz w:val="16"/>
          <w:szCs w:val="16"/>
          <w:color w:val="auto"/>
        </w:rPr>
        <w:t>AS OF APRIL 1, 2000 (IN MILLIONS)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3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GUARANTORS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0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19.1</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w:t>
            </w:r>
          </w:p>
        </w:tc>
        <w:tc>
          <w:tcPr>
            <w:tcW w:w="1300" w:type="dxa"/>
            <w:vAlign w:val="bottom"/>
          </w:tcPr>
          <w:p>
            <w:pPr>
              <w:spacing w:after="0"/>
              <w:rPr>
                <w:sz w:val="15"/>
                <w:szCs w:val="15"/>
                <w:color w:val="auto"/>
              </w:rPr>
            </w:pP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29.7</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receivable,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362.0</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107.1</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180.2</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649.3</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Inventories,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207.2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82.9</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76.2</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366.3</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0.5</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26.5</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33.2</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0.5</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29.9</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63.6</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649.6</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191.4</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294.4</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1,135.4</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Property, plant and equipment,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159.9</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58.0</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40.2</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258.1</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Intangible assets, net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262.3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269.3</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264.6</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796.2</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assets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65.0</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12.8</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80.2</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Investment in affiliates.............................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739.1</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(739.1)</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assets .................................</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290.9</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(290.9)</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assets...................................</w:t>
            </w: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$ 1,875.9</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812.0</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612.0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(1,030.0)</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2,269.9</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Short-term debt...................................</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161.8</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19.3</w:t>
            </w:r>
          </w:p>
        </w:tc>
        <w:tc>
          <w:tcPr>
            <w:tcW w:w="13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183.2</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144.4</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95.7</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281.7</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126.8</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99.4</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61.4</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287.6</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433.0</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143.1</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176.4</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752.5</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698.8</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5.1</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310.8</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1,014.7</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19.4</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61.6</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246.7</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44.2</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(290.9)</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1,420.6</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148.3</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550.8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(290.9)</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1,828.8</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488.6</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(548.6)</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 stated value per share....................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388.1</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388.1</w:t>
            </w:r>
          </w:p>
        </w:tc>
      </w:tr>
      <w:tr>
        <w:trPr>
          <w:trHeight w:val="179"/>
        </w:trPr>
        <w:tc>
          <w:tcPr>
            <w:tcW w:w="5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Class A Convertible Preferred Stock, no par value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156.3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177.1</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13.4</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(190.5)</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156.3</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Treasury stock, 2.8 shares at cost................</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(85.1)</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(85.1)</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other comprehensive expense...........</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w:t>
            </w:r>
          </w:p>
        </w:tc>
        <w:tc>
          <w:tcPr>
            <w:tcW w:w="420" w:type="dxa"/>
            <w:vAlign w:val="bottom"/>
          </w:tcPr>
          <w:p>
            <w:pPr>
              <w:spacing w:after="0"/>
              <w:rPr>
                <w:sz w:val="15"/>
                <w:szCs w:val="15"/>
                <w:color w:val="auto"/>
              </w:rPr>
            </w:pP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(18.5)</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Total shareholders' equity...........................</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455.3</w:t>
            </w:r>
          </w:p>
        </w:tc>
        <w:tc>
          <w:tcPr>
            <w:tcW w:w="420" w:type="dxa"/>
            <w:vAlign w:val="bottom"/>
          </w:tcPr>
          <w:p>
            <w:pPr>
              <w:spacing w:after="0"/>
              <w:rPr>
                <w:sz w:val="15"/>
                <w:szCs w:val="15"/>
                <w:color w:val="auto"/>
              </w:rPr>
            </w:pP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663.7</w:t>
            </w:r>
          </w:p>
        </w:tc>
        <w:tc>
          <w:tcPr>
            <w:tcW w:w="3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61.2</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(739.1)</w:t>
            </w:r>
          </w:p>
        </w:tc>
        <w:tc>
          <w:tcPr>
            <w:tcW w:w="36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441.1</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Total liabilities and shareholders' equity...........</w:t>
            </w: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$ 1,875.9</w:t>
            </w:r>
          </w:p>
        </w:tc>
        <w:tc>
          <w:tcPr>
            <w:tcW w:w="4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812.0</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612.0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(1,030.0)</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2,269.9</w:t>
            </w:r>
          </w:p>
        </w:tc>
      </w:tr>
      <w:tr>
        <w:trPr>
          <w:trHeight w:val="179"/>
        </w:trPr>
        <w:tc>
          <w:tcPr>
            <w:tcW w:w="502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50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40"/>
          </w:cols>
          <w:pgMar w:left="240" w:top="290" w:right="31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26</w:t>
      </w:r>
    </w:p>
    <w:p>
      <w:pPr>
        <w:spacing w:after="0" w:line="362" w:lineRule="exact"/>
        <w:rPr>
          <w:sz w:val="20"/>
          <w:szCs w:val="20"/>
          <w:color w:val="auto"/>
        </w:rPr>
      </w:pPr>
    </w:p>
    <w:p>
      <w:pPr>
        <w:jc w:val="center"/>
        <w:ind w:left="320" w:right="280"/>
        <w:spacing w:after="0" w:line="235"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in the United States and Europe. Our operations are divided into three business segments: North American Consumer, Global Professional and International Consumer. The North American Consumer segment includes the Lawns, Gardens, Growing Media, Ortho, Lawn Service and Canadian business groups.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As a leading consumer branded lawn and garden company, we focus on our consumer marketing efforts, including advertising and consumer research, to create demand to pull product through the retail distribution channels. During fiscal 2000, we spent $209.1 million on advertising and promotional activities, which was a significant increase over fiscal 1999 spending levels of $189.0 million. We have applied this consumer marketing focus over the past several years, and we believe that Scotts continues to receive a significant return on these increased marketing expenditures. For example, sales in our North American Consumer Lawns business group increased 13.2% from fiscal 1999 to fiscal 2000, after having experienced double-digit percentage increases in sales during the prior two years.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347"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the acquisitions we have made over the past several years diversify both our product line risk and geographic risk to weather conditions.</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Scotts has entered into a long-term marketing agreement with Monsanto for its consumer Roundup(R) herbicide products. Under the marketing agreement, Scotts and Monsanto are jointly developing global consumer and trade marketing programs for Roundup(R), while Scotts is responsible for sales support, merchandising, distribution, logistics and certain administrative functions. In addition, in January 1999 Scotts purchased from Monsanto the assets of its worldwide consumer lawn and garden businesses, exclusive of the Roundup(R) business. These transactions with Monsanto further our strategic objective of significantly enhancing our position in the pesticides segment of the consumer lawn and garden category. These businesses make up the Ortho business group within the North American Consumer segment.</w:t>
      </w:r>
    </w:p>
    <w:p>
      <w:pPr>
        <w:spacing w:after="0" w:line="186"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believe that these transactions provided us with several strategic benefits including immediate market penetration into new categories, geographic expansion, brand leveraging opportunities, and the achievement of substantial cost savings. With the Ortho acquisition, we believe we are currently a leader by market share in all five segments of the consumer lawn and garden category in North America: lawn fertilizer, garden fertilizer, growing media, grass seeds and pesticides. We believe that we are now positioned as the only company with a complete offering of consumer lawn and garden products in the United States.</w:t>
      </w:r>
    </w:p>
    <w:p>
      <w:pPr>
        <w:spacing w:after="0" w:line="1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Over the past several years, we have made other acquisitions to strengthen our global market position in the lawn and garden category, including Rhone-Poulenc Jardin, Asef Holding B.V. and, most recently, Substral. These acquisitions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0"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3720"/>
        <w:spacing w:after="0" w:line="236"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2000 includes additional information about the Company, our operations, and our financial position, and should be read in conjunction with this Quarterly Report on Form 10-Q.</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3720"/>
        <w:spacing w:after="0" w:line="235" w:lineRule="auto"/>
        <w:rPr>
          <w:sz w:val="20"/>
          <w:szCs w:val="20"/>
          <w:color w:val="auto"/>
        </w:rPr>
      </w:pPr>
      <w:r>
        <w:rPr>
          <w:rFonts w:ascii="Courier New" w:cs="Courier New" w:eastAsia="Courier New" w:hAnsi="Courier New"/>
          <w:sz w:val="16"/>
          <w:szCs w:val="16"/>
          <w:color w:val="auto"/>
        </w:rPr>
        <w:t>The following table sets forth sales by business segment for the three and six months ended March 31, 2001 and April 1, 2000. Sales figures for all periods presented reflect the reclassification of certain rebates and allowances in accordance with accounting guidance adopted by the Company in the second quarter of fiscal 2001.</w:t>
      </w:r>
    </w:p>
    <w:p>
      <w:pPr>
        <w:spacing w:after="0" w:line="200" w:lineRule="exact"/>
        <w:rPr>
          <w:sz w:val="20"/>
          <w:szCs w:val="20"/>
          <w:color w:val="auto"/>
        </w:rPr>
      </w:pPr>
    </w:p>
    <w:p>
      <w:pPr>
        <w:spacing w:after="0" w:line="338" w:lineRule="exact"/>
        <w:rPr>
          <w:sz w:val="20"/>
          <w:szCs w:val="20"/>
          <w:color w:val="auto"/>
        </w:rPr>
      </w:pPr>
    </w:p>
    <w:tbl>
      <w:tblPr>
        <w:tblLayout w:type="fixed"/>
        <w:tblInd w:w="5120" w:type="dxa"/>
        <w:tblCellMar>
          <w:top w:w="0" w:type="dxa"/>
          <w:left w:w="0" w:type="dxa"/>
          <w:bottom w:w="0" w:type="dxa"/>
          <w:right w:w="0" w:type="dxa"/>
        </w:tblCellMar>
      </w:tblPr>
      <w:tr>
        <w:trPr>
          <w:trHeight w:val="181"/>
        </w:trPr>
        <w:tc>
          <w:tcPr>
            <w:tcW w:w="740" w:type="dxa"/>
            <w:vAlign w:val="bottom"/>
          </w:tcPr>
          <w:p>
            <w:pPr>
              <w:jc w:val="right"/>
              <w:ind w:right="27"/>
              <w:spacing w:after="0"/>
              <w:rPr>
                <w:sz w:val="20"/>
                <w:szCs w:val="20"/>
                <w:color w:val="auto"/>
              </w:rPr>
            </w:pPr>
            <w:r>
              <w:rPr>
                <w:rFonts w:ascii="Courier New" w:cs="Courier New" w:eastAsia="Courier New" w:hAnsi="Courier New"/>
                <w:sz w:val="16"/>
                <w:szCs w:val="16"/>
                <w:color w:val="auto"/>
                <w:w w:val="92"/>
              </w:rPr>
              <w:t>FOR THE</w:t>
            </w:r>
          </w:p>
        </w:tc>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w:t>
            </w:r>
          </w:p>
        </w:tc>
        <w:tc>
          <w:tcPr>
            <w:tcW w:w="2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FOR THE SIX MONTHS ENDED</w:t>
            </w:r>
          </w:p>
        </w:tc>
      </w:tr>
      <w:tr>
        <w:trPr>
          <w:trHeight w:val="179"/>
        </w:trPr>
        <w:tc>
          <w:tcPr>
            <w:tcW w:w="13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520" w:type="dxa"/>
            <w:vAlign w:val="bottom"/>
          </w:tcPr>
          <w:p>
            <w:pPr>
              <w:spacing w:after="0"/>
              <w:rPr>
                <w:sz w:val="15"/>
                <w:szCs w:val="15"/>
                <w:color w:val="auto"/>
              </w:rPr>
            </w:pPr>
          </w:p>
        </w:tc>
        <w:tc>
          <w:tcPr>
            <w:tcW w:w="29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rPr>
              <w:t>MARCH</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31,</w:t>
            </w:r>
          </w:p>
        </w:tc>
        <w:tc>
          <w:tcPr>
            <w:tcW w:w="152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APRIL 1,</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MARCH 31,</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APRIL 1,</w:t>
            </w: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2001</w:t>
            </w:r>
          </w:p>
        </w:tc>
        <w:tc>
          <w:tcPr>
            <w:tcW w:w="560" w:type="dxa"/>
            <w:vAlign w:val="bottom"/>
          </w:tcPr>
          <w:p>
            <w:pPr>
              <w:spacing w:after="0"/>
              <w:rPr>
                <w:sz w:val="15"/>
                <w:szCs w:val="15"/>
                <w:color w:val="auto"/>
              </w:rPr>
            </w:pPr>
          </w:p>
        </w:tc>
        <w:tc>
          <w:tcPr>
            <w:tcW w:w="152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8"/>
              </w:rPr>
              <w:t>2000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52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8"/>
              </w:rPr>
              <w:t>----</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jc w:val="right"/>
              <w:ind w:right="1322"/>
              <w:spacing w:after="0"/>
              <w:rPr>
                <w:sz w:val="20"/>
                <w:szCs w:val="20"/>
                <w:color w:val="auto"/>
              </w:rPr>
            </w:pPr>
            <w:r>
              <w:rPr>
                <w:rFonts w:ascii="Courier New" w:cs="Courier New" w:eastAsia="Courier New" w:hAnsi="Courier New"/>
                <w:sz w:val="16"/>
                <w:szCs w:val="16"/>
                <w:color w:val="auto"/>
                <w:w w:val="95"/>
              </w:rPr>
              <w:t>North American Consumer:</w:t>
            </w:r>
          </w:p>
        </w:tc>
        <w:tc>
          <w:tcPr>
            <w:tcW w:w="2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1"/>
              </w:rPr>
              <w:t>Lawns.........................................</w:t>
            </w:r>
          </w:p>
        </w:tc>
        <w:tc>
          <w:tcPr>
            <w:tcW w:w="21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301.9</w:t>
            </w:r>
          </w:p>
        </w:tc>
        <w:tc>
          <w:tcPr>
            <w:tcW w:w="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263.8</w:t>
            </w:r>
          </w:p>
        </w:tc>
        <w:tc>
          <w:tcPr>
            <w:tcW w:w="6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319.2</w:t>
            </w:r>
          </w:p>
        </w:tc>
        <w:tc>
          <w:tcPr>
            <w:tcW w:w="6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306.1</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Gardens.......................................</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63.0</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67.3</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70.7</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81.0</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Growing Media.................................</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97.7</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96.1</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118.0</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115.3</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Ortho.........................................</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82.3</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82.5</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98.6</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100.5</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Lawn Service..................................</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9.2</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Canada........................................</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13.2</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13.8</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14.2</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Other.........................................</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11.6</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11.5</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18.1</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w:t>
            </w:r>
          </w:p>
        </w:tc>
      </w:tr>
      <w:tr>
        <w:trPr>
          <w:trHeight w:val="179"/>
        </w:trPr>
        <w:tc>
          <w:tcPr>
            <w:tcW w:w="3620" w:type="dxa"/>
            <w:vAlign w:val="bottom"/>
          </w:tcPr>
          <w:p>
            <w:pPr>
              <w:spacing w:after="0"/>
              <w:rPr>
                <w:sz w:val="15"/>
                <w:szCs w:val="15"/>
                <w:color w:val="auto"/>
              </w:rPr>
            </w:pPr>
          </w:p>
        </w:tc>
        <w:tc>
          <w:tcPr>
            <w:tcW w:w="27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Total......................................</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574.1</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537.6</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648.0</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640.5</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w w:val="96"/>
              </w:rPr>
              <w:t>International Consumer..........................</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108.4</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101.9</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148.4</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149.7</w:t>
            </w:r>
          </w:p>
        </w:tc>
      </w:tr>
      <w:tr>
        <w:trPr>
          <w:trHeight w:val="179"/>
        </w:trPr>
        <w:tc>
          <w:tcPr>
            <w:tcW w:w="57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w w:val="96"/>
              </w:rPr>
              <w:t>Global Professional.............................</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57.5</w:t>
            </w:r>
          </w:p>
        </w:tc>
        <w:tc>
          <w:tcPr>
            <w:tcW w:w="62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54.4</w:t>
            </w:r>
          </w:p>
        </w:tc>
        <w:tc>
          <w:tcPr>
            <w:tcW w:w="6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92.7</w:t>
            </w:r>
          </w:p>
        </w:tc>
        <w:tc>
          <w:tcPr>
            <w:tcW w:w="6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89.8</w:t>
            </w:r>
          </w:p>
        </w:tc>
      </w:tr>
      <w:tr>
        <w:trPr>
          <w:trHeight w:val="179"/>
        </w:trPr>
        <w:tc>
          <w:tcPr>
            <w:tcW w:w="3620" w:type="dxa"/>
            <w:vAlign w:val="bottom"/>
          </w:tcPr>
          <w:p>
            <w:pPr>
              <w:spacing w:after="0"/>
              <w:rPr>
                <w:sz w:val="15"/>
                <w:szCs w:val="15"/>
                <w:color w:val="auto"/>
              </w:rPr>
            </w:pPr>
          </w:p>
        </w:tc>
        <w:tc>
          <w:tcPr>
            <w:tcW w:w="27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8"/>
              </w:rPr>
              <w:t>Consolidated....................................</w:t>
            </w:r>
          </w:p>
        </w:tc>
        <w:tc>
          <w:tcPr>
            <w:tcW w:w="21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740.0</w:t>
            </w:r>
          </w:p>
        </w:tc>
        <w:tc>
          <w:tcPr>
            <w:tcW w:w="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693.9</w:t>
            </w:r>
          </w:p>
        </w:tc>
        <w:tc>
          <w:tcPr>
            <w:tcW w:w="6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889.1</w:t>
            </w:r>
          </w:p>
        </w:tc>
        <w:tc>
          <w:tcPr>
            <w:tcW w:w="6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880.0</w:t>
            </w:r>
          </w:p>
        </w:tc>
      </w:tr>
      <w:tr>
        <w:trPr>
          <w:trHeight w:val="179"/>
        </w:trPr>
        <w:tc>
          <w:tcPr>
            <w:tcW w:w="3620" w:type="dxa"/>
            <w:vAlign w:val="bottom"/>
          </w:tcPr>
          <w:p>
            <w:pPr>
              <w:spacing w:after="0"/>
              <w:rPr>
                <w:sz w:val="15"/>
                <w:szCs w:val="15"/>
                <w:color w:val="auto"/>
              </w:rPr>
            </w:pPr>
          </w:p>
        </w:tc>
        <w:tc>
          <w:tcPr>
            <w:tcW w:w="27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3620" w:type="dxa"/>
            <w:vAlign w:val="bottom"/>
          </w:tcPr>
          <w:p>
            <w:pPr>
              <w:spacing w:after="0"/>
              <w:rPr>
                <w:sz w:val="24"/>
                <w:szCs w:val="24"/>
                <w:color w:val="auto"/>
              </w:rPr>
            </w:pPr>
          </w:p>
        </w:tc>
        <w:tc>
          <w:tcPr>
            <w:tcW w:w="2140" w:type="dxa"/>
            <w:vAlign w:val="bottom"/>
          </w:tcPr>
          <w:p>
            <w:pPr>
              <w:jc w:val="right"/>
              <w:ind w:right="1882"/>
              <w:spacing w:after="0"/>
              <w:rPr>
                <w:sz w:val="20"/>
                <w:szCs w:val="20"/>
                <w:color w:val="auto"/>
              </w:rPr>
            </w:pPr>
            <w:r>
              <w:rPr>
                <w:rFonts w:ascii="Courier New" w:cs="Courier New" w:eastAsia="Courier New" w:hAnsi="Courier New"/>
                <w:sz w:val="16"/>
                <w:szCs w:val="16"/>
                <w:color w:val="auto"/>
                <w:w w:val="83"/>
              </w:rPr>
              <w:t>27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60"/>
          </w:cols>
          <w:pgMar w:left="240" w:top="290" w:right="49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right="280"/>
        <w:spacing w:after="0" w:line="235"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and six months ended March 31, 2001 and April 1, 2000:</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2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FOR THE THREE MONTHS ENDED</w:t>
            </w:r>
          </w:p>
        </w:tc>
      </w:tr>
      <w:tr>
        <w:trPr>
          <w:trHeight w:val="179"/>
        </w:trPr>
        <w:tc>
          <w:tcPr>
            <w:tcW w:w="4700" w:type="dxa"/>
            <w:vAlign w:val="bottom"/>
          </w:tcPr>
          <w:p>
            <w:pPr>
              <w:spacing w:after="0"/>
              <w:rPr>
                <w:sz w:val="15"/>
                <w:szCs w:val="15"/>
                <w:color w:val="auto"/>
              </w:rPr>
            </w:pPr>
          </w:p>
        </w:tc>
        <w:tc>
          <w:tcPr>
            <w:tcW w:w="2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MARCH 31,</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APRIL 1,</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Net sales.......................................</w:t>
            </w:r>
          </w:p>
        </w:tc>
        <w:tc>
          <w:tcPr>
            <w:tcW w:w="1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56.9</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58.7</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43.1</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41.3</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commission earned from agency agreement.....</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9.2</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12.0</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12.2</w:t>
            </w:r>
          </w:p>
        </w:tc>
      </w:tr>
      <w:tr>
        <w:trPr>
          <w:trHeight w:val="179"/>
        </w:trPr>
        <w:tc>
          <w:tcPr>
            <w:tcW w:w="4700" w:type="dxa"/>
            <w:vAlign w:val="bottom"/>
          </w:tcPr>
          <w:p>
            <w:pPr>
              <w:jc w:val="right"/>
              <w:ind w:right="1742"/>
              <w:spacing w:after="0" w:line="179" w:lineRule="exact"/>
              <w:rPr>
                <w:sz w:val="20"/>
                <w:szCs w:val="20"/>
                <w:color w:val="auto"/>
              </w:rPr>
            </w:pPr>
            <w:r>
              <w:rPr>
                <w:rFonts w:ascii="Courier New" w:cs="Courier New" w:eastAsia="Courier New" w:hAnsi="Courier New"/>
                <w:sz w:val="16"/>
                <w:szCs w:val="16"/>
                <w:color w:val="auto"/>
              </w:rPr>
              <w:t>Amortization of goodwill and</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intangibles.........................</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expense (income), net..................</w:t>
            </w:r>
          </w:p>
        </w:tc>
        <w:tc>
          <w:tcPr>
            <w:tcW w:w="1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22.7</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19.1</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19.2</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15.4</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11.5</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Payments to preferred shareholders..............</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available to common</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shareholders..................................</w:t>
            </w:r>
          </w:p>
        </w:tc>
        <w:tc>
          <w:tcPr>
            <w:tcW w:w="1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470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31, 2001 VERSUS THREE MONTHS ENDED APRIL 1, 2000</w:t>
      </w:r>
    </w:p>
    <w:p>
      <w:pPr>
        <w:spacing w:after="0" w:line="183" w:lineRule="exact"/>
        <w:rPr>
          <w:sz w:val="20"/>
          <w:szCs w:val="20"/>
          <w:color w:val="auto"/>
        </w:rPr>
      </w:pPr>
    </w:p>
    <w:p>
      <w:pPr>
        <w:ind w:right="280"/>
        <w:spacing w:after="0" w:line="235" w:lineRule="auto"/>
        <w:rPr>
          <w:sz w:val="20"/>
          <w:szCs w:val="20"/>
          <w:color w:val="auto"/>
        </w:rPr>
      </w:pPr>
      <w:r>
        <w:rPr>
          <w:rFonts w:ascii="Courier New" w:cs="Courier New" w:eastAsia="Courier New" w:hAnsi="Courier New"/>
          <w:sz w:val="16"/>
          <w:szCs w:val="16"/>
          <w:color w:val="auto"/>
        </w:rPr>
        <w:t>Sales for the second quarter ended March 31, 2001 were $740.0 million, an increase of 6.6% over the second quarter ended April 1, 2000 of $693.9 million. The increase in sales was driven primarily by an increase in sales in the North American Consumer segment as discussed below.</w:t>
      </w:r>
    </w:p>
    <w:p>
      <w:pPr>
        <w:spacing w:after="0" w:line="185" w:lineRule="exact"/>
        <w:rPr>
          <w:sz w:val="20"/>
          <w:szCs w:val="20"/>
          <w:color w:val="auto"/>
        </w:rPr>
      </w:pPr>
    </w:p>
    <w:p>
      <w:pPr>
        <w:ind w:right="180"/>
        <w:spacing w:after="0" w:line="272" w:lineRule="auto"/>
        <w:rPr>
          <w:sz w:val="20"/>
          <w:szCs w:val="20"/>
          <w:color w:val="auto"/>
        </w:rPr>
      </w:pPr>
      <w:r>
        <w:rPr>
          <w:rFonts w:ascii="Courier New" w:cs="Courier New" w:eastAsia="Courier New" w:hAnsi="Courier New"/>
          <w:sz w:val="14"/>
          <w:szCs w:val="14"/>
          <w:color w:val="auto"/>
        </w:rPr>
        <w:t>North American Consumer segment sales were $574.1 million in the second quarter of fiscal 2001, an increase of $36.5 million, or 6.8%, over sales for the second quarter of fiscal 2000 of $537.6 million. Sales in the Consumer Lawns business group within this segment increased $38.1 million, or 14.4%, from fiscal 2000 to fiscal 2001. Beginning in fiscal 2001, the Company has significantly changed the selling and distribution model for the Lawns, Gardens and Ortho business groups in North America. The products in these groups are now being sold by an integrated sales force, as opposed to separate sales forces in prior years, and the majority of these products are now being sold directly to retail customers rather than through distribution. The impact of these changes is that sales are recognized generally later in the season than they were in prior years, which contributed to the increase in second quarter sales for the Lawns group compared to the prior year. Sales in the Consumer Gardens business group decreased $4.3 million, or 6.4%, from the second quarter of fiscal 2000 to fiscal 2001. As a result of the change in distribution described above, it is anticipated that shipments for products in the Gardens business group have been delayed in the season closer to the time of sale to the consumer or into our third and fourth quarters. Sales for the other business groups in the North America Consumer segment did not vary significantly in the second quarter of fiscal 2001 compared to the second quarter of fiscal 2000.</w:t>
      </w:r>
    </w:p>
    <w:p>
      <w:pPr>
        <w:spacing w:after="0" w:line="200" w:lineRule="exact"/>
        <w:rPr>
          <w:sz w:val="20"/>
          <w:szCs w:val="20"/>
          <w:color w:val="auto"/>
        </w:rPr>
      </w:pPr>
    </w:p>
    <w:p>
      <w:pPr>
        <w:spacing w:after="0" w:line="321"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6"/>
          <w:szCs w:val="16"/>
          <w:color w:val="auto"/>
        </w:rPr>
        <w:t>Sales for the International Consumer segment of $108.4 million in the second quarter of fiscal 2001 were $6.5 million, or 6.4% higher than sales for the second quarter of fiscal 2000 of $101.9 million. Excluding the adverse impact of changes in exchange rates, sales for the International Consumer segment increased approximately 15% compared to the prior year period. The increase in sales is primarily due to the successful sell-in of a new line of fertilizer products under the Substral(R) brand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FOR THE SIX MONTHS ENDED</w:t>
      </w:r>
    </w:p>
    <w:p>
      <w:pPr>
        <w:ind w:left="28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MARCH 31,</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APRIL 1,</w:t>
            </w:r>
          </w:p>
        </w:tc>
      </w:tr>
      <w:tr>
        <w:trPr>
          <w:trHeight w:val="179"/>
        </w:trPr>
        <w:tc>
          <w:tcPr>
            <w:tcW w:w="13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2001</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13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60.2</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59.6</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4"/>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39.8</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40.4</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0.8</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r>
      <w:tr>
        <w:trPr>
          <w:trHeight w:val="358"/>
        </w:trPr>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9.1</w:t>
            </w:r>
          </w:p>
        </w:tc>
        <w:tc>
          <w:tcPr>
            <w:tcW w:w="1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18.5</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17.4</w:t>
            </w:r>
          </w:p>
        </w:tc>
      </w:tr>
      <w:tr>
        <w:trPr>
          <w:trHeight w:val="358"/>
        </w:trPr>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w:t>
            </w:r>
          </w:p>
        </w:tc>
        <w:tc>
          <w:tcPr>
            <w:tcW w:w="1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w:t>
            </w:r>
          </w:p>
        </w:tc>
      </w:tr>
      <w:tr>
        <w:trPr>
          <w:trHeight w:val="179"/>
        </w:trPr>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4"/>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11.7</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11.8</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5.3</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4"/>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6.4</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4"/>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3.8</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0.0</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0.7</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4"/>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79"/>
        </w:trPr>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4"/>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6818" w:lineRule="exact"/>
        <w:rPr>
          <w:sz w:val="20"/>
          <w:szCs w:val="20"/>
          <w:color w:val="auto"/>
        </w:rPr>
      </w:pPr>
    </w:p>
    <w:p>
      <w:pPr>
        <w:sectPr>
          <w:pgSz w:w="11900" w:h="16838" w:orient="portrait"/>
          <w:cols w:equalWidth="0" w:num="2">
            <w:col w:w="7620" w:space="560"/>
            <w:col w:w="2800"/>
          </w:cols>
          <w:pgMar w:left="240" w:top="290" w:right="679" w:bottom="1440" w:gutter="0" w:footer="0" w:header="0"/>
        </w:sect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980"/>
          </w:cols>
          <w:pgMar w:left="240" w:top="290" w:right="679"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Sales for the Global Professional segment of $57.5 million in the second quarter of fiscal 2001 were $3.1 million, or 5.7% higher than the second quarter of fiscal 2000 sales of $54.4 million. Excluding the unfavorable impact of changes in foreign exchange rates, Global Professional segment sales increased approximately 10% quarter over quarter. The increase in sales is due to new product introductions and increased growing media sales.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Gross profit increased to $319.1 million in the second quarter of fiscal 2001, an increase of 11.3% over fiscal 2000 gross profit of $286.6 million. As a percentage of sales, gross profit was 43.1% of sales for fiscal 2001 compared to 41.3% of sales for the second quarter of fiscal 2000. This increase in profitability on sales was driven by a successful shift to direct distribution, higher production levels and improved efficiencies in the Company's production plants, and a continued shift in sales mix toward higher margin products, particularly within the Consumer Lawns and Consumer Growing Media business groups, which offset increases in raw material and energy costs.</w:t>
      </w:r>
    </w:p>
    <w:p>
      <w:pPr>
        <w:spacing w:after="0" w:line="340"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The net commission earned from agency agreement in the second quarter of fiscal 2001 was $12.0 million compared to $6.9 million in the second quarter of fiscal 2000. The increase in net commission reflects a significant increase in gross commission for the quarter, reflecting the successful introduction of new and improved formulations, partially offset by an increase in contribution expenses as specified in the agreement with Monsanto. Scotts does not recognize commission income under the agency agreement until minimum earnings thresholds in the agreement are achieved, which is generally in our second quarter.</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and promotion expenses for the second quarter of fiscal 2001 were</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$68.2 million, a decrease of $3.2 million, or 4.5% over fiscal 2000 advertising and promotion expenses of $71.4 million. This decrease reflects the impact of improved media buying efficiencies and lower advertising rates compared to the prior year.</w:t>
      </w:r>
    </w:p>
    <w:p>
      <w:pPr>
        <w:spacing w:after="0" w:line="18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Selling, general and administrative expenses in the second quarter of fiscal 2001 were $89.0 million, an increase of $4.6 million, or 5.5% over similar expenses in the second quarter of fiscal 2000 of $84.4 million. As a percentage of sales, selling, general and administrative expenses were 12.0% for the second quarter of fiscal 2001, unchanged from the same quarter in the prior year. The increase in selling, general and administrative expenses from the prior year is partially due to an increase in selling expenses as a result of the change in the selling and distribution model for the North American business described above.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a year ago. Most of these information technology resources have assumed a system support function that is now being expensed as incurred.</w:t>
      </w:r>
    </w:p>
    <w:p>
      <w:pPr>
        <w:spacing w:after="0" w:line="347"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Other income for the second quarter of fiscal 2001 was $1.4 million compared to other income of $2.5 million in the prior year. The decrease in other income was primarily due to a significant royalty payment recorded in the second quarter of fiscal 2000 that did not recur in fiscal 2001.</w:t>
      </w:r>
    </w:p>
    <w:p>
      <w:pPr>
        <w:spacing w:after="0" w:line="18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Income from operations for the second quarter of fiscal 2001 was $167.9 million compared to $132.5 million for the second quarter of fiscal 2000. The increase was primarily due to the increase in sales and gross margin, and an increase in the net Roundup(R) commission described above.</w:t>
      </w:r>
    </w:p>
    <w:p>
      <w:pPr>
        <w:spacing w:after="0" w:line="185"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Interest expense for the second quarter of fiscal 2001 was $26.1 million, a slight increase over fiscal 2000 interest expense of $25.9 million. Average borrowings for the second quarter of fiscal 2001 were slightly lower than the second quarter of fiscal 2000; however, this was offset by slightly increased interest rates quarter over quarter.</w:t>
      </w:r>
    </w:p>
    <w:p>
      <w:pPr>
        <w:spacing w:after="0" w:line="18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Income tax expense was $57.0 million for the second quarter of fiscal 2001 compared to $43.2 million for the same quarter in the prior year due to an increase in pre-tax income recognized in the second quarter of fiscal 2001. The Company's effective tax rate did not change significantly from fiscal 2000 to fiscal 2001.</w:t>
      </w:r>
    </w:p>
    <w:p>
      <w:pPr>
        <w:spacing w:after="0" w:line="186" w:lineRule="exact"/>
        <w:rPr>
          <w:sz w:val="20"/>
          <w:szCs w:val="20"/>
          <w:color w:val="auto"/>
        </w:rPr>
      </w:pPr>
    </w:p>
    <w:p>
      <w:pPr>
        <w:ind w:right="3059"/>
        <w:spacing w:after="0" w:line="283" w:lineRule="auto"/>
        <w:rPr>
          <w:sz w:val="20"/>
          <w:szCs w:val="20"/>
          <w:color w:val="auto"/>
        </w:rPr>
      </w:pPr>
      <w:r>
        <w:rPr>
          <w:rFonts w:ascii="Courier New" w:cs="Courier New" w:eastAsia="Courier New" w:hAnsi="Courier New"/>
          <w:sz w:val="14"/>
          <w:szCs w:val="14"/>
          <w:color w:val="auto"/>
        </w:rPr>
        <w:t>Scotts reported net income of $84.8 million for the second quarter of fiscal 2001, or $2.80 per common share on a diluted basis, compared to net income of $63.4 million for fiscal 2000, or $2.15 per common share on a diluted basis.</w:t>
      </w:r>
    </w:p>
    <w:p>
      <w:pPr>
        <w:sectPr>
          <w:pgSz w:w="11900" w:h="16838" w:orient="portrait"/>
          <w:cols w:equalWidth="0" w:num="1">
            <w:col w:w="10219"/>
          </w:cols>
          <w:pgMar w:left="240" w:top="291" w:right="1440" w:bottom="1440" w:gutter="0" w:footer="0" w:header="0"/>
        </w:sectPr>
      </w:pPr>
    </w:p>
    <w:p>
      <w:pPr>
        <w:spacing w:after="0" w:line="3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19"/>
          </w:cols>
          <w:pgMar w:left="240" w:top="29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MARCH 31, 2001 VERSUS SIX MONTHS ENDED APRIL 1, 2000</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Net sales for the six months ended March 31, 2001 were $889.1 million, an increase of 1.0% over the six months ended April 1, 2000 of $880.0 million. The slight increase in sales was driven primarily by increases in sales in the North American Consumer segment as discussed below.</w:t>
      </w:r>
    </w:p>
    <w:p>
      <w:pPr>
        <w:spacing w:after="0" w:line="185"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North American Consumer segment sales were $648.0 million for the six months of fiscal 2001, an increase of $7.5 million, or 1.2%, over sales for the six months of fiscal 2000 of $640.5 million. Sales in the Consumer Lawns business group within this segment increased $13.1 million, or 4.3%, from fiscal 2000 to fiscal 2001, primarily due to the introduction of a new line of grass seed products. Sales for the Consumer Garden business group decreased $10.3 million, or 12.7%, for the first six months of fiscal 2001 compared to the same period in the prior year due to the changes in the North American selling and distribution model described above. Sales for the other business groups in the North American Consumer segment did not vary significantly for the six months ended March 31, 2001 compared to the same period in the prior year. Certain of the business groups have realized price increases from the prior year of up to 2%.</w:t>
      </w:r>
    </w:p>
    <w:p>
      <w:pPr>
        <w:spacing w:after="0" w:line="34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Sales for the International Consumer segment of $148.4 million for the first six months of fiscal 2001 were slightly lower than sales for the first six months of fiscal 2000 of $149.7 million. Excluding the adverse impact of changes in exchange rates, sales for the International Consumer segment increased approximately 9% compared to the prior year period. The increase in sales is primarily due to the successful sell-in of a new line of fertilizer products under the Substral(R) brand name.</w:t>
      </w:r>
    </w:p>
    <w:p>
      <w:pPr>
        <w:spacing w:after="0" w:line="184"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Sales for the Global Professional segment of $92.7 million for the first six months of fiscal 2001 were $2.9 million, or 3.2%, higher than the first six months of fiscal 2000 sales of $89.8 million. Excluding the unfavorable impact of changes in foreign exchange rates, Global Professional segment sales increased approximately 8% year over year. The increase in sales is due to new product introductions and increased growing media sales.</w:t>
      </w:r>
    </w:p>
    <w:p>
      <w:pPr>
        <w:spacing w:after="0" w:line="183" w:lineRule="exact"/>
        <w:rPr>
          <w:sz w:val="20"/>
          <w:szCs w:val="20"/>
          <w:color w:val="auto"/>
        </w:rPr>
      </w:pPr>
    </w:p>
    <w:p>
      <w:pPr>
        <w:ind w:right="2959"/>
        <w:spacing w:after="0" w:line="279" w:lineRule="auto"/>
        <w:rPr>
          <w:sz w:val="20"/>
          <w:szCs w:val="20"/>
          <w:color w:val="auto"/>
        </w:rPr>
      </w:pPr>
      <w:r>
        <w:rPr>
          <w:rFonts w:ascii="Courier New" w:cs="Courier New" w:eastAsia="Courier New" w:hAnsi="Courier New"/>
          <w:sz w:val="14"/>
          <w:szCs w:val="14"/>
          <w:color w:val="auto"/>
        </w:rPr>
        <w:t>Gross profit for the first six months of fiscal 2001 was $353.7 million, down slightly from fiscal 2000 gross profit of $355.5 million. As a percentage of sales, gross profit was 39.8% of sales for the first six months of fiscal 2001 compared to 40.4% of sales for the first six months of fiscal 2000.</w:t>
      </w:r>
    </w:p>
    <w:p>
      <w:pPr>
        <w:spacing w:after="0" w:line="157"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The net commission earned from agency agreement in the first six months of fiscal 2001 was $7.4 million, compared to $3.5 million in the first six months of fiscal 2000. The increase in net commission reflects a significant increase in gross commission for the six-month period, reflecting the successful introduction of new and improved formulations, partially offset by an increase in contribution expenses as specified in the agreement with Monsanto. Scotts does not recognize commission income under the agency agreement until minimum earnings thresholds in the agreement are achieved, which is generally in our second quarter.</w:t>
      </w:r>
    </w:p>
    <w:p>
      <w:pPr>
        <w:spacing w:after="0" w:line="185"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Advertising and promotion expenses for the first six months of fiscal 2001 were $80.8 million compared to fiscal 2000 advertising and promotion expenses of $89.6 million. This decrease reflects the impact of improved media buying efficiencies and lower advertising rates compared to the prior year.</w:t>
      </w:r>
    </w:p>
    <w:p>
      <w:pPr>
        <w:spacing w:after="0" w:line="157"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Selling, general and administrative expenses in the first six months of fiscal 2001 were $164.7 million, an increase of $11.5 million, or 7.5%, over similar expenses in the first six months of fiscal 2000 of $153.1 million. As a percentage of sales, selling, general and administrative expenses were 18.5% for the first six months of fiscal 2001 compared to 17.4% for fiscal 2000. The increase in selling, general and administrative expenses from the prior year is partially due to an increase in selling expenses as a result of the change in the selling and distribution model for the North American business described above.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a year ago. Most of these information technology resources have assumed a system support function that is now being expensed as incurred.</w:t>
      </w:r>
    </w:p>
    <w:p>
      <w:pPr>
        <w:spacing w:after="0" w:line="34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Amortization of goodwill and other intangibles was $14.2 million for the first six months of fiscal 2001, compared to $13.8 million in the prior year, due to adjustments made to the estimated purchase price for the Ortho acquisition made during the prior year.</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290"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Other income for the first six months of fiscal 2001 was $2.5 million compared to other income of $1.9 million in the prior year. The increase in income was primarily due to losses on the sale of miscellaneous assets that were incurred in the prior year.</w:t>
      </w:r>
    </w:p>
    <w:p>
      <w:pPr>
        <w:spacing w:after="0" w:line="18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Income from operations for the first six months of fiscal 2001 was $103.9 million compared to $104.4 million for the first six months of fiscal 2000. The slight decrease was the result of the slight decline in gross margin and increased selling, general and administrative costs, partially offset by increased net commission under the agency agreement and lower advertising and promotion expense.</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Interest expense for the first six months of fiscal 2001 was $47.4 million, a decrease of $2.2 million from fiscal 2000 interest expense of $49.6 million. The decrease in interest expense was due to decreased average borrowings year over year, which more than offset an increase in interest rates for the period.</w:t>
      </w:r>
    </w:p>
    <w:p>
      <w:pPr>
        <w:spacing w:after="0" w:line="15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Income tax expense was $22.9 million for the first six months of fiscal 2001 compared to $22.2 million in the prior year due to a slight increase in pre-tax income for fiscal 2001 over the prior year. The provisions for income taxes reflect an estimated rate of 40.5% for the first six months of both fiscal 2001 and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reported net income of $33.6 million for the first six months of fiscal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or $1.12 per common share on a diluted basis, compared to net income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$32.6 million for fiscal 2000, or $0.88 per common share on a diluted basis.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 for the first six months of fiscal 2000 is net of 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one-time reduction of $0.21 per share resulting from the early conversion of</w:t>
      </w:r>
    </w:p>
    <w:p>
      <w:pPr>
        <w:spacing w:after="0" w:line="236" w:lineRule="auto"/>
        <w:rPr>
          <w:sz w:val="20"/>
          <w:szCs w:val="20"/>
          <w:color w:val="auto"/>
        </w:rPr>
      </w:pPr>
      <w:r>
        <w:rPr>
          <w:rFonts w:ascii="Courier New" w:cs="Courier New" w:eastAsia="Courier New" w:hAnsi="Courier New"/>
          <w:sz w:val="16"/>
          <w:szCs w:val="16"/>
          <w:color w:val="auto"/>
        </w:rPr>
        <w:t>preferred stock in October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Cash used in operating activities was $306.8 million for the six months ended March 31, 2001 compared to a use of cash of $214.3 million for the six months ended April 1,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increase in cash required to fund operating activities for the first six months of fiscal 2001 compared to the prior year was due to higher levels of accounts receivable and inventory at March 31, 2001 compared to April 1, 2000, due, in part, to the change in the selling and distribution model for North America in fiscal 2001 described above and the trend by major retailers to delay inventory purchases later in season in fiscal 2001 compared to fiscal 2000.</w:t>
      </w:r>
    </w:p>
    <w:p>
      <w:pPr>
        <w:spacing w:after="0" w:line="34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Cash used in investing activities was $38.9 million for the first six months of fiscal 2001 compared to $19.1 million in the prior year. The additional cash used for investing activities in fiscal 2001 was primarily due to an increase in capital expenditures for the period, the $6.9 million payment toward the purchase of the Substral business discussed in Note 3 to the quarterly financial statements and payments made toward several lawn service acquisitions during the first six months of fiscal 2001.</w:t>
      </w:r>
    </w:p>
    <w:p>
      <w:pPr>
        <w:spacing w:after="0" w:line="184"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Financing activities provided cash of $330.6 million for the first six months of fiscal 2001 compared to providing $234.4 million in the prior year. The increase in cash from financing activities was primarily due to an increase in borrowings under the Company's revolving credit facility to fund operations and investing activities during the first six months of fiscal 2001.</w:t>
      </w:r>
    </w:p>
    <w:p>
      <w:pPr>
        <w:spacing w:after="0" w:line="161"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Total debt was $1,208.2 million as of March 31, 2001, an increase of $10.3 million compared with debt at April 1, 2000 of $1,197.9. The increase in debt compared to the prior year was primarily due to additional borrowings to fund operations and investing activities as discussed above.</w:t>
      </w:r>
    </w:p>
    <w:p>
      <w:pPr>
        <w:spacing w:after="0" w:line="18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19"/>
          </w:cols>
          <w:pgMar w:left="240" w:top="290"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32</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 July 1998, our Board of Directors authorized the repurchase of up to $100 million of our common shares on the open market or in privately negotiated transactions on or prior to September 30, 2001. As of March 31, 2001, 1,106,295 common shares (or $40.6 million) have been repurchased under this repurchase program limit.</w:t>
      </w:r>
    </w:p>
    <w:p>
      <w:pPr>
        <w:spacing w:after="0" w:line="186"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In October 2000, the Board of Directors approved cancellation of the third year commitment of $50 million under the share repurchase program. The Board did authorize repurchasing the amount still outstanding under the second year repurchase commitment (approximately $9.0 million) through September 30, 2001.</w:t>
      </w:r>
    </w:p>
    <w:p>
      <w:pPr>
        <w:spacing w:after="0" w:line="15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w:t>
      </w:r>
    </w:p>
    <w:p>
      <w:pPr>
        <w:spacing w:after="0" w:line="185" w:lineRule="exact"/>
        <w:rPr>
          <w:sz w:val="20"/>
          <w:szCs w:val="20"/>
          <w:color w:val="auto"/>
        </w:rPr>
      </w:pPr>
    </w:p>
    <w:p>
      <w:pPr>
        <w:ind w:right="2959"/>
        <w:spacing w:after="0" w:line="273"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2001,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9 to the Company's unaudited Condensed, Consolidated Financial Statements as of and for the six months ended March 31, 2001 and in the fiscal 2000 Annual Report on Form 10-K under the "ITEM 1. BUSINESS -- ENVIRONMENTAL AND REGULATORY CONSIDERATIONS" and "ITEM 3. LEGAL PROCEEDINGS" sections.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1998, we announced a project designed to bring our information system resources in line with our current strategic objectives. The project includes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Through March 31, 2001, we spent approximately $55.1 million on the project, approximately 75% of which has been capitalized and will be amortized over a period of four to eight years. We are currently evaluating when, and to what extent, the new information systems and applications will be implemented at our international locations.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We are in the process of developing our plans and contracts for work to be performed to implement utilization of the euro as required at our operations in continental Europe. We expect that a significant portion of the costs associated with this work will be incurred during fiscal 2001; however, some costs will likely be incurred in</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19"/>
          </w:cols>
          <w:pgMar w:left="240" w:top="290"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first quarter of fiscal 2002 as well. We estimate that the cost related to addressing this issue will be $1.5-$2.0 million; however, there can be no assurance that the ultimate costs related to this issue will not exceed this estimate.</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83" w:lineRule="exact"/>
        <w:rPr>
          <w:sz w:val="20"/>
          <w:szCs w:val="20"/>
          <w:color w:val="auto"/>
        </w:rPr>
      </w:pPr>
    </w:p>
    <w:p>
      <w:pPr>
        <w:ind w:right="3059"/>
        <w:spacing w:after="0" w:line="273" w:lineRule="auto"/>
        <w:rPr>
          <w:sz w:val="20"/>
          <w:szCs w:val="20"/>
          <w:color w:val="auto"/>
        </w:rPr>
      </w:pPr>
      <w:r>
        <w:rPr>
          <w:rFonts w:ascii="Courier New" w:cs="Courier New" w:eastAsia="Courier New" w:hAnsi="Courier New"/>
          <w:sz w:val="14"/>
          <w:szCs w:val="14"/>
          <w:color w:val="auto"/>
        </w:rPr>
        <w:t>Results for the first six months of fiscal 2001 are in line with management's expectations and we believe we are well positioned to continue our trend of significant sales and earnings growth. We are coming off a very strong fiscal 2000 as we reported record sales of $1.76 billion, grew diluted earnings per share by at least 20% for the fourth consecutive year (on a pro forma basis, excluding extraordinary items and the impact of the early conversion of the Class A Convertible Preferred Stock) and established or maintained what we believe to be the number one market share position in most of the significant lawn and garden categories across the world. The performance in fiscal 2000 reflected the successful continuation of our emphasis on consumer-oriented marketing efforts to pull demand through distribution channels.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99" w:lineRule="exact"/>
        <w:rPr>
          <w:sz w:val="20"/>
          <w:szCs w:val="20"/>
          <w:color w:val="auto"/>
        </w:rPr>
      </w:pPr>
    </w:p>
    <w:p>
      <w:pPr>
        <w:ind w:left="1580" w:right="2779" w:hanging="747"/>
        <w:spacing w:after="0" w:line="236"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84" w:lineRule="exact"/>
        <w:rPr>
          <w:rFonts w:ascii="Courier New" w:cs="Courier New" w:eastAsia="Courier New" w:hAnsi="Courier New"/>
          <w:sz w:val="16"/>
          <w:szCs w:val="16"/>
          <w:color w:val="auto"/>
        </w:rPr>
      </w:pPr>
    </w:p>
    <w:p>
      <w:pPr>
        <w:ind w:left="1580" w:right="3339" w:hanging="747"/>
        <w:spacing w:after="0" w:line="234"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83" w:lineRule="exact"/>
        <w:rPr>
          <w:rFonts w:ascii="Courier New" w:cs="Courier New" w:eastAsia="Courier New" w:hAnsi="Courier New"/>
          <w:sz w:val="16"/>
          <w:szCs w:val="16"/>
          <w:color w:val="auto"/>
        </w:rPr>
      </w:pPr>
    </w:p>
    <w:p>
      <w:pPr>
        <w:ind w:left="1580" w:right="2879" w:hanging="747"/>
        <w:spacing w:after="0" w:line="235"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183" w:lineRule="exact"/>
        <w:rPr>
          <w:rFonts w:ascii="Courier New" w:cs="Courier New" w:eastAsia="Courier New" w:hAnsi="Courier New"/>
          <w:sz w:val="16"/>
          <w:szCs w:val="16"/>
          <w:color w:val="auto"/>
        </w:rPr>
      </w:pPr>
    </w:p>
    <w:p>
      <w:pPr>
        <w:ind w:left="1580" w:right="2959" w:hanging="747"/>
        <w:spacing w:after="0" w:line="235"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Scotts anticipates that we will continue to deliver significant revenue and earnings growth through emphasis on executing our strategic plan. We believe that we can continue to generate annual sales growth of 6% to 8% in our core businesses and annual earnings growth of at least 15%. In addition, we have targeted improving our return on invested capital. We believe that we can achieve our goal of realizing a return of 13.5% on our invested capital (our estimate of the average return on invested capital for our consumer products peer group) in the next four years. We expect to achieve this goal by reducing our overhead spending, tightening capital spending controls, implementing return on capital measures into our incentive compensation plans and accelerating operating performance and gross margin improvements utilizing our new Enterprise Resource Planning capabilities in North America.</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8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19"/>
          </w:cols>
          <w:pgMar w:left="240" w:top="290"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jc w:val="both"/>
        <w:ind w:right="3159"/>
        <w:spacing w:after="0" w:line="283" w:lineRule="auto"/>
        <w:rPr>
          <w:sz w:val="20"/>
          <w:szCs w:val="20"/>
          <w:color w:val="auto"/>
        </w:rPr>
      </w:pPr>
      <w:r>
        <w:rPr>
          <w:rFonts w:ascii="Courier New" w:cs="Courier New" w:eastAsia="Courier New" w:hAnsi="Courier New"/>
          <w:sz w:val="14"/>
          <w:szCs w:val="14"/>
          <w:color w:val="auto"/>
        </w:rPr>
        <w:t>forward-looking statements we make are described below. All forward-looking statements attributable to us or persons working on our behalf are expressly qualified in their entirety by the following cautionary statements:</w:t>
      </w:r>
    </w:p>
    <w:p>
      <w:pPr>
        <w:spacing w:after="0" w:line="155" w:lineRule="exact"/>
        <w:rPr>
          <w:sz w:val="20"/>
          <w:szCs w:val="20"/>
          <w:color w:val="auto"/>
        </w:rPr>
      </w:pPr>
    </w:p>
    <w:p>
      <w:pPr>
        <w:ind w:left="1580" w:right="2779" w:hanging="747"/>
        <w:spacing w:after="0" w:line="234"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OUR FINANCIAL RESULTS.</w:t>
      </w:r>
    </w:p>
    <w:p>
      <w:pPr>
        <w:spacing w:after="0" w:line="183" w:lineRule="exact"/>
        <w:rPr>
          <w:rFonts w:ascii="Courier New" w:cs="Courier New" w:eastAsia="Courier New" w:hAnsi="Courier New"/>
          <w:sz w:val="16"/>
          <w:szCs w:val="16"/>
          <w:color w:val="auto"/>
        </w:rPr>
      </w:pPr>
    </w:p>
    <w:p>
      <w:pPr>
        <w:ind w:left="158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4" w:lineRule="exact"/>
        <w:rPr>
          <w:rFonts w:ascii="Courier New" w:cs="Courier New" w:eastAsia="Courier New" w:hAnsi="Courier New"/>
          <w:sz w:val="16"/>
          <w:szCs w:val="16"/>
          <w:color w:val="auto"/>
        </w:rPr>
      </w:pPr>
    </w:p>
    <w:p>
      <w:pPr>
        <w:ind w:left="1580" w:right="3159" w:hanging="747"/>
        <w:spacing w:after="0" w:line="234"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83" w:lineRule="exact"/>
        <w:rPr>
          <w:rFonts w:ascii="Courier New" w:cs="Courier New" w:eastAsia="Courier New" w:hAnsi="Courier New"/>
          <w:sz w:val="16"/>
          <w:szCs w:val="16"/>
          <w:color w:val="auto"/>
        </w:rPr>
      </w:pPr>
    </w:p>
    <w:p>
      <w:pPr>
        <w:ind w:left="158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87" w:lineRule="exact"/>
        <w:rPr>
          <w:rFonts w:ascii="Courier New" w:cs="Courier New" w:eastAsia="Courier New" w:hAnsi="Courier New"/>
          <w:sz w:val="16"/>
          <w:szCs w:val="16"/>
          <w:color w:val="auto"/>
        </w:rPr>
      </w:pPr>
    </w:p>
    <w:p>
      <w:pPr>
        <w:ind w:left="1580" w:right="2879" w:hanging="747"/>
        <w:spacing w:after="0" w:line="234"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83" w:lineRule="exact"/>
        <w:rPr>
          <w:rFonts w:ascii="Courier New" w:cs="Courier New" w:eastAsia="Courier New" w:hAnsi="Courier New"/>
          <w:sz w:val="16"/>
          <w:szCs w:val="16"/>
          <w:color w:val="auto"/>
        </w:rPr>
      </w:pPr>
    </w:p>
    <w:p>
      <w:pPr>
        <w:ind w:left="158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84" w:lineRule="exact"/>
        <w:rPr>
          <w:rFonts w:ascii="Courier New" w:cs="Courier New" w:eastAsia="Courier New" w:hAnsi="Courier New"/>
          <w:sz w:val="16"/>
          <w:szCs w:val="16"/>
          <w:color w:val="auto"/>
        </w:rPr>
      </w:pPr>
    </w:p>
    <w:p>
      <w:pPr>
        <w:ind w:left="1580" w:right="3519" w:hanging="747"/>
        <w:spacing w:after="0" w:line="235"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77"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w:t>
      </w:r>
    </w:p>
    <w:p>
      <w:pPr>
        <w:spacing w:after="0" w:line="182" w:lineRule="exact"/>
        <w:rPr>
          <w:rFonts w:ascii="Courier New" w:cs="Courier New" w:eastAsia="Courier New" w:hAnsi="Courier New"/>
          <w:sz w:val="16"/>
          <w:szCs w:val="16"/>
          <w:color w:val="auto"/>
        </w:rPr>
      </w:pPr>
    </w:p>
    <w:p>
      <w:pPr>
        <w:ind w:left="2420" w:right="3719" w:hanging="843"/>
        <w:spacing w:after="0" w:line="234" w:lineRule="auto"/>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pacing w:after="0" w:line="183" w:lineRule="exact"/>
        <w:rPr>
          <w:rFonts w:ascii="Courier New" w:cs="Courier New" w:eastAsia="Courier New" w:hAnsi="Courier New"/>
          <w:sz w:val="16"/>
          <w:szCs w:val="16"/>
          <w:color w:val="auto"/>
        </w:rPr>
      </w:pPr>
    </w:p>
    <w:p>
      <w:pPr>
        <w:ind w:left="2420" w:right="2779" w:hanging="843"/>
        <w:spacing w:after="0" w:line="234" w:lineRule="auto"/>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3" w:lineRule="exact"/>
        <w:rPr>
          <w:rFonts w:ascii="Courier New" w:cs="Courier New" w:eastAsia="Courier New" w:hAnsi="Courier New"/>
          <w:sz w:val="16"/>
          <w:szCs w:val="16"/>
          <w:color w:val="auto"/>
        </w:rPr>
      </w:pPr>
    </w:p>
    <w:p>
      <w:pPr>
        <w:ind w:left="2420" w:right="2959" w:hanging="843"/>
        <w:spacing w:after="0" w:line="235" w:lineRule="auto"/>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fund future working capital, capital expenditures, research and development costs and other general corporate requirements;</w:t>
      </w:r>
    </w:p>
    <w:p>
      <w:pPr>
        <w:spacing w:after="0" w:line="183" w:lineRule="exact"/>
        <w:rPr>
          <w:rFonts w:ascii="Courier New" w:cs="Courier New" w:eastAsia="Courier New" w:hAnsi="Courier New"/>
          <w:sz w:val="16"/>
          <w:szCs w:val="16"/>
          <w:color w:val="auto"/>
        </w:rPr>
      </w:pPr>
    </w:p>
    <w:p>
      <w:pPr>
        <w:ind w:left="2420" w:right="2879" w:hanging="843"/>
        <w:spacing w:after="0" w:line="236" w:lineRule="auto"/>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82" w:lineRule="exact"/>
        <w:rPr>
          <w:rFonts w:ascii="Courier New" w:cs="Courier New" w:eastAsia="Courier New" w:hAnsi="Courier New"/>
          <w:sz w:val="16"/>
          <w:szCs w:val="16"/>
          <w:color w:val="auto"/>
        </w:rPr>
      </w:pPr>
    </w:p>
    <w:p>
      <w:pPr>
        <w:ind w:left="2420" w:right="2779" w:hanging="843"/>
        <w:spacing w:after="0" w:line="235" w:lineRule="auto"/>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3" w:lineRule="exact"/>
        <w:rPr>
          <w:rFonts w:ascii="Courier New" w:cs="Courier New" w:eastAsia="Courier New" w:hAnsi="Courier New"/>
          <w:sz w:val="16"/>
          <w:szCs w:val="16"/>
          <w:color w:val="auto"/>
        </w:rPr>
      </w:pPr>
    </w:p>
    <w:p>
      <w:pPr>
        <w:ind w:left="2420" w:right="2779" w:hanging="843"/>
        <w:spacing w:after="0" w:line="234" w:lineRule="auto"/>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77" w:lineRule="exact"/>
        <w:rPr>
          <w:rFonts w:ascii="Courier New" w:cs="Courier New" w:eastAsia="Courier New" w:hAnsi="Courier New"/>
          <w:sz w:val="16"/>
          <w:szCs w:val="16"/>
          <w:color w:val="auto"/>
        </w:rPr>
      </w:pPr>
    </w:p>
    <w:p>
      <w:pPr>
        <w:ind w:left="2420" w:hanging="843"/>
        <w:spacing w:after="0"/>
        <w:tabs>
          <w:tab w:leader="none" w:pos="2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19"/>
          </w:cols>
          <w:pgMar w:left="240" w:top="290"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left="1300" w:right="2879"/>
        <w:spacing w:after="0" w:line="236"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83" w:lineRule="exact"/>
        <w:rPr>
          <w:sz w:val="20"/>
          <w:szCs w:val="20"/>
          <w:color w:val="auto"/>
        </w:rPr>
      </w:pPr>
    </w:p>
    <w:p>
      <w:pPr>
        <w:ind w:left="1300" w:right="3239" w:hanging="747"/>
        <w:spacing w:after="0" w:line="295" w:lineRule="auto"/>
        <w:tabs>
          <w:tab w:leader="none" w:pos="13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46" w:lineRule="exact"/>
        <w:rPr>
          <w:rFonts w:ascii="Courier New" w:cs="Courier New" w:eastAsia="Courier New" w:hAnsi="Courier New"/>
          <w:sz w:val="14"/>
          <w:szCs w:val="14"/>
          <w:color w:val="auto"/>
        </w:rPr>
      </w:pPr>
    </w:p>
    <w:p>
      <w:pPr>
        <w:ind w:left="1300"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1300" w:right="2879" w:hanging="747"/>
        <w:spacing w:after="0" w:line="234" w:lineRule="auto"/>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3" w:lineRule="exact"/>
        <w:rPr>
          <w:rFonts w:ascii="Courier New" w:cs="Courier New" w:eastAsia="Courier New" w:hAnsi="Courier New"/>
          <w:sz w:val="16"/>
          <w:szCs w:val="16"/>
          <w:color w:val="auto"/>
        </w:rPr>
      </w:pPr>
    </w:p>
    <w:p>
      <w:pPr>
        <w:ind w:left="1300"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We have made several substantial acquisitions in the past four years. The acquisition of the Ortho business represents the largest acquisition we have ever made. The success of any completed acquisition depends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200" w:lineRule="exact"/>
        <w:rPr>
          <w:rFonts w:ascii="Courier New" w:cs="Courier New" w:eastAsia="Courier New" w:hAnsi="Courier New"/>
          <w:sz w:val="16"/>
          <w:szCs w:val="16"/>
          <w:color w:val="auto"/>
        </w:rPr>
      </w:pPr>
    </w:p>
    <w:p>
      <w:pPr>
        <w:spacing w:after="0" w:line="325" w:lineRule="exact"/>
        <w:rPr>
          <w:rFonts w:ascii="Courier New" w:cs="Courier New" w:eastAsia="Courier New" w:hAnsi="Courier New"/>
          <w:sz w:val="16"/>
          <w:szCs w:val="16"/>
          <w:color w:val="auto"/>
        </w:rPr>
      </w:pPr>
    </w:p>
    <w:p>
      <w:pPr>
        <w:jc w:val="both"/>
        <w:ind w:left="1300" w:right="2879" w:hanging="747"/>
        <w:spacing w:after="0" w:line="235" w:lineRule="auto"/>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3" w:lineRule="exact"/>
        <w:rPr>
          <w:rFonts w:ascii="Courier New" w:cs="Courier New" w:eastAsia="Courier New" w:hAnsi="Courier New"/>
          <w:sz w:val="16"/>
          <w:szCs w:val="16"/>
          <w:color w:val="auto"/>
        </w:rPr>
      </w:pPr>
    </w:p>
    <w:p>
      <w:pPr>
        <w:ind w:left="1300"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Our top 10 North American retail customers together accounted for approximately 56.5% of our fiscal 2000 sales and 41% of our outstanding accounts receivable as of September 30, 2000. Our top three customers, Home Depot, Wal*Mart and Kmart represented approximately 22.9%, 8.9% and 8.2% of our fiscal 2000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67" w:lineRule="exact"/>
        <w:rPr>
          <w:rFonts w:ascii="Courier New" w:cs="Courier New" w:eastAsia="Courier New" w:hAnsi="Courier New"/>
          <w:sz w:val="16"/>
          <w:szCs w:val="16"/>
          <w:color w:val="auto"/>
        </w:rPr>
      </w:pPr>
    </w:p>
    <w:p>
      <w:pPr>
        <w:ind w:left="1300" w:right="2779" w:hanging="747"/>
        <w:spacing w:after="0" w:line="235" w:lineRule="auto"/>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OR WE WERE TO TERMINATE THE MARKETING AGREEMENT FOR CONSUMER ROUNDUP(R) PRODUCTS, WE WOULD LOSE A SUBSTANTIAL SOURCE OF FUTURE EARNINGS.</w:t>
      </w:r>
    </w:p>
    <w:p>
      <w:pPr>
        <w:spacing w:after="0" w:line="183" w:lineRule="exact"/>
        <w:rPr>
          <w:rFonts w:ascii="Courier New" w:cs="Courier New" w:eastAsia="Courier New" w:hAnsi="Courier New"/>
          <w:sz w:val="16"/>
          <w:szCs w:val="16"/>
          <w:color w:val="auto"/>
        </w:rPr>
      </w:pPr>
    </w:p>
    <w:p>
      <w:pPr>
        <w:ind w:left="130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or if we were to terminate the agreement without appropriate cause,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ectPr>
          <w:pgSz w:w="11900" w:h="16838" w:orient="portrait"/>
          <w:cols w:equalWidth="0" w:num="1">
            <w:col w:w="9939"/>
          </w:cols>
          <w:pgMar w:left="520" w:top="290" w:right="1440" w:bottom="7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39"/>
          </w:cols>
          <w:pgMar w:left="520" w:top="290" w:right="1440" w:bottom="791"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37</w:t>
      </w:r>
    </w:p>
    <w:p>
      <w:pPr>
        <w:spacing w:after="0" w:line="177" w:lineRule="exact"/>
        <w:rPr>
          <w:sz w:val="20"/>
          <w:szCs w:val="20"/>
          <w:color w:val="auto"/>
        </w:rPr>
      </w:pPr>
    </w:p>
    <w:p>
      <w:pPr>
        <w:ind w:left="2140" w:hanging="843"/>
        <w:spacing w:after="0"/>
        <w:tabs>
          <w:tab w:leader="none" w:pos="21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period of three fiscal years; or</w:t>
      </w:r>
    </w:p>
    <w:p>
      <w:pPr>
        <w:spacing w:after="0" w:line="182" w:lineRule="exact"/>
        <w:rPr>
          <w:rFonts w:ascii="Courier New" w:cs="Courier New" w:eastAsia="Courier New" w:hAnsi="Courier New"/>
          <w:sz w:val="16"/>
          <w:szCs w:val="16"/>
          <w:color w:val="auto"/>
        </w:rPr>
      </w:pPr>
    </w:p>
    <w:p>
      <w:pPr>
        <w:ind w:left="2140" w:right="3159" w:hanging="843"/>
        <w:spacing w:after="0" w:line="234" w:lineRule="auto"/>
        <w:tabs>
          <w:tab w:leader="none" w:pos="21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3" w:lineRule="exact"/>
        <w:rPr>
          <w:rFonts w:ascii="Courier New" w:cs="Courier New" w:eastAsia="Courier New" w:hAnsi="Courier New"/>
          <w:sz w:val="16"/>
          <w:szCs w:val="16"/>
          <w:color w:val="auto"/>
        </w:rPr>
      </w:pPr>
    </w:p>
    <w:p>
      <w:pPr>
        <w:ind w:left="214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82" w:lineRule="exact"/>
        <w:rPr>
          <w:rFonts w:ascii="Courier New" w:cs="Courier New" w:eastAsia="Courier New" w:hAnsi="Courier New"/>
          <w:sz w:val="16"/>
          <w:szCs w:val="16"/>
          <w:color w:val="auto"/>
        </w:rPr>
      </w:pPr>
    </w:p>
    <w:p>
      <w:pPr>
        <w:ind w:left="1300" w:right="2779" w:hanging="747"/>
        <w:spacing w:after="0" w:line="235" w:lineRule="auto"/>
        <w:tabs>
          <w:tab w:leader="none" w:pos="1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3" w:lineRule="exact"/>
        <w:rPr>
          <w:rFonts w:ascii="Courier New" w:cs="Courier New" w:eastAsia="Courier New" w:hAnsi="Courier New"/>
          <w:sz w:val="16"/>
          <w:szCs w:val="16"/>
          <w:color w:val="auto"/>
        </w:rPr>
      </w:pPr>
    </w:p>
    <w:p>
      <w:pPr>
        <w:ind w:left="130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Glyphosate, the active ingredient in Roundup(R), is covered by a patent in the United States that expired in September 2000. Scotts cannot predict the success of Roundup(R) now that glyphosate is no longer patented. Substantial new competition in the United States could adversely affect Scotts.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Scott's financial results through the reduction of commissions as calculated under the Roundup(R) marketing agreement.</w:t>
      </w:r>
    </w:p>
    <w:p>
      <w:pPr>
        <w:spacing w:after="0" w:line="187"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methylene-urea product composition patent, which covers Scotts Turf Builder(R), Scotts Turf Builder(R) with Plus 2(TM) Weed Control and Scotts Turf Builder(R) with Halts(R) Crabgrass Preventer, is due to expire in July 2001, which could also result in increased competition. Any decline in sales of Turf Builder(R) products after the expiration of the methylene-urea product composition patent could adversely affect our financial results.</w:t>
      </w:r>
    </w:p>
    <w:p>
      <w:pPr>
        <w:spacing w:after="0" w:line="184" w:lineRule="exact"/>
        <w:rPr>
          <w:rFonts w:ascii="Courier New" w:cs="Courier New" w:eastAsia="Courier New" w:hAnsi="Courier New"/>
          <w:sz w:val="16"/>
          <w:szCs w:val="16"/>
          <w:color w:val="auto"/>
        </w:rPr>
      </w:pPr>
    </w:p>
    <w:p>
      <w:pPr>
        <w:ind w:left="1300" w:right="3239" w:hanging="747"/>
        <w:spacing w:after="0" w:line="234" w:lineRule="auto"/>
        <w:tabs>
          <w:tab w:leader="none" w:pos="1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84" w:lineRule="exact"/>
        <w:rPr>
          <w:rFonts w:ascii="Courier New" w:cs="Courier New" w:eastAsia="Courier New" w:hAnsi="Courier New"/>
          <w:sz w:val="16"/>
          <w:szCs w:val="16"/>
          <w:color w:val="auto"/>
        </w:rPr>
      </w:pPr>
    </w:p>
    <w:p>
      <w:pPr>
        <w:ind w:left="1300" w:right="3619" w:hanging="747"/>
        <w:spacing w:after="0" w:line="295" w:lineRule="auto"/>
        <w:tabs>
          <w:tab w:leader="none" w:pos="13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46" w:lineRule="exact"/>
        <w:rPr>
          <w:rFonts w:ascii="Courier New" w:cs="Courier New" w:eastAsia="Courier New" w:hAnsi="Courier New"/>
          <w:sz w:val="14"/>
          <w:szCs w:val="14"/>
          <w:color w:val="auto"/>
        </w:rPr>
      </w:pPr>
    </w:p>
    <w:p>
      <w:pPr>
        <w:ind w:left="130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Local, state, federal and foreign laws and regulations relating to environmental matters affect us in several ways. All products containing pesticides must be registered with the U.S. Environmental Protection Agency ("USEPA")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7" w:lineRule="exact"/>
        <w:rPr>
          <w:rFonts w:ascii="Courier New" w:cs="Courier New" w:eastAsia="Courier New" w:hAnsi="Courier New"/>
          <w:sz w:val="14"/>
          <w:szCs w:val="14"/>
          <w:color w:val="auto"/>
        </w:rPr>
      </w:pPr>
    </w:p>
    <w:p>
      <w:pPr>
        <w:ind w:left="1300"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which is that a reasonable certainty of no harm will result from the cumulative effect of pesticide exposures. Under this act, the USEPA is evaluating the cumulative risks from dietary and non-dietary exposures to pesticides. The pesticides in Scotts' products, which are also used on foods, will be evaluated by the USEPA as part of this non-dietary exposure risk assessment. It is possible that the USEPA or the active</w:t>
      </w:r>
    </w:p>
    <w:p>
      <w:pPr>
        <w:sectPr>
          <w:pgSz w:w="11900" w:h="16838" w:orient="portrait"/>
          <w:cols w:equalWidth="0" w:num="1">
            <w:col w:w="9939"/>
          </w:cols>
          <w:pgMar w:left="520" w:top="291" w:right="1440" w:bottom="1149"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39"/>
          </w:cols>
          <w:pgMar w:left="520" w:top="291" w:right="1440" w:bottom="1149"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left="1300" w:right="2779"/>
        <w:spacing w:after="0" w:line="274" w:lineRule="auto"/>
        <w:rPr>
          <w:sz w:val="20"/>
          <w:szCs w:val="20"/>
          <w:color w:val="auto"/>
        </w:rPr>
      </w:pPr>
      <w:r>
        <w:rPr>
          <w:rFonts w:ascii="Courier New" w:cs="Courier New" w:eastAsia="Courier New" w:hAnsi="Courier New"/>
          <w:sz w:val="14"/>
          <w:szCs w:val="14"/>
          <w:color w:val="auto"/>
        </w:rPr>
        <w:t>ingredient registrant may decide that a pesticide Scotts uses in its products would be limited or made unavailable to Scotts. We cannot predict the outcome or the severity of the effect of the USEPA's continuing evaluations. We believe that we should be able to obtain substitute ingredients if selected pesticides are limited or made unavailable, but there can be no assurance that we will be able to do so for all products.</w:t>
      </w:r>
    </w:p>
    <w:p>
      <w:pPr>
        <w:spacing w:after="0" w:line="164"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47"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and in the European Union, are the subject of conservation proposals.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167" w:lineRule="exact"/>
        <w:rPr>
          <w:sz w:val="20"/>
          <w:szCs w:val="20"/>
          <w:color w:val="auto"/>
        </w:rPr>
      </w:pPr>
    </w:p>
    <w:p>
      <w:pPr>
        <w:ind w:left="1300" w:right="2879"/>
        <w:spacing w:after="0" w:line="271" w:lineRule="auto"/>
        <w:rPr>
          <w:sz w:val="20"/>
          <w:szCs w:val="20"/>
          <w:color w:val="auto"/>
        </w:rPr>
      </w:pPr>
      <w:r>
        <w:rPr>
          <w:rFonts w:ascii="Courier New" w:cs="Courier New" w:eastAsia="Courier New" w:hAnsi="Courier New"/>
          <w:sz w:val="14"/>
          <w:szCs w:val="14"/>
          <w:color w:val="auto"/>
        </w:rPr>
        <w:t>The European Commission's Habitat Directive ("the Directive") provides that each European Member State must compile a list of areas containing habitats and species of European interest, and sets out scientific criteria for identifying such areas. Lists of proposed areas are submitted by Member States to the European Commission as candidate Special Areas of Conservation (SAC). If ultimately accepted by the Commission, an area will be designated by its Member State. In August 2000, the nature conservation advisory body to the U.K. Government notified Scotts' U.K. subsidiary that three of its peat harvesting sites in the U.K. were under consideration as candidate SAC's because of their European interest as "degraded raised peat bogs capable of natural regeneration". Management is challenging consideration of our peat harvesting sites as potential candidate SAC's, since we believe they do not meet the scientific criteria laid out in the Directive. The Company has recently submitted a scientific report to the nature conservation advisory body of the U.K. Government detailing objections to such proposals. If our objections are not resolved through a process of consultation, the U.K. Government may decide to submit the sites to the European Commission. Upon submission, the sites become candidate SAC's under U.K. law. The peat harvesting sites in the U.K. are operated under mineral planning consents issued by local planning authorities. Following possible submission by the U.K. Government of the harvesting sites as candidate SAC's, these local planning authorities will be required to review the impact of activities likely to affect these areas. If these authorities determine that harvesting activity will damage the features of European interest on the sites, then they may modify or revoke the mineral planning consents. Where a planning consent is altered or revoked by a local planning authority, legislation requires compensation to be paid to those affected.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right="2779"/>
        <w:spacing w:after="0" w:line="273"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("EPA")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w:t>
      </w:r>
    </w:p>
    <w:p>
      <w:pPr>
        <w:sectPr>
          <w:pgSz w:w="11900" w:h="16838" w:orient="portrait"/>
          <w:cols w:equalWidth="0" w:num="1">
            <w:col w:w="9939"/>
          </w:cols>
          <w:pgMar w:left="520" w:top="290" w:right="1440" w:bottom="255" w:gutter="0" w:footer="0" w:header="0"/>
        </w:sectPr>
      </w:pPr>
    </w:p>
    <w:p>
      <w:pPr>
        <w:spacing w:after="0" w:line="34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9939"/>
          </w:cols>
          <w:pgMar w:left="520" w:top="290" w:right="1440" w:bottom="255"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39</w:t>
      </w:r>
    </w:p>
    <w:p>
      <w:pPr>
        <w:spacing w:after="0" w:line="4" w:lineRule="exact"/>
        <w:rPr>
          <w:sz w:val="20"/>
          <w:szCs w:val="20"/>
          <w:color w:val="auto"/>
        </w:rPr>
      </w:pPr>
    </w:p>
    <w:p>
      <w:pPr>
        <w:ind w:left="1300" w:right="2779"/>
        <w:spacing w:after="0" w:line="235" w:lineRule="auto"/>
        <w:rPr>
          <w:sz w:val="20"/>
          <w:szCs w:val="20"/>
          <w:color w:val="auto"/>
        </w:rPr>
      </w:pPr>
      <w:r>
        <w:rPr>
          <w:rFonts w:ascii="Courier New" w:cs="Courier New" w:eastAsia="Courier New" w:hAnsi="Courier New"/>
          <w:sz w:val="16"/>
          <w:szCs w:val="16"/>
          <w:color w:val="auto"/>
        </w:rPr>
        <w:t>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186" w:lineRule="exact"/>
        <w:rPr>
          <w:sz w:val="20"/>
          <w:szCs w:val="20"/>
          <w:color w:val="auto"/>
        </w:rPr>
      </w:pPr>
    </w:p>
    <w:p>
      <w:pPr>
        <w:ind w:left="1300" w:right="2779"/>
        <w:spacing w:after="0" w:line="236" w:lineRule="auto"/>
        <w:rPr>
          <w:sz w:val="20"/>
          <w:szCs w:val="20"/>
          <w:color w:val="auto"/>
        </w:rPr>
      </w:pPr>
      <w:r>
        <w:rPr>
          <w:rFonts w:ascii="Courier New" w:cs="Courier New" w:eastAsia="Courier New" w:hAnsi="Courier New"/>
          <w:sz w:val="16"/>
          <w:szCs w:val="16"/>
          <w:color w:val="auto"/>
        </w:rPr>
        <w:t>During fiscal 2000, we made approximately $1.2 million in environmental capital expenditures and $1.8 million in other environmental expenses, compared with approximately $1.1 million in environmental capital expenditures and $5.9 million in other environmental expenses in fiscal 1999. Management anticipates that environmental capital expenditures and other environmental expenses for fiscal 2001 will not differ significantly from those incurred in fiscal 2000. If we are required to significantly increase our actual environmental capital expenditures and other environmental expenses, it could adversely affect our financial results.</w:t>
      </w:r>
    </w:p>
    <w:p>
      <w:pPr>
        <w:spacing w:after="0" w:line="186" w:lineRule="exact"/>
        <w:rPr>
          <w:sz w:val="20"/>
          <w:szCs w:val="20"/>
          <w:color w:val="auto"/>
        </w:rPr>
      </w:pPr>
    </w:p>
    <w:p>
      <w:pPr>
        <w:ind w:left="1300" w:right="3439" w:hanging="747"/>
        <w:spacing w:after="0" w:line="234" w:lineRule="auto"/>
        <w:tabs>
          <w:tab w:leader="none" w:pos="1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IMPLEMENTATION OF THE EURO CURRENCY IN SOME EUROPEAN COUNTRIES COULD ADVERSELY AFFECT US.</w:t>
      </w:r>
    </w:p>
    <w:p>
      <w:pPr>
        <w:spacing w:after="0" w:line="183" w:lineRule="exact"/>
        <w:rPr>
          <w:rFonts w:ascii="Courier New" w:cs="Courier New" w:eastAsia="Courier New" w:hAnsi="Courier New"/>
          <w:sz w:val="16"/>
          <w:szCs w:val="16"/>
          <w:color w:val="auto"/>
        </w:rPr>
      </w:pPr>
    </w:p>
    <w:p>
      <w:pPr>
        <w:ind w:left="1300"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January 1999, the "euro" was introduced in some Economic and Monetary Union (EMU) countries and by 2002, all EMU countries are expected to be operating with the euro as their single currency. Uncertainty exists as to the effects the euro currency will have on the market 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We estimate that the cost related to addressing this issue will be $1.5-$2.0 million; however, there can be no assurance that the ultimate costs related to this issue will not exceed this estimate.</w:t>
      </w:r>
    </w:p>
    <w:p>
      <w:pPr>
        <w:spacing w:after="0" w:line="346" w:lineRule="exact"/>
        <w:rPr>
          <w:rFonts w:ascii="Courier New" w:cs="Courier New" w:eastAsia="Courier New" w:hAnsi="Courier New"/>
          <w:sz w:val="16"/>
          <w:szCs w:val="16"/>
          <w:color w:val="auto"/>
        </w:rPr>
      </w:pPr>
    </w:p>
    <w:p>
      <w:pPr>
        <w:ind w:left="1300" w:right="2959" w:hanging="747"/>
        <w:spacing w:after="0" w:line="235" w:lineRule="auto"/>
        <w:tabs>
          <w:tab w:leader="none" w:pos="1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3" w:lineRule="exact"/>
        <w:rPr>
          <w:rFonts w:ascii="Courier New" w:cs="Courier New" w:eastAsia="Courier New" w:hAnsi="Courier New"/>
          <w:sz w:val="16"/>
          <w:szCs w:val="16"/>
          <w:color w:val="auto"/>
        </w:rPr>
      </w:pPr>
    </w:p>
    <w:p>
      <w:pPr>
        <w:ind w:left="1300" w:right="29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Rhone-Poulenc Jardin and Substral and with the marketing agreement for consumer Roundup(R) products. In fiscal 2000, international sales accounted for approximately 21% of our total sales. Accordingly, we are subject to risks associated with operations in foreign countries, including:</w:t>
      </w:r>
    </w:p>
    <w:p>
      <w:pPr>
        <w:spacing w:after="0" w:line="179" w:lineRule="exact"/>
        <w:rPr>
          <w:rFonts w:ascii="Courier New" w:cs="Courier New" w:eastAsia="Courier New" w:hAnsi="Courier New"/>
          <w:sz w:val="16"/>
          <w:szCs w:val="16"/>
          <w:color w:val="auto"/>
        </w:rPr>
      </w:pPr>
    </w:p>
    <w:p>
      <w:pPr>
        <w:ind w:left="2140" w:hanging="843"/>
        <w:spacing w:after="0"/>
        <w:tabs>
          <w:tab w:leader="none" w:pos="21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82" w:lineRule="exact"/>
        <w:rPr>
          <w:rFonts w:ascii="Courier New" w:cs="Courier New" w:eastAsia="Courier New" w:hAnsi="Courier New"/>
          <w:sz w:val="16"/>
          <w:szCs w:val="16"/>
          <w:color w:val="auto"/>
        </w:rPr>
      </w:pPr>
    </w:p>
    <w:p>
      <w:pPr>
        <w:ind w:left="2140" w:right="3059" w:hanging="843"/>
        <w:spacing w:after="0" w:line="234" w:lineRule="auto"/>
        <w:tabs>
          <w:tab w:leader="none" w:pos="21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3" w:lineRule="exact"/>
        <w:rPr>
          <w:rFonts w:ascii="Courier New" w:cs="Courier New" w:eastAsia="Courier New" w:hAnsi="Courier New"/>
          <w:sz w:val="16"/>
          <w:szCs w:val="16"/>
          <w:color w:val="auto"/>
        </w:rPr>
      </w:pPr>
    </w:p>
    <w:p>
      <w:pPr>
        <w:ind w:left="2140" w:right="2959" w:hanging="843"/>
        <w:spacing w:after="0" w:line="234" w:lineRule="auto"/>
        <w:tabs>
          <w:tab w:leader="none" w:pos="21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83" w:lineRule="exact"/>
        <w:rPr>
          <w:rFonts w:ascii="Courier New" w:cs="Courier New" w:eastAsia="Courier New" w:hAnsi="Courier New"/>
          <w:sz w:val="16"/>
          <w:szCs w:val="16"/>
          <w:color w:val="auto"/>
        </w:rPr>
      </w:pPr>
    </w:p>
    <w:p>
      <w:pPr>
        <w:ind w:left="2140" w:right="2779" w:hanging="843"/>
        <w:spacing w:after="0" w:line="234" w:lineRule="auto"/>
        <w:tabs>
          <w:tab w:leader="none" w:pos="21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3" w:lineRule="exact"/>
        <w:rPr>
          <w:rFonts w:ascii="Courier New" w:cs="Courier New" w:eastAsia="Courier New" w:hAnsi="Courier New"/>
          <w:sz w:val="16"/>
          <w:szCs w:val="16"/>
          <w:color w:val="auto"/>
        </w:rPr>
      </w:pPr>
    </w:p>
    <w:p>
      <w:pPr>
        <w:ind w:left="2140" w:right="3059" w:hanging="843"/>
        <w:spacing w:after="0" w:line="234" w:lineRule="auto"/>
        <w:tabs>
          <w:tab w:leader="none" w:pos="21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3" w:lineRule="exact"/>
        <w:rPr>
          <w:sz w:val="20"/>
          <w:szCs w:val="20"/>
          <w:color w:val="auto"/>
        </w:rPr>
      </w:pPr>
    </w:p>
    <w:p>
      <w:pPr>
        <w:ind w:left="1300" w:right="3059"/>
        <w:spacing w:after="0" w:line="235"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939"/>
          </w:cols>
          <w:pgMar w:left="520" w:top="29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40</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PART II - OTHER INFORMATION</w:t>
      </w:r>
    </w:p>
    <w:p>
      <w:pPr>
        <w:spacing w:after="0" w:line="17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left="1580" w:right="2779"/>
        <w:spacing w:after="0" w:line="235" w:lineRule="auto"/>
        <w:rPr>
          <w:sz w:val="20"/>
          <w:szCs w:val="20"/>
          <w:color w:val="auto"/>
        </w:rPr>
      </w:pPr>
      <w:r>
        <w:rPr>
          <w:rFonts w:ascii="Courier New" w:cs="Courier New" w:eastAsia="Courier New" w:hAnsi="Courier New"/>
          <w:sz w:val="16"/>
          <w:szCs w:val="16"/>
          <w:color w:val="auto"/>
        </w:rPr>
        <w:t>As noted in Note 9 to the Company's unaudited Condensed, Consolidated Financial Statements as of and for the period ended March 31, 2001, the Company is involved in several pending legal and environmental matters. Pending other material legal proceedings are as follows:</w:t>
      </w:r>
    </w:p>
    <w:p>
      <w:pPr>
        <w:spacing w:after="0" w:line="18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Rhone-Poulenc, S.A., Rhone-Poulenc Agro S.A. and Hoechst, A.G.</w:t>
      </w:r>
    </w:p>
    <w:p>
      <w:pPr>
        <w:spacing w:after="0" w:line="199" w:lineRule="exact"/>
        <w:rPr>
          <w:sz w:val="20"/>
          <w:szCs w:val="20"/>
          <w:color w:val="auto"/>
        </w:rPr>
      </w:pPr>
    </w:p>
    <w:p>
      <w:pPr>
        <w:ind w:left="1580" w:right="2779"/>
        <w:spacing w:after="0" w:line="236" w:lineRule="auto"/>
        <w:rPr>
          <w:sz w:val="20"/>
          <w:szCs w:val="20"/>
          <w:color w:val="auto"/>
        </w:rPr>
      </w:pPr>
      <w:r>
        <w:rPr>
          <w:rFonts w:ascii="Courier New" w:cs="Courier New" w:eastAsia="Courier New" w:hAnsi="Courier New"/>
          <w:sz w:val="16"/>
          <w:szCs w:val="16"/>
          <w:color w:val="auto"/>
        </w:rPr>
        <w:t>On October 15, 1999, the Company began arbitration proceedings before the International Court of Arbitration of the International Chamber of Commerce (the "ICA") against Rhone-Poulenc S.A. and Rhone-Poulenc Agro S.A. (collectively, "Rhone-Poulenc") under arbitration provisions contained in contracts relating to the purchase by the Company of Rhone-Poulenc's European lawn and garden business, Rhone-Poulenc Jardin, in 1998. The Company alleged that the combination of Rhone-Poulenc and Hoechst Schering AgrEvo GmbH ("AgrEvo") into a new entity, Aventis S.A., would result in the violation of non-compete and other provisions in the contracts mentioned above.</w:t>
      </w:r>
    </w:p>
    <w:p>
      <w:pPr>
        <w:spacing w:after="0" w:line="187" w:lineRule="exact"/>
        <w:rPr>
          <w:sz w:val="20"/>
          <w:szCs w:val="20"/>
          <w:color w:val="auto"/>
        </w:rPr>
      </w:pPr>
    </w:p>
    <w:p>
      <w:pPr>
        <w:ind w:left="1580" w:right="2779"/>
        <w:spacing w:after="0" w:line="236" w:lineRule="auto"/>
        <w:rPr>
          <w:sz w:val="20"/>
          <w:szCs w:val="20"/>
          <w:color w:val="auto"/>
        </w:rPr>
      </w:pPr>
      <w:r>
        <w:rPr>
          <w:rFonts w:ascii="Courier New" w:cs="Courier New" w:eastAsia="Courier New" w:hAnsi="Courier New"/>
          <w:sz w:val="16"/>
          <w:szCs w:val="16"/>
          <w:color w:val="auto"/>
        </w:rPr>
        <w:t>On October 9, 2000, the ICA issued a First Partial Award by the Tribunal which, inter alia, (i) found that Rhone-Poulenc breached its duty of good faith under French law by not disclosing to the Company the contemplated combination of Rhone-Poulenc and AgrEvo, (ii) directed that the parties re-negotiate a non-compete provision, and (iii) ruled that a research and development agreement entered into ancillary to the purchase of Rhone-Poulenc Jardin is binding upon both Rhone-Poulenc and its post-merger successor. On February 12, 2001, because of the parties' failure to agree on revisions to the non-compete provision, the ICA issued a Second Partial Award by the Tribunal revising that provision. A damages hearing has been scheduled to begin July 2, 2001.</w:t>
      </w:r>
    </w:p>
    <w:p>
      <w:pPr>
        <w:spacing w:after="0" w:line="188" w:lineRule="exact"/>
        <w:rPr>
          <w:sz w:val="20"/>
          <w:szCs w:val="20"/>
          <w:color w:val="auto"/>
        </w:rPr>
      </w:pPr>
    </w:p>
    <w:p>
      <w:pPr>
        <w:ind w:left="1580" w:right="2779"/>
        <w:spacing w:after="0" w:line="236" w:lineRule="auto"/>
        <w:rPr>
          <w:sz w:val="20"/>
          <w:szCs w:val="20"/>
          <w:color w:val="auto"/>
        </w:rPr>
      </w:pPr>
      <w:r>
        <w:rPr>
          <w:rFonts w:ascii="Courier New" w:cs="Courier New" w:eastAsia="Courier New" w:hAnsi="Courier New"/>
          <w:sz w:val="16"/>
          <w:szCs w:val="16"/>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w:t>
      </w:r>
    </w:p>
    <w:p>
      <w:pPr>
        <w:spacing w:after="0" w:line="18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Scotts v. AgrEvo USA Company</w:t>
      </w:r>
    </w:p>
    <w:p>
      <w:pPr>
        <w:spacing w:after="0" w:line="183" w:lineRule="exact"/>
        <w:rPr>
          <w:sz w:val="20"/>
          <w:szCs w:val="20"/>
          <w:color w:val="auto"/>
        </w:rPr>
      </w:pPr>
    </w:p>
    <w:p>
      <w:pPr>
        <w:ind w:left="1580" w:right="2779"/>
        <w:spacing w:after="0" w:line="236" w:lineRule="auto"/>
        <w:rPr>
          <w:sz w:val="20"/>
          <w:szCs w:val="20"/>
          <w:color w:val="auto"/>
        </w:rPr>
      </w:pPr>
      <w:r>
        <w:rPr>
          <w:rFonts w:ascii="Courier New" w:cs="Courier New" w:eastAsia="Courier New" w:hAnsi="Courier New"/>
          <w:sz w:val="16"/>
          <w:szCs w:val="16"/>
          <w:color w:val="auto"/>
        </w:rPr>
        <w:t>The Company filed suit against AgrEvo USA Company on August 8, 2000 in the Court of Common Pleas for Union County, Ohio, alleging breach of contract relating to an Agreement dated June 22, 1998 entitled "Exclusive Distributor Agreement - Horticulture". The action seeks an unspecified amount of damages resulting from AgrEvo's breaches of the Agreement, an order of specific performance directing AgrEvo to comply with its obligations under the Agreement, a declaratory judgment that the Company's future performance under the Agreement is waived as a result of AgrEvo's failure to perform, and such other relief to which the Company might be entitled. This action was dismissed without prejudice on February 6, 2001, pending the outcome of settlement discussions.</w:t>
      </w:r>
    </w:p>
    <w:p>
      <w:pPr>
        <w:spacing w:after="0" w:line="188" w:lineRule="exact"/>
        <w:rPr>
          <w:sz w:val="20"/>
          <w:szCs w:val="20"/>
          <w:color w:val="auto"/>
        </w:rPr>
      </w:pPr>
    </w:p>
    <w:p>
      <w:pPr>
        <w:ind w:left="1580" w:right="2879"/>
        <w:spacing w:after="0" w:line="235" w:lineRule="auto"/>
        <w:rPr>
          <w:sz w:val="20"/>
          <w:szCs w:val="20"/>
          <w:color w:val="auto"/>
        </w:rPr>
      </w:pPr>
      <w:r>
        <w:rPr>
          <w:rFonts w:ascii="Courier New" w:cs="Courier New" w:eastAsia="Courier New" w:hAnsi="Courier New"/>
          <w:sz w:val="16"/>
          <w:szCs w:val="16"/>
          <w:color w:val="auto"/>
        </w:rPr>
        <w:t>The Company is involved in other lawsuits and claims which arise in the normal course of its business. In the opinion of management, these claims individually and in the aggregate are not expected to result in a material adverse effect on the Company's financial position or operations.</w:t>
      </w:r>
    </w:p>
    <w:p>
      <w:pPr>
        <w:spacing w:after="0" w:line="18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83" w:lineRule="exact"/>
        <w:rPr>
          <w:sz w:val="20"/>
          <w:szCs w:val="20"/>
          <w:color w:val="auto"/>
        </w:rPr>
      </w:pPr>
    </w:p>
    <w:p>
      <w:pPr>
        <w:ind w:left="1580" w:right="2779"/>
        <w:spacing w:after="0" w:line="236" w:lineRule="auto"/>
        <w:rPr>
          <w:sz w:val="20"/>
          <w:szCs w:val="20"/>
          <w:color w:val="auto"/>
        </w:rPr>
      </w:pPr>
      <w:r>
        <w:rPr>
          <w:rFonts w:ascii="Courier New" w:cs="Courier New" w:eastAsia="Courier New" w:hAnsi="Courier New"/>
          <w:sz w:val="16"/>
          <w:szCs w:val="16"/>
          <w:color w:val="auto"/>
        </w:rPr>
        <w:t>On May 10, 2001, the Company's Board of Directors elected James Hagedorn as the Company's President and Chief Executive Officer. Mr. Hagedorn succeeds Charles M. Berger as CEO, who will continue to serve as Chairman of the Board. Mr. Hagedorn had served as the Company's President and Chief Operating Officer since April 2001, and is also a member of the Company's Board of Directors.</w:t>
      </w:r>
    </w:p>
    <w:p>
      <w:pPr>
        <w:sectPr>
          <w:pgSz w:w="11900" w:h="16838" w:orient="portrait"/>
          <w:cols w:equalWidth="0" w:num="1">
            <w:col w:w="10219"/>
          </w:cols>
          <w:pgMar w:left="240" w:top="290" w:right="1440" w:bottom="255" w:gutter="0" w:footer="0" w:header="0"/>
        </w:sectPr>
      </w:pP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19"/>
          </w:cols>
          <w:pgMar w:left="240" w:top="290" w:right="1440" w:bottom="255"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41</w:t>
      </w:r>
    </w:p>
    <w:p>
      <w:pPr>
        <w:spacing w:after="0" w:line="355" w:lineRule="exact"/>
        <w:rPr>
          <w:sz w:val="20"/>
          <w:szCs w:val="20"/>
          <w:color w:val="auto"/>
        </w:rPr>
      </w:pPr>
    </w:p>
    <w:p>
      <w:pPr>
        <w:ind w:left="1300"/>
        <w:spacing w:after="0"/>
        <w:tabs>
          <w:tab w:leader="none" w:pos="21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2140" w:right="3519" w:hanging="843"/>
        <w:spacing w:after="0" w:line="234" w:lineRule="auto"/>
        <w:tabs>
          <w:tab w:leader="none" w:pos="21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43 for a list of the exhibits included herewith.</w:t>
      </w:r>
    </w:p>
    <w:p>
      <w:pPr>
        <w:spacing w:after="0" w:line="183" w:lineRule="exact"/>
        <w:rPr>
          <w:rFonts w:ascii="Courier New" w:cs="Courier New" w:eastAsia="Courier New" w:hAnsi="Courier New"/>
          <w:sz w:val="16"/>
          <w:szCs w:val="16"/>
          <w:color w:val="auto"/>
        </w:rPr>
      </w:pPr>
    </w:p>
    <w:p>
      <w:pPr>
        <w:ind w:left="2140" w:right="3059" w:hanging="843"/>
        <w:spacing w:after="0" w:line="234" w:lineRule="auto"/>
        <w:tabs>
          <w:tab w:leader="none" w:pos="21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no Current Reports on Form 8-K during the quarter covered by this Report.</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939"/>
          </w:cols>
          <w:pgMar w:left="520" w:top="29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42</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jc w:val="both"/>
        <w:ind w:right="3059" w:firstLine="837"/>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15th, 2001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CHRISTOPHER L. NAGEL</w:t>
      </w:r>
    </w:p>
    <w:p>
      <w:pPr>
        <w:spacing w:after="0" w:line="236" w:lineRule="auto"/>
        <w:tabs>
          <w:tab w:leader="none" w:pos="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Corporate</w:t>
      </w:r>
    </w:p>
    <w:p>
      <w:pPr>
        <w:spacing w:after="0" w:line="236" w:lineRule="auto"/>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3360" w:space="720"/>
            <w:col w:w="6139"/>
          </w:cols>
          <w:pgMar w:left="240" w:top="291" w:right="1440" w:bottom="1440" w:gutter="0" w:footer="0" w:header="0"/>
          <w:type w:val="continuous"/>
        </w:sectPr>
      </w:pP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19"/>
          </w:cols>
          <w:pgMar w:left="240" w:top="291"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43</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SCOTTS COMPANY</w:t>
      </w:r>
    </w:p>
    <w:p>
      <w:pPr>
        <w:ind w:left="2220"/>
        <w:spacing w:after="0" w:line="236" w:lineRule="auto"/>
        <w:rPr>
          <w:sz w:val="20"/>
          <w:szCs w:val="20"/>
          <w:color w:val="auto"/>
        </w:rPr>
      </w:pPr>
      <w:r>
        <w:rPr>
          <w:rFonts w:ascii="Courier New" w:cs="Courier New" w:eastAsia="Courier New" w:hAnsi="Courier New"/>
          <w:sz w:val="16"/>
          <w:szCs w:val="16"/>
          <w:color w:val="auto"/>
        </w:rPr>
        <w:t>QUARTERLY REPORT ON FORM 10-Q FOR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FISCAL QUARTER ENDED MARCH 31, 2001</w:t>
      </w:r>
    </w:p>
    <w:p>
      <w:pPr>
        <w:spacing w:after="0" w:line="19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940" w:space="720"/>
            <w:col w:w="6260" w:space="720"/>
            <w:col w:w="1579"/>
          </w:cols>
          <w:pgMar w:left="240" w:top="2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10(w)</w:t>
      </w:r>
    </w:p>
    <w:p>
      <w:pPr>
        <w:spacing w:after="0" w:line="20" w:lineRule="exact"/>
        <w:rPr>
          <w:sz w:val="20"/>
          <w:szCs w:val="20"/>
          <w:color w:val="auto"/>
        </w:rPr>
      </w:pPr>
      <w:r>
        <w:rPr>
          <w:sz w:val="20"/>
          <w:szCs w:val="20"/>
          <w:color w:val="auto"/>
        </w:rPr>
        <w:br w:type="column"/>
      </w:r>
    </w:p>
    <w:p>
      <w:pPr>
        <w:ind w:right="1520"/>
        <w:spacing w:after="0" w:line="235" w:lineRule="auto"/>
        <w:rPr>
          <w:sz w:val="20"/>
          <w:szCs w:val="20"/>
          <w:color w:val="auto"/>
        </w:rPr>
      </w:pPr>
      <w:r>
        <w:rPr>
          <w:rFonts w:ascii="Courier New" w:cs="Courier New" w:eastAsia="Courier New" w:hAnsi="Courier New"/>
          <w:sz w:val="16"/>
          <w:szCs w:val="16"/>
          <w:color w:val="auto"/>
        </w:rPr>
        <w:t>Letter Agreement dated March 21, 2001, pertaining to: amendment to Employment Agreement, dated as of August 7, 1998, between the Registrant and Charles M. Berger; and employment of Mr. Berger through January 16,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4" w:lineRule="exact"/>
        <w:rPr>
          <w:sz w:val="20"/>
          <w:szCs w:val="20"/>
          <w:color w:val="auto"/>
        </w:rPr>
      </w:pPr>
    </w:p>
    <w:p>
      <w:pPr>
        <w:sectPr>
          <w:pgSz w:w="11900" w:h="16838" w:orient="portrait"/>
          <w:cols w:equalWidth="0" w:num="3">
            <w:col w:w="940" w:space="720"/>
            <w:col w:w="6460" w:space="720"/>
            <w:col w:w="1379"/>
          </w:cols>
          <w:pgMar w:left="240" w:top="290"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herewith</w:t>
      </w: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19"/>
          </w:cols>
          <w:pgMar w:left="240" w:top="290"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10(w)</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JOSEPH P. FLANNERY</w:t>
      </w:r>
    </w:p>
    <w:p>
      <w:pPr>
        <w:ind w:left="2420"/>
        <w:spacing w:after="0" w:line="236" w:lineRule="auto"/>
        <w:rPr>
          <w:sz w:val="20"/>
          <w:szCs w:val="20"/>
          <w:color w:val="auto"/>
        </w:rPr>
      </w:pPr>
      <w:r>
        <w:rPr>
          <w:rFonts w:ascii="Courier New" w:cs="Courier New" w:eastAsia="Courier New" w:hAnsi="Courier New"/>
          <w:sz w:val="16"/>
          <w:szCs w:val="16"/>
          <w:color w:val="auto"/>
        </w:rPr>
        <w:t>[private address and phone]</w:t>
      </w:r>
    </w:p>
    <w:p>
      <w:pPr>
        <w:spacing w:after="0" w:line="356"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March 21, 2001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Charles M. Berger</w:t>
      </w:r>
    </w:p>
    <w:p>
      <w:pPr>
        <w:spacing w:after="0" w:line="236" w:lineRule="auto"/>
        <w:rPr>
          <w:sz w:val="20"/>
          <w:szCs w:val="20"/>
          <w:color w:val="auto"/>
        </w:rPr>
      </w:pPr>
      <w:r>
        <w:rPr>
          <w:rFonts w:ascii="Courier New" w:cs="Courier New" w:eastAsia="Courier New" w:hAnsi="Courier New"/>
          <w:sz w:val="16"/>
          <w:szCs w:val="16"/>
          <w:color w:val="auto"/>
        </w:rPr>
        <w:t>Chairman and Chief Executive Officer</w:t>
      </w:r>
    </w:p>
    <w:p>
      <w:pPr>
        <w:spacing w:after="0" w:line="237" w:lineRule="auto"/>
        <w:rPr>
          <w:sz w:val="20"/>
          <w:szCs w:val="20"/>
          <w:color w:val="auto"/>
        </w:rPr>
      </w:pPr>
      <w:r>
        <w:rPr>
          <w:rFonts w:ascii="Courier New" w:cs="Courier New" w:eastAsia="Courier New" w:hAnsi="Courier New"/>
          <w:sz w:val="16"/>
          <w:szCs w:val="16"/>
          <w:color w:val="auto"/>
        </w:rPr>
        <w:t>The Scotts Company</w:t>
      </w:r>
    </w:p>
    <w:p>
      <w:pPr>
        <w:spacing w:after="0" w:line="237" w:lineRule="auto"/>
        <w:rPr>
          <w:sz w:val="20"/>
          <w:szCs w:val="20"/>
          <w:color w:val="auto"/>
        </w:rPr>
      </w:pPr>
      <w:r>
        <w:rPr>
          <w:rFonts w:ascii="Courier New" w:cs="Courier New" w:eastAsia="Courier New" w:hAnsi="Courier New"/>
          <w:sz w:val="16"/>
          <w:szCs w:val="16"/>
          <w:color w:val="auto"/>
        </w:rPr>
        <w:t>41 S. High Street, Suite 3500</w:t>
      </w:r>
    </w:p>
    <w:p>
      <w:pPr>
        <w:spacing w:after="0"/>
        <w:tabs>
          <w:tab w:leader="none" w:pos="1280" w:val="left"/>
        </w:tabs>
        <w:rPr>
          <w:sz w:val="20"/>
          <w:szCs w:val="20"/>
          <w:color w:val="auto"/>
        </w:rPr>
      </w:pPr>
      <w:r>
        <w:rPr>
          <w:rFonts w:ascii="Courier New" w:cs="Courier New" w:eastAsia="Courier New" w:hAnsi="Courier New"/>
          <w:sz w:val="16"/>
          <w:szCs w:val="16"/>
          <w:color w:val="auto"/>
        </w:rPr>
        <w:t>Columbus, OH</w:t>
      </w:r>
      <w:r>
        <w:rPr>
          <w:sz w:val="20"/>
          <w:szCs w:val="20"/>
          <w:color w:val="auto"/>
        </w:rPr>
        <w:tab/>
      </w:r>
      <w:r>
        <w:rPr>
          <w:rFonts w:ascii="Courier New" w:cs="Courier New" w:eastAsia="Courier New" w:hAnsi="Courier New"/>
          <w:sz w:val="14"/>
          <w:szCs w:val="14"/>
          <w:color w:val="auto"/>
        </w:rPr>
        <w:t>43215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Chuck:</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purpose of this letter is to memorialize the understandings we have reached regarding your employment by The Scotts Company ("Scotts" or the "Company") following the May 10, 2001 Board meeting and your affiliation with the Company thereafter.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MAY 10, 2001 THROUGH SEPTEMBER 30, 2001</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Your employment at Scotts is currently subject to an Employment Agreement entered into between you and Scotts dated August 7, 1998 (the "1998 Employment Agreement"). You agree that the 1998 Employment Agreement is hereby amended in two respects:</w:t>
      </w:r>
    </w:p>
    <w:p>
      <w:pPr>
        <w:spacing w:after="0" w:line="185" w:lineRule="exact"/>
        <w:rPr>
          <w:sz w:val="20"/>
          <w:szCs w:val="20"/>
          <w:color w:val="auto"/>
        </w:rPr>
      </w:pPr>
    </w:p>
    <w:p>
      <w:pPr>
        <w:ind w:left="1400" w:right="2879" w:hanging="474"/>
        <w:spacing w:after="0" w:line="295" w:lineRule="auto"/>
        <w:tabs>
          <w:tab w:leader="none" w:pos="14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Scotts' Board meeting to be held on May 10, 2001, you shall resign your position as Chief Executive Officer of Scotts.</w:t>
      </w:r>
    </w:p>
    <w:p>
      <w:pPr>
        <w:spacing w:after="0" w:line="146" w:lineRule="exact"/>
        <w:rPr>
          <w:rFonts w:ascii="Courier New" w:cs="Courier New" w:eastAsia="Courier New" w:hAnsi="Courier New"/>
          <w:sz w:val="14"/>
          <w:szCs w:val="14"/>
          <w:color w:val="auto"/>
        </w:rPr>
      </w:pPr>
    </w:p>
    <w:p>
      <w:pPr>
        <w:ind w:left="1400" w:right="2779" w:hanging="474"/>
        <w:spacing w:after="0" w:line="274" w:lineRule="auto"/>
        <w:tabs>
          <w:tab w:leader="none" w:pos="14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the 1998 Employment Agreement shall be extended until September 30, 2001. After May 10, 2001, you shall continue to be employed as a full-time Scotts' associate and you will continue to serve as an executive officer of Scotts with the title of Chairman of the Board. Your base salary, incentive compensation, expense reimbursement and benefits shall be paid as provided in the 1998 Employment Agreement through September 30, 2001.</w:t>
      </w:r>
    </w:p>
    <w:p>
      <w:pPr>
        <w:spacing w:after="0" w:line="164"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Except as modified by the preceding paragraph, the 1998 Employment Agreement shall remain in full force and effect.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OCTOBER 1, 2001 THROUGH JANUARY 16, 2003</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From October 1, 2001 through January 16, 2003 (the proposed date for Scotts' 2003 Annual Meeting of Shareholders), you shall continue as a Scotts' associate and executive officer (maintaining the title of Chairman of the Board) at an annual salary of $500,000. You shall be entitled to receive all benefits available to an executive officer of Scotts, but shall not be entitled</w:t>
      </w:r>
    </w:p>
    <w:p>
      <w:pPr>
        <w:sectPr>
          <w:pgSz w:w="11900" w:h="16838" w:orient="portrait"/>
          <w:cols w:equalWidth="0" w:num="1">
            <w:col w:w="10219"/>
          </w:cols>
          <w:pgMar w:left="240" w:top="13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line="236" w:lineRule="auto"/>
        <w:rPr>
          <w:sz w:val="20"/>
          <w:szCs w:val="20"/>
          <w:color w:val="auto"/>
        </w:rPr>
      </w:pPr>
      <w:r>
        <w:rPr>
          <w:rFonts w:ascii="Courier New" w:cs="Courier New" w:eastAsia="Courier New" w:hAnsi="Courier New"/>
          <w:sz w:val="16"/>
          <w:szCs w:val="16"/>
          <w:color w:val="auto"/>
        </w:rPr>
        <w:t>March 21, 2001</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to any incentive compensation or to a stock option grant. You shall be entitled to the use of the Company airplane for business purposes, to an annual physical at the Company's expense and to participate in the Ayco program so long as you remain Chairman of the Board.</w:t>
      </w:r>
    </w:p>
    <w:p>
      <w:pPr>
        <w:spacing w:after="0" w:line="185" w:lineRule="exact"/>
        <w:rPr>
          <w:sz w:val="20"/>
          <w:szCs w:val="20"/>
          <w:color w:val="auto"/>
        </w:rPr>
      </w:pPr>
    </w:p>
    <w:p>
      <w:pPr>
        <w:ind w:right="2959" w:firstLine="837"/>
        <w:spacing w:after="0" w:line="275" w:lineRule="auto"/>
        <w:rPr>
          <w:sz w:val="20"/>
          <w:szCs w:val="20"/>
          <w:color w:val="auto"/>
        </w:rPr>
      </w:pPr>
      <w:r>
        <w:rPr>
          <w:rFonts w:ascii="Courier New" w:cs="Courier New" w:eastAsia="Courier New" w:hAnsi="Courier New"/>
          <w:sz w:val="14"/>
          <w:szCs w:val="14"/>
          <w:color w:val="auto"/>
        </w:rPr>
        <w:t>You shall be entitled to a guest office and administrative assistance at Scotts' World Headquarters through January 16, 2003, but your principal office after October 1, 2001 shall be at your home in Naples, Florida. Scotts agrees to reimburse you for the commission you pay in connection with the sale of your home in Columbus, Ohio and for the expense of moving your personal effects to Naples, Florida, up to a maximum reimbursement of $150,000.</w:t>
      </w:r>
    </w:p>
    <w:p>
      <w:pPr>
        <w:spacing w:after="0" w:line="1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It is presently the Committee's intention to have you stand for re-election as a Director of the Company when your current term expires at the Company's Annual Meeting of Shareholders in 2002. On January 16, 2003, it is expected that you will resign your position as Chairman of the Board and that you will retire as a full-time Scotts' associate. Upon your retirement as a full-time Scotts' associate, you shall be entitled to such benefits as are then available to a retiree at your then age and with your then years of service, and all other benefits that you were entitled to receive as Chairman of the Board shall cease.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JANUARY 17, 2003 THROUGH MAY 9, 2003</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After your retirement from Scotts on January 16, 2003, you will continue to be paid monthly at the rate of $500,000 per year through May 9, 2003, but you will not be entitled to receive any benefits in addition to these payments.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DEATH, DISABILITY OR CHANGE IN CONTROL</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Should you die or become totally disabled or should Scotts undergo a Change in Control (as defined in the 1998 Employment Agreement) prior to May 9, 2003, your beneficiaries or your estate shall be entitled to receive the balance of any payments due you through May 9, 2003. Any such payments due you shall be paid in a lump sum within 90 days of the effective date of the Change in Control or your death or total disability. Any options to purchase Scotts' common shares owned by you at your death shall be dealt with as provided in the Scotts' stock option plan pursuant to which they were granted.</w:t>
      </w:r>
    </w:p>
    <w:p>
      <w:pPr>
        <w:spacing w:after="0" w:line="15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 Joseph P. Flannery</w:t>
      </w:r>
    </w:p>
    <w:p>
      <w:pPr>
        <w:ind w:left="4000"/>
        <w:spacing w:after="0" w:line="236" w:lineRule="auto"/>
        <w:rPr>
          <w:sz w:val="20"/>
          <w:szCs w:val="20"/>
          <w:color w:val="auto"/>
        </w:rPr>
      </w:pPr>
      <w:r>
        <w:rPr>
          <w:rFonts w:ascii="Courier New" w:cs="Courier New" w:eastAsia="Courier New" w:hAnsi="Courier New"/>
          <w:sz w:val="16"/>
          <w:szCs w:val="16"/>
          <w:color w:val="auto"/>
        </w:rPr>
        <w:t>-------------------------</w:t>
      </w:r>
    </w:p>
    <w:p>
      <w:pPr>
        <w:ind w:left="4000"/>
        <w:spacing w:after="0" w:line="237" w:lineRule="auto"/>
        <w:rPr>
          <w:sz w:val="20"/>
          <w:szCs w:val="20"/>
          <w:color w:val="auto"/>
        </w:rPr>
      </w:pPr>
      <w:r>
        <w:rPr>
          <w:rFonts w:ascii="Courier New" w:cs="Courier New" w:eastAsia="Courier New" w:hAnsi="Courier New"/>
          <w:sz w:val="16"/>
          <w:szCs w:val="16"/>
          <w:color w:val="auto"/>
        </w:rPr>
        <w:t>Joseph P. Flannery, Chairman</w:t>
      </w:r>
    </w:p>
    <w:p>
      <w:pPr>
        <w:ind w:left="4000"/>
        <w:spacing w:after="0" w:line="237" w:lineRule="auto"/>
        <w:rPr>
          <w:sz w:val="20"/>
          <w:szCs w:val="20"/>
          <w:color w:val="auto"/>
        </w:rPr>
      </w:pPr>
      <w:r>
        <w:rPr>
          <w:rFonts w:ascii="Courier New" w:cs="Courier New" w:eastAsia="Courier New" w:hAnsi="Courier New"/>
          <w:sz w:val="16"/>
          <w:szCs w:val="16"/>
          <w:color w:val="auto"/>
        </w:rPr>
        <w:t>Compensation and Organization</w:t>
      </w:r>
    </w:p>
    <w:p>
      <w:pPr>
        <w:ind w:left="4000"/>
        <w:spacing w:after="0" w:line="237" w:lineRule="auto"/>
        <w:rPr>
          <w:sz w:val="20"/>
          <w:szCs w:val="20"/>
          <w:color w:val="auto"/>
        </w:rPr>
      </w:pPr>
      <w:r>
        <w:rPr>
          <w:rFonts w:ascii="Courier New" w:cs="Courier New" w:eastAsia="Courier New" w:hAnsi="Courier New"/>
          <w:sz w:val="16"/>
          <w:szCs w:val="16"/>
          <w:color w:val="auto"/>
        </w:rPr>
        <w:t>Committee of the Board of Directors</w:t>
      </w:r>
    </w:p>
    <w:sectPr>
      <w:pgSz w:w="11900" w:h="16838" w:orient="portrait"/>
      <w:cols w:equalWidth="0" w:num="1">
        <w:col w:w="10219"/>
      </w:cols>
      <w:pgMar w:left="240" w:top="2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1."/>
      <w:numFmt w:val="decimal"/>
      <w:start w:val="8"/>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
      <w:numFmt w:val="bullet"/>
      <w:start w:val="1"/>
    </w:lvl>
    <w:lvl w:ilvl="1">
      <w:lvlJc w:val="left"/>
      <w:lvlText w:val="-"/>
      <w:numFmt w:val="bullet"/>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2019-12-20T06:16:50Z</dcterms:created>
  <dcterms:modified xsi:type="dcterms:W3CDTF">2019-12-20T06:16:50Z</dcterms:modified>
</cp:coreProperties>
</file>