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Scotts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810186106</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1,220,740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1,642,800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1,642,800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1,129,340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sectPr>
          <w:pgSz w:w="11900" w:h="16838" w:orient="portrait"/>
          <w:cols w:equalWidth="0" w:num="1">
            <w:col w:w="10219"/>
          </w:cols>
          <w:pgMar w:left="240" w:top="339" w:right="1440" w:bottom="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BENEFICIALL</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1,551,400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1,551,400</w:t>
      </w:r>
      <w:r>
        <w:rPr>
          <w:rFonts w:ascii="Courier New" w:cs="Courier New" w:eastAsia="Courier New" w:hAnsi="Courier New"/>
          <w:sz w:val="16"/>
          <w:szCs w:val="16"/>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 BK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740"/>
        <w:spacing w:after="0"/>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159"/>
        <w:spacing w:after="0" w:line="235" w:lineRule="auto"/>
        <w:rPr>
          <w:sz w:val="20"/>
          <w:szCs w:val="20"/>
          <w:color w:val="auto"/>
        </w:rPr>
      </w:pPr>
      <w:r>
        <w:rPr>
          <w:rFonts w:ascii="Courier New" w:cs="Courier New" w:eastAsia="Courier New" w:hAnsi="Courier New"/>
          <w:sz w:val="18"/>
          <w:szCs w:val="18"/>
          <w:color w:val="auto"/>
        </w:rPr>
        <w:t>Capital Group International, Inc. and Capital Guardian Trust Company</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039" w:hanging="535"/>
        <w:spacing w:after="0" w:line="235" w:lineRule="auto"/>
        <w:tabs>
          <w:tab w:leader="none" w:pos="15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 U.S.C. 78c).</w:t>
      </w:r>
    </w:p>
    <w:p>
      <w:pPr>
        <w:spacing w:after="0" w:line="6" w:lineRule="exact"/>
        <w:rPr>
          <w:sz w:val="20"/>
          <w:szCs w:val="20"/>
          <w:color w:val="auto"/>
        </w:rPr>
      </w:pPr>
    </w:p>
    <w:p>
      <w:pPr>
        <w:ind w:left="1280" w:right="3479" w:hanging="535"/>
        <w:spacing w:after="0" w:line="235" w:lineRule="auto"/>
        <w:tabs>
          <w:tab w:leader="none" w:pos="170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ind w:left="740"/>
        <w:spacing w:after="0"/>
        <w:tabs>
          <w:tab w:leader="none" w:pos="1560" w:val="left"/>
          <w:tab w:leader="none" w:pos="242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A parent holding company or control person in</w:t>
      </w:r>
    </w:p>
    <w:p>
      <w:pPr>
        <w:sectPr>
          <w:pgSz w:w="11900" w:h="16838" w:orient="portrait"/>
          <w:cols w:equalWidth="0" w:num="1">
            <w:col w:w="10219"/>
          </w:cols>
          <w:pgMar w:left="240" w:top="136" w:right="1440" w:bottom="0" w:gutter="0" w:footer="0" w:header="0"/>
        </w:sectPr>
      </w:pPr>
    </w:p>
    <w:bookmarkStart w:id="3" w:name="page4"/>
    <w:bookmarkEnd w:id="3"/>
    <w:p>
      <w:pPr>
        <w:ind w:left="1280"/>
        <w:spacing w:after="0"/>
        <w:rPr>
          <w:sz w:val="20"/>
          <w:szCs w:val="20"/>
          <w:color w:val="auto"/>
        </w:rPr>
      </w:pPr>
      <w:r>
        <w:rPr>
          <w:rFonts w:ascii="Courier New" w:cs="Courier New" w:eastAsia="Courier New" w:hAnsi="Courier New"/>
          <w:sz w:val="18"/>
          <w:szCs w:val="18"/>
          <w:color w:val="auto"/>
        </w:rPr>
        <w:t>accordance with section 240.13d-1(b)(1)(ii)(G).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right="3039"/>
        <w:spacing w:after="0" w:line="270" w:lineRule="auto"/>
        <w:rPr>
          <w:sz w:val="20"/>
          <w:szCs w:val="20"/>
          <w:color w:val="auto"/>
        </w:rPr>
      </w:pPr>
      <w:r>
        <w:rPr>
          <w:rFonts w:ascii="Courier New" w:cs="Courier New" w:eastAsia="Courier New" w:hAnsi="Courier New"/>
          <w:sz w:val="16"/>
          <w:szCs w:val="16"/>
          <w:color w:val="auto"/>
        </w:rPr>
        <w:t>Capital Group International, Inc. ("CGII")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CGII does not have investment power or voting power over any of the securities reported herein. However, by virtue of Rule 13d-3 under the Act, CGII may be deemed to "benefically own" 1,642,800 shares or 5.4% of the 30,387,000 shares of Common Stock believed to be outstanding.</w:t>
      </w:r>
    </w:p>
    <w:p>
      <w:pPr>
        <w:spacing w:after="0" w:line="200" w:lineRule="exact"/>
        <w:rPr>
          <w:sz w:val="20"/>
          <w:szCs w:val="20"/>
          <w:color w:val="auto"/>
        </w:rPr>
      </w:pPr>
    </w:p>
    <w:p>
      <w:pPr>
        <w:spacing w:after="0" w:line="389"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1,551,400 shares or 5.1% of the 30,387,000 shares of Common Stock believed to be outstanding as a result of its serving as the investment manager of various institutional accounts.</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1060" w:right="2739" w:hanging="315"/>
        <w:spacing w:after="0" w:line="237"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an investment adviser registered under Section 203 of the Investment Adviser Act of 1940, and a wholly owned subsidiary of Capital Group International, Inc.</w:t>
      </w:r>
    </w:p>
    <w:p>
      <w:pPr>
        <w:spacing w:after="0" w:line="208" w:lineRule="exact"/>
        <w:rPr>
          <w:rFonts w:ascii="Courier New" w:cs="Courier New" w:eastAsia="Courier New" w:hAnsi="Courier New"/>
          <w:sz w:val="18"/>
          <w:szCs w:val="18"/>
          <w:color w:val="auto"/>
        </w:rPr>
      </w:pPr>
    </w:p>
    <w:p>
      <w:pPr>
        <w:ind w:left="1060" w:right="2939" w:hanging="315"/>
        <w:spacing w:after="0" w:line="237"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136" w:right="1440" w:bottom="335" w:gutter="0" w:footer="0" w:header="0"/>
        </w:sectPr>
      </w:pPr>
    </w:p>
    <w:bookmarkStart w:id="4" w:name="page5"/>
    <w:bookmarkEnd w:id="4"/>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2003</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2003</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Guardian Trust Company</w:t>
      </w:r>
    </w:p>
    <w:p>
      <w:pPr>
        <w:sectPr>
          <w:pgSz w:w="11900" w:h="16838" w:orient="portrait"/>
          <w:cols w:equalWidth="0" w:num="1">
            <w:col w:w="10219"/>
          </w:cols>
          <w:pgMar w:left="240" w:top="5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Downer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Downer</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541" w:right="1440" w:bottom="0"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54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10, 2003</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and Capital Guardian Trust Company ("CGTC") hereby agree to file a joint statement on Schedule 13G under the Securities Exchange Act of 1934 (the "Act") in connection with their beneficial ownership of Common Stock issued by The Scotts Company.</w:t>
      </w:r>
    </w:p>
    <w:p>
      <w:pPr>
        <w:spacing w:after="0" w:line="209"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CGII and CGTC state that they are each entitled to individually use Schedule 13G pursuant to Rule 13d-1(c) of the Act.</w:t>
      </w:r>
    </w:p>
    <w:p>
      <w:pPr>
        <w:spacing w:after="0" w:line="208" w:lineRule="exact"/>
        <w:rPr>
          <w:sz w:val="20"/>
          <w:szCs w:val="20"/>
          <w:color w:val="auto"/>
        </w:rPr>
      </w:pPr>
    </w:p>
    <w:p>
      <w:pPr>
        <w:ind w:right="3259" w:firstLine="211"/>
        <w:spacing w:after="0" w:line="290" w:lineRule="auto"/>
        <w:rPr>
          <w:sz w:val="20"/>
          <w:szCs w:val="20"/>
          <w:color w:val="auto"/>
        </w:rPr>
      </w:pPr>
      <w:r>
        <w:rPr>
          <w:rFonts w:ascii="Courier New" w:cs="Courier New" w:eastAsia="Courier New" w:hAnsi="Courier New"/>
          <w:sz w:val="16"/>
          <w:szCs w:val="16"/>
          <w:color w:val="auto"/>
        </w:rPr>
        <w:t>CGII and CGTC are each responsible for the timely filing of the statement and any amendments thereto, and for the completeness and</w:t>
      </w:r>
    </w:p>
    <w:p>
      <w:pPr>
        <w:sectPr>
          <w:pgSz w:w="11900" w:h="16838" w:orient="portrait"/>
          <w:cols w:equalWidth="0" w:num="1">
            <w:col w:w="10219"/>
          </w:cols>
          <w:pgMar w:left="240" w:top="541" w:right="1440" w:bottom="0" w:gutter="0" w:footer="0" w:header="0"/>
          <w:type w:val="continuous"/>
        </w:sectPr>
      </w:pPr>
    </w:p>
    <w:bookmarkStart w:id="5" w:name="page6"/>
    <w:bookmarkEnd w:id="5"/>
    <w:p>
      <w:pPr>
        <w:ind w:right="2939"/>
        <w:spacing w:after="0" w:line="236" w:lineRule="auto"/>
        <w:rPr>
          <w:sz w:val="20"/>
          <w:szCs w:val="20"/>
          <w:color w:val="auto"/>
        </w:rPr>
      </w:pPr>
      <w:r>
        <w:rPr>
          <w:rFonts w:ascii="Courier New" w:cs="Courier New" w:eastAsia="Courier New" w:hAnsi="Courier New"/>
          <w:sz w:val="18"/>
          <w:szCs w:val="18"/>
          <w:color w:val="auto"/>
        </w:rPr>
        <w:t>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238" w:lineRule="auto"/>
        <w:rPr>
          <w:sz w:val="20"/>
          <w:szCs w:val="20"/>
          <w:color w:val="auto"/>
        </w:rPr>
      </w:pPr>
      <w:r>
        <w:rPr>
          <w:rFonts w:ascii="Courier New" w:cs="Courier New" w:eastAsia="Courier New" w:hAnsi="Courier New"/>
          <w:sz w:val="18"/>
          <w:szCs w:val="18"/>
          <w:color w:val="auto"/>
        </w:rPr>
        <w:t>David I. Fisher, Chairman</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Capital Group International,</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860" w:space="720"/>
            <w:col w:w="6639"/>
          </w:cols>
          <w:pgMar w:left="240" w:top="142" w:right="1440" w:bottom="1440" w:gutter="0" w:footer="0" w:header="0"/>
          <w:type w:val="continuous"/>
        </w:sect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CAPITAL GUARDIAN TRUST COMPANY</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I. Fisher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I. Fisher, Chairman</w:t>
      </w:r>
    </w:p>
    <w:p>
      <w:pPr>
        <w:spacing w:after="0" w:line="16" w:lineRule="exact"/>
        <w:rPr>
          <w:sz w:val="20"/>
          <w:szCs w:val="20"/>
          <w:color w:val="auto"/>
        </w:rPr>
      </w:pPr>
    </w:p>
    <w:p>
      <w:pPr>
        <w:sectPr>
          <w:pgSz w:w="11900" w:h="16838" w:orient="portrait"/>
          <w:cols w:equalWidth="0" w:num="2">
            <w:col w:w="2860" w:space="720"/>
            <w:col w:w="6639"/>
          </w:cols>
          <w:pgMar w:left="240" w:top="142" w:right="1440" w:bottom="1440" w:gutter="0" w:footer="0" w:header="0"/>
          <w:type w:val="continuous"/>
        </w:sectPr>
      </w:pPr>
    </w:p>
    <w:p>
      <w:pPr>
        <w:jc w:val="center"/>
        <w:ind w:right="-32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Michael J. Downer</w:t>
      </w:r>
    </w:p>
    <w:p>
      <w:pPr>
        <w:ind w:left="540"/>
        <w:spacing w:after="0" w:line="238" w:lineRule="auto"/>
        <w:rPr>
          <w:sz w:val="20"/>
          <w:szCs w:val="20"/>
          <w:color w:val="auto"/>
        </w:rPr>
      </w:pPr>
      <w:r>
        <w:rPr>
          <w:rFonts w:ascii="Courier New" w:cs="Courier New" w:eastAsia="Courier New" w:hAnsi="Courier New"/>
          <w:sz w:val="18"/>
          <w:szCs w:val="18"/>
          <w:color w:val="auto"/>
        </w:rPr>
        <w:t>Michael J. Downer</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810186106</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5"/>
      <w:numFmt w:val="bullet"/>
      <w:start w:val="1"/>
    </w:lvl>
  </w:abstractNum>
  <w:abstractNum w:abstractNumId="5">
    <w:nsid w:val="3352255A"/>
    <w:multiLevelType w:val="hybridMultilevel"/>
    <w:lvl w:ilvl="0">
      <w:lvlJc w:val="left"/>
      <w:lvlText w:val="8"/>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8"/>
      <w:numFmt w:val="bullet"/>
      <w:start w:val="1"/>
    </w:lvl>
  </w:abstractNum>
  <w:abstractNum w:abstractNumId="13">
    <w:nsid w:val="25E45D32"/>
    <w:multiLevelType w:val="hybridMultilevel"/>
    <w:lvl w:ilvl="0">
      <w:lvlJc w:val="left"/>
      <w:lvlText w:val="9"/>
      <w:numFmt w:val="bullet"/>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2019-12-11T21:46:09Z</dcterms:created>
  <dcterms:modified xsi:type="dcterms:W3CDTF">2019-12-11T21:46:09Z</dcterms:modified>
</cp:coreProperties>
</file>